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1D162" w14:textId="77777777" w:rsidR="0003452E" w:rsidRDefault="0003452E" w:rsidP="0003452E">
      <w:pPr>
        <w:jc w:val="center"/>
        <w:rPr>
          <w:rFonts w:ascii="Times New Roman" w:hAnsi="Times New Roman" w:cs="Times New Roman"/>
        </w:rPr>
      </w:pPr>
    </w:p>
    <w:p w14:paraId="46FB0228" w14:textId="77777777" w:rsidR="0003452E" w:rsidRDefault="0003452E" w:rsidP="0003452E">
      <w:pPr>
        <w:jc w:val="center"/>
        <w:rPr>
          <w:rFonts w:ascii="Times New Roman" w:hAnsi="Times New Roman" w:cs="Times New Roman"/>
        </w:rPr>
      </w:pPr>
    </w:p>
    <w:p w14:paraId="48FEFC40" w14:textId="77777777" w:rsidR="0003452E" w:rsidRDefault="0003452E" w:rsidP="0003452E">
      <w:pPr>
        <w:jc w:val="center"/>
        <w:rPr>
          <w:rFonts w:ascii="Times New Roman" w:hAnsi="Times New Roman" w:cs="Times New Roman"/>
        </w:rPr>
      </w:pPr>
    </w:p>
    <w:p w14:paraId="74B1AEBE" w14:textId="77777777" w:rsidR="0003452E" w:rsidRDefault="0003452E" w:rsidP="0003452E">
      <w:pPr>
        <w:jc w:val="center"/>
        <w:rPr>
          <w:rFonts w:ascii="Times New Roman" w:hAnsi="Times New Roman" w:cs="Times New Roman"/>
        </w:rPr>
      </w:pPr>
      <w:r w:rsidRPr="000D2FA4">
        <w:rPr>
          <w:noProof/>
        </w:rPr>
        <w:drawing>
          <wp:inline distT="0" distB="0" distL="0" distR="0" wp14:anchorId="2F58C5A3" wp14:editId="7BA2C458">
            <wp:extent cx="1128156" cy="1689893"/>
            <wp:effectExtent l="0" t="0" r="0" b="5715"/>
            <wp:docPr id="17801998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199864" name=""/>
                    <pic:cNvPicPr/>
                  </pic:nvPicPr>
                  <pic:blipFill>
                    <a:blip r:embed="rId8"/>
                    <a:stretch>
                      <a:fillRect/>
                    </a:stretch>
                  </pic:blipFill>
                  <pic:spPr>
                    <a:xfrm>
                      <a:off x="0" y="0"/>
                      <a:ext cx="1132589" cy="1696533"/>
                    </a:xfrm>
                    <a:prstGeom prst="rect">
                      <a:avLst/>
                    </a:prstGeom>
                  </pic:spPr>
                </pic:pic>
              </a:graphicData>
            </a:graphic>
          </wp:inline>
        </w:drawing>
      </w:r>
    </w:p>
    <w:p w14:paraId="2F9873FB" w14:textId="77777777" w:rsidR="0003452E" w:rsidRDefault="0003452E" w:rsidP="0003452E">
      <w:pPr>
        <w:jc w:val="center"/>
        <w:rPr>
          <w:rFonts w:ascii="Times New Roman" w:hAnsi="Times New Roman" w:cs="Times New Roman"/>
        </w:rPr>
      </w:pPr>
    </w:p>
    <w:p w14:paraId="2816EEC8" w14:textId="69D455B3" w:rsidR="0003452E" w:rsidRPr="0003452E" w:rsidRDefault="0003452E" w:rsidP="0003452E">
      <w:pPr>
        <w:jc w:val="center"/>
        <w:rPr>
          <w:rFonts w:ascii="Times New Roman" w:hAnsi="Times New Roman" w:cs="Times New Roman"/>
          <w:sz w:val="60"/>
          <w:szCs w:val="60"/>
        </w:rPr>
      </w:pPr>
      <w:r w:rsidRPr="0003452E">
        <w:rPr>
          <w:rFonts w:ascii="Times New Roman" w:hAnsi="Times New Roman" w:cs="Times New Roman"/>
          <w:sz w:val="60"/>
          <w:szCs w:val="60"/>
        </w:rPr>
        <w:t>REPORT</w:t>
      </w:r>
      <w:r w:rsidR="003154EA">
        <w:rPr>
          <w:rFonts w:ascii="Times New Roman" w:hAnsi="Times New Roman" w:cs="Times New Roman"/>
          <w:sz w:val="60"/>
          <w:szCs w:val="60"/>
        </w:rPr>
        <w:t xml:space="preserve">  </w:t>
      </w:r>
    </w:p>
    <w:p w14:paraId="2B41C9C9" w14:textId="77777777" w:rsidR="0003452E" w:rsidRPr="0003452E" w:rsidRDefault="0003452E" w:rsidP="0003452E">
      <w:pPr>
        <w:jc w:val="center"/>
        <w:rPr>
          <w:rFonts w:ascii="Times New Roman" w:hAnsi="Times New Roman" w:cs="Times New Roman"/>
          <w:sz w:val="60"/>
          <w:szCs w:val="60"/>
        </w:rPr>
      </w:pPr>
      <w:r w:rsidRPr="0003452E">
        <w:rPr>
          <w:rFonts w:ascii="Times New Roman" w:hAnsi="Times New Roman" w:cs="Times New Roman"/>
          <w:sz w:val="60"/>
          <w:szCs w:val="60"/>
        </w:rPr>
        <w:t>OF</w:t>
      </w:r>
    </w:p>
    <w:p w14:paraId="43A0C172" w14:textId="77777777" w:rsidR="0003452E" w:rsidRPr="0003452E" w:rsidRDefault="0003452E" w:rsidP="0003452E">
      <w:pPr>
        <w:jc w:val="center"/>
        <w:rPr>
          <w:rFonts w:ascii="Times New Roman" w:hAnsi="Times New Roman" w:cs="Times New Roman"/>
          <w:sz w:val="60"/>
          <w:szCs w:val="60"/>
        </w:rPr>
      </w:pPr>
      <w:r w:rsidRPr="0003452E">
        <w:rPr>
          <w:rFonts w:ascii="Times New Roman" w:hAnsi="Times New Roman" w:cs="Times New Roman"/>
          <w:sz w:val="60"/>
          <w:szCs w:val="60"/>
        </w:rPr>
        <w:t>THE FINANCE COMMISSION</w:t>
      </w:r>
    </w:p>
    <w:p w14:paraId="2BB4FBD7" w14:textId="77777777" w:rsidR="0003452E" w:rsidRPr="0003452E" w:rsidRDefault="0003452E" w:rsidP="0003452E">
      <w:pPr>
        <w:jc w:val="center"/>
        <w:rPr>
          <w:rFonts w:ascii="Times New Roman" w:hAnsi="Times New Roman" w:cs="Times New Roman"/>
          <w:sz w:val="60"/>
          <w:szCs w:val="60"/>
        </w:rPr>
      </w:pPr>
    </w:p>
    <w:p w14:paraId="5CFD26EA" w14:textId="77777777" w:rsidR="0003452E" w:rsidRPr="0003452E" w:rsidRDefault="0003452E" w:rsidP="0003452E">
      <w:pPr>
        <w:jc w:val="center"/>
        <w:rPr>
          <w:rFonts w:ascii="Times New Roman" w:hAnsi="Times New Roman" w:cs="Times New Roman"/>
          <w:sz w:val="60"/>
          <w:szCs w:val="60"/>
        </w:rPr>
      </w:pPr>
    </w:p>
    <w:p w14:paraId="682A4BF7" w14:textId="77777777" w:rsidR="0003452E" w:rsidRPr="0003452E" w:rsidRDefault="0003452E" w:rsidP="0003452E">
      <w:pPr>
        <w:jc w:val="center"/>
        <w:rPr>
          <w:rFonts w:ascii="Times New Roman" w:hAnsi="Times New Roman" w:cs="Times New Roman"/>
          <w:sz w:val="60"/>
          <w:szCs w:val="60"/>
        </w:rPr>
      </w:pPr>
      <w:r w:rsidRPr="0003452E">
        <w:rPr>
          <w:rFonts w:ascii="Times New Roman" w:hAnsi="Times New Roman" w:cs="Times New Roman"/>
          <w:sz w:val="60"/>
          <w:szCs w:val="60"/>
        </w:rPr>
        <w:t>1952</w:t>
      </w:r>
    </w:p>
    <w:p w14:paraId="5DE938F2" w14:textId="77777777" w:rsidR="0003452E" w:rsidRDefault="0003452E" w:rsidP="0003452E">
      <w:pPr>
        <w:jc w:val="center"/>
        <w:rPr>
          <w:rFonts w:ascii="Times New Roman" w:hAnsi="Times New Roman" w:cs="Times New Roman"/>
        </w:rPr>
      </w:pPr>
    </w:p>
    <w:p w14:paraId="7C5655A8" w14:textId="77777777" w:rsidR="0003452E" w:rsidRDefault="0003452E" w:rsidP="0003452E">
      <w:pPr>
        <w:jc w:val="center"/>
        <w:rPr>
          <w:rFonts w:ascii="Times New Roman" w:hAnsi="Times New Roman" w:cs="Times New Roman"/>
        </w:rPr>
      </w:pPr>
    </w:p>
    <w:p w14:paraId="692EF0EC" w14:textId="77777777" w:rsidR="0003452E" w:rsidRDefault="0003452E" w:rsidP="0003452E">
      <w:pPr>
        <w:jc w:val="center"/>
        <w:rPr>
          <w:rFonts w:ascii="Times New Roman" w:hAnsi="Times New Roman" w:cs="Times New Roman"/>
        </w:rPr>
      </w:pPr>
    </w:p>
    <w:p w14:paraId="74703AD1" w14:textId="77777777" w:rsidR="0003452E" w:rsidRDefault="0003452E" w:rsidP="0003452E">
      <w:pPr>
        <w:jc w:val="center"/>
        <w:rPr>
          <w:rFonts w:ascii="Times New Roman" w:hAnsi="Times New Roman" w:cs="Times New Roman"/>
        </w:rPr>
      </w:pPr>
    </w:p>
    <w:p w14:paraId="19AC0A28" w14:textId="77777777" w:rsidR="0003452E" w:rsidRDefault="0003452E" w:rsidP="0003452E">
      <w:pPr>
        <w:jc w:val="center"/>
        <w:rPr>
          <w:rFonts w:ascii="Times New Roman" w:hAnsi="Times New Roman" w:cs="Times New Roman"/>
        </w:rPr>
      </w:pPr>
    </w:p>
    <w:p w14:paraId="36771DE0" w14:textId="77777777" w:rsidR="0003452E" w:rsidRDefault="0003452E" w:rsidP="0003452E">
      <w:pPr>
        <w:jc w:val="center"/>
        <w:rPr>
          <w:rFonts w:ascii="Times New Roman" w:hAnsi="Times New Roman" w:cs="Times New Roman"/>
        </w:rPr>
      </w:pPr>
      <w:r>
        <w:rPr>
          <w:rFonts w:ascii="Times New Roman" w:hAnsi="Times New Roman" w:cs="Times New Roman"/>
        </w:rPr>
        <w:t xml:space="preserve">PRINTED IN INDIA BY THE MANAGER </w:t>
      </w:r>
    </w:p>
    <w:p w14:paraId="4C5AA4BE" w14:textId="1037E0D4" w:rsidR="0003452E" w:rsidRPr="0003452E" w:rsidRDefault="0003452E" w:rsidP="0003452E">
      <w:pPr>
        <w:jc w:val="center"/>
        <w:rPr>
          <w:rFonts w:ascii="Times New Roman" w:hAnsi="Times New Roman" w:cs="Times New Roman"/>
        </w:rPr>
      </w:pPr>
      <w:r>
        <w:rPr>
          <w:rFonts w:ascii="Times New Roman" w:hAnsi="Times New Roman" w:cs="Times New Roman"/>
        </w:rPr>
        <w:t>GOVT. OF INDIA PRESS, NEW DELHI, 1953</w:t>
      </w:r>
      <w:r w:rsidRPr="0003452E">
        <w:rPr>
          <w:rFonts w:ascii="Times New Roman" w:hAnsi="Times New Roman" w:cs="Times New Roman"/>
        </w:rPr>
        <w:br w:type="page"/>
      </w:r>
    </w:p>
    <w:p w14:paraId="1EA9FBAE" w14:textId="77777777" w:rsidR="00D00D2D" w:rsidRPr="00213A11" w:rsidRDefault="00D00D2D" w:rsidP="00213A11">
      <w:pPr>
        <w:pStyle w:val="Heading1"/>
        <w:spacing w:before="0" w:after="0"/>
        <w:rPr>
          <w:color w:val="FFFFFF" w:themeColor="background1"/>
          <w:sz w:val="12"/>
          <w:szCs w:val="12"/>
        </w:rPr>
      </w:pPr>
      <w:bookmarkStart w:id="0" w:name="_Toc221007110"/>
      <w:r w:rsidRPr="00213A11">
        <w:rPr>
          <w:color w:val="FFFFFF" w:themeColor="background1"/>
          <w:sz w:val="12"/>
          <w:szCs w:val="12"/>
        </w:rPr>
        <w:lastRenderedPageBreak/>
        <w:t>INDEX</w:t>
      </w:r>
      <w:bookmarkEnd w:id="0"/>
    </w:p>
    <w:sdt>
      <w:sdtPr>
        <w:rPr>
          <w:rFonts w:asciiTheme="minorHAnsi" w:eastAsiaTheme="minorHAnsi" w:hAnsiTheme="minorHAnsi" w:cs="Mangal"/>
          <w:color w:val="auto"/>
          <w:kern w:val="2"/>
          <w:sz w:val="24"/>
          <w:szCs w:val="21"/>
          <w:lang w:val="en-IN" w:bidi="hi-IN"/>
          <w14:ligatures w14:val="standardContextual"/>
        </w:rPr>
        <w:id w:val="-1449844614"/>
        <w:docPartObj>
          <w:docPartGallery w:val="Table of Contents"/>
          <w:docPartUnique/>
        </w:docPartObj>
      </w:sdtPr>
      <w:sdtEndPr>
        <w:rPr>
          <w:b/>
          <w:bCs/>
          <w:noProof/>
        </w:rPr>
      </w:sdtEndPr>
      <w:sdtContent>
        <w:p w14:paraId="3DAFBFCB" w14:textId="250BEE90" w:rsidR="00100F88" w:rsidRPr="00112141" w:rsidRDefault="00100F88" w:rsidP="00112141">
          <w:pPr>
            <w:pStyle w:val="TOCHeading"/>
            <w:jc w:val="center"/>
            <w:rPr>
              <w:rFonts w:ascii="Times New Roman" w:hAnsi="Times New Roman" w:cs="Times New Roman"/>
              <w:color w:val="auto"/>
            </w:rPr>
          </w:pPr>
          <w:r w:rsidRPr="00112141">
            <w:rPr>
              <w:rFonts w:ascii="Times New Roman" w:hAnsi="Times New Roman" w:cs="Times New Roman"/>
              <w:color w:val="auto"/>
            </w:rPr>
            <w:t>Contents</w:t>
          </w:r>
        </w:p>
        <w:p w14:paraId="4AA9B1AA" w14:textId="6F97463A" w:rsidR="00180617" w:rsidRPr="00112141" w:rsidRDefault="00100F88">
          <w:pPr>
            <w:pStyle w:val="TOC1"/>
            <w:tabs>
              <w:tab w:val="right" w:leader="dot" w:pos="9488"/>
            </w:tabs>
            <w:rPr>
              <w:rFonts w:ascii="Times New Roman" w:eastAsiaTheme="minorEastAsia" w:hAnsi="Times New Roman" w:cs="Times New Roman"/>
              <w:noProof/>
              <w:lang w:eastAsia="en-IN"/>
            </w:rPr>
          </w:pPr>
          <w:r w:rsidRPr="00112141">
            <w:rPr>
              <w:rFonts w:ascii="Times New Roman" w:hAnsi="Times New Roman" w:cs="Times New Roman"/>
            </w:rPr>
            <w:fldChar w:fldCharType="begin"/>
          </w:r>
          <w:r w:rsidRPr="00112141">
            <w:rPr>
              <w:rFonts w:ascii="Times New Roman" w:hAnsi="Times New Roman" w:cs="Times New Roman"/>
            </w:rPr>
            <w:instrText xml:space="preserve"> TOC \o "1-3" \h \z \u </w:instrText>
          </w:r>
          <w:r w:rsidRPr="00112141">
            <w:rPr>
              <w:rFonts w:ascii="Times New Roman" w:hAnsi="Times New Roman" w:cs="Times New Roman"/>
            </w:rPr>
            <w:fldChar w:fldCharType="separate"/>
          </w:r>
          <w:hyperlink w:anchor="_Toc221007110" w:history="1">
            <w:r w:rsidR="00180617" w:rsidRPr="00112141">
              <w:rPr>
                <w:rStyle w:val="Hyperlink"/>
                <w:rFonts w:ascii="Times New Roman" w:hAnsi="Times New Roman" w:cs="Times New Roman"/>
                <w:noProof/>
                <w:color w:val="auto"/>
              </w:rPr>
              <w:t>INDEX</w:t>
            </w:r>
            <w:r w:rsidR="00180617" w:rsidRPr="00112141">
              <w:rPr>
                <w:rFonts w:ascii="Times New Roman" w:hAnsi="Times New Roman" w:cs="Times New Roman"/>
                <w:noProof/>
                <w:webHidden/>
              </w:rPr>
              <w:tab/>
            </w:r>
            <w:r w:rsidR="00180617" w:rsidRPr="00112141">
              <w:rPr>
                <w:rFonts w:ascii="Times New Roman" w:hAnsi="Times New Roman" w:cs="Times New Roman"/>
                <w:noProof/>
                <w:webHidden/>
              </w:rPr>
              <w:fldChar w:fldCharType="begin"/>
            </w:r>
            <w:r w:rsidR="00180617" w:rsidRPr="00112141">
              <w:rPr>
                <w:rFonts w:ascii="Times New Roman" w:hAnsi="Times New Roman" w:cs="Times New Roman"/>
                <w:noProof/>
                <w:webHidden/>
              </w:rPr>
              <w:instrText xml:space="preserve"> PAGEREF _Toc221007110 \h </w:instrText>
            </w:r>
            <w:r w:rsidR="00180617" w:rsidRPr="00112141">
              <w:rPr>
                <w:rFonts w:ascii="Times New Roman" w:hAnsi="Times New Roman" w:cs="Times New Roman"/>
                <w:noProof/>
                <w:webHidden/>
              </w:rPr>
            </w:r>
            <w:r w:rsidR="00180617" w:rsidRPr="00112141">
              <w:rPr>
                <w:rFonts w:ascii="Times New Roman" w:hAnsi="Times New Roman" w:cs="Times New Roman"/>
                <w:noProof/>
                <w:webHidden/>
              </w:rPr>
              <w:fldChar w:fldCharType="separate"/>
            </w:r>
            <w:r w:rsidR="00180617" w:rsidRPr="00112141">
              <w:rPr>
                <w:rFonts w:ascii="Times New Roman" w:hAnsi="Times New Roman" w:cs="Times New Roman"/>
                <w:noProof/>
                <w:webHidden/>
              </w:rPr>
              <w:t>ii</w:t>
            </w:r>
            <w:r w:rsidR="00180617" w:rsidRPr="00112141">
              <w:rPr>
                <w:rFonts w:ascii="Times New Roman" w:hAnsi="Times New Roman" w:cs="Times New Roman"/>
                <w:noProof/>
                <w:webHidden/>
              </w:rPr>
              <w:fldChar w:fldCharType="end"/>
            </w:r>
          </w:hyperlink>
        </w:p>
        <w:p w14:paraId="6B119C40" w14:textId="2E962A7E" w:rsidR="00180617" w:rsidRPr="00112141" w:rsidRDefault="00180617">
          <w:pPr>
            <w:pStyle w:val="TOC1"/>
            <w:tabs>
              <w:tab w:val="right" w:leader="dot" w:pos="9488"/>
            </w:tabs>
            <w:rPr>
              <w:rFonts w:ascii="Times New Roman" w:eastAsiaTheme="minorEastAsia" w:hAnsi="Times New Roman" w:cs="Times New Roman"/>
              <w:noProof/>
              <w:lang w:eastAsia="en-IN"/>
            </w:rPr>
          </w:pPr>
          <w:hyperlink w:anchor="_Toc221007111" w:history="1">
            <w:r w:rsidRPr="00112141">
              <w:rPr>
                <w:rStyle w:val="Hyperlink"/>
                <w:rFonts w:ascii="Times New Roman" w:hAnsi="Times New Roman" w:cs="Times New Roman"/>
                <w:noProof/>
                <w:color w:val="auto"/>
              </w:rPr>
              <w:t>CHAPTER I  INTRODUCTORY</w:t>
            </w:r>
            <w:r w:rsidRPr="00112141">
              <w:rPr>
                <w:rFonts w:ascii="Times New Roman" w:hAnsi="Times New Roman" w:cs="Times New Roman"/>
                <w:noProof/>
                <w:webHidden/>
              </w:rPr>
              <w:tab/>
            </w:r>
            <w:r w:rsidRPr="00112141">
              <w:rPr>
                <w:rFonts w:ascii="Times New Roman" w:hAnsi="Times New Roman" w:cs="Times New Roman"/>
                <w:noProof/>
                <w:webHidden/>
              </w:rPr>
              <w:fldChar w:fldCharType="begin"/>
            </w:r>
            <w:r w:rsidRPr="00112141">
              <w:rPr>
                <w:rFonts w:ascii="Times New Roman" w:hAnsi="Times New Roman" w:cs="Times New Roman"/>
                <w:noProof/>
                <w:webHidden/>
              </w:rPr>
              <w:instrText xml:space="preserve"> PAGEREF _Toc221007111 \h </w:instrText>
            </w:r>
            <w:r w:rsidRPr="00112141">
              <w:rPr>
                <w:rFonts w:ascii="Times New Roman" w:hAnsi="Times New Roman" w:cs="Times New Roman"/>
                <w:noProof/>
                <w:webHidden/>
              </w:rPr>
            </w:r>
            <w:r w:rsidRPr="00112141">
              <w:rPr>
                <w:rFonts w:ascii="Times New Roman" w:hAnsi="Times New Roman" w:cs="Times New Roman"/>
                <w:noProof/>
                <w:webHidden/>
              </w:rPr>
              <w:fldChar w:fldCharType="separate"/>
            </w:r>
            <w:r w:rsidRPr="00112141">
              <w:rPr>
                <w:rFonts w:ascii="Times New Roman" w:hAnsi="Times New Roman" w:cs="Times New Roman"/>
                <w:noProof/>
                <w:webHidden/>
              </w:rPr>
              <w:t>1</w:t>
            </w:r>
            <w:r w:rsidRPr="00112141">
              <w:rPr>
                <w:rFonts w:ascii="Times New Roman" w:hAnsi="Times New Roman" w:cs="Times New Roman"/>
                <w:noProof/>
                <w:webHidden/>
              </w:rPr>
              <w:fldChar w:fldCharType="end"/>
            </w:r>
          </w:hyperlink>
        </w:p>
        <w:p w14:paraId="1DA426C2" w14:textId="6EB00BBC" w:rsidR="00180617" w:rsidRPr="00112141" w:rsidRDefault="00180617">
          <w:pPr>
            <w:pStyle w:val="TOC1"/>
            <w:tabs>
              <w:tab w:val="right" w:leader="dot" w:pos="9488"/>
            </w:tabs>
            <w:rPr>
              <w:rFonts w:ascii="Times New Roman" w:eastAsiaTheme="minorEastAsia" w:hAnsi="Times New Roman" w:cs="Times New Roman"/>
              <w:noProof/>
              <w:lang w:eastAsia="en-IN"/>
            </w:rPr>
          </w:pPr>
          <w:hyperlink w:anchor="_Toc221007112" w:history="1">
            <w:r w:rsidRPr="00112141">
              <w:rPr>
                <w:rStyle w:val="Hyperlink"/>
                <w:rFonts w:ascii="Times New Roman" w:hAnsi="Times New Roman" w:cs="Times New Roman"/>
                <w:noProof/>
                <w:color w:val="auto"/>
              </w:rPr>
              <w:t>CHAPTER II  EVOLUTION OF FINANCIAL RELATIONS BETWEEN THE CENTRE AND THE STATES</w:t>
            </w:r>
            <w:r w:rsidRPr="00112141">
              <w:rPr>
                <w:rFonts w:ascii="Times New Roman" w:hAnsi="Times New Roman" w:cs="Times New Roman"/>
                <w:noProof/>
                <w:webHidden/>
              </w:rPr>
              <w:tab/>
            </w:r>
            <w:r w:rsidRPr="00112141">
              <w:rPr>
                <w:rFonts w:ascii="Times New Roman" w:hAnsi="Times New Roman" w:cs="Times New Roman"/>
                <w:noProof/>
                <w:webHidden/>
              </w:rPr>
              <w:fldChar w:fldCharType="begin"/>
            </w:r>
            <w:r w:rsidRPr="00112141">
              <w:rPr>
                <w:rFonts w:ascii="Times New Roman" w:hAnsi="Times New Roman" w:cs="Times New Roman"/>
                <w:noProof/>
                <w:webHidden/>
              </w:rPr>
              <w:instrText xml:space="preserve"> PAGEREF _Toc221007112 \h </w:instrText>
            </w:r>
            <w:r w:rsidRPr="00112141">
              <w:rPr>
                <w:rFonts w:ascii="Times New Roman" w:hAnsi="Times New Roman" w:cs="Times New Roman"/>
                <w:noProof/>
                <w:webHidden/>
              </w:rPr>
            </w:r>
            <w:r w:rsidRPr="00112141">
              <w:rPr>
                <w:rFonts w:ascii="Times New Roman" w:hAnsi="Times New Roman" w:cs="Times New Roman"/>
                <w:noProof/>
                <w:webHidden/>
              </w:rPr>
              <w:fldChar w:fldCharType="separate"/>
            </w:r>
            <w:r w:rsidRPr="00112141">
              <w:rPr>
                <w:rFonts w:ascii="Times New Roman" w:hAnsi="Times New Roman" w:cs="Times New Roman"/>
                <w:noProof/>
                <w:webHidden/>
              </w:rPr>
              <w:t>11</w:t>
            </w:r>
            <w:r w:rsidRPr="00112141">
              <w:rPr>
                <w:rFonts w:ascii="Times New Roman" w:hAnsi="Times New Roman" w:cs="Times New Roman"/>
                <w:noProof/>
                <w:webHidden/>
              </w:rPr>
              <w:fldChar w:fldCharType="end"/>
            </w:r>
          </w:hyperlink>
        </w:p>
        <w:p w14:paraId="3D6F9C58" w14:textId="2A6205C5" w:rsidR="00180617" w:rsidRPr="00112141" w:rsidRDefault="00180617">
          <w:pPr>
            <w:pStyle w:val="TOC1"/>
            <w:tabs>
              <w:tab w:val="right" w:leader="dot" w:pos="9488"/>
            </w:tabs>
            <w:rPr>
              <w:rFonts w:ascii="Times New Roman" w:eastAsiaTheme="minorEastAsia" w:hAnsi="Times New Roman" w:cs="Times New Roman"/>
              <w:noProof/>
              <w:lang w:eastAsia="en-IN"/>
            </w:rPr>
          </w:pPr>
          <w:hyperlink w:anchor="_Toc221007113" w:history="1">
            <w:r w:rsidRPr="00112141">
              <w:rPr>
                <w:rStyle w:val="Hyperlink"/>
                <w:rFonts w:ascii="Times New Roman" w:hAnsi="Times New Roman" w:cs="Times New Roman"/>
                <w:noProof/>
                <w:color w:val="auto"/>
              </w:rPr>
              <w:t>CHAPTER III  TRENDS IN CENTRAL AND STATE FINANCES</w:t>
            </w:r>
            <w:r w:rsidRPr="00112141">
              <w:rPr>
                <w:rFonts w:ascii="Times New Roman" w:hAnsi="Times New Roman" w:cs="Times New Roman"/>
                <w:noProof/>
                <w:webHidden/>
              </w:rPr>
              <w:tab/>
            </w:r>
            <w:r w:rsidRPr="00112141">
              <w:rPr>
                <w:rFonts w:ascii="Times New Roman" w:hAnsi="Times New Roman" w:cs="Times New Roman"/>
                <w:noProof/>
                <w:webHidden/>
              </w:rPr>
              <w:fldChar w:fldCharType="begin"/>
            </w:r>
            <w:r w:rsidRPr="00112141">
              <w:rPr>
                <w:rFonts w:ascii="Times New Roman" w:hAnsi="Times New Roman" w:cs="Times New Roman"/>
                <w:noProof/>
                <w:webHidden/>
              </w:rPr>
              <w:instrText xml:space="preserve"> PAGEREF _Toc221007113 \h </w:instrText>
            </w:r>
            <w:r w:rsidRPr="00112141">
              <w:rPr>
                <w:rFonts w:ascii="Times New Roman" w:hAnsi="Times New Roman" w:cs="Times New Roman"/>
                <w:noProof/>
                <w:webHidden/>
              </w:rPr>
            </w:r>
            <w:r w:rsidRPr="00112141">
              <w:rPr>
                <w:rFonts w:ascii="Times New Roman" w:hAnsi="Times New Roman" w:cs="Times New Roman"/>
                <w:noProof/>
                <w:webHidden/>
              </w:rPr>
              <w:fldChar w:fldCharType="separate"/>
            </w:r>
            <w:r w:rsidRPr="00112141">
              <w:rPr>
                <w:rFonts w:ascii="Times New Roman" w:hAnsi="Times New Roman" w:cs="Times New Roman"/>
                <w:noProof/>
                <w:webHidden/>
              </w:rPr>
              <w:t>29</w:t>
            </w:r>
            <w:r w:rsidRPr="00112141">
              <w:rPr>
                <w:rFonts w:ascii="Times New Roman" w:hAnsi="Times New Roman" w:cs="Times New Roman"/>
                <w:noProof/>
                <w:webHidden/>
              </w:rPr>
              <w:fldChar w:fldCharType="end"/>
            </w:r>
          </w:hyperlink>
        </w:p>
        <w:p w14:paraId="7DCDBAD3" w14:textId="2033FAA2" w:rsidR="00180617" w:rsidRPr="00112141" w:rsidRDefault="00180617">
          <w:pPr>
            <w:pStyle w:val="TOC1"/>
            <w:tabs>
              <w:tab w:val="right" w:leader="dot" w:pos="9488"/>
            </w:tabs>
            <w:rPr>
              <w:rFonts w:ascii="Times New Roman" w:eastAsiaTheme="minorEastAsia" w:hAnsi="Times New Roman" w:cs="Times New Roman"/>
              <w:noProof/>
              <w:lang w:eastAsia="en-IN"/>
            </w:rPr>
          </w:pPr>
          <w:hyperlink w:anchor="_Toc221007114" w:history="1">
            <w:r w:rsidRPr="00112141">
              <w:rPr>
                <w:rStyle w:val="Hyperlink"/>
                <w:rFonts w:ascii="Times New Roman" w:hAnsi="Times New Roman" w:cs="Times New Roman"/>
                <w:noProof/>
                <w:color w:val="auto"/>
              </w:rPr>
              <w:t>CHAPTER IV  DISTRIBUTION OF INCOME-TAX</w:t>
            </w:r>
            <w:r w:rsidRPr="00112141">
              <w:rPr>
                <w:rFonts w:ascii="Times New Roman" w:hAnsi="Times New Roman" w:cs="Times New Roman"/>
                <w:noProof/>
                <w:webHidden/>
              </w:rPr>
              <w:tab/>
            </w:r>
            <w:r w:rsidRPr="00112141">
              <w:rPr>
                <w:rFonts w:ascii="Times New Roman" w:hAnsi="Times New Roman" w:cs="Times New Roman"/>
                <w:noProof/>
                <w:webHidden/>
              </w:rPr>
              <w:fldChar w:fldCharType="begin"/>
            </w:r>
            <w:r w:rsidRPr="00112141">
              <w:rPr>
                <w:rFonts w:ascii="Times New Roman" w:hAnsi="Times New Roman" w:cs="Times New Roman"/>
                <w:noProof/>
                <w:webHidden/>
              </w:rPr>
              <w:instrText xml:space="preserve"> PAGEREF _Toc221007114 \h </w:instrText>
            </w:r>
            <w:r w:rsidRPr="00112141">
              <w:rPr>
                <w:rFonts w:ascii="Times New Roman" w:hAnsi="Times New Roman" w:cs="Times New Roman"/>
                <w:noProof/>
                <w:webHidden/>
              </w:rPr>
            </w:r>
            <w:r w:rsidRPr="00112141">
              <w:rPr>
                <w:rFonts w:ascii="Times New Roman" w:hAnsi="Times New Roman" w:cs="Times New Roman"/>
                <w:noProof/>
                <w:webHidden/>
              </w:rPr>
              <w:fldChar w:fldCharType="separate"/>
            </w:r>
            <w:r w:rsidRPr="00112141">
              <w:rPr>
                <w:rFonts w:ascii="Times New Roman" w:hAnsi="Times New Roman" w:cs="Times New Roman"/>
                <w:noProof/>
                <w:webHidden/>
              </w:rPr>
              <w:t>64</w:t>
            </w:r>
            <w:r w:rsidRPr="00112141">
              <w:rPr>
                <w:rFonts w:ascii="Times New Roman" w:hAnsi="Times New Roman" w:cs="Times New Roman"/>
                <w:noProof/>
                <w:webHidden/>
              </w:rPr>
              <w:fldChar w:fldCharType="end"/>
            </w:r>
          </w:hyperlink>
        </w:p>
        <w:p w14:paraId="58852F34" w14:textId="2436367B" w:rsidR="00180617" w:rsidRPr="00112141" w:rsidRDefault="00180617">
          <w:pPr>
            <w:pStyle w:val="TOC1"/>
            <w:tabs>
              <w:tab w:val="right" w:leader="dot" w:pos="9488"/>
            </w:tabs>
            <w:rPr>
              <w:rFonts w:ascii="Times New Roman" w:eastAsiaTheme="minorEastAsia" w:hAnsi="Times New Roman" w:cs="Times New Roman"/>
              <w:noProof/>
              <w:lang w:eastAsia="en-IN"/>
            </w:rPr>
          </w:pPr>
          <w:hyperlink w:anchor="_Toc221007115" w:history="1">
            <w:r w:rsidRPr="00112141">
              <w:rPr>
                <w:rStyle w:val="Hyperlink"/>
                <w:rFonts w:ascii="Times New Roman" w:hAnsi="Times New Roman" w:cs="Times New Roman"/>
                <w:noProof/>
                <w:color w:val="auto"/>
              </w:rPr>
              <w:t>CHAPTER V  DIVISION OF UNION EXCISES</w:t>
            </w:r>
            <w:r w:rsidRPr="00112141">
              <w:rPr>
                <w:rFonts w:ascii="Times New Roman" w:hAnsi="Times New Roman" w:cs="Times New Roman"/>
                <w:noProof/>
                <w:webHidden/>
              </w:rPr>
              <w:tab/>
            </w:r>
            <w:r w:rsidRPr="00112141">
              <w:rPr>
                <w:rFonts w:ascii="Times New Roman" w:hAnsi="Times New Roman" w:cs="Times New Roman"/>
                <w:noProof/>
                <w:webHidden/>
              </w:rPr>
              <w:fldChar w:fldCharType="begin"/>
            </w:r>
            <w:r w:rsidRPr="00112141">
              <w:rPr>
                <w:rFonts w:ascii="Times New Roman" w:hAnsi="Times New Roman" w:cs="Times New Roman"/>
                <w:noProof/>
                <w:webHidden/>
              </w:rPr>
              <w:instrText xml:space="preserve"> PAGEREF _Toc221007115 \h </w:instrText>
            </w:r>
            <w:r w:rsidRPr="00112141">
              <w:rPr>
                <w:rFonts w:ascii="Times New Roman" w:hAnsi="Times New Roman" w:cs="Times New Roman"/>
                <w:noProof/>
                <w:webHidden/>
              </w:rPr>
            </w:r>
            <w:r w:rsidRPr="00112141">
              <w:rPr>
                <w:rFonts w:ascii="Times New Roman" w:hAnsi="Times New Roman" w:cs="Times New Roman"/>
                <w:noProof/>
                <w:webHidden/>
              </w:rPr>
              <w:fldChar w:fldCharType="separate"/>
            </w:r>
            <w:r w:rsidRPr="00112141">
              <w:rPr>
                <w:rFonts w:ascii="Times New Roman" w:hAnsi="Times New Roman" w:cs="Times New Roman"/>
                <w:noProof/>
                <w:webHidden/>
              </w:rPr>
              <w:t>79</w:t>
            </w:r>
            <w:r w:rsidRPr="00112141">
              <w:rPr>
                <w:rFonts w:ascii="Times New Roman" w:hAnsi="Times New Roman" w:cs="Times New Roman"/>
                <w:noProof/>
                <w:webHidden/>
              </w:rPr>
              <w:fldChar w:fldCharType="end"/>
            </w:r>
          </w:hyperlink>
        </w:p>
        <w:p w14:paraId="0870D627" w14:textId="56520EBC" w:rsidR="00180617" w:rsidRPr="00112141" w:rsidRDefault="00180617">
          <w:pPr>
            <w:pStyle w:val="TOC1"/>
            <w:tabs>
              <w:tab w:val="right" w:leader="dot" w:pos="9488"/>
            </w:tabs>
            <w:rPr>
              <w:rFonts w:ascii="Times New Roman" w:eastAsiaTheme="minorEastAsia" w:hAnsi="Times New Roman" w:cs="Times New Roman"/>
              <w:noProof/>
              <w:lang w:eastAsia="en-IN"/>
            </w:rPr>
          </w:pPr>
          <w:hyperlink w:anchor="_Toc221007116" w:history="1">
            <w:r w:rsidRPr="00112141">
              <w:rPr>
                <w:rStyle w:val="Hyperlink"/>
                <w:rFonts w:ascii="Times New Roman" w:hAnsi="Times New Roman" w:cs="Times New Roman"/>
                <w:noProof/>
                <w:color w:val="auto"/>
              </w:rPr>
              <w:t>CHAPTER VI  GRANTS-IN-AID IN LIEU OF JUTE EXPORT DUTY</w:t>
            </w:r>
            <w:r w:rsidRPr="00112141">
              <w:rPr>
                <w:rFonts w:ascii="Times New Roman" w:hAnsi="Times New Roman" w:cs="Times New Roman"/>
                <w:noProof/>
                <w:webHidden/>
              </w:rPr>
              <w:tab/>
            </w:r>
            <w:r w:rsidRPr="00112141">
              <w:rPr>
                <w:rFonts w:ascii="Times New Roman" w:hAnsi="Times New Roman" w:cs="Times New Roman"/>
                <w:noProof/>
                <w:webHidden/>
              </w:rPr>
              <w:fldChar w:fldCharType="begin"/>
            </w:r>
            <w:r w:rsidRPr="00112141">
              <w:rPr>
                <w:rFonts w:ascii="Times New Roman" w:hAnsi="Times New Roman" w:cs="Times New Roman"/>
                <w:noProof/>
                <w:webHidden/>
              </w:rPr>
              <w:instrText xml:space="preserve"> PAGEREF _Toc221007116 \h </w:instrText>
            </w:r>
            <w:r w:rsidRPr="00112141">
              <w:rPr>
                <w:rFonts w:ascii="Times New Roman" w:hAnsi="Times New Roman" w:cs="Times New Roman"/>
                <w:noProof/>
                <w:webHidden/>
              </w:rPr>
            </w:r>
            <w:r w:rsidRPr="00112141">
              <w:rPr>
                <w:rFonts w:ascii="Times New Roman" w:hAnsi="Times New Roman" w:cs="Times New Roman"/>
                <w:noProof/>
                <w:webHidden/>
              </w:rPr>
              <w:fldChar w:fldCharType="separate"/>
            </w:r>
            <w:r w:rsidRPr="00112141">
              <w:rPr>
                <w:rFonts w:ascii="Times New Roman" w:hAnsi="Times New Roman" w:cs="Times New Roman"/>
                <w:noProof/>
                <w:webHidden/>
              </w:rPr>
              <w:t>85</w:t>
            </w:r>
            <w:r w:rsidRPr="00112141">
              <w:rPr>
                <w:rFonts w:ascii="Times New Roman" w:hAnsi="Times New Roman" w:cs="Times New Roman"/>
                <w:noProof/>
                <w:webHidden/>
              </w:rPr>
              <w:fldChar w:fldCharType="end"/>
            </w:r>
          </w:hyperlink>
        </w:p>
        <w:p w14:paraId="6BD45E19" w14:textId="5C1082DA" w:rsidR="00180617" w:rsidRPr="00112141" w:rsidRDefault="00180617">
          <w:pPr>
            <w:pStyle w:val="TOC1"/>
            <w:tabs>
              <w:tab w:val="right" w:leader="dot" w:pos="9488"/>
            </w:tabs>
            <w:rPr>
              <w:rFonts w:ascii="Times New Roman" w:eastAsiaTheme="minorEastAsia" w:hAnsi="Times New Roman" w:cs="Times New Roman"/>
              <w:noProof/>
              <w:lang w:eastAsia="en-IN"/>
            </w:rPr>
          </w:pPr>
          <w:hyperlink w:anchor="_Toc221007117" w:history="1">
            <w:r w:rsidRPr="00112141">
              <w:rPr>
                <w:rStyle w:val="Hyperlink"/>
                <w:rFonts w:ascii="Times New Roman" w:hAnsi="Times New Roman" w:cs="Times New Roman"/>
                <w:noProof/>
                <w:color w:val="auto"/>
              </w:rPr>
              <w:t>CHAPTER VII  PRINCIPLES OF GRANTS-IN-AID</w:t>
            </w:r>
            <w:r w:rsidRPr="00112141">
              <w:rPr>
                <w:rFonts w:ascii="Times New Roman" w:hAnsi="Times New Roman" w:cs="Times New Roman"/>
                <w:noProof/>
                <w:webHidden/>
              </w:rPr>
              <w:tab/>
            </w:r>
            <w:r w:rsidRPr="00112141">
              <w:rPr>
                <w:rFonts w:ascii="Times New Roman" w:hAnsi="Times New Roman" w:cs="Times New Roman"/>
                <w:noProof/>
                <w:webHidden/>
              </w:rPr>
              <w:fldChar w:fldCharType="begin"/>
            </w:r>
            <w:r w:rsidRPr="00112141">
              <w:rPr>
                <w:rFonts w:ascii="Times New Roman" w:hAnsi="Times New Roman" w:cs="Times New Roman"/>
                <w:noProof/>
                <w:webHidden/>
              </w:rPr>
              <w:instrText xml:space="preserve"> PAGEREF _Toc221007117 \h </w:instrText>
            </w:r>
            <w:r w:rsidRPr="00112141">
              <w:rPr>
                <w:rFonts w:ascii="Times New Roman" w:hAnsi="Times New Roman" w:cs="Times New Roman"/>
                <w:noProof/>
                <w:webHidden/>
              </w:rPr>
            </w:r>
            <w:r w:rsidRPr="00112141">
              <w:rPr>
                <w:rFonts w:ascii="Times New Roman" w:hAnsi="Times New Roman" w:cs="Times New Roman"/>
                <w:noProof/>
                <w:webHidden/>
              </w:rPr>
              <w:fldChar w:fldCharType="separate"/>
            </w:r>
            <w:r w:rsidRPr="00112141">
              <w:rPr>
                <w:rFonts w:ascii="Times New Roman" w:hAnsi="Times New Roman" w:cs="Times New Roman"/>
                <w:noProof/>
                <w:webHidden/>
              </w:rPr>
              <w:t>90</w:t>
            </w:r>
            <w:r w:rsidRPr="00112141">
              <w:rPr>
                <w:rFonts w:ascii="Times New Roman" w:hAnsi="Times New Roman" w:cs="Times New Roman"/>
                <w:noProof/>
                <w:webHidden/>
              </w:rPr>
              <w:fldChar w:fldCharType="end"/>
            </w:r>
          </w:hyperlink>
        </w:p>
        <w:p w14:paraId="4D2ACD4F" w14:textId="35567625" w:rsidR="00180617" w:rsidRPr="00112141" w:rsidRDefault="00180617">
          <w:pPr>
            <w:pStyle w:val="TOC1"/>
            <w:tabs>
              <w:tab w:val="right" w:leader="dot" w:pos="9488"/>
            </w:tabs>
            <w:rPr>
              <w:rFonts w:ascii="Times New Roman" w:eastAsiaTheme="minorEastAsia" w:hAnsi="Times New Roman" w:cs="Times New Roman"/>
              <w:noProof/>
              <w:lang w:eastAsia="en-IN"/>
            </w:rPr>
          </w:pPr>
          <w:hyperlink w:anchor="_Toc221007118" w:history="1">
            <w:r w:rsidRPr="00112141">
              <w:rPr>
                <w:rStyle w:val="Hyperlink"/>
                <w:rFonts w:ascii="Times New Roman" w:hAnsi="Times New Roman" w:cs="Times New Roman"/>
                <w:noProof/>
                <w:color w:val="auto"/>
              </w:rPr>
              <w:t>CHAPTER VIII  GRANTS-IN-AID TO STATES</w:t>
            </w:r>
            <w:r w:rsidRPr="00112141">
              <w:rPr>
                <w:rFonts w:ascii="Times New Roman" w:hAnsi="Times New Roman" w:cs="Times New Roman"/>
                <w:noProof/>
                <w:webHidden/>
              </w:rPr>
              <w:tab/>
            </w:r>
            <w:r w:rsidRPr="00112141">
              <w:rPr>
                <w:rFonts w:ascii="Times New Roman" w:hAnsi="Times New Roman" w:cs="Times New Roman"/>
                <w:noProof/>
                <w:webHidden/>
              </w:rPr>
              <w:fldChar w:fldCharType="begin"/>
            </w:r>
            <w:r w:rsidRPr="00112141">
              <w:rPr>
                <w:rFonts w:ascii="Times New Roman" w:hAnsi="Times New Roman" w:cs="Times New Roman"/>
                <w:noProof/>
                <w:webHidden/>
              </w:rPr>
              <w:instrText xml:space="preserve"> PAGEREF _Toc221007118 \h </w:instrText>
            </w:r>
            <w:r w:rsidRPr="00112141">
              <w:rPr>
                <w:rFonts w:ascii="Times New Roman" w:hAnsi="Times New Roman" w:cs="Times New Roman"/>
                <w:noProof/>
                <w:webHidden/>
              </w:rPr>
            </w:r>
            <w:r w:rsidRPr="00112141">
              <w:rPr>
                <w:rFonts w:ascii="Times New Roman" w:hAnsi="Times New Roman" w:cs="Times New Roman"/>
                <w:noProof/>
                <w:webHidden/>
              </w:rPr>
              <w:fldChar w:fldCharType="separate"/>
            </w:r>
            <w:r w:rsidRPr="00112141">
              <w:rPr>
                <w:rFonts w:ascii="Times New Roman" w:hAnsi="Times New Roman" w:cs="Times New Roman"/>
                <w:noProof/>
                <w:webHidden/>
              </w:rPr>
              <w:t>99</w:t>
            </w:r>
            <w:r w:rsidRPr="00112141">
              <w:rPr>
                <w:rFonts w:ascii="Times New Roman" w:hAnsi="Times New Roman" w:cs="Times New Roman"/>
                <w:noProof/>
                <w:webHidden/>
              </w:rPr>
              <w:fldChar w:fldCharType="end"/>
            </w:r>
          </w:hyperlink>
        </w:p>
        <w:p w14:paraId="7E131CA6" w14:textId="6D0CAF96" w:rsidR="00180617" w:rsidRPr="00112141" w:rsidRDefault="00180617">
          <w:pPr>
            <w:pStyle w:val="TOC1"/>
            <w:tabs>
              <w:tab w:val="right" w:leader="dot" w:pos="9488"/>
            </w:tabs>
            <w:rPr>
              <w:rFonts w:ascii="Times New Roman" w:eastAsiaTheme="minorEastAsia" w:hAnsi="Times New Roman" w:cs="Times New Roman"/>
              <w:noProof/>
              <w:lang w:eastAsia="en-IN"/>
            </w:rPr>
          </w:pPr>
          <w:hyperlink w:anchor="_Toc221007119" w:history="1">
            <w:r w:rsidRPr="00112141">
              <w:rPr>
                <w:rStyle w:val="Hyperlink"/>
                <w:rFonts w:ascii="Times New Roman" w:hAnsi="Times New Roman" w:cs="Times New Roman"/>
                <w:noProof/>
                <w:color w:val="auto"/>
              </w:rPr>
              <w:t>CHAPTER IX  SUMMARY OF RECOMMENDATIONS</w:t>
            </w:r>
            <w:r w:rsidRPr="00112141">
              <w:rPr>
                <w:rFonts w:ascii="Times New Roman" w:hAnsi="Times New Roman" w:cs="Times New Roman"/>
                <w:noProof/>
                <w:webHidden/>
              </w:rPr>
              <w:tab/>
            </w:r>
            <w:r w:rsidRPr="00112141">
              <w:rPr>
                <w:rFonts w:ascii="Times New Roman" w:hAnsi="Times New Roman" w:cs="Times New Roman"/>
                <w:noProof/>
                <w:webHidden/>
              </w:rPr>
              <w:fldChar w:fldCharType="begin"/>
            </w:r>
            <w:r w:rsidRPr="00112141">
              <w:rPr>
                <w:rFonts w:ascii="Times New Roman" w:hAnsi="Times New Roman" w:cs="Times New Roman"/>
                <w:noProof/>
                <w:webHidden/>
              </w:rPr>
              <w:instrText xml:space="preserve"> PAGEREF _Toc221007119 \h </w:instrText>
            </w:r>
            <w:r w:rsidRPr="00112141">
              <w:rPr>
                <w:rFonts w:ascii="Times New Roman" w:hAnsi="Times New Roman" w:cs="Times New Roman"/>
                <w:noProof/>
                <w:webHidden/>
              </w:rPr>
            </w:r>
            <w:r w:rsidRPr="00112141">
              <w:rPr>
                <w:rFonts w:ascii="Times New Roman" w:hAnsi="Times New Roman" w:cs="Times New Roman"/>
                <w:noProof/>
                <w:webHidden/>
              </w:rPr>
              <w:fldChar w:fldCharType="separate"/>
            </w:r>
            <w:r w:rsidRPr="00112141">
              <w:rPr>
                <w:rFonts w:ascii="Times New Roman" w:hAnsi="Times New Roman" w:cs="Times New Roman"/>
                <w:noProof/>
                <w:webHidden/>
              </w:rPr>
              <w:t>105</w:t>
            </w:r>
            <w:r w:rsidRPr="00112141">
              <w:rPr>
                <w:rFonts w:ascii="Times New Roman" w:hAnsi="Times New Roman" w:cs="Times New Roman"/>
                <w:noProof/>
                <w:webHidden/>
              </w:rPr>
              <w:fldChar w:fldCharType="end"/>
            </w:r>
          </w:hyperlink>
        </w:p>
        <w:p w14:paraId="3E3EFB0D" w14:textId="4344918E" w:rsidR="00180617" w:rsidRPr="00112141" w:rsidRDefault="00180617">
          <w:pPr>
            <w:pStyle w:val="TOC1"/>
            <w:tabs>
              <w:tab w:val="right" w:leader="dot" w:pos="9488"/>
            </w:tabs>
            <w:rPr>
              <w:rFonts w:ascii="Times New Roman" w:eastAsiaTheme="minorEastAsia" w:hAnsi="Times New Roman" w:cs="Times New Roman"/>
              <w:noProof/>
              <w:lang w:eastAsia="en-IN"/>
            </w:rPr>
          </w:pPr>
          <w:hyperlink w:anchor="_Toc221007120" w:history="1">
            <w:r w:rsidRPr="00112141">
              <w:rPr>
                <w:rStyle w:val="Hyperlink"/>
                <w:rFonts w:ascii="Times New Roman" w:hAnsi="Times New Roman" w:cs="Times New Roman"/>
                <w:noProof/>
                <w:color w:val="auto"/>
              </w:rPr>
              <w:t>CHAPTER X  MISCELLANEOUS</w:t>
            </w:r>
            <w:r w:rsidRPr="00112141">
              <w:rPr>
                <w:rFonts w:ascii="Times New Roman" w:hAnsi="Times New Roman" w:cs="Times New Roman"/>
                <w:noProof/>
                <w:webHidden/>
              </w:rPr>
              <w:tab/>
            </w:r>
            <w:r w:rsidRPr="00112141">
              <w:rPr>
                <w:rFonts w:ascii="Times New Roman" w:hAnsi="Times New Roman" w:cs="Times New Roman"/>
                <w:noProof/>
                <w:webHidden/>
              </w:rPr>
              <w:fldChar w:fldCharType="begin"/>
            </w:r>
            <w:r w:rsidRPr="00112141">
              <w:rPr>
                <w:rFonts w:ascii="Times New Roman" w:hAnsi="Times New Roman" w:cs="Times New Roman"/>
                <w:noProof/>
                <w:webHidden/>
              </w:rPr>
              <w:instrText xml:space="preserve"> PAGEREF _Toc221007120 \h </w:instrText>
            </w:r>
            <w:r w:rsidRPr="00112141">
              <w:rPr>
                <w:rFonts w:ascii="Times New Roman" w:hAnsi="Times New Roman" w:cs="Times New Roman"/>
                <w:noProof/>
                <w:webHidden/>
              </w:rPr>
            </w:r>
            <w:r w:rsidRPr="00112141">
              <w:rPr>
                <w:rFonts w:ascii="Times New Roman" w:hAnsi="Times New Roman" w:cs="Times New Roman"/>
                <w:noProof/>
                <w:webHidden/>
              </w:rPr>
              <w:fldChar w:fldCharType="separate"/>
            </w:r>
            <w:r w:rsidRPr="00112141">
              <w:rPr>
                <w:rFonts w:ascii="Times New Roman" w:hAnsi="Times New Roman" w:cs="Times New Roman"/>
                <w:noProof/>
                <w:webHidden/>
              </w:rPr>
              <w:t>110</w:t>
            </w:r>
            <w:r w:rsidRPr="00112141">
              <w:rPr>
                <w:rFonts w:ascii="Times New Roman" w:hAnsi="Times New Roman" w:cs="Times New Roman"/>
                <w:noProof/>
                <w:webHidden/>
              </w:rPr>
              <w:fldChar w:fldCharType="end"/>
            </w:r>
          </w:hyperlink>
        </w:p>
        <w:p w14:paraId="1131E72F" w14:textId="23E7B8D1" w:rsidR="00180617" w:rsidRPr="00112141" w:rsidRDefault="00180617">
          <w:pPr>
            <w:pStyle w:val="TOC1"/>
            <w:tabs>
              <w:tab w:val="right" w:leader="dot" w:pos="9488"/>
            </w:tabs>
            <w:rPr>
              <w:rFonts w:ascii="Times New Roman" w:eastAsiaTheme="minorEastAsia" w:hAnsi="Times New Roman" w:cs="Times New Roman"/>
              <w:noProof/>
              <w:lang w:eastAsia="en-IN"/>
            </w:rPr>
          </w:pPr>
          <w:hyperlink w:anchor="_Toc221007121" w:history="1">
            <w:r w:rsidRPr="00112141">
              <w:rPr>
                <w:rStyle w:val="Hyperlink"/>
                <w:rFonts w:ascii="Times New Roman" w:hAnsi="Times New Roman" w:cs="Times New Roman"/>
                <w:noProof/>
                <w:color w:val="auto"/>
              </w:rPr>
              <w:t>MINUTE BY SHRI R. KAUSHALENDRA RAO</w:t>
            </w:r>
            <w:r w:rsidRPr="00112141">
              <w:rPr>
                <w:rFonts w:ascii="Times New Roman" w:hAnsi="Times New Roman" w:cs="Times New Roman"/>
                <w:noProof/>
                <w:webHidden/>
              </w:rPr>
              <w:tab/>
            </w:r>
            <w:r w:rsidRPr="00112141">
              <w:rPr>
                <w:rFonts w:ascii="Times New Roman" w:hAnsi="Times New Roman" w:cs="Times New Roman"/>
                <w:noProof/>
                <w:webHidden/>
              </w:rPr>
              <w:fldChar w:fldCharType="begin"/>
            </w:r>
            <w:r w:rsidRPr="00112141">
              <w:rPr>
                <w:rFonts w:ascii="Times New Roman" w:hAnsi="Times New Roman" w:cs="Times New Roman"/>
                <w:noProof/>
                <w:webHidden/>
              </w:rPr>
              <w:instrText xml:space="preserve"> PAGEREF _Toc221007121 \h </w:instrText>
            </w:r>
            <w:r w:rsidRPr="00112141">
              <w:rPr>
                <w:rFonts w:ascii="Times New Roman" w:hAnsi="Times New Roman" w:cs="Times New Roman"/>
                <w:noProof/>
                <w:webHidden/>
              </w:rPr>
            </w:r>
            <w:r w:rsidRPr="00112141">
              <w:rPr>
                <w:rFonts w:ascii="Times New Roman" w:hAnsi="Times New Roman" w:cs="Times New Roman"/>
                <w:noProof/>
                <w:webHidden/>
              </w:rPr>
              <w:fldChar w:fldCharType="separate"/>
            </w:r>
            <w:r w:rsidRPr="00112141">
              <w:rPr>
                <w:rFonts w:ascii="Times New Roman" w:hAnsi="Times New Roman" w:cs="Times New Roman"/>
                <w:noProof/>
                <w:webHidden/>
              </w:rPr>
              <w:t>112</w:t>
            </w:r>
            <w:r w:rsidRPr="00112141">
              <w:rPr>
                <w:rFonts w:ascii="Times New Roman" w:hAnsi="Times New Roman" w:cs="Times New Roman"/>
                <w:noProof/>
                <w:webHidden/>
              </w:rPr>
              <w:fldChar w:fldCharType="end"/>
            </w:r>
          </w:hyperlink>
        </w:p>
        <w:p w14:paraId="427EB829" w14:textId="139EB08B" w:rsidR="00180617" w:rsidRPr="00112141" w:rsidRDefault="00180617">
          <w:pPr>
            <w:pStyle w:val="TOC1"/>
            <w:tabs>
              <w:tab w:val="right" w:leader="dot" w:pos="9488"/>
            </w:tabs>
            <w:rPr>
              <w:rFonts w:ascii="Times New Roman" w:eastAsiaTheme="minorEastAsia" w:hAnsi="Times New Roman" w:cs="Times New Roman"/>
              <w:noProof/>
              <w:lang w:eastAsia="en-IN"/>
            </w:rPr>
          </w:pPr>
          <w:hyperlink w:anchor="_Toc221007122" w:history="1">
            <w:r w:rsidRPr="00112141">
              <w:rPr>
                <w:rStyle w:val="Hyperlink"/>
                <w:rFonts w:ascii="Times New Roman" w:hAnsi="Times New Roman" w:cs="Times New Roman"/>
                <w:noProof/>
                <w:color w:val="auto"/>
              </w:rPr>
              <w:t>APENDICES</w:t>
            </w:r>
            <w:r w:rsidRPr="00112141">
              <w:rPr>
                <w:rFonts w:ascii="Times New Roman" w:hAnsi="Times New Roman" w:cs="Times New Roman"/>
                <w:noProof/>
                <w:webHidden/>
              </w:rPr>
              <w:tab/>
            </w:r>
            <w:r w:rsidRPr="00112141">
              <w:rPr>
                <w:rFonts w:ascii="Times New Roman" w:hAnsi="Times New Roman" w:cs="Times New Roman"/>
                <w:noProof/>
                <w:webHidden/>
              </w:rPr>
              <w:fldChar w:fldCharType="begin"/>
            </w:r>
            <w:r w:rsidRPr="00112141">
              <w:rPr>
                <w:rFonts w:ascii="Times New Roman" w:hAnsi="Times New Roman" w:cs="Times New Roman"/>
                <w:noProof/>
                <w:webHidden/>
              </w:rPr>
              <w:instrText xml:space="preserve"> PAGEREF _Toc221007122 \h </w:instrText>
            </w:r>
            <w:r w:rsidRPr="00112141">
              <w:rPr>
                <w:rFonts w:ascii="Times New Roman" w:hAnsi="Times New Roman" w:cs="Times New Roman"/>
                <w:noProof/>
                <w:webHidden/>
              </w:rPr>
            </w:r>
            <w:r w:rsidRPr="00112141">
              <w:rPr>
                <w:rFonts w:ascii="Times New Roman" w:hAnsi="Times New Roman" w:cs="Times New Roman"/>
                <w:noProof/>
                <w:webHidden/>
              </w:rPr>
              <w:fldChar w:fldCharType="separate"/>
            </w:r>
            <w:r w:rsidRPr="00112141">
              <w:rPr>
                <w:rFonts w:ascii="Times New Roman" w:hAnsi="Times New Roman" w:cs="Times New Roman"/>
                <w:noProof/>
                <w:webHidden/>
              </w:rPr>
              <w:t>125</w:t>
            </w:r>
            <w:r w:rsidRPr="00112141">
              <w:rPr>
                <w:rFonts w:ascii="Times New Roman" w:hAnsi="Times New Roman" w:cs="Times New Roman"/>
                <w:noProof/>
                <w:webHidden/>
              </w:rPr>
              <w:fldChar w:fldCharType="end"/>
            </w:r>
          </w:hyperlink>
        </w:p>
        <w:p w14:paraId="126BDEAE" w14:textId="510370D8" w:rsidR="00180617" w:rsidRPr="00112141" w:rsidRDefault="00180617">
          <w:pPr>
            <w:pStyle w:val="TOC2"/>
            <w:tabs>
              <w:tab w:val="right" w:leader="dot" w:pos="9488"/>
            </w:tabs>
            <w:rPr>
              <w:rFonts w:ascii="Times New Roman" w:eastAsiaTheme="minorEastAsia" w:hAnsi="Times New Roman" w:cs="Times New Roman"/>
              <w:noProof/>
              <w:lang w:eastAsia="en-IN"/>
            </w:rPr>
          </w:pPr>
          <w:hyperlink w:anchor="_Toc221007123" w:history="1">
            <w:r w:rsidRPr="00112141">
              <w:rPr>
                <w:rStyle w:val="Hyperlink"/>
                <w:rFonts w:ascii="Times New Roman" w:hAnsi="Times New Roman" w:cs="Times New Roman"/>
                <w:noProof/>
                <w:color w:val="auto"/>
              </w:rPr>
              <w:t>APPENDIX I  PROVISIONS OF THE CONSTITUTION BEARING ON THE WORK OF THE FINANCE COMMISSION</w:t>
            </w:r>
            <w:r w:rsidRPr="00112141">
              <w:rPr>
                <w:rFonts w:ascii="Times New Roman" w:hAnsi="Times New Roman" w:cs="Times New Roman"/>
                <w:noProof/>
                <w:webHidden/>
              </w:rPr>
              <w:tab/>
            </w:r>
            <w:r w:rsidRPr="00112141">
              <w:rPr>
                <w:rFonts w:ascii="Times New Roman" w:hAnsi="Times New Roman" w:cs="Times New Roman"/>
                <w:noProof/>
                <w:webHidden/>
              </w:rPr>
              <w:fldChar w:fldCharType="begin"/>
            </w:r>
            <w:r w:rsidRPr="00112141">
              <w:rPr>
                <w:rFonts w:ascii="Times New Roman" w:hAnsi="Times New Roman" w:cs="Times New Roman"/>
                <w:noProof/>
                <w:webHidden/>
              </w:rPr>
              <w:instrText xml:space="preserve"> PAGEREF _Toc221007123 \h </w:instrText>
            </w:r>
            <w:r w:rsidRPr="00112141">
              <w:rPr>
                <w:rFonts w:ascii="Times New Roman" w:hAnsi="Times New Roman" w:cs="Times New Roman"/>
                <w:noProof/>
                <w:webHidden/>
              </w:rPr>
            </w:r>
            <w:r w:rsidRPr="00112141">
              <w:rPr>
                <w:rFonts w:ascii="Times New Roman" w:hAnsi="Times New Roman" w:cs="Times New Roman"/>
                <w:noProof/>
                <w:webHidden/>
              </w:rPr>
              <w:fldChar w:fldCharType="separate"/>
            </w:r>
            <w:r w:rsidRPr="00112141">
              <w:rPr>
                <w:rFonts w:ascii="Times New Roman" w:hAnsi="Times New Roman" w:cs="Times New Roman"/>
                <w:noProof/>
                <w:webHidden/>
              </w:rPr>
              <w:t>127</w:t>
            </w:r>
            <w:r w:rsidRPr="00112141">
              <w:rPr>
                <w:rFonts w:ascii="Times New Roman" w:hAnsi="Times New Roman" w:cs="Times New Roman"/>
                <w:noProof/>
                <w:webHidden/>
              </w:rPr>
              <w:fldChar w:fldCharType="end"/>
            </w:r>
          </w:hyperlink>
        </w:p>
        <w:p w14:paraId="4F4A6E42" w14:textId="64F9DEB9" w:rsidR="00180617" w:rsidRPr="00112141" w:rsidRDefault="00180617">
          <w:pPr>
            <w:pStyle w:val="TOC2"/>
            <w:tabs>
              <w:tab w:val="right" w:leader="dot" w:pos="9488"/>
            </w:tabs>
            <w:rPr>
              <w:rFonts w:ascii="Times New Roman" w:eastAsiaTheme="minorEastAsia" w:hAnsi="Times New Roman" w:cs="Times New Roman"/>
              <w:noProof/>
              <w:lang w:eastAsia="en-IN"/>
            </w:rPr>
          </w:pPr>
          <w:hyperlink w:anchor="_Toc221007124" w:history="1">
            <w:r w:rsidRPr="00112141">
              <w:rPr>
                <w:rStyle w:val="Hyperlink"/>
                <w:rFonts w:ascii="Times New Roman" w:hAnsi="Times New Roman" w:cs="Times New Roman"/>
                <w:noProof/>
                <w:color w:val="auto"/>
              </w:rPr>
              <w:t>APPENDIX II  THE FINANCE COMMISSION (MISCELLANEOUS PROVISIONS) ACT, 1951</w:t>
            </w:r>
            <w:r w:rsidRPr="00112141">
              <w:rPr>
                <w:rFonts w:ascii="Times New Roman" w:hAnsi="Times New Roman" w:cs="Times New Roman"/>
                <w:noProof/>
                <w:webHidden/>
              </w:rPr>
              <w:tab/>
            </w:r>
            <w:r w:rsidRPr="00112141">
              <w:rPr>
                <w:rFonts w:ascii="Times New Roman" w:hAnsi="Times New Roman" w:cs="Times New Roman"/>
                <w:noProof/>
                <w:webHidden/>
              </w:rPr>
              <w:fldChar w:fldCharType="begin"/>
            </w:r>
            <w:r w:rsidRPr="00112141">
              <w:rPr>
                <w:rFonts w:ascii="Times New Roman" w:hAnsi="Times New Roman" w:cs="Times New Roman"/>
                <w:noProof/>
                <w:webHidden/>
              </w:rPr>
              <w:instrText xml:space="preserve"> PAGEREF _Toc221007124 \h </w:instrText>
            </w:r>
            <w:r w:rsidRPr="00112141">
              <w:rPr>
                <w:rFonts w:ascii="Times New Roman" w:hAnsi="Times New Roman" w:cs="Times New Roman"/>
                <w:noProof/>
                <w:webHidden/>
              </w:rPr>
            </w:r>
            <w:r w:rsidRPr="00112141">
              <w:rPr>
                <w:rFonts w:ascii="Times New Roman" w:hAnsi="Times New Roman" w:cs="Times New Roman"/>
                <w:noProof/>
                <w:webHidden/>
              </w:rPr>
              <w:fldChar w:fldCharType="separate"/>
            </w:r>
            <w:r w:rsidRPr="00112141">
              <w:rPr>
                <w:rFonts w:ascii="Times New Roman" w:hAnsi="Times New Roman" w:cs="Times New Roman"/>
                <w:noProof/>
                <w:webHidden/>
              </w:rPr>
              <w:t>131</w:t>
            </w:r>
            <w:r w:rsidRPr="00112141">
              <w:rPr>
                <w:rFonts w:ascii="Times New Roman" w:hAnsi="Times New Roman" w:cs="Times New Roman"/>
                <w:noProof/>
                <w:webHidden/>
              </w:rPr>
              <w:fldChar w:fldCharType="end"/>
            </w:r>
          </w:hyperlink>
        </w:p>
        <w:p w14:paraId="7574CAE4" w14:textId="66F1B6A2" w:rsidR="00180617" w:rsidRPr="00112141" w:rsidRDefault="00180617">
          <w:pPr>
            <w:pStyle w:val="TOC2"/>
            <w:tabs>
              <w:tab w:val="right" w:leader="dot" w:pos="9488"/>
            </w:tabs>
            <w:rPr>
              <w:rFonts w:ascii="Times New Roman" w:eastAsiaTheme="minorEastAsia" w:hAnsi="Times New Roman" w:cs="Times New Roman"/>
              <w:noProof/>
              <w:lang w:eastAsia="en-IN"/>
            </w:rPr>
          </w:pPr>
          <w:hyperlink w:anchor="_Toc221007125" w:history="1">
            <w:r w:rsidRPr="00112141">
              <w:rPr>
                <w:rStyle w:val="Hyperlink"/>
                <w:rFonts w:ascii="Times New Roman" w:hAnsi="Times New Roman" w:cs="Times New Roman"/>
                <w:noProof/>
                <w:color w:val="auto"/>
              </w:rPr>
              <w:t>APPENDIX III  FIRST REPORT OF THE FINANCE COMMISSION</w:t>
            </w:r>
            <w:r w:rsidRPr="00112141">
              <w:rPr>
                <w:rFonts w:ascii="Times New Roman" w:hAnsi="Times New Roman" w:cs="Times New Roman"/>
                <w:noProof/>
                <w:webHidden/>
              </w:rPr>
              <w:tab/>
            </w:r>
            <w:r w:rsidRPr="00112141">
              <w:rPr>
                <w:rFonts w:ascii="Times New Roman" w:hAnsi="Times New Roman" w:cs="Times New Roman"/>
                <w:noProof/>
                <w:webHidden/>
              </w:rPr>
              <w:fldChar w:fldCharType="begin"/>
            </w:r>
            <w:r w:rsidRPr="00112141">
              <w:rPr>
                <w:rFonts w:ascii="Times New Roman" w:hAnsi="Times New Roman" w:cs="Times New Roman"/>
                <w:noProof/>
                <w:webHidden/>
              </w:rPr>
              <w:instrText xml:space="preserve"> PAGEREF _Toc221007125 \h </w:instrText>
            </w:r>
            <w:r w:rsidRPr="00112141">
              <w:rPr>
                <w:rFonts w:ascii="Times New Roman" w:hAnsi="Times New Roman" w:cs="Times New Roman"/>
                <w:noProof/>
                <w:webHidden/>
              </w:rPr>
            </w:r>
            <w:r w:rsidRPr="00112141">
              <w:rPr>
                <w:rFonts w:ascii="Times New Roman" w:hAnsi="Times New Roman" w:cs="Times New Roman"/>
                <w:noProof/>
                <w:webHidden/>
              </w:rPr>
              <w:fldChar w:fldCharType="separate"/>
            </w:r>
            <w:r w:rsidRPr="00112141">
              <w:rPr>
                <w:rFonts w:ascii="Times New Roman" w:hAnsi="Times New Roman" w:cs="Times New Roman"/>
                <w:noProof/>
                <w:webHidden/>
              </w:rPr>
              <w:t>133</w:t>
            </w:r>
            <w:r w:rsidRPr="00112141">
              <w:rPr>
                <w:rFonts w:ascii="Times New Roman" w:hAnsi="Times New Roman" w:cs="Times New Roman"/>
                <w:noProof/>
                <w:webHidden/>
              </w:rPr>
              <w:fldChar w:fldCharType="end"/>
            </w:r>
          </w:hyperlink>
        </w:p>
        <w:p w14:paraId="1C9882C5" w14:textId="10440788" w:rsidR="00180617" w:rsidRPr="00112141" w:rsidRDefault="00180617">
          <w:pPr>
            <w:pStyle w:val="TOC2"/>
            <w:tabs>
              <w:tab w:val="right" w:leader="dot" w:pos="9488"/>
            </w:tabs>
            <w:rPr>
              <w:rFonts w:ascii="Times New Roman" w:eastAsiaTheme="minorEastAsia" w:hAnsi="Times New Roman" w:cs="Times New Roman"/>
              <w:noProof/>
              <w:lang w:eastAsia="en-IN"/>
            </w:rPr>
          </w:pPr>
          <w:hyperlink w:anchor="_Toc221007126" w:history="1">
            <w:r w:rsidRPr="00112141">
              <w:rPr>
                <w:rStyle w:val="Hyperlink"/>
                <w:rFonts w:ascii="Times New Roman" w:hAnsi="Times New Roman" w:cs="Times New Roman"/>
                <w:noProof/>
                <w:color w:val="auto"/>
              </w:rPr>
              <w:t>APPENDIX IV  COMMUNICATIONS ADDRESSED TO STATE GOVERNMENTS AND PRESS NOTE ISSUED BY THE COMMISSION</w:t>
            </w:r>
            <w:r w:rsidRPr="00112141">
              <w:rPr>
                <w:rFonts w:ascii="Times New Roman" w:hAnsi="Times New Roman" w:cs="Times New Roman"/>
                <w:noProof/>
                <w:webHidden/>
              </w:rPr>
              <w:tab/>
            </w:r>
            <w:r w:rsidRPr="00112141">
              <w:rPr>
                <w:rFonts w:ascii="Times New Roman" w:hAnsi="Times New Roman" w:cs="Times New Roman"/>
                <w:noProof/>
                <w:webHidden/>
              </w:rPr>
              <w:fldChar w:fldCharType="begin"/>
            </w:r>
            <w:r w:rsidRPr="00112141">
              <w:rPr>
                <w:rFonts w:ascii="Times New Roman" w:hAnsi="Times New Roman" w:cs="Times New Roman"/>
                <w:noProof/>
                <w:webHidden/>
              </w:rPr>
              <w:instrText xml:space="preserve"> PAGEREF _Toc221007126 \h </w:instrText>
            </w:r>
            <w:r w:rsidRPr="00112141">
              <w:rPr>
                <w:rFonts w:ascii="Times New Roman" w:hAnsi="Times New Roman" w:cs="Times New Roman"/>
                <w:noProof/>
                <w:webHidden/>
              </w:rPr>
            </w:r>
            <w:r w:rsidRPr="00112141">
              <w:rPr>
                <w:rFonts w:ascii="Times New Roman" w:hAnsi="Times New Roman" w:cs="Times New Roman"/>
                <w:noProof/>
                <w:webHidden/>
              </w:rPr>
              <w:fldChar w:fldCharType="separate"/>
            </w:r>
            <w:r w:rsidRPr="00112141">
              <w:rPr>
                <w:rFonts w:ascii="Times New Roman" w:hAnsi="Times New Roman" w:cs="Times New Roman"/>
                <w:noProof/>
                <w:webHidden/>
              </w:rPr>
              <w:t>135</w:t>
            </w:r>
            <w:r w:rsidRPr="00112141">
              <w:rPr>
                <w:rFonts w:ascii="Times New Roman" w:hAnsi="Times New Roman" w:cs="Times New Roman"/>
                <w:noProof/>
                <w:webHidden/>
              </w:rPr>
              <w:fldChar w:fldCharType="end"/>
            </w:r>
          </w:hyperlink>
        </w:p>
        <w:p w14:paraId="21DD6F73" w14:textId="1563A26D" w:rsidR="00180617" w:rsidRPr="00112141" w:rsidRDefault="00180617">
          <w:pPr>
            <w:pStyle w:val="TOC2"/>
            <w:tabs>
              <w:tab w:val="right" w:leader="dot" w:pos="9488"/>
            </w:tabs>
            <w:rPr>
              <w:rFonts w:ascii="Times New Roman" w:eastAsiaTheme="minorEastAsia" w:hAnsi="Times New Roman" w:cs="Times New Roman"/>
              <w:noProof/>
              <w:lang w:eastAsia="en-IN"/>
            </w:rPr>
          </w:pPr>
          <w:hyperlink w:anchor="_Toc221007127" w:history="1">
            <w:r w:rsidRPr="00112141">
              <w:rPr>
                <w:rStyle w:val="Hyperlink"/>
                <w:rFonts w:ascii="Times New Roman" w:hAnsi="Times New Roman" w:cs="Times New Roman"/>
                <w:noProof/>
                <w:color w:val="auto"/>
              </w:rPr>
              <w:t>APPENDIX V  SUPPLEMENTARY POINTS ON WHICH STATE GOVERNMENTS WERE ASKED FOR INFORMATION</w:t>
            </w:r>
            <w:r w:rsidRPr="00112141">
              <w:rPr>
                <w:rFonts w:ascii="Times New Roman" w:hAnsi="Times New Roman" w:cs="Times New Roman"/>
                <w:noProof/>
                <w:webHidden/>
              </w:rPr>
              <w:tab/>
            </w:r>
            <w:r w:rsidRPr="00112141">
              <w:rPr>
                <w:rFonts w:ascii="Times New Roman" w:hAnsi="Times New Roman" w:cs="Times New Roman"/>
                <w:noProof/>
                <w:webHidden/>
              </w:rPr>
              <w:fldChar w:fldCharType="begin"/>
            </w:r>
            <w:r w:rsidRPr="00112141">
              <w:rPr>
                <w:rFonts w:ascii="Times New Roman" w:hAnsi="Times New Roman" w:cs="Times New Roman"/>
                <w:noProof/>
                <w:webHidden/>
              </w:rPr>
              <w:instrText xml:space="preserve"> PAGEREF _Toc221007127 \h </w:instrText>
            </w:r>
            <w:r w:rsidRPr="00112141">
              <w:rPr>
                <w:rFonts w:ascii="Times New Roman" w:hAnsi="Times New Roman" w:cs="Times New Roman"/>
                <w:noProof/>
                <w:webHidden/>
              </w:rPr>
            </w:r>
            <w:r w:rsidRPr="00112141">
              <w:rPr>
                <w:rFonts w:ascii="Times New Roman" w:hAnsi="Times New Roman" w:cs="Times New Roman"/>
                <w:noProof/>
                <w:webHidden/>
              </w:rPr>
              <w:fldChar w:fldCharType="separate"/>
            </w:r>
            <w:r w:rsidRPr="00112141">
              <w:rPr>
                <w:rFonts w:ascii="Times New Roman" w:hAnsi="Times New Roman" w:cs="Times New Roman"/>
                <w:noProof/>
                <w:webHidden/>
              </w:rPr>
              <w:t>145</w:t>
            </w:r>
            <w:r w:rsidRPr="00112141">
              <w:rPr>
                <w:rFonts w:ascii="Times New Roman" w:hAnsi="Times New Roman" w:cs="Times New Roman"/>
                <w:noProof/>
                <w:webHidden/>
              </w:rPr>
              <w:fldChar w:fldCharType="end"/>
            </w:r>
          </w:hyperlink>
        </w:p>
        <w:p w14:paraId="470944E0" w14:textId="7BB2027A" w:rsidR="00180617" w:rsidRPr="00112141" w:rsidRDefault="00180617">
          <w:pPr>
            <w:pStyle w:val="TOC2"/>
            <w:tabs>
              <w:tab w:val="right" w:leader="dot" w:pos="9488"/>
            </w:tabs>
            <w:rPr>
              <w:rFonts w:ascii="Times New Roman" w:eastAsiaTheme="minorEastAsia" w:hAnsi="Times New Roman" w:cs="Times New Roman"/>
              <w:noProof/>
              <w:lang w:eastAsia="en-IN"/>
            </w:rPr>
          </w:pPr>
          <w:hyperlink w:anchor="_Toc221007128" w:history="1">
            <w:r w:rsidRPr="00112141">
              <w:rPr>
                <w:rStyle w:val="Hyperlink"/>
                <w:rFonts w:ascii="Times New Roman" w:hAnsi="Times New Roman" w:cs="Times New Roman"/>
                <w:noProof/>
                <w:color w:val="auto"/>
              </w:rPr>
              <w:t>APPENDIX VI  DATES OF DISCUSSIONS WITH STATE GOVERNMENTS</w:t>
            </w:r>
            <w:r w:rsidRPr="00112141">
              <w:rPr>
                <w:rFonts w:ascii="Times New Roman" w:hAnsi="Times New Roman" w:cs="Times New Roman"/>
                <w:noProof/>
                <w:webHidden/>
              </w:rPr>
              <w:tab/>
            </w:r>
            <w:r w:rsidRPr="00112141">
              <w:rPr>
                <w:rFonts w:ascii="Times New Roman" w:hAnsi="Times New Roman" w:cs="Times New Roman"/>
                <w:noProof/>
                <w:webHidden/>
              </w:rPr>
              <w:fldChar w:fldCharType="begin"/>
            </w:r>
            <w:r w:rsidRPr="00112141">
              <w:rPr>
                <w:rFonts w:ascii="Times New Roman" w:hAnsi="Times New Roman" w:cs="Times New Roman"/>
                <w:noProof/>
                <w:webHidden/>
              </w:rPr>
              <w:instrText xml:space="preserve"> PAGEREF _Toc221007128 \h </w:instrText>
            </w:r>
            <w:r w:rsidRPr="00112141">
              <w:rPr>
                <w:rFonts w:ascii="Times New Roman" w:hAnsi="Times New Roman" w:cs="Times New Roman"/>
                <w:noProof/>
                <w:webHidden/>
              </w:rPr>
            </w:r>
            <w:r w:rsidRPr="00112141">
              <w:rPr>
                <w:rFonts w:ascii="Times New Roman" w:hAnsi="Times New Roman" w:cs="Times New Roman"/>
                <w:noProof/>
                <w:webHidden/>
              </w:rPr>
              <w:fldChar w:fldCharType="separate"/>
            </w:r>
            <w:r w:rsidRPr="00112141">
              <w:rPr>
                <w:rFonts w:ascii="Times New Roman" w:hAnsi="Times New Roman" w:cs="Times New Roman"/>
                <w:noProof/>
                <w:webHidden/>
              </w:rPr>
              <w:t>147</w:t>
            </w:r>
            <w:r w:rsidRPr="00112141">
              <w:rPr>
                <w:rFonts w:ascii="Times New Roman" w:hAnsi="Times New Roman" w:cs="Times New Roman"/>
                <w:noProof/>
                <w:webHidden/>
              </w:rPr>
              <w:fldChar w:fldCharType="end"/>
            </w:r>
          </w:hyperlink>
        </w:p>
        <w:p w14:paraId="49A424C2" w14:textId="20ED51B4" w:rsidR="00180617" w:rsidRPr="00112141" w:rsidRDefault="00180617">
          <w:pPr>
            <w:pStyle w:val="TOC2"/>
            <w:tabs>
              <w:tab w:val="right" w:leader="dot" w:pos="9488"/>
            </w:tabs>
            <w:rPr>
              <w:rFonts w:ascii="Times New Roman" w:eastAsiaTheme="minorEastAsia" w:hAnsi="Times New Roman" w:cs="Times New Roman"/>
              <w:noProof/>
              <w:lang w:eastAsia="en-IN"/>
            </w:rPr>
          </w:pPr>
          <w:hyperlink w:anchor="_Toc221007129" w:history="1">
            <w:r w:rsidRPr="00112141">
              <w:rPr>
                <w:rStyle w:val="Hyperlink"/>
                <w:rFonts w:ascii="Times New Roman" w:hAnsi="Times New Roman" w:cs="Times New Roman"/>
                <w:noProof/>
                <w:color w:val="auto"/>
              </w:rPr>
              <w:t>APPENDIX VII  LETTER FROM THE CHIEF MINISTER OF SAURASHTRA DATED THE 1ST AUGUST, 1952, TO THE CHAIRMAN, FINANCE COMMISSION</w:t>
            </w:r>
            <w:r w:rsidRPr="00112141">
              <w:rPr>
                <w:rFonts w:ascii="Times New Roman" w:hAnsi="Times New Roman" w:cs="Times New Roman"/>
                <w:noProof/>
                <w:webHidden/>
              </w:rPr>
              <w:tab/>
            </w:r>
            <w:r w:rsidRPr="00112141">
              <w:rPr>
                <w:rFonts w:ascii="Times New Roman" w:hAnsi="Times New Roman" w:cs="Times New Roman"/>
                <w:noProof/>
                <w:webHidden/>
              </w:rPr>
              <w:fldChar w:fldCharType="begin"/>
            </w:r>
            <w:r w:rsidRPr="00112141">
              <w:rPr>
                <w:rFonts w:ascii="Times New Roman" w:hAnsi="Times New Roman" w:cs="Times New Roman"/>
                <w:noProof/>
                <w:webHidden/>
              </w:rPr>
              <w:instrText xml:space="preserve"> PAGEREF _Toc221007129 \h </w:instrText>
            </w:r>
            <w:r w:rsidRPr="00112141">
              <w:rPr>
                <w:rFonts w:ascii="Times New Roman" w:hAnsi="Times New Roman" w:cs="Times New Roman"/>
                <w:noProof/>
                <w:webHidden/>
              </w:rPr>
            </w:r>
            <w:r w:rsidRPr="00112141">
              <w:rPr>
                <w:rFonts w:ascii="Times New Roman" w:hAnsi="Times New Roman" w:cs="Times New Roman"/>
                <w:noProof/>
                <w:webHidden/>
              </w:rPr>
              <w:fldChar w:fldCharType="separate"/>
            </w:r>
            <w:r w:rsidRPr="00112141">
              <w:rPr>
                <w:rFonts w:ascii="Times New Roman" w:hAnsi="Times New Roman" w:cs="Times New Roman"/>
                <w:noProof/>
                <w:webHidden/>
              </w:rPr>
              <w:t>148</w:t>
            </w:r>
            <w:r w:rsidRPr="00112141">
              <w:rPr>
                <w:rFonts w:ascii="Times New Roman" w:hAnsi="Times New Roman" w:cs="Times New Roman"/>
                <w:noProof/>
                <w:webHidden/>
              </w:rPr>
              <w:fldChar w:fldCharType="end"/>
            </w:r>
          </w:hyperlink>
        </w:p>
        <w:p w14:paraId="39230915" w14:textId="5DF000E6" w:rsidR="00180617" w:rsidRPr="00112141" w:rsidRDefault="00180617">
          <w:pPr>
            <w:pStyle w:val="TOC2"/>
            <w:tabs>
              <w:tab w:val="right" w:leader="dot" w:pos="9488"/>
            </w:tabs>
            <w:rPr>
              <w:rFonts w:ascii="Times New Roman" w:eastAsiaTheme="minorEastAsia" w:hAnsi="Times New Roman" w:cs="Times New Roman"/>
              <w:noProof/>
              <w:lang w:eastAsia="en-IN"/>
            </w:rPr>
          </w:pPr>
          <w:hyperlink w:anchor="_Toc221007130" w:history="1">
            <w:r w:rsidRPr="00112141">
              <w:rPr>
                <w:rStyle w:val="Hyperlink"/>
                <w:rFonts w:ascii="Times New Roman" w:hAnsi="Times New Roman" w:cs="Times New Roman"/>
                <w:noProof/>
                <w:color w:val="auto"/>
              </w:rPr>
              <w:t>APPENDIX VIII  SUMMARY OF THE BUDGETARY POSITION OF PART A AND PART B STATES</w:t>
            </w:r>
            <w:r w:rsidRPr="00112141">
              <w:rPr>
                <w:rFonts w:ascii="Times New Roman" w:hAnsi="Times New Roman" w:cs="Times New Roman"/>
                <w:noProof/>
                <w:webHidden/>
              </w:rPr>
              <w:tab/>
            </w:r>
            <w:r w:rsidRPr="00112141">
              <w:rPr>
                <w:rFonts w:ascii="Times New Roman" w:hAnsi="Times New Roman" w:cs="Times New Roman"/>
                <w:noProof/>
                <w:webHidden/>
              </w:rPr>
              <w:fldChar w:fldCharType="begin"/>
            </w:r>
            <w:r w:rsidRPr="00112141">
              <w:rPr>
                <w:rFonts w:ascii="Times New Roman" w:hAnsi="Times New Roman" w:cs="Times New Roman"/>
                <w:noProof/>
                <w:webHidden/>
              </w:rPr>
              <w:instrText xml:space="preserve"> PAGEREF _Toc221007130 \h </w:instrText>
            </w:r>
            <w:r w:rsidRPr="00112141">
              <w:rPr>
                <w:rFonts w:ascii="Times New Roman" w:hAnsi="Times New Roman" w:cs="Times New Roman"/>
                <w:noProof/>
                <w:webHidden/>
              </w:rPr>
            </w:r>
            <w:r w:rsidRPr="00112141">
              <w:rPr>
                <w:rFonts w:ascii="Times New Roman" w:hAnsi="Times New Roman" w:cs="Times New Roman"/>
                <w:noProof/>
                <w:webHidden/>
              </w:rPr>
              <w:fldChar w:fldCharType="separate"/>
            </w:r>
            <w:r w:rsidRPr="00112141">
              <w:rPr>
                <w:rFonts w:ascii="Times New Roman" w:hAnsi="Times New Roman" w:cs="Times New Roman"/>
                <w:noProof/>
                <w:webHidden/>
              </w:rPr>
              <w:t>150</w:t>
            </w:r>
            <w:r w:rsidRPr="00112141">
              <w:rPr>
                <w:rFonts w:ascii="Times New Roman" w:hAnsi="Times New Roman" w:cs="Times New Roman"/>
                <w:noProof/>
                <w:webHidden/>
              </w:rPr>
              <w:fldChar w:fldCharType="end"/>
            </w:r>
          </w:hyperlink>
        </w:p>
        <w:p w14:paraId="102045F8" w14:textId="7717EF71" w:rsidR="00180617" w:rsidRPr="00112141" w:rsidRDefault="00180617">
          <w:pPr>
            <w:pStyle w:val="TOC2"/>
            <w:tabs>
              <w:tab w:val="right" w:leader="dot" w:pos="9488"/>
            </w:tabs>
            <w:rPr>
              <w:rFonts w:ascii="Times New Roman" w:eastAsiaTheme="minorEastAsia" w:hAnsi="Times New Roman" w:cs="Times New Roman"/>
              <w:noProof/>
              <w:lang w:eastAsia="en-IN"/>
            </w:rPr>
          </w:pPr>
          <w:hyperlink w:anchor="_Toc221007131" w:history="1">
            <w:r w:rsidRPr="00112141">
              <w:rPr>
                <w:rStyle w:val="Hyperlink"/>
                <w:rFonts w:ascii="Times New Roman" w:hAnsi="Times New Roman" w:cs="Times New Roman"/>
                <w:noProof/>
                <w:color w:val="auto"/>
              </w:rPr>
              <w:t>APPENDIX IX  STATISTICAL TABLES</w:t>
            </w:r>
            <w:r w:rsidRPr="00112141">
              <w:rPr>
                <w:rFonts w:ascii="Times New Roman" w:hAnsi="Times New Roman" w:cs="Times New Roman"/>
                <w:noProof/>
                <w:webHidden/>
              </w:rPr>
              <w:tab/>
            </w:r>
            <w:r w:rsidRPr="00112141">
              <w:rPr>
                <w:rFonts w:ascii="Times New Roman" w:hAnsi="Times New Roman" w:cs="Times New Roman"/>
                <w:noProof/>
                <w:webHidden/>
              </w:rPr>
              <w:fldChar w:fldCharType="begin"/>
            </w:r>
            <w:r w:rsidRPr="00112141">
              <w:rPr>
                <w:rFonts w:ascii="Times New Roman" w:hAnsi="Times New Roman" w:cs="Times New Roman"/>
                <w:noProof/>
                <w:webHidden/>
              </w:rPr>
              <w:instrText xml:space="preserve"> PAGEREF _Toc221007131 \h </w:instrText>
            </w:r>
            <w:r w:rsidRPr="00112141">
              <w:rPr>
                <w:rFonts w:ascii="Times New Roman" w:hAnsi="Times New Roman" w:cs="Times New Roman"/>
                <w:noProof/>
                <w:webHidden/>
              </w:rPr>
            </w:r>
            <w:r w:rsidRPr="00112141">
              <w:rPr>
                <w:rFonts w:ascii="Times New Roman" w:hAnsi="Times New Roman" w:cs="Times New Roman"/>
                <w:noProof/>
                <w:webHidden/>
              </w:rPr>
              <w:fldChar w:fldCharType="separate"/>
            </w:r>
            <w:r w:rsidRPr="00112141">
              <w:rPr>
                <w:rFonts w:ascii="Times New Roman" w:hAnsi="Times New Roman" w:cs="Times New Roman"/>
                <w:noProof/>
                <w:webHidden/>
              </w:rPr>
              <w:t>157</w:t>
            </w:r>
            <w:r w:rsidRPr="00112141">
              <w:rPr>
                <w:rFonts w:ascii="Times New Roman" w:hAnsi="Times New Roman" w:cs="Times New Roman"/>
                <w:noProof/>
                <w:webHidden/>
              </w:rPr>
              <w:fldChar w:fldCharType="end"/>
            </w:r>
          </w:hyperlink>
        </w:p>
        <w:p w14:paraId="4128FEAE" w14:textId="61F0A8EA" w:rsidR="00180617" w:rsidRPr="00112141" w:rsidRDefault="00180617">
          <w:pPr>
            <w:pStyle w:val="TOC3"/>
            <w:tabs>
              <w:tab w:val="right" w:leader="dot" w:pos="9488"/>
            </w:tabs>
            <w:rPr>
              <w:rFonts w:ascii="Times New Roman" w:eastAsiaTheme="minorEastAsia" w:hAnsi="Times New Roman" w:cs="Times New Roman"/>
              <w:noProof/>
              <w:lang w:eastAsia="en-IN"/>
            </w:rPr>
          </w:pPr>
          <w:hyperlink w:anchor="_Toc221007132" w:history="1">
            <w:r w:rsidRPr="00112141">
              <w:rPr>
                <w:rStyle w:val="Hyperlink"/>
                <w:rFonts w:ascii="Times New Roman" w:hAnsi="Times New Roman" w:cs="Times New Roman"/>
                <w:noProof/>
                <w:color w:val="auto"/>
              </w:rPr>
              <w:t>1. Statement showing Population and Area of Part A and Part B States on the basis of 1951 Census</w:t>
            </w:r>
            <w:r w:rsidRPr="00112141">
              <w:rPr>
                <w:rFonts w:ascii="Times New Roman" w:hAnsi="Times New Roman" w:cs="Times New Roman"/>
                <w:noProof/>
                <w:webHidden/>
              </w:rPr>
              <w:tab/>
            </w:r>
            <w:r w:rsidRPr="00112141">
              <w:rPr>
                <w:rFonts w:ascii="Times New Roman" w:hAnsi="Times New Roman" w:cs="Times New Roman"/>
                <w:noProof/>
                <w:webHidden/>
              </w:rPr>
              <w:fldChar w:fldCharType="begin"/>
            </w:r>
            <w:r w:rsidRPr="00112141">
              <w:rPr>
                <w:rFonts w:ascii="Times New Roman" w:hAnsi="Times New Roman" w:cs="Times New Roman"/>
                <w:noProof/>
                <w:webHidden/>
              </w:rPr>
              <w:instrText xml:space="preserve"> PAGEREF _Toc221007132 \h </w:instrText>
            </w:r>
            <w:r w:rsidRPr="00112141">
              <w:rPr>
                <w:rFonts w:ascii="Times New Roman" w:hAnsi="Times New Roman" w:cs="Times New Roman"/>
                <w:noProof/>
                <w:webHidden/>
              </w:rPr>
            </w:r>
            <w:r w:rsidRPr="00112141">
              <w:rPr>
                <w:rFonts w:ascii="Times New Roman" w:hAnsi="Times New Roman" w:cs="Times New Roman"/>
                <w:noProof/>
                <w:webHidden/>
              </w:rPr>
              <w:fldChar w:fldCharType="separate"/>
            </w:r>
            <w:r w:rsidRPr="00112141">
              <w:rPr>
                <w:rFonts w:ascii="Times New Roman" w:hAnsi="Times New Roman" w:cs="Times New Roman"/>
                <w:noProof/>
                <w:webHidden/>
              </w:rPr>
              <w:t>160</w:t>
            </w:r>
            <w:r w:rsidRPr="00112141">
              <w:rPr>
                <w:rFonts w:ascii="Times New Roman" w:hAnsi="Times New Roman" w:cs="Times New Roman"/>
                <w:noProof/>
                <w:webHidden/>
              </w:rPr>
              <w:fldChar w:fldCharType="end"/>
            </w:r>
          </w:hyperlink>
        </w:p>
        <w:p w14:paraId="5CBF2CE8" w14:textId="0480A729" w:rsidR="00180617" w:rsidRPr="00112141" w:rsidRDefault="00180617">
          <w:pPr>
            <w:pStyle w:val="TOC3"/>
            <w:tabs>
              <w:tab w:val="right" w:leader="dot" w:pos="9488"/>
            </w:tabs>
            <w:rPr>
              <w:rFonts w:ascii="Times New Roman" w:eastAsiaTheme="minorEastAsia" w:hAnsi="Times New Roman" w:cs="Times New Roman"/>
              <w:noProof/>
              <w:lang w:eastAsia="en-IN"/>
            </w:rPr>
          </w:pPr>
          <w:hyperlink w:anchor="_Toc221007133" w:history="1">
            <w:r w:rsidRPr="00112141">
              <w:rPr>
                <w:rStyle w:val="Hyperlink"/>
                <w:rFonts w:ascii="Times New Roman" w:hAnsi="Times New Roman" w:cs="Times New Roman"/>
                <w:noProof/>
                <w:color w:val="auto"/>
              </w:rPr>
              <w:t>2. Revenue and Expenditure of Central and State Governments 1937-38 to 1952-53</w:t>
            </w:r>
            <w:r w:rsidRPr="00112141">
              <w:rPr>
                <w:rFonts w:ascii="Times New Roman" w:hAnsi="Times New Roman" w:cs="Times New Roman"/>
                <w:noProof/>
                <w:webHidden/>
              </w:rPr>
              <w:tab/>
            </w:r>
            <w:r w:rsidRPr="00112141">
              <w:rPr>
                <w:rFonts w:ascii="Times New Roman" w:hAnsi="Times New Roman" w:cs="Times New Roman"/>
                <w:noProof/>
                <w:webHidden/>
              </w:rPr>
              <w:fldChar w:fldCharType="begin"/>
            </w:r>
            <w:r w:rsidRPr="00112141">
              <w:rPr>
                <w:rFonts w:ascii="Times New Roman" w:hAnsi="Times New Roman" w:cs="Times New Roman"/>
                <w:noProof/>
                <w:webHidden/>
              </w:rPr>
              <w:instrText xml:space="preserve"> PAGEREF _Toc221007133 \h </w:instrText>
            </w:r>
            <w:r w:rsidRPr="00112141">
              <w:rPr>
                <w:rFonts w:ascii="Times New Roman" w:hAnsi="Times New Roman" w:cs="Times New Roman"/>
                <w:noProof/>
                <w:webHidden/>
              </w:rPr>
            </w:r>
            <w:r w:rsidRPr="00112141">
              <w:rPr>
                <w:rFonts w:ascii="Times New Roman" w:hAnsi="Times New Roman" w:cs="Times New Roman"/>
                <w:noProof/>
                <w:webHidden/>
              </w:rPr>
              <w:fldChar w:fldCharType="separate"/>
            </w:r>
            <w:r w:rsidRPr="00112141">
              <w:rPr>
                <w:rFonts w:ascii="Times New Roman" w:hAnsi="Times New Roman" w:cs="Times New Roman"/>
                <w:noProof/>
                <w:webHidden/>
              </w:rPr>
              <w:t>161</w:t>
            </w:r>
            <w:r w:rsidRPr="00112141">
              <w:rPr>
                <w:rFonts w:ascii="Times New Roman" w:hAnsi="Times New Roman" w:cs="Times New Roman"/>
                <w:noProof/>
                <w:webHidden/>
              </w:rPr>
              <w:fldChar w:fldCharType="end"/>
            </w:r>
          </w:hyperlink>
        </w:p>
        <w:p w14:paraId="2D2A9600" w14:textId="59EFE994" w:rsidR="00180617" w:rsidRPr="00112141" w:rsidRDefault="00180617">
          <w:pPr>
            <w:pStyle w:val="TOC3"/>
            <w:tabs>
              <w:tab w:val="right" w:leader="dot" w:pos="9488"/>
            </w:tabs>
            <w:rPr>
              <w:rFonts w:ascii="Times New Roman" w:eastAsiaTheme="minorEastAsia" w:hAnsi="Times New Roman" w:cs="Times New Roman"/>
              <w:noProof/>
              <w:lang w:eastAsia="en-IN"/>
            </w:rPr>
          </w:pPr>
          <w:hyperlink w:anchor="_Toc221007134" w:history="1">
            <w:r w:rsidRPr="00112141">
              <w:rPr>
                <w:rStyle w:val="Hyperlink"/>
                <w:rFonts w:ascii="Times New Roman" w:hAnsi="Times New Roman" w:cs="Times New Roman"/>
                <w:noProof/>
                <w:color w:val="auto"/>
              </w:rPr>
              <w:t>3. Composition of Revenue and Expenditure met from Revenue of the Government of India</w:t>
            </w:r>
            <w:r w:rsidRPr="00112141">
              <w:rPr>
                <w:rFonts w:ascii="Times New Roman" w:hAnsi="Times New Roman" w:cs="Times New Roman"/>
                <w:noProof/>
                <w:webHidden/>
              </w:rPr>
              <w:tab/>
            </w:r>
            <w:r w:rsidRPr="00112141">
              <w:rPr>
                <w:rFonts w:ascii="Times New Roman" w:hAnsi="Times New Roman" w:cs="Times New Roman"/>
                <w:noProof/>
                <w:webHidden/>
              </w:rPr>
              <w:fldChar w:fldCharType="begin"/>
            </w:r>
            <w:r w:rsidRPr="00112141">
              <w:rPr>
                <w:rFonts w:ascii="Times New Roman" w:hAnsi="Times New Roman" w:cs="Times New Roman"/>
                <w:noProof/>
                <w:webHidden/>
              </w:rPr>
              <w:instrText xml:space="preserve"> PAGEREF _Toc221007134 \h </w:instrText>
            </w:r>
            <w:r w:rsidRPr="00112141">
              <w:rPr>
                <w:rFonts w:ascii="Times New Roman" w:hAnsi="Times New Roman" w:cs="Times New Roman"/>
                <w:noProof/>
                <w:webHidden/>
              </w:rPr>
            </w:r>
            <w:r w:rsidRPr="00112141">
              <w:rPr>
                <w:rFonts w:ascii="Times New Roman" w:hAnsi="Times New Roman" w:cs="Times New Roman"/>
                <w:noProof/>
                <w:webHidden/>
              </w:rPr>
              <w:fldChar w:fldCharType="separate"/>
            </w:r>
            <w:r w:rsidRPr="00112141">
              <w:rPr>
                <w:rFonts w:ascii="Times New Roman" w:hAnsi="Times New Roman" w:cs="Times New Roman"/>
                <w:noProof/>
                <w:webHidden/>
              </w:rPr>
              <w:t>162</w:t>
            </w:r>
            <w:r w:rsidRPr="00112141">
              <w:rPr>
                <w:rFonts w:ascii="Times New Roman" w:hAnsi="Times New Roman" w:cs="Times New Roman"/>
                <w:noProof/>
                <w:webHidden/>
              </w:rPr>
              <w:fldChar w:fldCharType="end"/>
            </w:r>
          </w:hyperlink>
        </w:p>
        <w:p w14:paraId="55C9500C" w14:textId="40F95D90" w:rsidR="00180617" w:rsidRPr="00112141" w:rsidRDefault="00180617">
          <w:pPr>
            <w:pStyle w:val="TOC3"/>
            <w:tabs>
              <w:tab w:val="right" w:leader="dot" w:pos="9488"/>
            </w:tabs>
            <w:rPr>
              <w:rFonts w:ascii="Times New Roman" w:eastAsiaTheme="minorEastAsia" w:hAnsi="Times New Roman" w:cs="Times New Roman"/>
              <w:noProof/>
              <w:lang w:eastAsia="en-IN"/>
            </w:rPr>
          </w:pPr>
          <w:hyperlink w:anchor="_Toc221007135" w:history="1">
            <w:r w:rsidRPr="00112141">
              <w:rPr>
                <w:rStyle w:val="Hyperlink"/>
                <w:rFonts w:ascii="Times New Roman" w:hAnsi="Times New Roman" w:cs="Times New Roman"/>
                <w:noProof/>
                <w:color w:val="auto"/>
              </w:rPr>
              <w:t>4. Revenue and Expenditure of Part A and Part B States—1950-51 to 1952-53</w:t>
            </w:r>
            <w:r w:rsidRPr="00112141">
              <w:rPr>
                <w:rFonts w:ascii="Times New Roman" w:hAnsi="Times New Roman" w:cs="Times New Roman"/>
                <w:noProof/>
                <w:webHidden/>
              </w:rPr>
              <w:tab/>
            </w:r>
            <w:r w:rsidRPr="00112141">
              <w:rPr>
                <w:rFonts w:ascii="Times New Roman" w:hAnsi="Times New Roman" w:cs="Times New Roman"/>
                <w:noProof/>
                <w:webHidden/>
              </w:rPr>
              <w:fldChar w:fldCharType="begin"/>
            </w:r>
            <w:r w:rsidRPr="00112141">
              <w:rPr>
                <w:rFonts w:ascii="Times New Roman" w:hAnsi="Times New Roman" w:cs="Times New Roman"/>
                <w:noProof/>
                <w:webHidden/>
              </w:rPr>
              <w:instrText xml:space="preserve"> PAGEREF _Toc221007135 \h </w:instrText>
            </w:r>
            <w:r w:rsidRPr="00112141">
              <w:rPr>
                <w:rFonts w:ascii="Times New Roman" w:hAnsi="Times New Roman" w:cs="Times New Roman"/>
                <w:noProof/>
                <w:webHidden/>
              </w:rPr>
            </w:r>
            <w:r w:rsidRPr="00112141">
              <w:rPr>
                <w:rFonts w:ascii="Times New Roman" w:hAnsi="Times New Roman" w:cs="Times New Roman"/>
                <w:noProof/>
                <w:webHidden/>
              </w:rPr>
              <w:fldChar w:fldCharType="separate"/>
            </w:r>
            <w:r w:rsidRPr="00112141">
              <w:rPr>
                <w:rFonts w:ascii="Times New Roman" w:hAnsi="Times New Roman" w:cs="Times New Roman"/>
                <w:noProof/>
                <w:webHidden/>
              </w:rPr>
              <w:t>164</w:t>
            </w:r>
            <w:r w:rsidRPr="00112141">
              <w:rPr>
                <w:rFonts w:ascii="Times New Roman" w:hAnsi="Times New Roman" w:cs="Times New Roman"/>
                <w:noProof/>
                <w:webHidden/>
              </w:rPr>
              <w:fldChar w:fldCharType="end"/>
            </w:r>
          </w:hyperlink>
        </w:p>
        <w:p w14:paraId="2710B23B" w14:textId="11F17523" w:rsidR="00180617" w:rsidRPr="00112141" w:rsidRDefault="00180617">
          <w:pPr>
            <w:pStyle w:val="TOC3"/>
            <w:tabs>
              <w:tab w:val="right" w:leader="dot" w:pos="9488"/>
            </w:tabs>
            <w:rPr>
              <w:rFonts w:ascii="Times New Roman" w:eastAsiaTheme="minorEastAsia" w:hAnsi="Times New Roman" w:cs="Times New Roman"/>
              <w:noProof/>
              <w:lang w:eastAsia="en-IN"/>
            </w:rPr>
          </w:pPr>
          <w:hyperlink w:anchor="_Toc221007136" w:history="1">
            <w:r w:rsidRPr="00112141">
              <w:rPr>
                <w:rStyle w:val="Hyperlink"/>
                <w:rFonts w:ascii="Times New Roman" w:hAnsi="Times New Roman" w:cs="Times New Roman"/>
                <w:noProof/>
                <w:color w:val="auto"/>
              </w:rPr>
              <w:t>5(a). Composition of Revenue of Part A and Part B States under Main Heads—1950-51</w:t>
            </w:r>
            <w:r w:rsidRPr="00112141">
              <w:rPr>
                <w:rFonts w:ascii="Times New Roman" w:hAnsi="Times New Roman" w:cs="Times New Roman"/>
                <w:noProof/>
                <w:webHidden/>
              </w:rPr>
              <w:tab/>
            </w:r>
            <w:r w:rsidRPr="00112141">
              <w:rPr>
                <w:rFonts w:ascii="Times New Roman" w:hAnsi="Times New Roman" w:cs="Times New Roman"/>
                <w:noProof/>
                <w:webHidden/>
              </w:rPr>
              <w:fldChar w:fldCharType="begin"/>
            </w:r>
            <w:r w:rsidRPr="00112141">
              <w:rPr>
                <w:rFonts w:ascii="Times New Roman" w:hAnsi="Times New Roman" w:cs="Times New Roman"/>
                <w:noProof/>
                <w:webHidden/>
              </w:rPr>
              <w:instrText xml:space="preserve"> PAGEREF _Toc221007136 \h </w:instrText>
            </w:r>
            <w:r w:rsidRPr="00112141">
              <w:rPr>
                <w:rFonts w:ascii="Times New Roman" w:hAnsi="Times New Roman" w:cs="Times New Roman"/>
                <w:noProof/>
                <w:webHidden/>
              </w:rPr>
            </w:r>
            <w:r w:rsidRPr="00112141">
              <w:rPr>
                <w:rFonts w:ascii="Times New Roman" w:hAnsi="Times New Roman" w:cs="Times New Roman"/>
                <w:noProof/>
                <w:webHidden/>
              </w:rPr>
              <w:fldChar w:fldCharType="separate"/>
            </w:r>
            <w:r w:rsidRPr="00112141">
              <w:rPr>
                <w:rFonts w:ascii="Times New Roman" w:hAnsi="Times New Roman" w:cs="Times New Roman"/>
                <w:noProof/>
                <w:webHidden/>
              </w:rPr>
              <w:t>166</w:t>
            </w:r>
            <w:r w:rsidRPr="00112141">
              <w:rPr>
                <w:rFonts w:ascii="Times New Roman" w:hAnsi="Times New Roman" w:cs="Times New Roman"/>
                <w:noProof/>
                <w:webHidden/>
              </w:rPr>
              <w:fldChar w:fldCharType="end"/>
            </w:r>
          </w:hyperlink>
        </w:p>
        <w:p w14:paraId="46923B0E" w14:textId="427D4DD0" w:rsidR="00180617" w:rsidRPr="00112141" w:rsidRDefault="00180617">
          <w:pPr>
            <w:pStyle w:val="TOC3"/>
            <w:tabs>
              <w:tab w:val="right" w:leader="dot" w:pos="9488"/>
            </w:tabs>
            <w:rPr>
              <w:rFonts w:ascii="Times New Roman" w:eastAsiaTheme="minorEastAsia" w:hAnsi="Times New Roman" w:cs="Times New Roman"/>
              <w:noProof/>
              <w:lang w:eastAsia="en-IN"/>
            </w:rPr>
          </w:pPr>
          <w:hyperlink w:anchor="_Toc221007137" w:history="1">
            <w:r w:rsidRPr="00112141">
              <w:rPr>
                <w:rStyle w:val="Hyperlink"/>
                <w:rFonts w:ascii="Times New Roman" w:hAnsi="Times New Roman" w:cs="Times New Roman"/>
                <w:noProof/>
                <w:color w:val="auto"/>
              </w:rPr>
              <w:t>5(b).—Composition of Revenue of Part A and Part B States under Main Heads—1951-52 (Provisional Figures)</w:t>
            </w:r>
            <w:r w:rsidRPr="00112141">
              <w:rPr>
                <w:rFonts w:ascii="Times New Roman" w:hAnsi="Times New Roman" w:cs="Times New Roman"/>
                <w:noProof/>
                <w:webHidden/>
              </w:rPr>
              <w:tab/>
            </w:r>
            <w:r w:rsidRPr="00112141">
              <w:rPr>
                <w:rFonts w:ascii="Times New Roman" w:hAnsi="Times New Roman" w:cs="Times New Roman"/>
                <w:noProof/>
                <w:webHidden/>
              </w:rPr>
              <w:fldChar w:fldCharType="begin"/>
            </w:r>
            <w:r w:rsidRPr="00112141">
              <w:rPr>
                <w:rFonts w:ascii="Times New Roman" w:hAnsi="Times New Roman" w:cs="Times New Roman"/>
                <w:noProof/>
                <w:webHidden/>
              </w:rPr>
              <w:instrText xml:space="preserve"> PAGEREF _Toc221007137 \h </w:instrText>
            </w:r>
            <w:r w:rsidRPr="00112141">
              <w:rPr>
                <w:rFonts w:ascii="Times New Roman" w:hAnsi="Times New Roman" w:cs="Times New Roman"/>
                <w:noProof/>
                <w:webHidden/>
              </w:rPr>
            </w:r>
            <w:r w:rsidRPr="00112141">
              <w:rPr>
                <w:rFonts w:ascii="Times New Roman" w:hAnsi="Times New Roman" w:cs="Times New Roman"/>
                <w:noProof/>
                <w:webHidden/>
              </w:rPr>
              <w:fldChar w:fldCharType="separate"/>
            </w:r>
            <w:r w:rsidRPr="00112141">
              <w:rPr>
                <w:rFonts w:ascii="Times New Roman" w:hAnsi="Times New Roman" w:cs="Times New Roman"/>
                <w:noProof/>
                <w:webHidden/>
              </w:rPr>
              <w:t>168</w:t>
            </w:r>
            <w:r w:rsidRPr="00112141">
              <w:rPr>
                <w:rFonts w:ascii="Times New Roman" w:hAnsi="Times New Roman" w:cs="Times New Roman"/>
                <w:noProof/>
                <w:webHidden/>
              </w:rPr>
              <w:fldChar w:fldCharType="end"/>
            </w:r>
          </w:hyperlink>
        </w:p>
        <w:p w14:paraId="72F055B5" w14:textId="2D3D79A4" w:rsidR="00180617" w:rsidRPr="00112141" w:rsidRDefault="00180617">
          <w:pPr>
            <w:pStyle w:val="TOC3"/>
            <w:tabs>
              <w:tab w:val="right" w:leader="dot" w:pos="9488"/>
            </w:tabs>
            <w:rPr>
              <w:rFonts w:ascii="Times New Roman" w:eastAsiaTheme="minorEastAsia" w:hAnsi="Times New Roman" w:cs="Times New Roman"/>
              <w:noProof/>
              <w:lang w:eastAsia="en-IN"/>
            </w:rPr>
          </w:pPr>
          <w:hyperlink w:anchor="_Toc221007138" w:history="1">
            <w:r w:rsidRPr="00112141">
              <w:rPr>
                <w:rStyle w:val="Hyperlink"/>
                <w:rFonts w:ascii="Times New Roman" w:hAnsi="Times New Roman" w:cs="Times New Roman"/>
                <w:noProof/>
                <w:color w:val="auto"/>
              </w:rPr>
              <w:t>5(c).—Composition of Revenue of Part A and Part B States under Main Heads—1952-53 (Budget Estimates)</w:t>
            </w:r>
            <w:r w:rsidRPr="00112141">
              <w:rPr>
                <w:rFonts w:ascii="Times New Roman" w:hAnsi="Times New Roman" w:cs="Times New Roman"/>
                <w:noProof/>
                <w:webHidden/>
              </w:rPr>
              <w:tab/>
            </w:r>
            <w:r w:rsidRPr="00112141">
              <w:rPr>
                <w:rFonts w:ascii="Times New Roman" w:hAnsi="Times New Roman" w:cs="Times New Roman"/>
                <w:noProof/>
                <w:webHidden/>
              </w:rPr>
              <w:fldChar w:fldCharType="begin"/>
            </w:r>
            <w:r w:rsidRPr="00112141">
              <w:rPr>
                <w:rFonts w:ascii="Times New Roman" w:hAnsi="Times New Roman" w:cs="Times New Roman"/>
                <w:noProof/>
                <w:webHidden/>
              </w:rPr>
              <w:instrText xml:space="preserve"> PAGEREF _Toc221007138 \h </w:instrText>
            </w:r>
            <w:r w:rsidRPr="00112141">
              <w:rPr>
                <w:rFonts w:ascii="Times New Roman" w:hAnsi="Times New Roman" w:cs="Times New Roman"/>
                <w:noProof/>
                <w:webHidden/>
              </w:rPr>
            </w:r>
            <w:r w:rsidRPr="00112141">
              <w:rPr>
                <w:rFonts w:ascii="Times New Roman" w:hAnsi="Times New Roman" w:cs="Times New Roman"/>
                <w:noProof/>
                <w:webHidden/>
              </w:rPr>
              <w:fldChar w:fldCharType="separate"/>
            </w:r>
            <w:r w:rsidRPr="00112141">
              <w:rPr>
                <w:rFonts w:ascii="Times New Roman" w:hAnsi="Times New Roman" w:cs="Times New Roman"/>
                <w:noProof/>
                <w:webHidden/>
              </w:rPr>
              <w:t>170</w:t>
            </w:r>
            <w:r w:rsidRPr="00112141">
              <w:rPr>
                <w:rFonts w:ascii="Times New Roman" w:hAnsi="Times New Roman" w:cs="Times New Roman"/>
                <w:noProof/>
                <w:webHidden/>
              </w:rPr>
              <w:fldChar w:fldCharType="end"/>
            </w:r>
          </w:hyperlink>
        </w:p>
        <w:p w14:paraId="091507DA" w14:textId="336E40B3" w:rsidR="00180617" w:rsidRPr="00112141" w:rsidRDefault="00180617">
          <w:pPr>
            <w:pStyle w:val="TOC3"/>
            <w:tabs>
              <w:tab w:val="right" w:leader="dot" w:pos="9488"/>
            </w:tabs>
            <w:rPr>
              <w:rFonts w:ascii="Times New Roman" w:eastAsiaTheme="minorEastAsia" w:hAnsi="Times New Roman" w:cs="Times New Roman"/>
              <w:noProof/>
              <w:lang w:eastAsia="en-IN"/>
            </w:rPr>
          </w:pPr>
          <w:hyperlink w:anchor="_Toc221007139" w:history="1">
            <w:r w:rsidRPr="00112141">
              <w:rPr>
                <w:rStyle w:val="Hyperlink"/>
                <w:rFonts w:ascii="Times New Roman" w:hAnsi="Times New Roman" w:cs="Times New Roman"/>
                <w:noProof/>
                <w:color w:val="auto"/>
              </w:rPr>
              <w:t>6. - Tax Revenue of Part A and Part B States, 1950-51 to 1952-53</w:t>
            </w:r>
            <w:r w:rsidRPr="00112141">
              <w:rPr>
                <w:rFonts w:ascii="Times New Roman" w:hAnsi="Times New Roman" w:cs="Times New Roman"/>
                <w:noProof/>
                <w:webHidden/>
              </w:rPr>
              <w:tab/>
            </w:r>
            <w:r w:rsidRPr="00112141">
              <w:rPr>
                <w:rFonts w:ascii="Times New Roman" w:hAnsi="Times New Roman" w:cs="Times New Roman"/>
                <w:noProof/>
                <w:webHidden/>
              </w:rPr>
              <w:fldChar w:fldCharType="begin"/>
            </w:r>
            <w:r w:rsidRPr="00112141">
              <w:rPr>
                <w:rFonts w:ascii="Times New Roman" w:hAnsi="Times New Roman" w:cs="Times New Roman"/>
                <w:noProof/>
                <w:webHidden/>
              </w:rPr>
              <w:instrText xml:space="preserve"> PAGEREF _Toc221007139 \h </w:instrText>
            </w:r>
            <w:r w:rsidRPr="00112141">
              <w:rPr>
                <w:rFonts w:ascii="Times New Roman" w:hAnsi="Times New Roman" w:cs="Times New Roman"/>
                <w:noProof/>
                <w:webHidden/>
              </w:rPr>
            </w:r>
            <w:r w:rsidRPr="00112141">
              <w:rPr>
                <w:rFonts w:ascii="Times New Roman" w:hAnsi="Times New Roman" w:cs="Times New Roman"/>
                <w:noProof/>
                <w:webHidden/>
              </w:rPr>
              <w:fldChar w:fldCharType="separate"/>
            </w:r>
            <w:r w:rsidRPr="00112141">
              <w:rPr>
                <w:rFonts w:ascii="Times New Roman" w:hAnsi="Times New Roman" w:cs="Times New Roman"/>
                <w:noProof/>
                <w:webHidden/>
              </w:rPr>
              <w:t>172</w:t>
            </w:r>
            <w:r w:rsidRPr="00112141">
              <w:rPr>
                <w:rFonts w:ascii="Times New Roman" w:hAnsi="Times New Roman" w:cs="Times New Roman"/>
                <w:noProof/>
                <w:webHidden/>
              </w:rPr>
              <w:fldChar w:fldCharType="end"/>
            </w:r>
          </w:hyperlink>
        </w:p>
        <w:p w14:paraId="06DAFCDB" w14:textId="636E4CA1" w:rsidR="00180617" w:rsidRPr="00112141" w:rsidRDefault="00180617">
          <w:pPr>
            <w:pStyle w:val="TOC3"/>
            <w:tabs>
              <w:tab w:val="right" w:leader="dot" w:pos="9488"/>
            </w:tabs>
            <w:rPr>
              <w:rFonts w:ascii="Times New Roman" w:eastAsiaTheme="minorEastAsia" w:hAnsi="Times New Roman" w:cs="Times New Roman"/>
              <w:noProof/>
              <w:lang w:eastAsia="en-IN"/>
            </w:rPr>
          </w:pPr>
          <w:hyperlink w:anchor="_Toc221007140" w:history="1">
            <w:r w:rsidRPr="00112141">
              <w:rPr>
                <w:rStyle w:val="Hyperlink"/>
                <w:rFonts w:ascii="Times New Roman" w:hAnsi="Times New Roman" w:cs="Times New Roman"/>
                <w:noProof/>
                <w:color w:val="auto"/>
              </w:rPr>
              <w:t>6(a).—Per Capita Receipts of Part A and Part B States under Main Heads, 1950-51 and 1951-52</w:t>
            </w:r>
            <w:r w:rsidRPr="00112141">
              <w:rPr>
                <w:rFonts w:ascii="Times New Roman" w:hAnsi="Times New Roman" w:cs="Times New Roman"/>
                <w:noProof/>
                <w:webHidden/>
              </w:rPr>
              <w:tab/>
            </w:r>
            <w:r w:rsidRPr="00112141">
              <w:rPr>
                <w:rFonts w:ascii="Times New Roman" w:hAnsi="Times New Roman" w:cs="Times New Roman"/>
                <w:noProof/>
                <w:webHidden/>
              </w:rPr>
              <w:fldChar w:fldCharType="begin"/>
            </w:r>
            <w:r w:rsidRPr="00112141">
              <w:rPr>
                <w:rFonts w:ascii="Times New Roman" w:hAnsi="Times New Roman" w:cs="Times New Roman"/>
                <w:noProof/>
                <w:webHidden/>
              </w:rPr>
              <w:instrText xml:space="preserve"> PAGEREF _Toc221007140 \h </w:instrText>
            </w:r>
            <w:r w:rsidRPr="00112141">
              <w:rPr>
                <w:rFonts w:ascii="Times New Roman" w:hAnsi="Times New Roman" w:cs="Times New Roman"/>
                <w:noProof/>
                <w:webHidden/>
              </w:rPr>
            </w:r>
            <w:r w:rsidRPr="00112141">
              <w:rPr>
                <w:rFonts w:ascii="Times New Roman" w:hAnsi="Times New Roman" w:cs="Times New Roman"/>
                <w:noProof/>
                <w:webHidden/>
              </w:rPr>
              <w:fldChar w:fldCharType="separate"/>
            </w:r>
            <w:r w:rsidRPr="00112141">
              <w:rPr>
                <w:rFonts w:ascii="Times New Roman" w:hAnsi="Times New Roman" w:cs="Times New Roman"/>
                <w:noProof/>
                <w:webHidden/>
              </w:rPr>
              <w:t>174</w:t>
            </w:r>
            <w:r w:rsidRPr="00112141">
              <w:rPr>
                <w:rFonts w:ascii="Times New Roman" w:hAnsi="Times New Roman" w:cs="Times New Roman"/>
                <w:noProof/>
                <w:webHidden/>
              </w:rPr>
              <w:fldChar w:fldCharType="end"/>
            </w:r>
          </w:hyperlink>
        </w:p>
        <w:p w14:paraId="1A231C0D" w14:textId="29DB14DC" w:rsidR="00180617" w:rsidRPr="00112141" w:rsidRDefault="00180617">
          <w:pPr>
            <w:pStyle w:val="TOC3"/>
            <w:tabs>
              <w:tab w:val="right" w:leader="dot" w:pos="9488"/>
            </w:tabs>
            <w:rPr>
              <w:rFonts w:ascii="Times New Roman" w:eastAsiaTheme="minorEastAsia" w:hAnsi="Times New Roman" w:cs="Times New Roman"/>
              <w:noProof/>
              <w:lang w:eastAsia="en-IN"/>
            </w:rPr>
          </w:pPr>
          <w:hyperlink w:anchor="_Toc221007141" w:history="1">
            <w:r w:rsidRPr="00112141">
              <w:rPr>
                <w:rStyle w:val="Hyperlink"/>
                <w:rFonts w:ascii="Times New Roman" w:hAnsi="Times New Roman" w:cs="Times New Roman"/>
                <w:noProof/>
                <w:color w:val="auto"/>
              </w:rPr>
              <w:t>7(a).—Composition of Expenditure met from Revenue of Part A and Part B States—1950-51</w:t>
            </w:r>
            <w:r w:rsidRPr="00112141">
              <w:rPr>
                <w:rFonts w:ascii="Times New Roman" w:hAnsi="Times New Roman" w:cs="Times New Roman"/>
                <w:noProof/>
                <w:webHidden/>
              </w:rPr>
              <w:tab/>
            </w:r>
            <w:r w:rsidRPr="00112141">
              <w:rPr>
                <w:rFonts w:ascii="Times New Roman" w:hAnsi="Times New Roman" w:cs="Times New Roman"/>
                <w:noProof/>
                <w:webHidden/>
              </w:rPr>
              <w:fldChar w:fldCharType="begin"/>
            </w:r>
            <w:r w:rsidRPr="00112141">
              <w:rPr>
                <w:rFonts w:ascii="Times New Roman" w:hAnsi="Times New Roman" w:cs="Times New Roman"/>
                <w:noProof/>
                <w:webHidden/>
              </w:rPr>
              <w:instrText xml:space="preserve"> PAGEREF _Toc221007141 \h </w:instrText>
            </w:r>
            <w:r w:rsidRPr="00112141">
              <w:rPr>
                <w:rFonts w:ascii="Times New Roman" w:hAnsi="Times New Roman" w:cs="Times New Roman"/>
                <w:noProof/>
                <w:webHidden/>
              </w:rPr>
            </w:r>
            <w:r w:rsidRPr="00112141">
              <w:rPr>
                <w:rFonts w:ascii="Times New Roman" w:hAnsi="Times New Roman" w:cs="Times New Roman"/>
                <w:noProof/>
                <w:webHidden/>
              </w:rPr>
              <w:fldChar w:fldCharType="separate"/>
            </w:r>
            <w:r w:rsidRPr="00112141">
              <w:rPr>
                <w:rFonts w:ascii="Times New Roman" w:hAnsi="Times New Roman" w:cs="Times New Roman"/>
                <w:noProof/>
                <w:webHidden/>
              </w:rPr>
              <w:t>176</w:t>
            </w:r>
            <w:r w:rsidRPr="00112141">
              <w:rPr>
                <w:rFonts w:ascii="Times New Roman" w:hAnsi="Times New Roman" w:cs="Times New Roman"/>
                <w:noProof/>
                <w:webHidden/>
              </w:rPr>
              <w:fldChar w:fldCharType="end"/>
            </w:r>
          </w:hyperlink>
        </w:p>
        <w:p w14:paraId="4FF7E4EE" w14:textId="4C45C669" w:rsidR="00180617" w:rsidRPr="00112141" w:rsidRDefault="00180617">
          <w:pPr>
            <w:pStyle w:val="TOC3"/>
            <w:tabs>
              <w:tab w:val="right" w:leader="dot" w:pos="9488"/>
            </w:tabs>
            <w:rPr>
              <w:rFonts w:ascii="Times New Roman" w:eastAsiaTheme="minorEastAsia" w:hAnsi="Times New Roman" w:cs="Times New Roman"/>
              <w:noProof/>
              <w:lang w:eastAsia="en-IN"/>
            </w:rPr>
          </w:pPr>
          <w:hyperlink w:anchor="_Toc221007142" w:history="1">
            <w:r w:rsidRPr="00112141">
              <w:rPr>
                <w:rStyle w:val="Hyperlink"/>
                <w:rFonts w:ascii="Times New Roman" w:hAnsi="Times New Roman" w:cs="Times New Roman"/>
                <w:noProof/>
                <w:color w:val="auto"/>
              </w:rPr>
              <w:t>7(b).—Composition of Expenditure met from Revenue of Part 'A' and Part 'B' States—1951-52 (Provisional figures)</w:t>
            </w:r>
            <w:r w:rsidRPr="00112141">
              <w:rPr>
                <w:rFonts w:ascii="Times New Roman" w:hAnsi="Times New Roman" w:cs="Times New Roman"/>
                <w:noProof/>
                <w:webHidden/>
              </w:rPr>
              <w:tab/>
            </w:r>
            <w:r w:rsidRPr="00112141">
              <w:rPr>
                <w:rFonts w:ascii="Times New Roman" w:hAnsi="Times New Roman" w:cs="Times New Roman"/>
                <w:noProof/>
                <w:webHidden/>
              </w:rPr>
              <w:fldChar w:fldCharType="begin"/>
            </w:r>
            <w:r w:rsidRPr="00112141">
              <w:rPr>
                <w:rFonts w:ascii="Times New Roman" w:hAnsi="Times New Roman" w:cs="Times New Roman"/>
                <w:noProof/>
                <w:webHidden/>
              </w:rPr>
              <w:instrText xml:space="preserve"> PAGEREF _Toc221007142 \h </w:instrText>
            </w:r>
            <w:r w:rsidRPr="00112141">
              <w:rPr>
                <w:rFonts w:ascii="Times New Roman" w:hAnsi="Times New Roman" w:cs="Times New Roman"/>
                <w:noProof/>
                <w:webHidden/>
              </w:rPr>
            </w:r>
            <w:r w:rsidRPr="00112141">
              <w:rPr>
                <w:rFonts w:ascii="Times New Roman" w:hAnsi="Times New Roman" w:cs="Times New Roman"/>
                <w:noProof/>
                <w:webHidden/>
              </w:rPr>
              <w:fldChar w:fldCharType="separate"/>
            </w:r>
            <w:r w:rsidRPr="00112141">
              <w:rPr>
                <w:rFonts w:ascii="Times New Roman" w:hAnsi="Times New Roman" w:cs="Times New Roman"/>
                <w:noProof/>
                <w:webHidden/>
              </w:rPr>
              <w:t>178</w:t>
            </w:r>
            <w:r w:rsidRPr="00112141">
              <w:rPr>
                <w:rFonts w:ascii="Times New Roman" w:hAnsi="Times New Roman" w:cs="Times New Roman"/>
                <w:noProof/>
                <w:webHidden/>
              </w:rPr>
              <w:fldChar w:fldCharType="end"/>
            </w:r>
          </w:hyperlink>
        </w:p>
        <w:p w14:paraId="74165FDD" w14:textId="5491D63B" w:rsidR="00180617" w:rsidRPr="00112141" w:rsidRDefault="00180617">
          <w:pPr>
            <w:pStyle w:val="TOC3"/>
            <w:tabs>
              <w:tab w:val="right" w:leader="dot" w:pos="9488"/>
            </w:tabs>
            <w:rPr>
              <w:rFonts w:ascii="Times New Roman" w:eastAsiaTheme="minorEastAsia" w:hAnsi="Times New Roman" w:cs="Times New Roman"/>
              <w:noProof/>
              <w:lang w:eastAsia="en-IN"/>
            </w:rPr>
          </w:pPr>
          <w:hyperlink w:anchor="_Toc221007143" w:history="1">
            <w:r w:rsidRPr="00112141">
              <w:rPr>
                <w:rStyle w:val="Hyperlink"/>
                <w:rFonts w:ascii="Times New Roman" w:hAnsi="Times New Roman" w:cs="Times New Roman"/>
                <w:noProof/>
                <w:color w:val="auto"/>
              </w:rPr>
              <w:t>7(c).—Composition of expenditure met from revenue of Part A and Part B States—1952-53 (Budget Estimates)</w:t>
            </w:r>
            <w:r w:rsidRPr="00112141">
              <w:rPr>
                <w:rFonts w:ascii="Times New Roman" w:hAnsi="Times New Roman" w:cs="Times New Roman"/>
                <w:noProof/>
                <w:webHidden/>
              </w:rPr>
              <w:tab/>
            </w:r>
            <w:r w:rsidRPr="00112141">
              <w:rPr>
                <w:rFonts w:ascii="Times New Roman" w:hAnsi="Times New Roman" w:cs="Times New Roman"/>
                <w:noProof/>
                <w:webHidden/>
              </w:rPr>
              <w:fldChar w:fldCharType="begin"/>
            </w:r>
            <w:r w:rsidRPr="00112141">
              <w:rPr>
                <w:rFonts w:ascii="Times New Roman" w:hAnsi="Times New Roman" w:cs="Times New Roman"/>
                <w:noProof/>
                <w:webHidden/>
              </w:rPr>
              <w:instrText xml:space="preserve"> PAGEREF _Toc221007143 \h </w:instrText>
            </w:r>
            <w:r w:rsidRPr="00112141">
              <w:rPr>
                <w:rFonts w:ascii="Times New Roman" w:hAnsi="Times New Roman" w:cs="Times New Roman"/>
                <w:noProof/>
                <w:webHidden/>
              </w:rPr>
            </w:r>
            <w:r w:rsidRPr="00112141">
              <w:rPr>
                <w:rFonts w:ascii="Times New Roman" w:hAnsi="Times New Roman" w:cs="Times New Roman"/>
                <w:noProof/>
                <w:webHidden/>
              </w:rPr>
              <w:fldChar w:fldCharType="separate"/>
            </w:r>
            <w:r w:rsidRPr="00112141">
              <w:rPr>
                <w:rFonts w:ascii="Times New Roman" w:hAnsi="Times New Roman" w:cs="Times New Roman"/>
                <w:noProof/>
                <w:webHidden/>
              </w:rPr>
              <w:t>180</w:t>
            </w:r>
            <w:r w:rsidRPr="00112141">
              <w:rPr>
                <w:rFonts w:ascii="Times New Roman" w:hAnsi="Times New Roman" w:cs="Times New Roman"/>
                <w:noProof/>
                <w:webHidden/>
              </w:rPr>
              <w:fldChar w:fldCharType="end"/>
            </w:r>
          </w:hyperlink>
        </w:p>
        <w:p w14:paraId="1968A696" w14:textId="69EAF1FD" w:rsidR="00180617" w:rsidRPr="00112141" w:rsidRDefault="00180617">
          <w:pPr>
            <w:pStyle w:val="TOC3"/>
            <w:tabs>
              <w:tab w:val="right" w:leader="dot" w:pos="9488"/>
            </w:tabs>
            <w:rPr>
              <w:rFonts w:ascii="Times New Roman" w:eastAsiaTheme="minorEastAsia" w:hAnsi="Times New Roman" w:cs="Times New Roman"/>
              <w:noProof/>
              <w:lang w:eastAsia="en-IN"/>
            </w:rPr>
          </w:pPr>
          <w:hyperlink w:anchor="_Toc221007144" w:history="1">
            <w:r w:rsidRPr="00112141">
              <w:rPr>
                <w:rStyle w:val="Hyperlink"/>
                <w:rFonts w:ascii="Times New Roman" w:hAnsi="Times New Roman" w:cs="Times New Roman"/>
                <w:noProof/>
                <w:color w:val="auto"/>
              </w:rPr>
              <w:t>8(a).—Amount and Per Capita Expenditure in States on selected services—1950-51</w:t>
            </w:r>
            <w:r w:rsidRPr="00112141">
              <w:rPr>
                <w:rFonts w:ascii="Times New Roman" w:hAnsi="Times New Roman" w:cs="Times New Roman"/>
                <w:noProof/>
                <w:webHidden/>
              </w:rPr>
              <w:tab/>
            </w:r>
            <w:r w:rsidRPr="00112141">
              <w:rPr>
                <w:rFonts w:ascii="Times New Roman" w:hAnsi="Times New Roman" w:cs="Times New Roman"/>
                <w:noProof/>
                <w:webHidden/>
              </w:rPr>
              <w:fldChar w:fldCharType="begin"/>
            </w:r>
            <w:r w:rsidRPr="00112141">
              <w:rPr>
                <w:rFonts w:ascii="Times New Roman" w:hAnsi="Times New Roman" w:cs="Times New Roman"/>
                <w:noProof/>
                <w:webHidden/>
              </w:rPr>
              <w:instrText xml:space="preserve"> PAGEREF _Toc221007144 \h </w:instrText>
            </w:r>
            <w:r w:rsidRPr="00112141">
              <w:rPr>
                <w:rFonts w:ascii="Times New Roman" w:hAnsi="Times New Roman" w:cs="Times New Roman"/>
                <w:noProof/>
                <w:webHidden/>
              </w:rPr>
            </w:r>
            <w:r w:rsidRPr="00112141">
              <w:rPr>
                <w:rFonts w:ascii="Times New Roman" w:hAnsi="Times New Roman" w:cs="Times New Roman"/>
                <w:noProof/>
                <w:webHidden/>
              </w:rPr>
              <w:fldChar w:fldCharType="separate"/>
            </w:r>
            <w:r w:rsidRPr="00112141">
              <w:rPr>
                <w:rFonts w:ascii="Times New Roman" w:hAnsi="Times New Roman" w:cs="Times New Roman"/>
                <w:noProof/>
                <w:webHidden/>
              </w:rPr>
              <w:t>182</w:t>
            </w:r>
            <w:r w:rsidRPr="00112141">
              <w:rPr>
                <w:rFonts w:ascii="Times New Roman" w:hAnsi="Times New Roman" w:cs="Times New Roman"/>
                <w:noProof/>
                <w:webHidden/>
              </w:rPr>
              <w:fldChar w:fldCharType="end"/>
            </w:r>
          </w:hyperlink>
        </w:p>
        <w:p w14:paraId="5ECB815C" w14:textId="77DE6322" w:rsidR="00180617" w:rsidRPr="00112141" w:rsidRDefault="00180617">
          <w:pPr>
            <w:pStyle w:val="TOC3"/>
            <w:tabs>
              <w:tab w:val="right" w:leader="dot" w:pos="9488"/>
            </w:tabs>
            <w:rPr>
              <w:rFonts w:ascii="Times New Roman" w:eastAsiaTheme="minorEastAsia" w:hAnsi="Times New Roman" w:cs="Times New Roman"/>
              <w:noProof/>
              <w:lang w:eastAsia="en-IN"/>
            </w:rPr>
          </w:pPr>
          <w:hyperlink w:anchor="_Toc221007145" w:history="1">
            <w:r w:rsidRPr="00112141">
              <w:rPr>
                <w:rStyle w:val="Hyperlink"/>
                <w:rFonts w:ascii="Times New Roman" w:hAnsi="Times New Roman" w:cs="Times New Roman"/>
                <w:noProof/>
                <w:color w:val="auto"/>
              </w:rPr>
              <w:t>8(b).—Amount and Per Capita Expenditure in States on Selected Services—1951-52 (Provisional Figures)</w:t>
            </w:r>
            <w:r w:rsidRPr="00112141">
              <w:rPr>
                <w:rFonts w:ascii="Times New Roman" w:hAnsi="Times New Roman" w:cs="Times New Roman"/>
                <w:noProof/>
                <w:webHidden/>
              </w:rPr>
              <w:tab/>
            </w:r>
            <w:r w:rsidRPr="00112141">
              <w:rPr>
                <w:rFonts w:ascii="Times New Roman" w:hAnsi="Times New Roman" w:cs="Times New Roman"/>
                <w:noProof/>
                <w:webHidden/>
              </w:rPr>
              <w:fldChar w:fldCharType="begin"/>
            </w:r>
            <w:r w:rsidRPr="00112141">
              <w:rPr>
                <w:rFonts w:ascii="Times New Roman" w:hAnsi="Times New Roman" w:cs="Times New Roman"/>
                <w:noProof/>
                <w:webHidden/>
              </w:rPr>
              <w:instrText xml:space="preserve"> PAGEREF _Toc221007145 \h </w:instrText>
            </w:r>
            <w:r w:rsidRPr="00112141">
              <w:rPr>
                <w:rFonts w:ascii="Times New Roman" w:hAnsi="Times New Roman" w:cs="Times New Roman"/>
                <w:noProof/>
                <w:webHidden/>
              </w:rPr>
            </w:r>
            <w:r w:rsidRPr="00112141">
              <w:rPr>
                <w:rFonts w:ascii="Times New Roman" w:hAnsi="Times New Roman" w:cs="Times New Roman"/>
                <w:noProof/>
                <w:webHidden/>
              </w:rPr>
              <w:fldChar w:fldCharType="separate"/>
            </w:r>
            <w:r w:rsidRPr="00112141">
              <w:rPr>
                <w:rFonts w:ascii="Times New Roman" w:hAnsi="Times New Roman" w:cs="Times New Roman"/>
                <w:noProof/>
                <w:webHidden/>
              </w:rPr>
              <w:t>184</w:t>
            </w:r>
            <w:r w:rsidRPr="00112141">
              <w:rPr>
                <w:rFonts w:ascii="Times New Roman" w:hAnsi="Times New Roman" w:cs="Times New Roman"/>
                <w:noProof/>
                <w:webHidden/>
              </w:rPr>
              <w:fldChar w:fldCharType="end"/>
            </w:r>
          </w:hyperlink>
        </w:p>
        <w:p w14:paraId="402EA174" w14:textId="4B89FA3A" w:rsidR="00180617" w:rsidRPr="00112141" w:rsidRDefault="00180617">
          <w:pPr>
            <w:pStyle w:val="TOC3"/>
            <w:tabs>
              <w:tab w:val="right" w:leader="dot" w:pos="9488"/>
            </w:tabs>
            <w:rPr>
              <w:rFonts w:ascii="Times New Roman" w:eastAsiaTheme="minorEastAsia" w:hAnsi="Times New Roman" w:cs="Times New Roman"/>
              <w:noProof/>
              <w:lang w:eastAsia="en-IN"/>
            </w:rPr>
          </w:pPr>
          <w:hyperlink w:anchor="_Toc221007146" w:history="1">
            <w:r w:rsidRPr="00112141">
              <w:rPr>
                <w:rStyle w:val="Hyperlink"/>
                <w:rFonts w:ascii="Times New Roman" w:hAnsi="Times New Roman" w:cs="Times New Roman"/>
                <w:noProof/>
                <w:color w:val="auto"/>
              </w:rPr>
              <w:t>8(c).—Amount and Per Capita Expenditure in States on Selected Services—1952-53</w:t>
            </w:r>
            <w:r w:rsidRPr="00112141">
              <w:rPr>
                <w:rFonts w:ascii="Times New Roman" w:hAnsi="Times New Roman" w:cs="Times New Roman"/>
                <w:noProof/>
                <w:webHidden/>
              </w:rPr>
              <w:tab/>
            </w:r>
            <w:r w:rsidRPr="00112141">
              <w:rPr>
                <w:rFonts w:ascii="Times New Roman" w:hAnsi="Times New Roman" w:cs="Times New Roman"/>
                <w:noProof/>
                <w:webHidden/>
              </w:rPr>
              <w:fldChar w:fldCharType="begin"/>
            </w:r>
            <w:r w:rsidRPr="00112141">
              <w:rPr>
                <w:rFonts w:ascii="Times New Roman" w:hAnsi="Times New Roman" w:cs="Times New Roman"/>
                <w:noProof/>
                <w:webHidden/>
              </w:rPr>
              <w:instrText xml:space="preserve"> PAGEREF _Toc221007146 \h </w:instrText>
            </w:r>
            <w:r w:rsidRPr="00112141">
              <w:rPr>
                <w:rFonts w:ascii="Times New Roman" w:hAnsi="Times New Roman" w:cs="Times New Roman"/>
                <w:noProof/>
                <w:webHidden/>
              </w:rPr>
            </w:r>
            <w:r w:rsidRPr="00112141">
              <w:rPr>
                <w:rFonts w:ascii="Times New Roman" w:hAnsi="Times New Roman" w:cs="Times New Roman"/>
                <w:noProof/>
                <w:webHidden/>
              </w:rPr>
              <w:fldChar w:fldCharType="separate"/>
            </w:r>
            <w:r w:rsidRPr="00112141">
              <w:rPr>
                <w:rFonts w:ascii="Times New Roman" w:hAnsi="Times New Roman" w:cs="Times New Roman"/>
                <w:noProof/>
                <w:webHidden/>
              </w:rPr>
              <w:t>186</w:t>
            </w:r>
            <w:r w:rsidRPr="00112141">
              <w:rPr>
                <w:rFonts w:ascii="Times New Roman" w:hAnsi="Times New Roman" w:cs="Times New Roman"/>
                <w:noProof/>
                <w:webHidden/>
              </w:rPr>
              <w:fldChar w:fldCharType="end"/>
            </w:r>
          </w:hyperlink>
        </w:p>
        <w:p w14:paraId="57F4C2B8" w14:textId="5826BFA6" w:rsidR="00180617" w:rsidRPr="00112141" w:rsidRDefault="00180617">
          <w:pPr>
            <w:pStyle w:val="TOC3"/>
            <w:tabs>
              <w:tab w:val="right" w:leader="dot" w:pos="9488"/>
            </w:tabs>
            <w:rPr>
              <w:rFonts w:ascii="Times New Roman" w:eastAsiaTheme="minorEastAsia" w:hAnsi="Times New Roman" w:cs="Times New Roman"/>
              <w:noProof/>
              <w:lang w:eastAsia="en-IN"/>
            </w:rPr>
          </w:pPr>
          <w:hyperlink w:anchor="_Toc221007147" w:history="1">
            <w:r w:rsidRPr="00112141">
              <w:rPr>
                <w:rStyle w:val="Hyperlink"/>
                <w:rFonts w:ascii="Times New Roman" w:hAnsi="Times New Roman" w:cs="Times New Roman"/>
                <w:noProof/>
                <w:color w:val="auto"/>
              </w:rPr>
              <w:t>9.—Resources transferred from the Centre to the States through devolution of Revenue and Grants</w:t>
            </w:r>
            <w:r w:rsidRPr="00112141">
              <w:rPr>
                <w:rFonts w:ascii="Times New Roman" w:hAnsi="Times New Roman" w:cs="Times New Roman"/>
                <w:noProof/>
                <w:webHidden/>
              </w:rPr>
              <w:tab/>
            </w:r>
            <w:r w:rsidRPr="00112141">
              <w:rPr>
                <w:rFonts w:ascii="Times New Roman" w:hAnsi="Times New Roman" w:cs="Times New Roman"/>
                <w:noProof/>
                <w:webHidden/>
              </w:rPr>
              <w:fldChar w:fldCharType="begin"/>
            </w:r>
            <w:r w:rsidRPr="00112141">
              <w:rPr>
                <w:rFonts w:ascii="Times New Roman" w:hAnsi="Times New Roman" w:cs="Times New Roman"/>
                <w:noProof/>
                <w:webHidden/>
              </w:rPr>
              <w:instrText xml:space="preserve"> PAGEREF _Toc221007147 \h </w:instrText>
            </w:r>
            <w:r w:rsidRPr="00112141">
              <w:rPr>
                <w:rFonts w:ascii="Times New Roman" w:hAnsi="Times New Roman" w:cs="Times New Roman"/>
                <w:noProof/>
                <w:webHidden/>
              </w:rPr>
            </w:r>
            <w:r w:rsidRPr="00112141">
              <w:rPr>
                <w:rFonts w:ascii="Times New Roman" w:hAnsi="Times New Roman" w:cs="Times New Roman"/>
                <w:noProof/>
                <w:webHidden/>
              </w:rPr>
              <w:fldChar w:fldCharType="separate"/>
            </w:r>
            <w:r w:rsidRPr="00112141">
              <w:rPr>
                <w:rFonts w:ascii="Times New Roman" w:hAnsi="Times New Roman" w:cs="Times New Roman"/>
                <w:noProof/>
                <w:webHidden/>
              </w:rPr>
              <w:t>188</w:t>
            </w:r>
            <w:r w:rsidRPr="00112141">
              <w:rPr>
                <w:rFonts w:ascii="Times New Roman" w:hAnsi="Times New Roman" w:cs="Times New Roman"/>
                <w:noProof/>
                <w:webHidden/>
              </w:rPr>
              <w:fldChar w:fldCharType="end"/>
            </w:r>
          </w:hyperlink>
        </w:p>
        <w:p w14:paraId="63DEF60B" w14:textId="685E11BC" w:rsidR="00180617" w:rsidRPr="00112141" w:rsidRDefault="00180617">
          <w:pPr>
            <w:pStyle w:val="TOC3"/>
            <w:tabs>
              <w:tab w:val="right" w:leader="dot" w:pos="9488"/>
            </w:tabs>
            <w:rPr>
              <w:rFonts w:ascii="Times New Roman" w:eastAsiaTheme="minorEastAsia" w:hAnsi="Times New Roman" w:cs="Times New Roman"/>
              <w:noProof/>
              <w:lang w:eastAsia="en-IN"/>
            </w:rPr>
          </w:pPr>
          <w:hyperlink w:anchor="_Toc221007148" w:history="1">
            <w:r w:rsidRPr="00112141">
              <w:rPr>
                <w:rStyle w:val="Hyperlink"/>
                <w:rFonts w:ascii="Times New Roman" w:hAnsi="Times New Roman" w:cs="Times New Roman"/>
                <w:noProof/>
                <w:color w:val="auto"/>
              </w:rPr>
              <w:t>10.—Resources transferred from the Centre to the State through devolution of Revenue and Grants: Details—1950-51 to 1952-53</w:t>
            </w:r>
            <w:r w:rsidRPr="00112141">
              <w:rPr>
                <w:rFonts w:ascii="Times New Roman" w:hAnsi="Times New Roman" w:cs="Times New Roman"/>
                <w:noProof/>
                <w:webHidden/>
              </w:rPr>
              <w:tab/>
            </w:r>
            <w:r w:rsidRPr="00112141">
              <w:rPr>
                <w:rFonts w:ascii="Times New Roman" w:hAnsi="Times New Roman" w:cs="Times New Roman"/>
                <w:noProof/>
                <w:webHidden/>
              </w:rPr>
              <w:fldChar w:fldCharType="begin"/>
            </w:r>
            <w:r w:rsidRPr="00112141">
              <w:rPr>
                <w:rFonts w:ascii="Times New Roman" w:hAnsi="Times New Roman" w:cs="Times New Roman"/>
                <w:noProof/>
                <w:webHidden/>
              </w:rPr>
              <w:instrText xml:space="preserve"> PAGEREF _Toc221007148 \h </w:instrText>
            </w:r>
            <w:r w:rsidRPr="00112141">
              <w:rPr>
                <w:rFonts w:ascii="Times New Roman" w:hAnsi="Times New Roman" w:cs="Times New Roman"/>
                <w:noProof/>
                <w:webHidden/>
              </w:rPr>
            </w:r>
            <w:r w:rsidRPr="00112141">
              <w:rPr>
                <w:rFonts w:ascii="Times New Roman" w:hAnsi="Times New Roman" w:cs="Times New Roman"/>
                <w:noProof/>
                <w:webHidden/>
              </w:rPr>
              <w:fldChar w:fldCharType="separate"/>
            </w:r>
            <w:r w:rsidRPr="00112141">
              <w:rPr>
                <w:rFonts w:ascii="Times New Roman" w:hAnsi="Times New Roman" w:cs="Times New Roman"/>
                <w:noProof/>
                <w:webHidden/>
              </w:rPr>
              <w:t>190</w:t>
            </w:r>
            <w:r w:rsidRPr="00112141">
              <w:rPr>
                <w:rFonts w:ascii="Times New Roman" w:hAnsi="Times New Roman" w:cs="Times New Roman"/>
                <w:noProof/>
                <w:webHidden/>
              </w:rPr>
              <w:fldChar w:fldCharType="end"/>
            </w:r>
          </w:hyperlink>
        </w:p>
        <w:p w14:paraId="7B91DEBB" w14:textId="260B9772" w:rsidR="00180617" w:rsidRPr="00112141" w:rsidRDefault="00180617">
          <w:pPr>
            <w:pStyle w:val="TOC3"/>
            <w:tabs>
              <w:tab w:val="right" w:leader="dot" w:pos="9488"/>
            </w:tabs>
            <w:rPr>
              <w:rFonts w:ascii="Times New Roman" w:eastAsiaTheme="minorEastAsia" w:hAnsi="Times New Roman" w:cs="Times New Roman"/>
              <w:noProof/>
              <w:lang w:eastAsia="en-IN"/>
            </w:rPr>
          </w:pPr>
          <w:hyperlink w:anchor="_Toc221007149" w:history="1">
            <w:r w:rsidRPr="00112141">
              <w:rPr>
                <w:rStyle w:val="Hyperlink"/>
                <w:rFonts w:ascii="Times New Roman" w:hAnsi="Times New Roman" w:cs="Times New Roman"/>
                <w:noProof/>
                <w:color w:val="auto"/>
              </w:rPr>
              <w:t>11.—Collection and Expenditure under certain major heads in cities of Bombay, Madras and Calcutta, 1948-49 to 1950-51.</w:t>
            </w:r>
            <w:r w:rsidRPr="00112141">
              <w:rPr>
                <w:rFonts w:ascii="Times New Roman" w:hAnsi="Times New Roman" w:cs="Times New Roman"/>
                <w:noProof/>
                <w:webHidden/>
              </w:rPr>
              <w:tab/>
            </w:r>
            <w:r w:rsidRPr="00112141">
              <w:rPr>
                <w:rFonts w:ascii="Times New Roman" w:hAnsi="Times New Roman" w:cs="Times New Roman"/>
                <w:noProof/>
                <w:webHidden/>
              </w:rPr>
              <w:fldChar w:fldCharType="begin"/>
            </w:r>
            <w:r w:rsidRPr="00112141">
              <w:rPr>
                <w:rFonts w:ascii="Times New Roman" w:hAnsi="Times New Roman" w:cs="Times New Roman"/>
                <w:noProof/>
                <w:webHidden/>
              </w:rPr>
              <w:instrText xml:space="preserve"> PAGEREF _Toc221007149 \h </w:instrText>
            </w:r>
            <w:r w:rsidRPr="00112141">
              <w:rPr>
                <w:rFonts w:ascii="Times New Roman" w:hAnsi="Times New Roman" w:cs="Times New Roman"/>
                <w:noProof/>
                <w:webHidden/>
              </w:rPr>
            </w:r>
            <w:r w:rsidRPr="00112141">
              <w:rPr>
                <w:rFonts w:ascii="Times New Roman" w:hAnsi="Times New Roman" w:cs="Times New Roman"/>
                <w:noProof/>
                <w:webHidden/>
              </w:rPr>
              <w:fldChar w:fldCharType="separate"/>
            </w:r>
            <w:r w:rsidRPr="00112141">
              <w:rPr>
                <w:rFonts w:ascii="Times New Roman" w:hAnsi="Times New Roman" w:cs="Times New Roman"/>
                <w:noProof/>
                <w:webHidden/>
              </w:rPr>
              <w:t>194</w:t>
            </w:r>
            <w:r w:rsidRPr="00112141">
              <w:rPr>
                <w:rFonts w:ascii="Times New Roman" w:hAnsi="Times New Roman" w:cs="Times New Roman"/>
                <w:noProof/>
                <w:webHidden/>
              </w:rPr>
              <w:fldChar w:fldCharType="end"/>
            </w:r>
          </w:hyperlink>
        </w:p>
        <w:p w14:paraId="261AAADD" w14:textId="79E5D53C" w:rsidR="00180617" w:rsidRPr="00112141" w:rsidRDefault="00180617">
          <w:pPr>
            <w:pStyle w:val="TOC3"/>
            <w:tabs>
              <w:tab w:val="right" w:leader="dot" w:pos="9488"/>
            </w:tabs>
            <w:rPr>
              <w:rFonts w:ascii="Times New Roman" w:eastAsiaTheme="minorEastAsia" w:hAnsi="Times New Roman" w:cs="Times New Roman"/>
              <w:noProof/>
              <w:lang w:eastAsia="en-IN"/>
            </w:rPr>
          </w:pPr>
          <w:hyperlink w:anchor="_Toc221007150" w:history="1">
            <w:r w:rsidRPr="00112141">
              <w:rPr>
                <w:rStyle w:val="Hyperlink"/>
                <w:rFonts w:ascii="Times New Roman" w:hAnsi="Times New Roman" w:cs="Times New Roman"/>
                <w:noProof/>
                <w:color w:val="auto"/>
              </w:rPr>
              <w:t>12.—Statement of Revenue from Central Excise Duties, 1937-38 to 1952-53</w:t>
            </w:r>
            <w:r w:rsidRPr="00112141">
              <w:rPr>
                <w:rFonts w:ascii="Times New Roman" w:hAnsi="Times New Roman" w:cs="Times New Roman"/>
                <w:noProof/>
                <w:webHidden/>
              </w:rPr>
              <w:tab/>
            </w:r>
            <w:r w:rsidRPr="00112141">
              <w:rPr>
                <w:rFonts w:ascii="Times New Roman" w:hAnsi="Times New Roman" w:cs="Times New Roman"/>
                <w:noProof/>
                <w:webHidden/>
              </w:rPr>
              <w:fldChar w:fldCharType="begin"/>
            </w:r>
            <w:r w:rsidRPr="00112141">
              <w:rPr>
                <w:rFonts w:ascii="Times New Roman" w:hAnsi="Times New Roman" w:cs="Times New Roman"/>
                <w:noProof/>
                <w:webHidden/>
              </w:rPr>
              <w:instrText xml:space="preserve"> PAGEREF _Toc221007150 \h </w:instrText>
            </w:r>
            <w:r w:rsidRPr="00112141">
              <w:rPr>
                <w:rFonts w:ascii="Times New Roman" w:hAnsi="Times New Roman" w:cs="Times New Roman"/>
                <w:noProof/>
                <w:webHidden/>
              </w:rPr>
            </w:r>
            <w:r w:rsidRPr="00112141">
              <w:rPr>
                <w:rFonts w:ascii="Times New Roman" w:hAnsi="Times New Roman" w:cs="Times New Roman"/>
                <w:noProof/>
                <w:webHidden/>
              </w:rPr>
              <w:fldChar w:fldCharType="separate"/>
            </w:r>
            <w:r w:rsidRPr="00112141">
              <w:rPr>
                <w:rFonts w:ascii="Times New Roman" w:hAnsi="Times New Roman" w:cs="Times New Roman"/>
                <w:noProof/>
                <w:webHidden/>
              </w:rPr>
              <w:t>196</w:t>
            </w:r>
            <w:r w:rsidRPr="00112141">
              <w:rPr>
                <w:rFonts w:ascii="Times New Roman" w:hAnsi="Times New Roman" w:cs="Times New Roman"/>
                <w:noProof/>
                <w:webHidden/>
              </w:rPr>
              <w:fldChar w:fldCharType="end"/>
            </w:r>
          </w:hyperlink>
        </w:p>
        <w:p w14:paraId="6819AEBC" w14:textId="0398DE94" w:rsidR="00180617" w:rsidRPr="00112141" w:rsidRDefault="00180617">
          <w:pPr>
            <w:pStyle w:val="TOC2"/>
            <w:tabs>
              <w:tab w:val="right" w:leader="dot" w:pos="9488"/>
            </w:tabs>
            <w:rPr>
              <w:rFonts w:ascii="Times New Roman" w:eastAsiaTheme="minorEastAsia" w:hAnsi="Times New Roman" w:cs="Times New Roman"/>
              <w:noProof/>
              <w:lang w:eastAsia="en-IN"/>
            </w:rPr>
          </w:pPr>
          <w:hyperlink w:anchor="_Toc221007151" w:history="1">
            <w:r w:rsidRPr="00112141">
              <w:rPr>
                <w:rStyle w:val="Hyperlink"/>
                <w:rFonts w:ascii="Times New Roman" w:hAnsi="Times New Roman" w:cs="Times New Roman"/>
                <w:noProof/>
                <w:color w:val="auto"/>
              </w:rPr>
              <w:t>APPENDIX X  PARTICULARS OF MAJOR ASSESSEES</w:t>
            </w:r>
            <w:r w:rsidRPr="00112141">
              <w:rPr>
                <w:rFonts w:ascii="Times New Roman" w:hAnsi="Times New Roman" w:cs="Times New Roman"/>
                <w:noProof/>
                <w:webHidden/>
              </w:rPr>
              <w:tab/>
            </w:r>
            <w:r w:rsidRPr="00112141">
              <w:rPr>
                <w:rFonts w:ascii="Times New Roman" w:hAnsi="Times New Roman" w:cs="Times New Roman"/>
                <w:noProof/>
                <w:webHidden/>
              </w:rPr>
              <w:fldChar w:fldCharType="begin"/>
            </w:r>
            <w:r w:rsidRPr="00112141">
              <w:rPr>
                <w:rFonts w:ascii="Times New Roman" w:hAnsi="Times New Roman" w:cs="Times New Roman"/>
                <w:noProof/>
                <w:webHidden/>
              </w:rPr>
              <w:instrText xml:space="preserve"> PAGEREF _Toc221007151 \h </w:instrText>
            </w:r>
            <w:r w:rsidRPr="00112141">
              <w:rPr>
                <w:rFonts w:ascii="Times New Roman" w:hAnsi="Times New Roman" w:cs="Times New Roman"/>
                <w:noProof/>
                <w:webHidden/>
              </w:rPr>
            </w:r>
            <w:r w:rsidRPr="00112141">
              <w:rPr>
                <w:rFonts w:ascii="Times New Roman" w:hAnsi="Times New Roman" w:cs="Times New Roman"/>
                <w:noProof/>
                <w:webHidden/>
              </w:rPr>
              <w:fldChar w:fldCharType="separate"/>
            </w:r>
            <w:r w:rsidRPr="00112141">
              <w:rPr>
                <w:rFonts w:ascii="Times New Roman" w:hAnsi="Times New Roman" w:cs="Times New Roman"/>
                <w:noProof/>
                <w:webHidden/>
              </w:rPr>
              <w:t>198</w:t>
            </w:r>
            <w:r w:rsidRPr="00112141">
              <w:rPr>
                <w:rFonts w:ascii="Times New Roman" w:hAnsi="Times New Roman" w:cs="Times New Roman"/>
                <w:noProof/>
                <w:webHidden/>
              </w:rPr>
              <w:fldChar w:fldCharType="end"/>
            </w:r>
          </w:hyperlink>
        </w:p>
        <w:p w14:paraId="1A5D9482" w14:textId="3C5142F4" w:rsidR="00100F88" w:rsidRDefault="00100F88">
          <w:r w:rsidRPr="00112141">
            <w:rPr>
              <w:rFonts w:ascii="Times New Roman" w:hAnsi="Times New Roman" w:cs="Times New Roman"/>
              <w:b/>
              <w:bCs/>
              <w:noProof/>
            </w:rPr>
            <w:fldChar w:fldCharType="end"/>
          </w:r>
        </w:p>
      </w:sdtContent>
    </w:sdt>
    <w:p w14:paraId="468C761E" w14:textId="3E7843E2" w:rsidR="004861A3" w:rsidRDefault="004861A3">
      <w:pPr>
        <w:rPr>
          <w:rFonts w:ascii="Times New Roman" w:hAnsi="Times New Roman" w:cs="Times New Roman"/>
          <w:b/>
          <w:bCs/>
        </w:rPr>
        <w:sectPr w:rsidR="004861A3" w:rsidSect="00213A11">
          <w:headerReference w:type="default" r:id="rId9"/>
          <w:pgSz w:w="11906" w:h="16838"/>
          <w:pgMar w:top="1440" w:right="1274" w:bottom="1440" w:left="1134" w:header="708" w:footer="708" w:gutter="0"/>
          <w:pgNumType w:fmt="lowerRoman" w:start="1"/>
          <w:cols w:space="708"/>
          <w:docGrid w:linePitch="360"/>
        </w:sectPr>
      </w:pPr>
    </w:p>
    <w:p w14:paraId="3FD854B7" w14:textId="70A2D244" w:rsidR="007C19F8" w:rsidRPr="00D00D2D" w:rsidRDefault="007C19F8" w:rsidP="00D00D2D">
      <w:pPr>
        <w:pStyle w:val="Heading1"/>
      </w:pPr>
      <w:bookmarkStart w:id="1" w:name="_Toc221007111"/>
      <w:r w:rsidRPr="00D00D2D">
        <w:lastRenderedPageBreak/>
        <w:t>CHAPTER I</w:t>
      </w:r>
      <w:r w:rsidR="00D00D2D" w:rsidRPr="00D00D2D">
        <w:t xml:space="preserve"> </w:t>
      </w:r>
      <w:r w:rsidR="00D00D2D">
        <w:br/>
      </w:r>
      <w:r w:rsidRPr="00D00D2D">
        <w:t>INTRODUCTORY</w:t>
      </w:r>
      <w:bookmarkEnd w:id="1"/>
    </w:p>
    <w:p w14:paraId="6936D089" w14:textId="28EA29E2" w:rsidR="007C19F8" w:rsidRPr="00D00D2D" w:rsidRDefault="007C19F8" w:rsidP="002429A8">
      <w:pPr>
        <w:pStyle w:val="ListParagraph"/>
        <w:numPr>
          <w:ilvl w:val="0"/>
          <w:numId w:val="25"/>
        </w:numPr>
        <w:spacing w:after="0" w:line="380" w:lineRule="exact"/>
        <w:ind w:left="0" w:firstLine="567"/>
        <w:jc w:val="both"/>
        <w:rPr>
          <w:rFonts w:ascii="Times New Roman" w:hAnsi="Times New Roman" w:cs="Times New Roman"/>
          <w:sz w:val="28"/>
          <w:szCs w:val="22"/>
        </w:rPr>
      </w:pPr>
      <w:r w:rsidRPr="004861A3">
        <w:rPr>
          <w:rFonts w:ascii="Times New Roman" w:hAnsi="Times New Roman" w:cs="Times New Roman"/>
          <w:i/>
          <w:iCs/>
          <w:sz w:val="28"/>
          <w:szCs w:val="22"/>
        </w:rPr>
        <w:t>Appointment of the Commission</w:t>
      </w:r>
      <w:r w:rsidRPr="00D00D2D">
        <w:rPr>
          <w:rFonts w:ascii="Times New Roman" w:hAnsi="Times New Roman" w:cs="Times New Roman"/>
          <w:b/>
          <w:bCs/>
          <w:sz w:val="28"/>
          <w:szCs w:val="22"/>
        </w:rPr>
        <w:t>.</w:t>
      </w:r>
      <w:r w:rsidRPr="00D00D2D">
        <w:rPr>
          <w:rFonts w:ascii="Times New Roman" w:hAnsi="Times New Roman" w:cs="Times New Roman"/>
          <w:sz w:val="28"/>
          <w:szCs w:val="22"/>
        </w:rPr>
        <w:t xml:space="preserve">— The President is required under Article 280(1) of the Constitution to constitute within two years from the commencement of the Constitution and thereafter at the expiration of every fifth year, or at such earlier time as he may consider necessary, a Finance Commission consisting of a </w:t>
      </w:r>
      <w:r w:rsidR="00056E20" w:rsidRPr="00D00D2D">
        <w:rPr>
          <w:rFonts w:ascii="Times New Roman" w:hAnsi="Times New Roman" w:cs="Times New Roman"/>
          <w:sz w:val="28"/>
          <w:szCs w:val="22"/>
        </w:rPr>
        <w:t>chairman</w:t>
      </w:r>
      <w:r w:rsidRPr="00D00D2D">
        <w:rPr>
          <w:rFonts w:ascii="Times New Roman" w:hAnsi="Times New Roman" w:cs="Times New Roman"/>
          <w:sz w:val="28"/>
          <w:szCs w:val="22"/>
        </w:rPr>
        <w:t xml:space="preserve"> and four Members appointed by him. By an Order dated the 22</w:t>
      </w:r>
      <w:r w:rsidRPr="00213A11">
        <w:rPr>
          <w:rFonts w:ascii="Times New Roman" w:hAnsi="Times New Roman" w:cs="Times New Roman"/>
          <w:sz w:val="28"/>
          <w:szCs w:val="22"/>
          <w:vertAlign w:val="superscript"/>
        </w:rPr>
        <w:t>nd</w:t>
      </w:r>
      <w:r w:rsidR="00213A11">
        <w:rPr>
          <w:rFonts w:ascii="Times New Roman" w:hAnsi="Times New Roman" w:cs="Times New Roman"/>
          <w:sz w:val="28"/>
          <w:szCs w:val="22"/>
        </w:rPr>
        <w:t xml:space="preserve"> </w:t>
      </w:r>
      <w:r w:rsidRPr="00D00D2D">
        <w:rPr>
          <w:rFonts w:ascii="Times New Roman" w:hAnsi="Times New Roman" w:cs="Times New Roman"/>
          <w:sz w:val="28"/>
          <w:szCs w:val="22"/>
        </w:rPr>
        <w:t>November 1951, the President constituted a Commission consisting of the following Members:—</w:t>
      </w:r>
    </w:p>
    <w:p w14:paraId="7FD565C7" w14:textId="77777777" w:rsidR="004861A3" w:rsidRDefault="004861A3" w:rsidP="002429A8">
      <w:pPr>
        <w:spacing w:after="0" w:line="380" w:lineRule="exact"/>
        <w:jc w:val="center"/>
        <w:rPr>
          <w:rFonts w:ascii="Times New Roman" w:hAnsi="Times New Roman" w:cs="Times New Roman"/>
          <w:i/>
          <w:iCs/>
          <w:sz w:val="28"/>
          <w:szCs w:val="22"/>
        </w:rPr>
      </w:pPr>
    </w:p>
    <w:p w14:paraId="76EB12B9" w14:textId="4FDD821D" w:rsidR="007C19F8" w:rsidRPr="004861A3" w:rsidRDefault="007C19F8" w:rsidP="00213A11">
      <w:pPr>
        <w:spacing w:after="0" w:line="380" w:lineRule="exact"/>
        <w:ind w:left="4320"/>
        <w:rPr>
          <w:rFonts w:ascii="Times New Roman" w:hAnsi="Times New Roman" w:cs="Times New Roman"/>
          <w:i/>
          <w:iCs/>
          <w:sz w:val="28"/>
          <w:szCs w:val="22"/>
        </w:rPr>
      </w:pPr>
      <w:r w:rsidRPr="004861A3">
        <w:rPr>
          <w:rFonts w:ascii="Times New Roman" w:hAnsi="Times New Roman" w:cs="Times New Roman"/>
          <w:i/>
          <w:iCs/>
          <w:sz w:val="28"/>
          <w:szCs w:val="22"/>
        </w:rPr>
        <w:t>Chairman</w:t>
      </w:r>
    </w:p>
    <w:p w14:paraId="333A462F" w14:textId="77777777" w:rsidR="007C19F8" w:rsidRPr="004861A3" w:rsidRDefault="007C19F8" w:rsidP="00213A11">
      <w:pPr>
        <w:spacing w:after="0" w:line="380" w:lineRule="exact"/>
        <w:ind w:left="3600"/>
        <w:rPr>
          <w:rFonts w:ascii="Times New Roman" w:hAnsi="Times New Roman" w:cs="Times New Roman"/>
          <w:sz w:val="28"/>
          <w:szCs w:val="22"/>
        </w:rPr>
      </w:pPr>
      <w:r w:rsidRPr="004861A3">
        <w:rPr>
          <w:rFonts w:ascii="Times New Roman" w:hAnsi="Times New Roman" w:cs="Times New Roman"/>
          <w:sz w:val="28"/>
          <w:szCs w:val="22"/>
        </w:rPr>
        <w:t>Shri K. C. Neogy.</w:t>
      </w:r>
    </w:p>
    <w:p w14:paraId="5DA34008" w14:textId="77777777" w:rsidR="007C19F8" w:rsidRPr="004861A3" w:rsidRDefault="007C19F8" w:rsidP="00213A11">
      <w:pPr>
        <w:spacing w:after="0" w:line="380" w:lineRule="exact"/>
        <w:ind w:left="4320"/>
        <w:rPr>
          <w:rFonts w:ascii="Times New Roman" w:hAnsi="Times New Roman" w:cs="Times New Roman"/>
          <w:i/>
          <w:iCs/>
          <w:sz w:val="28"/>
          <w:szCs w:val="22"/>
        </w:rPr>
      </w:pPr>
      <w:r w:rsidRPr="004861A3">
        <w:rPr>
          <w:rFonts w:ascii="Times New Roman" w:hAnsi="Times New Roman" w:cs="Times New Roman"/>
          <w:i/>
          <w:iCs/>
          <w:sz w:val="28"/>
          <w:szCs w:val="22"/>
        </w:rPr>
        <w:t>Members</w:t>
      </w:r>
    </w:p>
    <w:p w14:paraId="5ADC4D45" w14:textId="77777777" w:rsidR="007C19F8" w:rsidRPr="004861A3" w:rsidRDefault="007C19F8" w:rsidP="00213A11">
      <w:pPr>
        <w:spacing w:after="0" w:line="380" w:lineRule="exact"/>
        <w:ind w:left="3600"/>
        <w:rPr>
          <w:rFonts w:ascii="Times New Roman" w:hAnsi="Times New Roman" w:cs="Times New Roman"/>
          <w:sz w:val="28"/>
          <w:szCs w:val="22"/>
        </w:rPr>
      </w:pPr>
      <w:r w:rsidRPr="004861A3">
        <w:rPr>
          <w:rFonts w:ascii="Times New Roman" w:hAnsi="Times New Roman" w:cs="Times New Roman"/>
          <w:sz w:val="28"/>
          <w:szCs w:val="22"/>
        </w:rPr>
        <w:t>Shri V. P. Menon.</w:t>
      </w:r>
    </w:p>
    <w:p w14:paraId="508D2C27" w14:textId="77777777" w:rsidR="007C19F8" w:rsidRPr="004861A3" w:rsidRDefault="007C19F8" w:rsidP="00213A11">
      <w:pPr>
        <w:spacing w:after="0" w:line="380" w:lineRule="exact"/>
        <w:ind w:left="3600"/>
        <w:rPr>
          <w:rFonts w:ascii="Times New Roman" w:hAnsi="Times New Roman" w:cs="Times New Roman"/>
          <w:sz w:val="28"/>
          <w:szCs w:val="22"/>
        </w:rPr>
      </w:pPr>
      <w:r w:rsidRPr="004861A3">
        <w:rPr>
          <w:rFonts w:ascii="Times New Roman" w:hAnsi="Times New Roman" w:cs="Times New Roman"/>
          <w:sz w:val="28"/>
          <w:szCs w:val="22"/>
        </w:rPr>
        <w:t>Shri Justice R. Kaushalendra Rao.</w:t>
      </w:r>
    </w:p>
    <w:p w14:paraId="52E3B713" w14:textId="77777777" w:rsidR="007C19F8" w:rsidRPr="004861A3" w:rsidRDefault="007C19F8" w:rsidP="00213A11">
      <w:pPr>
        <w:spacing w:after="0" w:line="380" w:lineRule="exact"/>
        <w:ind w:left="3600"/>
        <w:rPr>
          <w:rFonts w:ascii="Times New Roman" w:hAnsi="Times New Roman" w:cs="Times New Roman"/>
          <w:sz w:val="28"/>
          <w:szCs w:val="22"/>
        </w:rPr>
      </w:pPr>
      <w:r w:rsidRPr="004861A3">
        <w:rPr>
          <w:rFonts w:ascii="Times New Roman" w:hAnsi="Times New Roman" w:cs="Times New Roman"/>
          <w:sz w:val="28"/>
          <w:szCs w:val="22"/>
        </w:rPr>
        <w:t>Dr. B. K. Madan.</w:t>
      </w:r>
    </w:p>
    <w:p w14:paraId="04F324C1" w14:textId="77777777" w:rsidR="007C19F8" w:rsidRPr="004861A3" w:rsidRDefault="007C19F8" w:rsidP="00213A11">
      <w:pPr>
        <w:spacing w:after="0" w:line="380" w:lineRule="exact"/>
        <w:ind w:left="3600"/>
        <w:rPr>
          <w:rFonts w:ascii="Times New Roman" w:hAnsi="Times New Roman" w:cs="Times New Roman"/>
          <w:sz w:val="28"/>
          <w:szCs w:val="22"/>
        </w:rPr>
      </w:pPr>
      <w:r w:rsidRPr="004861A3">
        <w:rPr>
          <w:rFonts w:ascii="Times New Roman" w:hAnsi="Times New Roman" w:cs="Times New Roman"/>
          <w:sz w:val="28"/>
          <w:szCs w:val="22"/>
        </w:rPr>
        <w:t>Shri M. V. Rangachari, Member-Secretary.</w:t>
      </w:r>
    </w:p>
    <w:p w14:paraId="26EC3C99" w14:textId="77777777" w:rsidR="004861A3" w:rsidRDefault="004861A3" w:rsidP="002429A8">
      <w:pPr>
        <w:spacing w:after="0" w:line="380" w:lineRule="exact"/>
        <w:jc w:val="both"/>
        <w:rPr>
          <w:rFonts w:ascii="Times New Roman" w:hAnsi="Times New Roman" w:cs="Times New Roman"/>
          <w:sz w:val="28"/>
          <w:szCs w:val="22"/>
        </w:rPr>
      </w:pPr>
    </w:p>
    <w:p w14:paraId="7ED5B336" w14:textId="67943DC2" w:rsidR="007C19F8" w:rsidRPr="00D00D2D" w:rsidRDefault="007C19F8" w:rsidP="002429A8">
      <w:pPr>
        <w:spacing w:after="0" w:line="380" w:lineRule="exact"/>
        <w:jc w:val="both"/>
        <w:rPr>
          <w:rFonts w:ascii="Times New Roman" w:hAnsi="Times New Roman" w:cs="Times New Roman"/>
          <w:sz w:val="28"/>
          <w:szCs w:val="22"/>
        </w:rPr>
      </w:pPr>
      <w:r w:rsidRPr="00D00D2D">
        <w:rPr>
          <w:rFonts w:ascii="Times New Roman" w:hAnsi="Times New Roman" w:cs="Times New Roman"/>
          <w:sz w:val="28"/>
          <w:szCs w:val="22"/>
        </w:rPr>
        <w:t>The Chairman and Members of the Commission assumed office on the 30</w:t>
      </w:r>
      <w:r w:rsidRPr="00213A11">
        <w:rPr>
          <w:rFonts w:ascii="Times New Roman" w:hAnsi="Times New Roman" w:cs="Times New Roman"/>
          <w:sz w:val="28"/>
          <w:szCs w:val="22"/>
          <w:vertAlign w:val="superscript"/>
        </w:rPr>
        <w:t>th</w:t>
      </w:r>
      <w:r w:rsidR="00213A11">
        <w:rPr>
          <w:rFonts w:ascii="Times New Roman" w:hAnsi="Times New Roman" w:cs="Times New Roman"/>
          <w:sz w:val="28"/>
          <w:szCs w:val="22"/>
        </w:rPr>
        <w:t xml:space="preserve"> </w:t>
      </w:r>
      <w:r w:rsidRPr="00D00D2D">
        <w:rPr>
          <w:rFonts w:ascii="Times New Roman" w:hAnsi="Times New Roman" w:cs="Times New Roman"/>
          <w:sz w:val="28"/>
          <w:szCs w:val="22"/>
        </w:rPr>
        <w:t>November 1951. Shri V. P. Menon resigned his office as Member of the Commission on the 18</w:t>
      </w:r>
      <w:r w:rsidRPr="00213A11">
        <w:rPr>
          <w:rFonts w:ascii="Times New Roman" w:hAnsi="Times New Roman" w:cs="Times New Roman"/>
          <w:sz w:val="28"/>
          <w:szCs w:val="22"/>
          <w:vertAlign w:val="superscript"/>
        </w:rPr>
        <w:t>th</w:t>
      </w:r>
      <w:r w:rsidR="00213A11">
        <w:rPr>
          <w:rFonts w:ascii="Times New Roman" w:hAnsi="Times New Roman" w:cs="Times New Roman"/>
          <w:sz w:val="28"/>
          <w:szCs w:val="22"/>
        </w:rPr>
        <w:t xml:space="preserve"> F</w:t>
      </w:r>
      <w:r w:rsidRPr="00D00D2D">
        <w:rPr>
          <w:rFonts w:ascii="Times New Roman" w:hAnsi="Times New Roman" w:cs="Times New Roman"/>
          <w:sz w:val="28"/>
          <w:szCs w:val="22"/>
        </w:rPr>
        <w:t>ebruary 1952 and the President appointed Shri V. L. Mehta in his place.</w:t>
      </w:r>
    </w:p>
    <w:p w14:paraId="67491A2C" w14:textId="7F8E139F" w:rsidR="007C19F8" w:rsidRPr="00D00D2D" w:rsidRDefault="007C19F8" w:rsidP="002429A8">
      <w:pPr>
        <w:spacing w:after="0" w:line="380" w:lineRule="exact"/>
        <w:jc w:val="both"/>
        <w:rPr>
          <w:rFonts w:ascii="Times New Roman" w:hAnsi="Times New Roman" w:cs="Times New Roman"/>
          <w:sz w:val="28"/>
          <w:szCs w:val="22"/>
        </w:rPr>
      </w:pPr>
      <w:r w:rsidRPr="00D00D2D">
        <w:rPr>
          <w:rFonts w:ascii="Times New Roman" w:hAnsi="Times New Roman" w:cs="Times New Roman"/>
          <w:sz w:val="28"/>
          <w:szCs w:val="22"/>
        </w:rPr>
        <w:t>The Chairman and Members of the Commission were appointed for a period of one year ending the 30</w:t>
      </w:r>
      <w:r w:rsidRPr="00213A11">
        <w:rPr>
          <w:rFonts w:ascii="Times New Roman" w:hAnsi="Times New Roman" w:cs="Times New Roman"/>
          <w:sz w:val="28"/>
          <w:szCs w:val="22"/>
          <w:vertAlign w:val="superscript"/>
        </w:rPr>
        <w:t>th</w:t>
      </w:r>
      <w:r w:rsidR="00213A11">
        <w:rPr>
          <w:rFonts w:ascii="Times New Roman" w:hAnsi="Times New Roman" w:cs="Times New Roman"/>
          <w:sz w:val="28"/>
          <w:szCs w:val="22"/>
        </w:rPr>
        <w:t xml:space="preserve"> </w:t>
      </w:r>
      <w:r w:rsidRPr="00D00D2D">
        <w:rPr>
          <w:rFonts w:ascii="Times New Roman" w:hAnsi="Times New Roman" w:cs="Times New Roman"/>
          <w:sz w:val="28"/>
          <w:szCs w:val="22"/>
        </w:rPr>
        <w:t>November 1952. This period was subsequently extended by one month.</w:t>
      </w:r>
    </w:p>
    <w:p w14:paraId="7A7DF80D" w14:textId="3CF1BCDD" w:rsidR="007C19F8" w:rsidRPr="00D00D2D" w:rsidRDefault="007C19F8" w:rsidP="002429A8">
      <w:pPr>
        <w:pStyle w:val="ListParagraph"/>
        <w:numPr>
          <w:ilvl w:val="0"/>
          <w:numId w:val="25"/>
        </w:numPr>
        <w:spacing w:after="0" w:line="380" w:lineRule="exact"/>
        <w:ind w:left="0" w:firstLine="567"/>
        <w:jc w:val="both"/>
        <w:rPr>
          <w:rFonts w:ascii="Times New Roman" w:hAnsi="Times New Roman" w:cs="Times New Roman"/>
          <w:sz w:val="28"/>
          <w:szCs w:val="22"/>
        </w:rPr>
      </w:pPr>
      <w:r w:rsidRPr="004861A3">
        <w:rPr>
          <w:rFonts w:ascii="Times New Roman" w:hAnsi="Times New Roman" w:cs="Times New Roman"/>
          <w:i/>
          <w:iCs/>
          <w:sz w:val="28"/>
          <w:szCs w:val="22"/>
        </w:rPr>
        <w:t>Functions of the Commission.—</w:t>
      </w:r>
      <w:r w:rsidRPr="00D00D2D">
        <w:rPr>
          <w:rFonts w:ascii="Times New Roman" w:hAnsi="Times New Roman" w:cs="Times New Roman"/>
          <w:sz w:val="28"/>
          <w:szCs w:val="22"/>
        </w:rPr>
        <w:t>Under Article 280 of the Constitution the Commission are charged with the duty of making recommendations to the President as to—</w:t>
      </w:r>
    </w:p>
    <w:p w14:paraId="4DA20468" w14:textId="576B05E7" w:rsidR="007C19F8" w:rsidRPr="004861A3" w:rsidRDefault="007C19F8" w:rsidP="002429A8">
      <w:pPr>
        <w:pStyle w:val="ListParagraph"/>
        <w:numPr>
          <w:ilvl w:val="0"/>
          <w:numId w:val="26"/>
        </w:numPr>
        <w:spacing w:after="0" w:line="380" w:lineRule="exact"/>
        <w:jc w:val="both"/>
        <w:rPr>
          <w:rFonts w:ascii="Times New Roman" w:hAnsi="Times New Roman" w:cs="Times New Roman"/>
          <w:sz w:val="28"/>
          <w:szCs w:val="22"/>
        </w:rPr>
      </w:pPr>
      <w:r w:rsidRPr="004861A3">
        <w:rPr>
          <w:rFonts w:ascii="Times New Roman" w:hAnsi="Times New Roman" w:cs="Times New Roman"/>
          <w:sz w:val="28"/>
          <w:szCs w:val="22"/>
        </w:rPr>
        <w:t>the distribution between the Union and the States of the net proceeds of taxes which are to be, or may be, divided between them under the provisions of Chapter I of Part XII of the Constitution and the allocation between the States of the respective shares of such proceeds;</w:t>
      </w:r>
    </w:p>
    <w:p w14:paraId="5B8FE305" w14:textId="0EFAD853" w:rsidR="007C19F8" w:rsidRPr="00D00D2D" w:rsidRDefault="007C19F8" w:rsidP="002429A8">
      <w:pPr>
        <w:pStyle w:val="ListParagraph"/>
        <w:numPr>
          <w:ilvl w:val="0"/>
          <w:numId w:val="26"/>
        </w:numPr>
        <w:spacing w:after="0" w:line="380" w:lineRule="exact"/>
        <w:jc w:val="both"/>
        <w:rPr>
          <w:rFonts w:ascii="Times New Roman" w:hAnsi="Times New Roman" w:cs="Times New Roman"/>
          <w:sz w:val="28"/>
          <w:szCs w:val="22"/>
        </w:rPr>
      </w:pPr>
      <w:r w:rsidRPr="00D00D2D">
        <w:rPr>
          <w:rFonts w:ascii="Times New Roman" w:hAnsi="Times New Roman" w:cs="Times New Roman"/>
          <w:sz w:val="28"/>
          <w:szCs w:val="22"/>
        </w:rPr>
        <w:t>the principles which should govern the grants-in-aid of the revenues of the States out of the Consolidated Fund of India;</w:t>
      </w:r>
    </w:p>
    <w:p w14:paraId="00650320" w14:textId="04C53717" w:rsidR="007E7609" w:rsidRPr="004861A3" w:rsidRDefault="007C19F8" w:rsidP="002429A8">
      <w:pPr>
        <w:pStyle w:val="ListParagraph"/>
        <w:numPr>
          <w:ilvl w:val="0"/>
          <w:numId w:val="26"/>
        </w:numPr>
        <w:spacing w:after="0" w:line="380" w:lineRule="exact"/>
        <w:jc w:val="both"/>
        <w:rPr>
          <w:rFonts w:ascii="Times New Roman" w:hAnsi="Times New Roman" w:cs="Times New Roman"/>
          <w:sz w:val="28"/>
          <w:szCs w:val="28"/>
        </w:rPr>
      </w:pPr>
      <w:r w:rsidRPr="004861A3">
        <w:rPr>
          <w:rFonts w:ascii="Times New Roman" w:hAnsi="Times New Roman" w:cs="Times New Roman"/>
          <w:sz w:val="28"/>
          <w:szCs w:val="28"/>
        </w:rPr>
        <w:lastRenderedPageBreak/>
        <w:t>the continuance or modification of the terms of any agreement entered into by the Government of India with the</w:t>
      </w:r>
      <w:r w:rsidR="004861A3" w:rsidRPr="004861A3">
        <w:rPr>
          <w:rFonts w:ascii="Times New Roman" w:hAnsi="Times New Roman" w:cs="Times New Roman"/>
          <w:sz w:val="28"/>
          <w:szCs w:val="28"/>
        </w:rPr>
        <w:t xml:space="preserve"> </w:t>
      </w:r>
      <w:r w:rsidR="007E7609" w:rsidRPr="004861A3">
        <w:rPr>
          <w:rFonts w:ascii="Times New Roman" w:hAnsi="Times New Roman" w:cs="Times New Roman"/>
          <w:sz w:val="28"/>
          <w:szCs w:val="28"/>
        </w:rPr>
        <w:t>Government of any State specified in Part B of the First Schedule under clause (1) of Article 278 or under Article 306; and</w:t>
      </w:r>
    </w:p>
    <w:p w14:paraId="3E358518" w14:textId="19096DCA" w:rsidR="007E7609" w:rsidRPr="004861A3" w:rsidRDefault="007E7609" w:rsidP="002429A8">
      <w:pPr>
        <w:pStyle w:val="ListParagraph"/>
        <w:numPr>
          <w:ilvl w:val="0"/>
          <w:numId w:val="26"/>
        </w:numPr>
        <w:spacing w:after="0" w:line="380" w:lineRule="exact"/>
        <w:jc w:val="both"/>
        <w:rPr>
          <w:rFonts w:ascii="Times New Roman" w:hAnsi="Times New Roman" w:cs="Times New Roman"/>
          <w:sz w:val="28"/>
          <w:szCs w:val="28"/>
        </w:rPr>
      </w:pPr>
      <w:r w:rsidRPr="004861A3">
        <w:rPr>
          <w:rFonts w:ascii="Times New Roman" w:hAnsi="Times New Roman" w:cs="Times New Roman"/>
          <w:sz w:val="28"/>
          <w:szCs w:val="28"/>
        </w:rPr>
        <w:t>any other matter referred to the Commission by the President in the interests of sound finance.</w:t>
      </w:r>
    </w:p>
    <w:p w14:paraId="263FB27A" w14:textId="77777777" w:rsidR="007E7609" w:rsidRPr="004861A3" w:rsidRDefault="007E7609" w:rsidP="002429A8">
      <w:pPr>
        <w:spacing w:after="0" w:line="380" w:lineRule="exact"/>
        <w:jc w:val="both"/>
        <w:rPr>
          <w:rFonts w:ascii="Times New Roman" w:hAnsi="Times New Roman" w:cs="Times New Roman"/>
          <w:sz w:val="28"/>
          <w:szCs w:val="28"/>
        </w:rPr>
      </w:pPr>
      <w:r w:rsidRPr="004861A3">
        <w:rPr>
          <w:rFonts w:ascii="Times New Roman" w:hAnsi="Times New Roman" w:cs="Times New Roman"/>
          <w:sz w:val="28"/>
          <w:szCs w:val="28"/>
        </w:rPr>
        <w:t>The provisions of the Constitution bearing on the functions of the Finance Commission are given in Appendix I.</w:t>
      </w:r>
    </w:p>
    <w:p w14:paraId="74AEC27E" w14:textId="7DFEA1D4" w:rsidR="007E7609" w:rsidRPr="004861A3" w:rsidRDefault="007E7609" w:rsidP="002429A8">
      <w:pPr>
        <w:pStyle w:val="ListParagraph"/>
        <w:numPr>
          <w:ilvl w:val="0"/>
          <w:numId w:val="25"/>
        </w:numPr>
        <w:spacing w:after="0" w:line="380" w:lineRule="exact"/>
        <w:ind w:left="0" w:firstLine="567"/>
        <w:jc w:val="both"/>
        <w:rPr>
          <w:rFonts w:ascii="Times New Roman" w:hAnsi="Times New Roman" w:cs="Times New Roman"/>
          <w:sz w:val="28"/>
          <w:szCs w:val="28"/>
        </w:rPr>
      </w:pPr>
      <w:r w:rsidRPr="004861A3">
        <w:rPr>
          <w:rFonts w:ascii="Times New Roman" w:hAnsi="Times New Roman" w:cs="Times New Roman"/>
          <w:sz w:val="28"/>
          <w:szCs w:val="22"/>
        </w:rPr>
        <w:t>Under</w:t>
      </w:r>
      <w:r w:rsidRPr="004861A3">
        <w:rPr>
          <w:rFonts w:ascii="Times New Roman" w:hAnsi="Times New Roman" w:cs="Times New Roman"/>
          <w:sz w:val="28"/>
          <w:szCs w:val="28"/>
        </w:rPr>
        <w:t xml:space="preserve"> Article 273(3) read with Article 270(4)(b) and the proviso to Article 275(2) of the Constitution, after a Finance Commission has been constituted, the President has to take into account the recommendations of the Commission before making an Order prescribing grants-in-aid in accordance with the provisions of those articles. A formal request from the President to make recommendations to him in regard to these grants was communicated to us on the 6</w:t>
      </w:r>
      <w:r w:rsidRPr="00213A11">
        <w:rPr>
          <w:rFonts w:ascii="Times New Roman" w:hAnsi="Times New Roman" w:cs="Times New Roman"/>
          <w:sz w:val="28"/>
          <w:szCs w:val="28"/>
          <w:vertAlign w:val="superscript"/>
        </w:rPr>
        <w:t>th</w:t>
      </w:r>
      <w:r w:rsidR="00213A11">
        <w:rPr>
          <w:rFonts w:ascii="Times New Roman" w:hAnsi="Times New Roman" w:cs="Times New Roman"/>
          <w:sz w:val="28"/>
          <w:szCs w:val="28"/>
        </w:rPr>
        <w:t xml:space="preserve"> </w:t>
      </w:r>
      <w:r w:rsidRPr="004861A3">
        <w:rPr>
          <w:rFonts w:ascii="Times New Roman" w:hAnsi="Times New Roman" w:cs="Times New Roman"/>
          <w:sz w:val="28"/>
          <w:szCs w:val="28"/>
        </w:rPr>
        <w:t>April 1952. The communication is reproduced below:</w:t>
      </w:r>
    </w:p>
    <w:p w14:paraId="6F68433F" w14:textId="77777777" w:rsidR="007E7609" w:rsidRPr="004861A3" w:rsidRDefault="007E7609" w:rsidP="002429A8">
      <w:pPr>
        <w:spacing w:after="0" w:line="380" w:lineRule="exact"/>
        <w:ind w:left="1440"/>
        <w:jc w:val="both"/>
        <w:rPr>
          <w:rFonts w:ascii="Times New Roman" w:hAnsi="Times New Roman" w:cs="Times New Roman"/>
          <w:sz w:val="28"/>
          <w:szCs w:val="28"/>
        </w:rPr>
      </w:pPr>
      <w:r w:rsidRPr="004861A3">
        <w:rPr>
          <w:rFonts w:ascii="Times New Roman" w:hAnsi="Times New Roman" w:cs="Times New Roman"/>
          <w:sz w:val="28"/>
          <w:szCs w:val="28"/>
        </w:rPr>
        <w:t>“I am directed to state that the President has been pleased to decide that the Commission should be formally requested to make recommendations to him in regard to—</w:t>
      </w:r>
    </w:p>
    <w:p w14:paraId="0DE8C23F" w14:textId="2969FC17" w:rsidR="007E7609" w:rsidRPr="004861A3" w:rsidRDefault="007E7609" w:rsidP="002429A8">
      <w:pPr>
        <w:pStyle w:val="ListParagraph"/>
        <w:numPr>
          <w:ilvl w:val="0"/>
          <w:numId w:val="27"/>
        </w:numPr>
        <w:spacing w:after="0" w:line="380" w:lineRule="exact"/>
        <w:jc w:val="both"/>
        <w:rPr>
          <w:rFonts w:ascii="Times New Roman" w:hAnsi="Times New Roman" w:cs="Times New Roman"/>
          <w:sz w:val="28"/>
          <w:szCs w:val="28"/>
        </w:rPr>
      </w:pPr>
      <w:r w:rsidRPr="004861A3">
        <w:rPr>
          <w:rFonts w:ascii="Times New Roman" w:hAnsi="Times New Roman" w:cs="Times New Roman"/>
          <w:sz w:val="28"/>
          <w:szCs w:val="28"/>
        </w:rPr>
        <w:t>the sums to be prescribed by him as grants-in-aid of the revenues of the States of Assam, Bihar, Orissa and West Bengal in lieu of assignment of any share of the net proceeds in each year of the export duty on jute and jute products to these States in accordance with the provisions of article 273 of the Constitution;</w:t>
      </w:r>
      <w:r w:rsidR="004861A3">
        <w:rPr>
          <w:rFonts w:ascii="Times New Roman" w:hAnsi="Times New Roman" w:cs="Times New Roman"/>
          <w:sz w:val="28"/>
          <w:szCs w:val="28"/>
        </w:rPr>
        <w:t xml:space="preserve"> </w:t>
      </w:r>
      <w:r w:rsidRPr="004861A3">
        <w:rPr>
          <w:rFonts w:ascii="Times New Roman" w:hAnsi="Times New Roman" w:cs="Times New Roman"/>
          <w:sz w:val="28"/>
          <w:szCs w:val="28"/>
        </w:rPr>
        <w:t>and</w:t>
      </w:r>
    </w:p>
    <w:p w14:paraId="3570B631" w14:textId="189417CA" w:rsidR="007E7609" w:rsidRPr="004861A3" w:rsidRDefault="007E7609" w:rsidP="002429A8">
      <w:pPr>
        <w:pStyle w:val="ListParagraph"/>
        <w:numPr>
          <w:ilvl w:val="0"/>
          <w:numId w:val="27"/>
        </w:numPr>
        <w:spacing w:after="0" w:line="380" w:lineRule="exact"/>
        <w:jc w:val="both"/>
        <w:rPr>
          <w:rFonts w:ascii="Times New Roman" w:hAnsi="Times New Roman" w:cs="Times New Roman"/>
          <w:sz w:val="28"/>
          <w:szCs w:val="28"/>
        </w:rPr>
      </w:pPr>
      <w:r w:rsidRPr="004861A3">
        <w:rPr>
          <w:rFonts w:ascii="Times New Roman" w:hAnsi="Times New Roman" w:cs="Times New Roman"/>
          <w:sz w:val="28"/>
          <w:szCs w:val="28"/>
        </w:rPr>
        <w:t>the States in need of assistance and the sums payable to such States as grants-in-aid of their revenues under the substantive portion of clause (1) of Article 275 of the Constitution.</w:t>
      </w:r>
    </w:p>
    <w:p w14:paraId="400A3E55" w14:textId="77777777" w:rsidR="007E7609" w:rsidRPr="004861A3" w:rsidRDefault="007E7609" w:rsidP="002429A8">
      <w:pPr>
        <w:spacing w:after="0" w:line="380" w:lineRule="exact"/>
        <w:jc w:val="both"/>
        <w:rPr>
          <w:rFonts w:ascii="Times New Roman" w:hAnsi="Times New Roman" w:cs="Times New Roman"/>
          <w:sz w:val="28"/>
          <w:szCs w:val="28"/>
        </w:rPr>
      </w:pPr>
      <w:r w:rsidRPr="004861A3">
        <w:rPr>
          <w:rFonts w:ascii="Times New Roman" w:hAnsi="Times New Roman" w:cs="Times New Roman"/>
          <w:sz w:val="28"/>
          <w:szCs w:val="28"/>
        </w:rPr>
        <w:t>I am to convey the decision of the President to the Commission for such action as may be necessary.”</w:t>
      </w:r>
    </w:p>
    <w:p w14:paraId="6406161F" w14:textId="74318F1F" w:rsidR="007E7609" w:rsidRPr="004861A3" w:rsidRDefault="007E7609" w:rsidP="002429A8">
      <w:pPr>
        <w:pStyle w:val="ListParagraph"/>
        <w:numPr>
          <w:ilvl w:val="0"/>
          <w:numId w:val="25"/>
        </w:numPr>
        <w:spacing w:after="0" w:line="380" w:lineRule="exact"/>
        <w:ind w:left="0" w:firstLine="567"/>
        <w:jc w:val="both"/>
        <w:rPr>
          <w:rFonts w:ascii="Times New Roman" w:hAnsi="Times New Roman" w:cs="Times New Roman"/>
          <w:sz w:val="28"/>
          <w:szCs w:val="28"/>
        </w:rPr>
      </w:pPr>
      <w:r w:rsidRPr="004861A3">
        <w:rPr>
          <w:rFonts w:ascii="Times New Roman" w:hAnsi="Times New Roman" w:cs="Times New Roman"/>
          <w:i/>
          <w:iCs/>
          <w:sz w:val="28"/>
          <w:szCs w:val="28"/>
        </w:rPr>
        <w:t>Powers and Procedure.—</w:t>
      </w:r>
      <w:r w:rsidRPr="004861A3">
        <w:rPr>
          <w:rFonts w:ascii="Times New Roman" w:hAnsi="Times New Roman" w:cs="Times New Roman"/>
          <w:sz w:val="28"/>
          <w:szCs w:val="28"/>
        </w:rPr>
        <w:t>Under sub-clauses (2) and (4) of Article 280 of the Constitution, the qualifications which shall be requisite for appointment as Members of the Commission and the manner in which they shall be selected have to be determined by Parliament by law and the Commission shall have such powers in the performance of their functions as Parliament may by law confer on them. The Finance Commission (Miscellaneous Provisions) Act, 1951 enacted in accordance with these provisions, is reproduced in Appendix II.</w:t>
      </w:r>
    </w:p>
    <w:p w14:paraId="4EAEC3F6" w14:textId="1136CBE5" w:rsidR="007E7609" w:rsidRPr="004861A3" w:rsidRDefault="007E7609" w:rsidP="002429A8">
      <w:pPr>
        <w:pStyle w:val="ListParagraph"/>
        <w:numPr>
          <w:ilvl w:val="0"/>
          <w:numId w:val="25"/>
        </w:numPr>
        <w:spacing w:after="0" w:line="380" w:lineRule="exact"/>
        <w:ind w:left="0" w:firstLine="567"/>
        <w:jc w:val="both"/>
        <w:rPr>
          <w:rFonts w:ascii="Times New Roman" w:hAnsi="Times New Roman" w:cs="Times New Roman"/>
          <w:sz w:val="28"/>
          <w:szCs w:val="28"/>
        </w:rPr>
      </w:pPr>
      <w:r w:rsidRPr="004861A3">
        <w:rPr>
          <w:rFonts w:ascii="Times New Roman" w:hAnsi="Times New Roman" w:cs="Times New Roman"/>
          <w:sz w:val="28"/>
          <w:szCs w:val="28"/>
        </w:rPr>
        <w:t xml:space="preserve">The Constitution authorises the Commission to determine their procedure while the Finance Commission (Miscellaneous Provisions) Act, 1951, has </w:t>
      </w:r>
      <w:r w:rsidRPr="004861A3">
        <w:rPr>
          <w:rFonts w:ascii="Times New Roman" w:hAnsi="Times New Roman" w:cs="Times New Roman"/>
          <w:sz w:val="28"/>
          <w:szCs w:val="28"/>
        </w:rPr>
        <w:lastRenderedPageBreak/>
        <w:t>conferred on the Commission all the powers of a Civil Court under the Code of Civil Procedure, 1908. The Commission have also been empowered to require any person to furnish information on such points or matters as, in the opinion of the Commission, may be useful for, or relevant to, any matter under the consideration of the Commission. The powers conferred on the Commission are set out in detail in Section 8 of the Act mentioned earlier.</w:t>
      </w:r>
    </w:p>
    <w:p w14:paraId="21A0A1B1" w14:textId="77777777" w:rsidR="007E7609" w:rsidRPr="004861A3" w:rsidRDefault="007E7609" w:rsidP="002429A8">
      <w:pPr>
        <w:pStyle w:val="ListParagraph"/>
        <w:numPr>
          <w:ilvl w:val="0"/>
          <w:numId w:val="25"/>
        </w:numPr>
        <w:spacing w:after="0" w:line="380" w:lineRule="exact"/>
        <w:ind w:left="0" w:firstLine="567"/>
        <w:jc w:val="both"/>
        <w:rPr>
          <w:rFonts w:ascii="Times New Roman" w:hAnsi="Times New Roman" w:cs="Times New Roman"/>
          <w:sz w:val="28"/>
          <w:szCs w:val="28"/>
        </w:rPr>
      </w:pPr>
      <w:r w:rsidRPr="004861A3">
        <w:rPr>
          <w:rFonts w:ascii="Times New Roman" w:hAnsi="Times New Roman" w:cs="Times New Roman"/>
          <w:sz w:val="28"/>
          <w:szCs w:val="28"/>
        </w:rPr>
        <w:t>The Commission prescribed their own rules of procedure under the powers vested in them. Among other things, these rules provided that the Commission shall decide from time to time whether their meetings with representatives of State Governments or members of the public should be held in public or private session. We felt that, in the earlier stages of the working of the Commission, at any rate, no rigid formality should be introduced into the procedure and that it would facilitate a full and frank discussion if the meetings were, as far as possible, held in private session. In the latter view the Chief Ministers of the State Governments, whom we generally consulted at the outset of our discussions in the respective States, also concurred. Our discussions with Ministers and other representatives of State and Central Governments were, therefore, held in private session. The discussions with certain Chambers of Commerce in Calcutta and Bombay were held in public.</w:t>
      </w:r>
    </w:p>
    <w:p w14:paraId="5335B45B" w14:textId="7C121320" w:rsidR="007E7609" w:rsidRPr="004861A3" w:rsidRDefault="007E7609" w:rsidP="002429A8">
      <w:pPr>
        <w:pStyle w:val="ListParagraph"/>
        <w:numPr>
          <w:ilvl w:val="0"/>
          <w:numId w:val="25"/>
        </w:numPr>
        <w:spacing w:after="0" w:line="380" w:lineRule="exact"/>
        <w:ind w:left="0" w:firstLine="567"/>
        <w:jc w:val="both"/>
        <w:rPr>
          <w:rFonts w:ascii="Times New Roman" w:hAnsi="Times New Roman" w:cs="Times New Roman"/>
          <w:sz w:val="28"/>
          <w:szCs w:val="28"/>
        </w:rPr>
      </w:pPr>
      <w:r w:rsidRPr="004861A3">
        <w:rPr>
          <w:rFonts w:ascii="Times New Roman" w:hAnsi="Times New Roman" w:cs="Times New Roman"/>
          <w:i/>
          <w:iCs/>
          <w:sz w:val="28"/>
          <w:szCs w:val="28"/>
        </w:rPr>
        <w:t>Provisional Recommendations.</w:t>
      </w:r>
      <w:r w:rsidRPr="004861A3">
        <w:rPr>
          <w:rFonts w:ascii="Times New Roman" w:hAnsi="Times New Roman" w:cs="Times New Roman"/>
          <w:sz w:val="28"/>
          <w:szCs w:val="28"/>
        </w:rPr>
        <w:t xml:space="preserve">—At a very early stage of our work we had to consider the question of making provisional recommendations to the President in respect of matters in which, after the appointment of a Finance Commission, the Constitution requires him to take into account their recommendations before making an Order. Pending our final </w:t>
      </w:r>
      <w:r w:rsidR="0072372C" w:rsidRPr="004861A3">
        <w:rPr>
          <w:rFonts w:ascii="Times New Roman" w:hAnsi="Times New Roman" w:cs="Times New Roman"/>
          <w:sz w:val="28"/>
          <w:szCs w:val="28"/>
        </w:rPr>
        <w:t>recommendations,</w:t>
      </w:r>
      <w:r w:rsidRPr="004861A3">
        <w:rPr>
          <w:rFonts w:ascii="Times New Roman" w:hAnsi="Times New Roman" w:cs="Times New Roman"/>
          <w:sz w:val="28"/>
          <w:szCs w:val="28"/>
        </w:rPr>
        <w:t xml:space="preserve"> we proposed that in order to avoid dislocation to the finances of the States which were receiving a share of income-tax or grants under one or other of the provisions of the Constitution the position as existing in 1951-52 should be maintained for the year 1952-53 also. We added the condition that any decisions taken on our final recommendations should be given effect to from the year 1952-53. We also recommended that the grants made to some of the States specified in Part A</w:t>
      </w:r>
      <w:r w:rsidRPr="004861A3">
        <w:rPr>
          <w:rStyle w:val="FootnoteReference"/>
          <w:rFonts w:ascii="Times New Roman" w:hAnsi="Times New Roman" w:cs="Times New Roman"/>
          <w:sz w:val="28"/>
          <w:szCs w:val="28"/>
        </w:rPr>
        <w:footnoteReference w:id="1"/>
      </w:r>
      <w:r w:rsidRPr="004861A3">
        <w:rPr>
          <w:rFonts w:ascii="Times New Roman" w:hAnsi="Times New Roman" w:cs="Times New Roman"/>
          <w:sz w:val="28"/>
          <w:szCs w:val="28"/>
        </w:rPr>
        <w:t xml:space="preserve"> of the First Schedule to the Constitution, in which certain territories of former Indian States have been merged, on the same basis as some States specified in Part B* of the First Schedule receive grants under sub-clause (1)(b) of Article 278 of the Constitution might also be continued during 1952-53, subject to the condition that they were to be treated as provisional and readjusted in the light of any decisions that might be taken on our final recommendations in regard </w:t>
      </w:r>
      <w:r w:rsidRPr="004861A3">
        <w:rPr>
          <w:rFonts w:ascii="Times New Roman" w:hAnsi="Times New Roman" w:cs="Times New Roman"/>
          <w:sz w:val="28"/>
          <w:szCs w:val="28"/>
        </w:rPr>
        <w:lastRenderedPageBreak/>
        <w:t>to financial assistance to these States. Our report, dated the 16</w:t>
      </w:r>
      <w:r w:rsidRPr="00213A11">
        <w:rPr>
          <w:rFonts w:ascii="Times New Roman" w:hAnsi="Times New Roman" w:cs="Times New Roman"/>
          <w:sz w:val="28"/>
          <w:szCs w:val="28"/>
          <w:vertAlign w:val="superscript"/>
        </w:rPr>
        <w:t>th</w:t>
      </w:r>
      <w:r w:rsidR="00213A11">
        <w:rPr>
          <w:rFonts w:ascii="Times New Roman" w:hAnsi="Times New Roman" w:cs="Times New Roman"/>
          <w:sz w:val="28"/>
          <w:szCs w:val="28"/>
        </w:rPr>
        <w:t xml:space="preserve"> </w:t>
      </w:r>
      <w:r w:rsidRPr="004861A3">
        <w:rPr>
          <w:rFonts w:ascii="Times New Roman" w:hAnsi="Times New Roman" w:cs="Times New Roman"/>
          <w:sz w:val="28"/>
          <w:szCs w:val="28"/>
        </w:rPr>
        <w:t>December 1951, containing these recommendations is given in Appendix III. These recommendations were accepted by the President and the formal Order giving effect to them, where necessary, was made by him on the 19</w:t>
      </w:r>
      <w:r w:rsidRPr="00213A11">
        <w:rPr>
          <w:rFonts w:ascii="Times New Roman" w:hAnsi="Times New Roman" w:cs="Times New Roman"/>
          <w:sz w:val="28"/>
          <w:szCs w:val="28"/>
          <w:vertAlign w:val="superscript"/>
        </w:rPr>
        <w:t>th</w:t>
      </w:r>
      <w:r w:rsidR="00213A11">
        <w:rPr>
          <w:rFonts w:ascii="Times New Roman" w:hAnsi="Times New Roman" w:cs="Times New Roman"/>
          <w:sz w:val="28"/>
          <w:szCs w:val="28"/>
        </w:rPr>
        <w:t xml:space="preserve"> </w:t>
      </w:r>
      <w:r w:rsidRPr="004861A3">
        <w:rPr>
          <w:rFonts w:ascii="Times New Roman" w:hAnsi="Times New Roman" w:cs="Times New Roman"/>
          <w:sz w:val="28"/>
          <w:szCs w:val="28"/>
        </w:rPr>
        <w:t>April 1952.</w:t>
      </w:r>
    </w:p>
    <w:p w14:paraId="16A68DA2" w14:textId="34531E53" w:rsidR="007E7609" w:rsidRPr="004861A3" w:rsidRDefault="007E7609" w:rsidP="002429A8">
      <w:pPr>
        <w:pStyle w:val="ListParagraph"/>
        <w:numPr>
          <w:ilvl w:val="0"/>
          <w:numId w:val="25"/>
        </w:numPr>
        <w:spacing w:after="0" w:line="380" w:lineRule="exact"/>
        <w:ind w:left="0" w:firstLine="567"/>
        <w:jc w:val="both"/>
        <w:rPr>
          <w:rFonts w:ascii="Times New Roman" w:hAnsi="Times New Roman" w:cs="Times New Roman"/>
          <w:sz w:val="28"/>
          <w:szCs w:val="28"/>
        </w:rPr>
      </w:pPr>
      <w:r w:rsidRPr="004861A3">
        <w:rPr>
          <w:rFonts w:ascii="Times New Roman" w:hAnsi="Times New Roman" w:cs="Times New Roman"/>
          <w:i/>
          <w:iCs/>
          <w:sz w:val="28"/>
          <w:szCs w:val="28"/>
        </w:rPr>
        <w:t xml:space="preserve">Method of </w:t>
      </w:r>
      <w:r w:rsidR="00213A11" w:rsidRPr="004861A3">
        <w:rPr>
          <w:rFonts w:ascii="Times New Roman" w:hAnsi="Times New Roman" w:cs="Times New Roman"/>
          <w:i/>
          <w:iCs/>
          <w:sz w:val="28"/>
          <w:szCs w:val="28"/>
        </w:rPr>
        <w:t>Enquiry</w:t>
      </w:r>
      <w:r w:rsidR="00213A11" w:rsidRPr="004861A3">
        <w:rPr>
          <w:rFonts w:ascii="Times New Roman" w:hAnsi="Times New Roman" w:cs="Times New Roman"/>
          <w:sz w:val="28"/>
          <w:szCs w:val="28"/>
        </w:rPr>
        <w:t xml:space="preserve">. </w:t>
      </w:r>
      <w:r w:rsidR="00213A11">
        <w:rPr>
          <w:rFonts w:ascii="Times New Roman" w:hAnsi="Times New Roman" w:cs="Times New Roman"/>
          <w:sz w:val="28"/>
          <w:szCs w:val="28"/>
        </w:rPr>
        <w:t xml:space="preserve">- </w:t>
      </w:r>
      <w:r w:rsidRPr="004861A3">
        <w:rPr>
          <w:rFonts w:ascii="Times New Roman" w:hAnsi="Times New Roman" w:cs="Times New Roman"/>
          <w:sz w:val="28"/>
          <w:szCs w:val="28"/>
        </w:rPr>
        <w:t>As part of the preliminary work in connection with the appointment of the Commission the Ministry of Finance addressed the Governments of the Part A States on the 22</w:t>
      </w:r>
      <w:r w:rsidRPr="00213A11">
        <w:rPr>
          <w:rFonts w:ascii="Times New Roman" w:hAnsi="Times New Roman" w:cs="Times New Roman"/>
          <w:sz w:val="28"/>
          <w:szCs w:val="28"/>
          <w:vertAlign w:val="superscript"/>
        </w:rPr>
        <w:t>nd</w:t>
      </w:r>
      <w:r w:rsidR="00213A11">
        <w:rPr>
          <w:rFonts w:ascii="Times New Roman" w:hAnsi="Times New Roman" w:cs="Times New Roman"/>
          <w:sz w:val="28"/>
          <w:szCs w:val="28"/>
        </w:rPr>
        <w:t xml:space="preserve"> </w:t>
      </w:r>
      <w:r w:rsidRPr="004861A3">
        <w:rPr>
          <w:rFonts w:ascii="Times New Roman" w:hAnsi="Times New Roman" w:cs="Times New Roman"/>
          <w:sz w:val="28"/>
          <w:szCs w:val="28"/>
        </w:rPr>
        <w:t>September 1951 requesting them to prepare their case for submission to the Commission on the various matters to be considered by them. After the Commission had been constituted we addressed a similar enquiry to the Governments of the Part B States on the 14</w:t>
      </w:r>
      <w:r w:rsidRPr="00213A11">
        <w:rPr>
          <w:rFonts w:ascii="Times New Roman" w:hAnsi="Times New Roman" w:cs="Times New Roman"/>
          <w:sz w:val="28"/>
          <w:szCs w:val="28"/>
          <w:vertAlign w:val="superscript"/>
        </w:rPr>
        <w:t>th</w:t>
      </w:r>
      <w:r w:rsidR="00213A11">
        <w:rPr>
          <w:rFonts w:ascii="Times New Roman" w:hAnsi="Times New Roman" w:cs="Times New Roman"/>
          <w:sz w:val="28"/>
          <w:szCs w:val="28"/>
        </w:rPr>
        <w:t xml:space="preserve"> </w:t>
      </w:r>
      <w:r w:rsidRPr="004861A3">
        <w:rPr>
          <w:rFonts w:ascii="Times New Roman" w:hAnsi="Times New Roman" w:cs="Times New Roman"/>
          <w:sz w:val="28"/>
          <w:szCs w:val="28"/>
        </w:rPr>
        <w:t>December 1951. At a later stage, we invited the views of the State Governments on the subject of sharing Union excises between the Centre and the States and the distribution of the States' share among them.</w:t>
      </w:r>
    </w:p>
    <w:p w14:paraId="0E944BD5" w14:textId="09646C28" w:rsidR="007E7609" w:rsidRPr="004861A3" w:rsidRDefault="007E7609" w:rsidP="002429A8">
      <w:pPr>
        <w:pStyle w:val="ListParagraph"/>
        <w:numPr>
          <w:ilvl w:val="0"/>
          <w:numId w:val="25"/>
        </w:numPr>
        <w:spacing w:after="0" w:line="380" w:lineRule="exact"/>
        <w:ind w:left="0" w:firstLine="567"/>
        <w:jc w:val="both"/>
        <w:rPr>
          <w:rFonts w:ascii="Times New Roman" w:hAnsi="Times New Roman" w:cs="Times New Roman"/>
          <w:sz w:val="28"/>
          <w:szCs w:val="28"/>
        </w:rPr>
      </w:pPr>
      <w:r w:rsidRPr="004861A3">
        <w:rPr>
          <w:rFonts w:ascii="Times New Roman" w:hAnsi="Times New Roman" w:cs="Times New Roman"/>
          <w:sz w:val="28"/>
          <w:szCs w:val="28"/>
        </w:rPr>
        <w:t>On the 19</w:t>
      </w:r>
      <w:r w:rsidRPr="00213A11">
        <w:rPr>
          <w:rFonts w:ascii="Times New Roman" w:hAnsi="Times New Roman" w:cs="Times New Roman"/>
          <w:sz w:val="28"/>
          <w:szCs w:val="28"/>
          <w:vertAlign w:val="superscript"/>
        </w:rPr>
        <w:t>th</w:t>
      </w:r>
      <w:r w:rsidR="00213A11">
        <w:rPr>
          <w:rFonts w:ascii="Times New Roman" w:hAnsi="Times New Roman" w:cs="Times New Roman"/>
          <w:sz w:val="28"/>
          <w:szCs w:val="28"/>
        </w:rPr>
        <w:t xml:space="preserve"> </w:t>
      </w:r>
      <w:r w:rsidRPr="004861A3">
        <w:rPr>
          <w:rFonts w:ascii="Times New Roman" w:hAnsi="Times New Roman" w:cs="Times New Roman"/>
          <w:sz w:val="28"/>
          <w:szCs w:val="28"/>
        </w:rPr>
        <w:t>February 1952 we issued a Press Note inviting suggestions of the public in regard to the distribution of the net proceeds of income-tax between the Union and the States and the allocation of the States' share among them and the principles which should govern the grants-in-aid of the revenues of the States out of the Consolidated Fund of India. We requested the State Governments to assist us by giving the widest publicity to this note. We also circulated copies of the note to the editors of important financial and commercial journals, Chambers of Commerce, University Departments of Economics and a number of individuals who, in our view, could help us with their suggestions. The general communications addressed to the States and the Press Note issued are reproduced in Appendix IV. We also give in Appendix V a list of the supplementary points on which we asked for information from the State Governments.</w:t>
      </w:r>
    </w:p>
    <w:p w14:paraId="6A2DE4E5" w14:textId="77777777" w:rsidR="007E7609" w:rsidRPr="004861A3" w:rsidRDefault="007E7609" w:rsidP="002429A8">
      <w:pPr>
        <w:pStyle w:val="ListParagraph"/>
        <w:numPr>
          <w:ilvl w:val="0"/>
          <w:numId w:val="25"/>
        </w:numPr>
        <w:spacing w:after="0" w:line="380" w:lineRule="exact"/>
        <w:ind w:left="0" w:firstLine="567"/>
        <w:jc w:val="both"/>
        <w:rPr>
          <w:rFonts w:ascii="Times New Roman" w:hAnsi="Times New Roman" w:cs="Times New Roman"/>
          <w:sz w:val="28"/>
          <w:szCs w:val="28"/>
        </w:rPr>
      </w:pPr>
      <w:r w:rsidRPr="004861A3">
        <w:rPr>
          <w:rFonts w:ascii="Times New Roman" w:hAnsi="Times New Roman" w:cs="Times New Roman"/>
          <w:sz w:val="28"/>
          <w:szCs w:val="28"/>
        </w:rPr>
        <w:t>We received from the State Governments detailed memoranda giving the information called for and setting out their views on the various matters to be considered by us. These memoranda were of great assistance to us and we were also readily furnished with whatever supplementary information we required. We received from certain Chambers of Commerce and a number of individuals memoranda giving their views, which we have carefully studied and taken into account.</w:t>
      </w:r>
    </w:p>
    <w:p w14:paraId="7DB32012" w14:textId="77777777" w:rsidR="007E7609" w:rsidRPr="004861A3" w:rsidRDefault="007E7609" w:rsidP="002429A8">
      <w:pPr>
        <w:pStyle w:val="ListParagraph"/>
        <w:numPr>
          <w:ilvl w:val="0"/>
          <w:numId w:val="25"/>
        </w:numPr>
        <w:spacing w:after="0" w:line="380" w:lineRule="exact"/>
        <w:ind w:left="0" w:firstLine="567"/>
        <w:jc w:val="both"/>
        <w:rPr>
          <w:rFonts w:ascii="Times New Roman" w:hAnsi="Times New Roman" w:cs="Times New Roman"/>
          <w:sz w:val="28"/>
          <w:szCs w:val="28"/>
        </w:rPr>
      </w:pPr>
      <w:r w:rsidRPr="004861A3">
        <w:rPr>
          <w:rFonts w:ascii="Times New Roman" w:hAnsi="Times New Roman" w:cs="Times New Roman"/>
          <w:sz w:val="28"/>
          <w:szCs w:val="28"/>
        </w:rPr>
        <w:t xml:space="preserve">We had occasion to avail freely of the facilities in the libraries of the Delhi University, the Indian Council of World Affairs, the Federation of Indian Chambers of Commerce and Industry and the Information Offices of some of the foreign Embassies in New Delhi. We desire to record our sense of appreciation for </w:t>
      </w:r>
      <w:r w:rsidRPr="004861A3">
        <w:rPr>
          <w:rFonts w:ascii="Times New Roman" w:hAnsi="Times New Roman" w:cs="Times New Roman"/>
          <w:sz w:val="28"/>
          <w:szCs w:val="28"/>
        </w:rPr>
        <w:lastRenderedPageBreak/>
        <w:t>this help. We also had to obtain information from a number of firms and individuals and their ready response facilitated our task.</w:t>
      </w:r>
    </w:p>
    <w:p w14:paraId="4995ED5E" w14:textId="77777777" w:rsidR="007E7609" w:rsidRPr="004861A3" w:rsidRDefault="007E7609" w:rsidP="002429A8">
      <w:pPr>
        <w:pStyle w:val="ListParagraph"/>
        <w:numPr>
          <w:ilvl w:val="0"/>
          <w:numId w:val="25"/>
        </w:numPr>
        <w:spacing w:after="0" w:line="380" w:lineRule="exact"/>
        <w:ind w:left="0" w:firstLine="567"/>
        <w:jc w:val="both"/>
        <w:rPr>
          <w:rFonts w:ascii="Times New Roman" w:hAnsi="Times New Roman" w:cs="Times New Roman"/>
          <w:sz w:val="28"/>
          <w:szCs w:val="28"/>
        </w:rPr>
      </w:pPr>
      <w:r w:rsidRPr="004861A3">
        <w:rPr>
          <w:rFonts w:ascii="Times New Roman" w:hAnsi="Times New Roman" w:cs="Times New Roman"/>
          <w:i/>
          <w:iCs/>
          <w:sz w:val="28"/>
          <w:szCs w:val="28"/>
        </w:rPr>
        <w:t>Visits to States.—</w:t>
      </w:r>
      <w:r w:rsidRPr="004861A3">
        <w:rPr>
          <w:rFonts w:ascii="Times New Roman" w:hAnsi="Times New Roman" w:cs="Times New Roman"/>
          <w:sz w:val="28"/>
          <w:szCs w:val="28"/>
        </w:rPr>
        <w:t>We visited all the sixteen States between April 1952 and September 1952 and had discussions with the State Governments and their senior officers. We invariably met the Chief Ministers and the Finance Ministers, while in a number of State we had the opportunity of meeting other Ministers as well. We met the Finance, Development and other Secretaries and senior officers in charge of various departments. The discussions with the State Governments were largely on the basis of the memoranda submitted by them. These had the advantage of enabling us to appreciate their problems and needs more vividly than was possible from a formal document. Some of us also visited a few “scheduled” and border areas in certain States and several institutions connected with development and welfare work. We would like to place on record our deep sense of obligation to the State Governments and their officers for the ready assistance given to us in carrying out our work and for the promptness with which our requests for information were met. The dates of our meetings with the State Governments are given in Appendix VI.</w:t>
      </w:r>
    </w:p>
    <w:p w14:paraId="17BFFC7A" w14:textId="5320E8A3" w:rsidR="007E7609" w:rsidRPr="004861A3" w:rsidRDefault="00B4036E" w:rsidP="002429A8">
      <w:pPr>
        <w:pStyle w:val="ListParagraph"/>
        <w:numPr>
          <w:ilvl w:val="0"/>
          <w:numId w:val="25"/>
        </w:numPr>
        <w:spacing w:after="0" w:line="380" w:lineRule="exact"/>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7E7609" w:rsidRPr="004861A3">
        <w:rPr>
          <w:rFonts w:ascii="Times New Roman" w:hAnsi="Times New Roman" w:cs="Times New Roman"/>
          <w:sz w:val="28"/>
          <w:szCs w:val="28"/>
        </w:rPr>
        <w:t>We held two public sittings, one in Calcutta on the 13th May 1952 when we met the representatives of the Indian Chamber of Commerce and Industry, the Bharat Chamber of Commerce, the Eastern Chamber of Commerce and the Bengal National Chamber of Commerce, and the other in Bombay on the 6th June 1952 when we met the representatives of the Indian Merchants’ Chamber. The representatives of the Bihar Chamber of Commerce met us in New Delhi while the representatives of the Rajasthan Chamber of Commerce and the Jaipur Chamber of Commerce and Industry met us in Jaipur.</w:t>
      </w:r>
    </w:p>
    <w:p w14:paraId="3B45992E" w14:textId="77777777" w:rsidR="007E7609" w:rsidRPr="004861A3" w:rsidRDefault="007E7609" w:rsidP="002429A8">
      <w:pPr>
        <w:pStyle w:val="ListParagraph"/>
        <w:numPr>
          <w:ilvl w:val="0"/>
          <w:numId w:val="25"/>
        </w:numPr>
        <w:spacing w:after="0" w:line="380" w:lineRule="exact"/>
        <w:ind w:left="0" w:firstLine="567"/>
        <w:jc w:val="both"/>
        <w:rPr>
          <w:rFonts w:ascii="Times New Roman" w:hAnsi="Times New Roman" w:cs="Times New Roman"/>
          <w:sz w:val="28"/>
          <w:szCs w:val="28"/>
        </w:rPr>
      </w:pPr>
      <w:r w:rsidRPr="004861A3">
        <w:rPr>
          <w:rFonts w:ascii="Times New Roman" w:hAnsi="Times New Roman" w:cs="Times New Roman"/>
          <w:sz w:val="28"/>
          <w:szCs w:val="28"/>
        </w:rPr>
        <w:t>During the course of our visits to the States we had informal discussions with the Commissioners of Income-Tax concerned. We also met the Accountants General of the States, whom the Comptroller and Auditor General had very kindly asked to assist us.</w:t>
      </w:r>
    </w:p>
    <w:p w14:paraId="781250C6" w14:textId="77777777" w:rsidR="007E7609" w:rsidRPr="004861A3" w:rsidRDefault="007E7609" w:rsidP="002429A8">
      <w:pPr>
        <w:pStyle w:val="ListParagraph"/>
        <w:numPr>
          <w:ilvl w:val="0"/>
          <w:numId w:val="25"/>
        </w:numPr>
        <w:spacing w:after="0" w:line="380" w:lineRule="exact"/>
        <w:ind w:left="0" w:firstLine="567"/>
        <w:jc w:val="both"/>
        <w:rPr>
          <w:rFonts w:ascii="Times New Roman" w:hAnsi="Times New Roman" w:cs="Times New Roman"/>
          <w:sz w:val="28"/>
          <w:szCs w:val="28"/>
        </w:rPr>
      </w:pPr>
      <w:r w:rsidRPr="004861A3">
        <w:rPr>
          <w:rFonts w:ascii="Times New Roman" w:hAnsi="Times New Roman" w:cs="Times New Roman"/>
          <w:i/>
          <w:iCs/>
          <w:sz w:val="28"/>
          <w:szCs w:val="28"/>
        </w:rPr>
        <w:t>Discussions with Central Ministries.—</w:t>
      </w:r>
      <w:r w:rsidRPr="004861A3">
        <w:rPr>
          <w:rFonts w:ascii="Times New Roman" w:hAnsi="Times New Roman" w:cs="Times New Roman"/>
          <w:sz w:val="28"/>
          <w:szCs w:val="28"/>
        </w:rPr>
        <w:t>On our return after completing our visits to the States we had discussions with the Secretaries and senior officers of the Central Ministries of Finance, Home Affairs, Education, States, Commerce and Industry, Rehabilitation, Food and Agriculture, Defence, Transport, Works, Housing and Supply and Natural Resources and Scientific Research. We also had a general discussion with the Union Finance Minister. Our thanks are due to the Finance Minister and the officers of the Central Ministries for the ready assistance given to us.</w:t>
      </w:r>
    </w:p>
    <w:p w14:paraId="393A82AB" w14:textId="77777777" w:rsidR="008C6A5F" w:rsidRPr="004861A3" w:rsidRDefault="007E7609" w:rsidP="002429A8">
      <w:pPr>
        <w:pStyle w:val="ListParagraph"/>
        <w:numPr>
          <w:ilvl w:val="0"/>
          <w:numId w:val="25"/>
        </w:numPr>
        <w:spacing w:after="0" w:line="380" w:lineRule="exact"/>
        <w:ind w:left="0" w:firstLine="567"/>
        <w:jc w:val="both"/>
        <w:rPr>
          <w:rFonts w:ascii="Times New Roman" w:hAnsi="Times New Roman" w:cs="Times New Roman"/>
          <w:sz w:val="28"/>
          <w:szCs w:val="28"/>
        </w:rPr>
      </w:pPr>
      <w:r w:rsidRPr="004861A3">
        <w:rPr>
          <w:rFonts w:ascii="Times New Roman" w:hAnsi="Times New Roman" w:cs="Times New Roman"/>
          <w:i/>
          <w:iCs/>
          <w:sz w:val="28"/>
          <w:szCs w:val="28"/>
        </w:rPr>
        <w:lastRenderedPageBreak/>
        <w:t>Inadequacy of data.—</w:t>
      </w:r>
      <w:r w:rsidRPr="004861A3">
        <w:rPr>
          <w:rFonts w:ascii="Times New Roman" w:hAnsi="Times New Roman" w:cs="Times New Roman"/>
          <w:sz w:val="28"/>
          <w:szCs w:val="28"/>
        </w:rPr>
        <w:t>While the Central and State Governments made a great deal of material available to us, we consider it our duty to mention that we felt somewhat handicapped by the lack or inadequacy of factual and statistical data in regard to certain matters. This related in particular to national income, the structure and incidence of taxation,—Central, State and Local—the standards and availability of social services in the various States, the distribution of responsibility in certain spheres between the States and local bodies and so on. We realise that this is only part</w:t>
      </w:r>
      <w:r w:rsidR="008C6A5F" w:rsidRPr="004861A3">
        <w:rPr>
          <w:rFonts w:ascii="Times New Roman" w:hAnsi="Times New Roman" w:cs="Times New Roman"/>
          <w:sz w:val="28"/>
          <w:szCs w:val="28"/>
        </w:rPr>
        <w:t xml:space="preserve"> of the general problem of the want of adequate economic and financial data in this country and that in the case of the more backward of the former Indian States statistics regarding the past may be almost impossible to obtain at the present stage. Later, we are making some recommendations in regard to the collection of current data to be made available to the Finance Commissions in future. In this connection we would recall the suggestions made by the Expert Committee on the Financial Provisions of the Union Constitution that Government should make necessary arrangements without delay for the collection of certain essential data and statistics.</w:t>
      </w:r>
    </w:p>
    <w:p w14:paraId="14B3B443" w14:textId="77777777" w:rsidR="008C6A5F" w:rsidRPr="004861A3" w:rsidRDefault="008C6A5F" w:rsidP="002429A8">
      <w:pPr>
        <w:pStyle w:val="ListParagraph"/>
        <w:numPr>
          <w:ilvl w:val="0"/>
          <w:numId w:val="25"/>
        </w:numPr>
        <w:spacing w:after="0" w:line="380" w:lineRule="exact"/>
        <w:ind w:left="0" w:firstLine="567"/>
        <w:jc w:val="both"/>
        <w:rPr>
          <w:rFonts w:ascii="Times New Roman" w:hAnsi="Times New Roman" w:cs="Times New Roman"/>
          <w:sz w:val="28"/>
          <w:szCs w:val="28"/>
        </w:rPr>
      </w:pPr>
      <w:r w:rsidRPr="004861A3">
        <w:rPr>
          <w:rFonts w:ascii="Times New Roman" w:hAnsi="Times New Roman" w:cs="Times New Roman"/>
          <w:i/>
          <w:iCs/>
          <w:sz w:val="28"/>
          <w:szCs w:val="28"/>
        </w:rPr>
        <w:t>Some special problems of Part B States.—</w:t>
      </w:r>
      <w:r w:rsidRPr="004861A3">
        <w:rPr>
          <w:rFonts w:ascii="Times New Roman" w:hAnsi="Times New Roman" w:cs="Times New Roman"/>
          <w:sz w:val="28"/>
          <w:szCs w:val="28"/>
        </w:rPr>
        <w:t>We should like, at this stage, to mention an important point which arose in our discussions with the Part B States. It was represented by some of them that we should enquire into their grievances in regard to the federal financial integration agreements entered into with them by the Central Government. We carefully considered this point and came to the conclusion that it would not be appropriate for the Commission to deal with the agreements at this stage. Under Articles 278 and 306 of the Constitution, the President is empowered to terminate or modify these agreements only after the expiration of five years from the commencement of the Constitution. Even if we were to make any recommendations affecting the agreements now, the President would not be in a position till then to take action on the recommendations. Further, we feel that for the purpose of the proviso to clause (2) of Article 278 of the Constitution any review of the working of these agreements can be usefully undertaken only after they have been in operation for a reasonable period of time.</w:t>
      </w:r>
    </w:p>
    <w:p w14:paraId="4D173585" w14:textId="77777777" w:rsidR="008C6A5F" w:rsidRPr="004861A3" w:rsidRDefault="008C6A5F" w:rsidP="002429A8">
      <w:pPr>
        <w:pStyle w:val="ListParagraph"/>
        <w:numPr>
          <w:ilvl w:val="0"/>
          <w:numId w:val="25"/>
        </w:numPr>
        <w:spacing w:after="0" w:line="380" w:lineRule="exact"/>
        <w:ind w:left="0" w:firstLine="567"/>
        <w:jc w:val="both"/>
        <w:rPr>
          <w:rFonts w:ascii="Times New Roman" w:hAnsi="Times New Roman" w:cs="Times New Roman"/>
          <w:sz w:val="28"/>
          <w:szCs w:val="28"/>
        </w:rPr>
      </w:pPr>
      <w:r w:rsidRPr="004861A3">
        <w:rPr>
          <w:rFonts w:ascii="Times New Roman" w:hAnsi="Times New Roman" w:cs="Times New Roman"/>
          <w:sz w:val="28"/>
          <w:szCs w:val="28"/>
        </w:rPr>
        <w:t>The agreements with four of the Part B States viz., Saurashtra, Madhya Bharat, Rajasthan and Patiala and East Punjab States Union contain a special provision which is reproduced below:—</w:t>
      </w:r>
    </w:p>
    <w:p w14:paraId="0E6D1E97" w14:textId="4A68E4C0" w:rsidR="008C6A5F" w:rsidRPr="004861A3" w:rsidRDefault="008C6A5F" w:rsidP="002429A8">
      <w:pPr>
        <w:spacing w:after="0" w:line="380" w:lineRule="exact"/>
        <w:ind w:left="360" w:firstLine="360"/>
        <w:jc w:val="both"/>
        <w:rPr>
          <w:rFonts w:ascii="Times New Roman" w:hAnsi="Times New Roman" w:cs="Times New Roman"/>
          <w:sz w:val="28"/>
          <w:szCs w:val="28"/>
        </w:rPr>
      </w:pPr>
      <w:r w:rsidRPr="004861A3">
        <w:rPr>
          <w:rFonts w:ascii="Times New Roman" w:hAnsi="Times New Roman" w:cs="Times New Roman"/>
          <w:sz w:val="28"/>
          <w:szCs w:val="28"/>
        </w:rPr>
        <w:t xml:space="preserve">“There is need for assistance to the State in connection with the internal integration of its administration and services and particularly in relation to its development in different directions, having regard to the fact that the State is backward in several respects as compared with Part A States. The Government of </w:t>
      </w:r>
      <w:r w:rsidRPr="004861A3">
        <w:rPr>
          <w:rFonts w:ascii="Times New Roman" w:hAnsi="Times New Roman" w:cs="Times New Roman"/>
          <w:sz w:val="28"/>
          <w:szCs w:val="28"/>
        </w:rPr>
        <w:lastRenderedPageBreak/>
        <w:t>India will</w:t>
      </w:r>
      <w:r w:rsidRPr="004861A3">
        <w:rPr>
          <w:rStyle w:val="FootnoteReference"/>
          <w:rFonts w:ascii="Times New Roman" w:hAnsi="Times New Roman" w:cs="Times New Roman"/>
          <w:sz w:val="28"/>
          <w:szCs w:val="28"/>
        </w:rPr>
        <w:footnoteReference w:id="2"/>
      </w:r>
      <w:r w:rsidRPr="004861A3">
        <w:rPr>
          <w:rFonts w:ascii="Times New Roman" w:hAnsi="Times New Roman" w:cs="Times New Roman"/>
          <w:sz w:val="28"/>
          <w:szCs w:val="28"/>
        </w:rPr>
        <w:t xml:space="preserve"> undertake a systematic enquiry into this problem with a view to rendering financial and technical assistance at the earliest opportunity. It will not be enough if as a result of federal financial integration the State is treated in the matter of grants and other forms of assistance in exactly the same way as Part A States.”</w:t>
      </w:r>
    </w:p>
    <w:p w14:paraId="2C52C203" w14:textId="77777777" w:rsidR="008C6A5F" w:rsidRPr="004861A3" w:rsidRDefault="008C6A5F" w:rsidP="002429A8">
      <w:pPr>
        <w:spacing w:after="0" w:line="380" w:lineRule="exact"/>
        <w:jc w:val="both"/>
        <w:rPr>
          <w:rFonts w:ascii="Times New Roman" w:hAnsi="Times New Roman" w:cs="Times New Roman"/>
          <w:sz w:val="28"/>
          <w:szCs w:val="28"/>
        </w:rPr>
      </w:pPr>
      <w:r w:rsidRPr="004861A3">
        <w:rPr>
          <w:rFonts w:ascii="Times New Roman" w:hAnsi="Times New Roman" w:cs="Times New Roman"/>
          <w:sz w:val="28"/>
          <w:szCs w:val="28"/>
        </w:rPr>
        <w:t>Our attention was drawn to this provision by the above mentioned States. One of them, namely, Saurashtra, expressed the fear that, unless this Commission had the necessary power and undertook the responsibility for this enquiry, any recommendations that they might make in regard to that State on the basis of principles applicable to Part A and other Part B States might prejudice the special enquiry on which the State Government relied for financial and technical assistance to remedy the State's backward condition. We explained to the representatives of the State Government, during our preliminary discussions with them, that the Commission had a duty cast upon them by the President to determine which of the States were in need of assistance and make recommendations to him in regard to the sums to be given as grants-in-aid to such States, and that in assessing the needs of the State we would take into account the special problems of Saurashtra including those created by the formation of the Saurashtra Union and the subsequent federal financial integration. This did not, however, seem to satisfy the State Government, and the Chief Minister addressed a letter on the subject to the Chairman, which is reproduced in Appendix VII. We would invite special attention to paragraphs 2, 3 and 5 of that letter. The State Government have expressed the view that it would be against the interests of the State to enter into a discussion of their needs with the Commission unless the enquiry contemplated by the agreement was conceded. Merely because of the caveat entered by the State, we could not refrain from enquiring into its needs as we had to discharge the duty placed upon us by the President to make recommendations to him in regard to all States in need of assistance. We have, therefore, enquired into the needs of Saurashtra, as of all the other States, by standards and criteria which we have applied without discrimination.</w:t>
      </w:r>
    </w:p>
    <w:p w14:paraId="4DD64C0A" w14:textId="0571A9F0" w:rsidR="008C6A5F" w:rsidRPr="004861A3" w:rsidRDefault="008C6A5F" w:rsidP="002429A8">
      <w:pPr>
        <w:pStyle w:val="ListParagraph"/>
        <w:numPr>
          <w:ilvl w:val="0"/>
          <w:numId w:val="25"/>
        </w:numPr>
        <w:spacing w:after="0" w:line="380" w:lineRule="exact"/>
        <w:ind w:left="0" w:firstLine="567"/>
        <w:jc w:val="both"/>
        <w:rPr>
          <w:rFonts w:ascii="Times New Roman" w:hAnsi="Times New Roman" w:cs="Times New Roman"/>
          <w:sz w:val="28"/>
          <w:szCs w:val="28"/>
        </w:rPr>
      </w:pPr>
      <w:r w:rsidRPr="004861A3">
        <w:rPr>
          <w:rFonts w:ascii="Times New Roman" w:hAnsi="Times New Roman" w:cs="Times New Roman"/>
          <w:i/>
          <w:iCs/>
          <w:sz w:val="28"/>
          <w:szCs w:val="28"/>
        </w:rPr>
        <w:t>Commission's approach to the problem.</w:t>
      </w:r>
      <w:r w:rsidRPr="004861A3">
        <w:rPr>
          <w:rFonts w:ascii="Times New Roman" w:hAnsi="Times New Roman" w:cs="Times New Roman"/>
          <w:sz w:val="28"/>
          <w:szCs w:val="28"/>
        </w:rPr>
        <w:t xml:space="preserve">—It will be convenient if, before dealing with the individual matters in regard to which we have to make recommendations, we set out briefly our approach to the problem of adjustments between Central and State revenues. The States laid before us an impressive case for </w:t>
      </w:r>
      <w:r w:rsidRPr="004861A3">
        <w:rPr>
          <w:rFonts w:ascii="Times New Roman" w:hAnsi="Times New Roman" w:cs="Times New Roman"/>
          <w:sz w:val="28"/>
          <w:szCs w:val="28"/>
        </w:rPr>
        <w:lastRenderedPageBreak/>
        <w:t>increased assistance to meet their growing needs and our discussions with the State Governments have left us in no doubt about the imperative need for a substantial augmentation of the revenues now available to them. We had, however, to take into account not merely the needs of the States but the ability of the Centre as well to assist the States by the transfer of a larger portion of its revenues. It is unnecessary for us to emphasise that the prosperity of the States must rest on the solid foundation of a reasonably strong and financially stable Centre. Nor need the point be laboured that while the States have large and expanding responsibilities for the welfare and development of the people the capacity of the Centre to make additional resources available is conditioned both by the amount of revenue it can raise and by its own essential needs, which, in the ultimate analysis, are the needs of the country as a whole.</w:t>
      </w:r>
    </w:p>
    <w:p w14:paraId="312FF972" w14:textId="1C5AB819" w:rsidR="008C6A5F" w:rsidRPr="004861A3" w:rsidRDefault="008C6A5F" w:rsidP="002429A8">
      <w:pPr>
        <w:pStyle w:val="ListParagraph"/>
        <w:numPr>
          <w:ilvl w:val="0"/>
          <w:numId w:val="25"/>
        </w:numPr>
        <w:spacing w:after="0" w:line="380" w:lineRule="exact"/>
        <w:ind w:left="0" w:firstLine="567"/>
        <w:jc w:val="both"/>
        <w:rPr>
          <w:rFonts w:ascii="Times New Roman" w:hAnsi="Times New Roman" w:cs="Times New Roman"/>
          <w:sz w:val="28"/>
          <w:szCs w:val="28"/>
        </w:rPr>
      </w:pPr>
      <w:r w:rsidRPr="004861A3">
        <w:rPr>
          <w:rFonts w:ascii="Times New Roman" w:hAnsi="Times New Roman" w:cs="Times New Roman"/>
          <w:sz w:val="28"/>
          <w:szCs w:val="28"/>
        </w:rPr>
        <w:t>The plan of assistance which we have drawn up envisages a substantial transfer of resources from the Centre to the States. We have used the methods both of devolution of revenue and grants-in-aid but have relied substantially on the devolution of revenue for securing this transfer. In doing so we believe we are meeting the general desire of the States themselves. The method has also the advantage of linking the revenues of the States directly with those of the Centre, so that both share in whatever elasticity the revenue that is divided between them possesses. In our proposals for the devolution of revenue we have widened the field of division by recommending the division of a few excises in addition to increasing somewhat the States' share in the divisible pool of income-tax. An increase in the number of divisible taxes also makes it possible to diversify the basis of distribution and achieve a balanced scheme which would benefit all the States. We have recommended general grants-in-aid to such of the States to whom our scheme for the devolution of revenue does not provide adequate resources. We have also recommended grants-in-aid to some of the less developed States to enable them to make some progress in one of the important social services of national interest.</w:t>
      </w:r>
    </w:p>
    <w:p w14:paraId="18814DC7" w14:textId="1E3DE41B" w:rsidR="008C6A5F" w:rsidRPr="004861A3" w:rsidRDefault="008C6A5F" w:rsidP="002429A8">
      <w:pPr>
        <w:pStyle w:val="ListParagraph"/>
        <w:numPr>
          <w:ilvl w:val="0"/>
          <w:numId w:val="25"/>
        </w:numPr>
        <w:spacing w:after="0" w:line="380" w:lineRule="exact"/>
        <w:ind w:left="0" w:firstLine="567"/>
        <w:jc w:val="both"/>
        <w:rPr>
          <w:rFonts w:ascii="Times New Roman" w:hAnsi="Times New Roman" w:cs="Times New Roman"/>
          <w:sz w:val="28"/>
          <w:szCs w:val="28"/>
        </w:rPr>
      </w:pPr>
      <w:r w:rsidRPr="004861A3">
        <w:rPr>
          <w:rFonts w:ascii="Times New Roman" w:hAnsi="Times New Roman" w:cs="Times New Roman"/>
          <w:sz w:val="28"/>
          <w:szCs w:val="28"/>
        </w:rPr>
        <w:t>We would like to emphasise that our scheme should be considered as an integrated whole. Any modifications in the individual recommendations would affect the balance of the scheme and we have no doubt that this will be borne in mind in taking action on our recommendations.</w:t>
      </w:r>
    </w:p>
    <w:p w14:paraId="33918A15" w14:textId="67CDA98D" w:rsidR="008C6A5F" w:rsidRPr="004861A3" w:rsidRDefault="004861A3" w:rsidP="002429A8">
      <w:pPr>
        <w:pStyle w:val="ListParagraph"/>
        <w:numPr>
          <w:ilvl w:val="0"/>
          <w:numId w:val="25"/>
        </w:numPr>
        <w:spacing w:after="0" w:line="380" w:lineRule="exact"/>
        <w:ind w:left="0" w:firstLine="567"/>
        <w:jc w:val="both"/>
        <w:rPr>
          <w:rFonts w:ascii="Times New Roman" w:hAnsi="Times New Roman" w:cs="Times New Roman"/>
          <w:sz w:val="28"/>
          <w:szCs w:val="28"/>
        </w:rPr>
      </w:pPr>
      <w:r>
        <w:rPr>
          <w:rFonts w:ascii="Times New Roman" w:hAnsi="Times New Roman" w:cs="Times New Roman"/>
          <w:sz w:val="28"/>
          <w:szCs w:val="28"/>
        </w:rPr>
        <w:t>I</w:t>
      </w:r>
      <w:r w:rsidR="008C6A5F" w:rsidRPr="004861A3">
        <w:rPr>
          <w:rFonts w:ascii="Times New Roman" w:hAnsi="Times New Roman" w:cs="Times New Roman"/>
          <w:sz w:val="28"/>
          <w:szCs w:val="28"/>
        </w:rPr>
        <w:t xml:space="preserve">n drawing up the scheme of assistance we have kept three main considerations in view. Firstly, the additional transfer of resources from the Centre must be such as the Centre could bear without undue strain on its resources, taking into account its responsibility for such vital matters as the defence of the country and </w:t>
      </w:r>
      <w:r w:rsidR="008C6A5F" w:rsidRPr="004861A3">
        <w:rPr>
          <w:rFonts w:ascii="Times New Roman" w:hAnsi="Times New Roman" w:cs="Times New Roman"/>
          <w:sz w:val="28"/>
          <w:szCs w:val="28"/>
        </w:rPr>
        <w:lastRenderedPageBreak/>
        <w:t>the stability of its economy. Secondly, the principles for the distribution of revenues between the States and the determination of grants-in-aid must be uniformly applied to all the States. Lastly, the scheme of distribution should attempt to lessen the inequalities between States.</w:t>
      </w:r>
    </w:p>
    <w:p w14:paraId="436FE0F7" w14:textId="77777777" w:rsidR="008C6A5F" w:rsidRPr="004861A3" w:rsidRDefault="008C6A5F" w:rsidP="002429A8">
      <w:pPr>
        <w:pStyle w:val="ListParagraph"/>
        <w:numPr>
          <w:ilvl w:val="0"/>
          <w:numId w:val="25"/>
        </w:numPr>
        <w:spacing w:after="0" w:line="380" w:lineRule="exact"/>
        <w:ind w:left="0" w:firstLine="567"/>
        <w:jc w:val="both"/>
        <w:rPr>
          <w:rFonts w:ascii="Times New Roman" w:hAnsi="Times New Roman" w:cs="Times New Roman"/>
          <w:sz w:val="28"/>
          <w:szCs w:val="28"/>
        </w:rPr>
      </w:pPr>
      <w:r w:rsidRPr="004861A3">
        <w:rPr>
          <w:rFonts w:ascii="Times New Roman" w:hAnsi="Times New Roman" w:cs="Times New Roman"/>
          <w:sz w:val="28"/>
          <w:szCs w:val="28"/>
        </w:rPr>
        <w:t>During the course of discussions a number of State Governments drew our attention to the finance required for meeting expenditure on capital schemes. We are primarily concerned with the distribution of revenues between the Centre and the States and the determination of grants-in-aid of the revenues of the States, which have to come from Central revenues. The capital needs both of the Centre and the States have to be met largely from borrowed funds and no devolution of revenue or grants-in-aid which we could suggest would, in present circumstances, be able to satisfy such needs. We are, therefore, making no recommendations in regard to grants for meeting the capital requirements of the States.</w:t>
      </w:r>
    </w:p>
    <w:p w14:paraId="36162CA3" w14:textId="77777777" w:rsidR="008C6A5F" w:rsidRPr="004861A3" w:rsidRDefault="008C6A5F" w:rsidP="002429A8">
      <w:pPr>
        <w:pStyle w:val="ListParagraph"/>
        <w:numPr>
          <w:ilvl w:val="0"/>
          <w:numId w:val="25"/>
        </w:numPr>
        <w:spacing w:after="0" w:line="380" w:lineRule="exact"/>
        <w:ind w:left="0" w:firstLine="567"/>
        <w:jc w:val="both"/>
        <w:rPr>
          <w:rFonts w:ascii="Times New Roman" w:hAnsi="Times New Roman" w:cs="Times New Roman"/>
          <w:sz w:val="28"/>
          <w:szCs w:val="28"/>
        </w:rPr>
      </w:pPr>
      <w:r w:rsidRPr="004861A3">
        <w:rPr>
          <w:rFonts w:ascii="Times New Roman" w:hAnsi="Times New Roman" w:cs="Times New Roman"/>
          <w:i/>
          <w:iCs/>
          <w:sz w:val="28"/>
          <w:szCs w:val="28"/>
        </w:rPr>
        <w:t>Some special points made by States.</w:t>
      </w:r>
      <w:r w:rsidRPr="004861A3">
        <w:rPr>
          <w:rFonts w:ascii="Times New Roman" w:hAnsi="Times New Roman" w:cs="Times New Roman"/>
          <w:sz w:val="28"/>
          <w:szCs w:val="28"/>
        </w:rPr>
        <w:t>—Some of the State Governments also mentioned to us certain handicaps in expanding their revenue under which they laboured as a result of Central policy. Some of them pointed out that under the Central Mining Rules the royalty which they could obtain on minerals exploited in their territories was reduced and thereby, to some extent, they suffered a loss of revenue. The Government of Assam complained against the high price fixed for petrol in the State, although the State was the only producer of motor spirit, and they contended that this high price reduced the margin available to them for the levy of sales taxes on this commodity. The Governments of Orissa and Madhya Pradesh stated that the prices paid to them in the past for the rice supplied by them to the deficit States was much lower than the competitive price that could have been obtained and that to the extent to which this reduced the income of the people of the State it restricted the taxable capacity available to the State Government. The Government of Travancore-Cochin complained that they were not receiving a fair price for the monazite sands supplied by them. We have brought some of these complaints to the notice of the Central Ministries. We do not make any recommendations on these isolated matters as they do not fall within the general scope of our work.</w:t>
      </w:r>
    </w:p>
    <w:p w14:paraId="14623C44" w14:textId="77777777" w:rsidR="00497423" w:rsidRPr="004861A3" w:rsidRDefault="008C6A5F" w:rsidP="002429A8">
      <w:pPr>
        <w:pStyle w:val="ListParagraph"/>
        <w:numPr>
          <w:ilvl w:val="0"/>
          <w:numId w:val="25"/>
        </w:numPr>
        <w:spacing w:after="0" w:line="380" w:lineRule="exact"/>
        <w:ind w:left="0" w:firstLine="567"/>
        <w:jc w:val="both"/>
        <w:rPr>
          <w:rFonts w:ascii="Times New Roman" w:hAnsi="Times New Roman" w:cs="Times New Roman"/>
          <w:sz w:val="28"/>
          <w:szCs w:val="28"/>
        </w:rPr>
      </w:pPr>
      <w:r w:rsidRPr="004861A3">
        <w:rPr>
          <w:rFonts w:ascii="Times New Roman" w:hAnsi="Times New Roman" w:cs="Times New Roman"/>
          <w:i/>
          <w:iCs/>
          <w:sz w:val="28"/>
          <w:szCs w:val="28"/>
        </w:rPr>
        <w:t>Scheme of the Report.</w:t>
      </w:r>
      <w:r w:rsidRPr="004861A3">
        <w:rPr>
          <w:rFonts w:ascii="Times New Roman" w:hAnsi="Times New Roman" w:cs="Times New Roman"/>
          <w:sz w:val="28"/>
          <w:szCs w:val="28"/>
        </w:rPr>
        <w:t xml:space="preserve">—The scheme of the Report may now be briefly indicated. In Chapter II we give an account of the evolution of financial relations between the Centre and the units, outlining the changes in the constitutional basis of these relations from time to time as well as the discussions which preceded them. In the third chapter we attempt an analysis of the significant trends in Central and State finances, including outstanding changes in the composition of the revenue and </w:t>
      </w:r>
      <w:r w:rsidRPr="004861A3">
        <w:rPr>
          <w:rFonts w:ascii="Times New Roman" w:hAnsi="Times New Roman" w:cs="Times New Roman"/>
          <w:sz w:val="28"/>
          <w:szCs w:val="28"/>
        </w:rPr>
        <w:lastRenderedPageBreak/>
        <w:t>expenditure from one period to another. Thereafter, we deal in separate chapters with the specific matters on which we make recommendations. Thus in Chapter IV we deal with the question of the distribution and allocation of income-tax, and in the fifth chapter with the division of Union excises which we also recommend. Chapter VI treats of grants-in-aid in lieu of the jute-export duty which form a category of grants-in-aid by themselves. In Chapter VII we go on to formulate a few principles which should govern grants-in-aid of the revenues of States before setting out in Chapter VIII, our own proposals for grants-in-aid. Chapter IX gives a summary of our recommendations and in the final chapter we</w:t>
      </w:r>
      <w:r w:rsidR="00497423" w:rsidRPr="004861A3">
        <w:rPr>
          <w:rFonts w:ascii="Times New Roman" w:hAnsi="Times New Roman" w:cs="Times New Roman"/>
          <w:sz w:val="28"/>
          <w:szCs w:val="28"/>
        </w:rPr>
        <w:t xml:space="preserve"> make certain suggestions for the setting up of machinery for the collection and collation of material for the use of the Finance Commission in future. The appendices reproduce certain communications and give subsidiary information and statistical tables of interest, bearing on our work.</w:t>
      </w:r>
    </w:p>
    <w:p w14:paraId="17AEC097" w14:textId="77777777" w:rsidR="00497423" w:rsidRPr="004861A3" w:rsidRDefault="00497423" w:rsidP="002429A8">
      <w:pPr>
        <w:pStyle w:val="ListParagraph"/>
        <w:numPr>
          <w:ilvl w:val="0"/>
          <w:numId w:val="25"/>
        </w:numPr>
        <w:spacing w:after="0" w:line="380" w:lineRule="exact"/>
        <w:ind w:left="0" w:firstLine="567"/>
        <w:jc w:val="both"/>
        <w:rPr>
          <w:rFonts w:ascii="Times New Roman" w:hAnsi="Times New Roman" w:cs="Times New Roman"/>
          <w:sz w:val="28"/>
          <w:szCs w:val="28"/>
        </w:rPr>
      </w:pPr>
      <w:r w:rsidRPr="004861A3">
        <w:rPr>
          <w:rFonts w:ascii="Times New Roman" w:hAnsi="Times New Roman" w:cs="Times New Roman"/>
          <w:i/>
          <w:iCs/>
          <w:sz w:val="28"/>
          <w:szCs w:val="28"/>
        </w:rPr>
        <w:t>Miscellaneous.</w:t>
      </w:r>
      <w:r w:rsidRPr="004861A3">
        <w:rPr>
          <w:rFonts w:ascii="Times New Roman" w:hAnsi="Times New Roman" w:cs="Times New Roman"/>
          <w:sz w:val="28"/>
          <w:szCs w:val="28"/>
        </w:rPr>
        <w:t>—Throughout this report references to Part A States are to the States including the “merged areas” and references to the Part B States should be read as excluding the State of Jammu and Kashmir.</w:t>
      </w:r>
    </w:p>
    <w:p w14:paraId="0BBB38F1" w14:textId="261F2A10" w:rsidR="008C6A5F" w:rsidRPr="004861A3" w:rsidRDefault="008C6A5F" w:rsidP="004861A3">
      <w:pPr>
        <w:pStyle w:val="ListParagraph"/>
        <w:spacing w:after="0" w:line="400" w:lineRule="exact"/>
        <w:jc w:val="both"/>
        <w:rPr>
          <w:rFonts w:ascii="Times New Roman" w:hAnsi="Times New Roman" w:cs="Times New Roman"/>
          <w:sz w:val="28"/>
          <w:szCs w:val="28"/>
        </w:rPr>
      </w:pPr>
    </w:p>
    <w:p w14:paraId="716B29B5" w14:textId="28843338" w:rsidR="008C6A5F" w:rsidRPr="0003452E" w:rsidRDefault="008C6A5F" w:rsidP="00DC5A0C">
      <w:pPr>
        <w:pStyle w:val="ListParagraph"/>
        <w:rPr>
          <w:rFonts w:ascii="Times New Roman" w:hAnsi="Times New Roman" w:cs="Times New Roman"/>
        </w:rPr>
      </w:pPr>
    </w:p>
    <w:p w14:paraId="7DE9C294" w14:textId="372BFC0A" w:rsidR="008C6A5F" w:rsidRPr="0003452E" w:rsidRDefault="008C6A5F" w:rsidP="008C6A5F">
      <w:pPr>
        <w:pStyle w:val="ListParagraph"/>
        <w:rPr>
          <w:rFonts w:ascii="Times New Roman" w:hAnsi="Times New Roman" w:cs="Times New Roman"/>
        </w:rPr>
      </w:pPr>
    </w:p>
    <w:p w14:paraId="7795A09C" w14:textId="77777777" w:rsidR="008C6A5F" w:rsidRPr="0003452E" w:rsidRDefault="008C6A5F" w:rsidP="008C6A5F">
      <w:pPr>
        <w:ind w:left="360" w:firstLine="360"/>
        <w:rPr>
          <w:rFonts w:ascii="Times New Roman" w:hAnsi="Times New Roman" w:cs="Times New Roman"/>
        </w:rPr>
      </w:pPr>
    </w:p>
    <w:p w14:paraId="0B3B3038" w14:textId="2BA6DF5E" w:rsidR="008C6A5F" w:rsidRPr="0003452E" w:rsidRDefault="008C6A5F" w:rsidP="008C6A5F">
      <w:pPr>
        <w:ind w:left="720"/>
        <w:rPr>
          <w:rFonts w:ascii="Times New Roman" w:hAnsi="Times New Roman" w:cs="Times New Roman"/>
        </w:rPr>
      </w:pPr>
    </w:p>
    <w:p w14:paraId="71B1BEAD" w14:textId="36D08C56" w:rsidR="00497423" w:rsidRPr="0003452E" w:rsidRDefault="00497423">
      <w:pPr>
        <w:rPr>
          <w:rFonts w:ascii="Times New Roman" w:hAnsi="Times New Roman" w:cs="Times New Roman"/>
        </w:rPr>
      </w:pPr>
      <w:r w:rsidRPr="0003452E">
        <w:rPr>
          <w:rFonts w:ascii="Times New Roman" w:hAnsi="Times New Roman" w:cs="Times New Roman"/>
        </w:rPr>
        <w:br w:type="page"/>
      </w:r>
    </w:p>
    <w:p w14:paraId="0EF802C6" w14:textId="183E8632" w:rsidR="00497423" w:rsidRPr="0003452E" w:rsidRDefault="00497423" w:rsidP="00000EE8">
      <w:pPr>
        <w:pStyle w:val="Heading1"/>
      </w:pPr>
      <w:bookmarkStart w:id="2" w:name="_Toc221007112"/>
      <w:r w:rsidRPr="0003452E">
        <w:lastRenderedPageBreak/>
        <w:t>CHAPTER II</w:t>
      </w:r>
      <w:r w:rsidR="00000EE8">
        <w:t xml:space="preserve"> </w:t>
      </w:r>
      <w:r w:rsidR="00000EE8">
        <w:br/>
      </w:r>
      <w:r w:rsidRPr="0003452E">
        <w:t>EVOLUTION OF FINANCIAL RELATIONS BETWEEN THE CENTRE AND THE STATES</w:t>
      </w:r>
      <w:bookmarkEnd w:id="2"/>
    </w:p>
    <w:p w14:paraId="5B8F2C96" w14:textId="15EB7DF2" w:rsidR="00497423" w:rsidRPr="00000EE8" w:rsidRDefault="00497423" w:rsidP="00000EE8">
      <w:pPr>
        <w:pStyle w:val="ListParagraph"/>
        <w:numPr>
          <w:ilvl w:val="0"/>
          <w:numId w:val="28"/>
        </w:numPr>
        <w:spacing w:after="0" w:line="380" w:lineRule="exact"/>
        <w:ind w:left="0" w:firstLine="567"/>
        <w:jc w:val="both"/>
        <w:rPr>
          <w:rFonts w:ascii="Times New Roman" w:hAnsi="Times New Roman" w:cs="Times New Roman"/>
          <w:sz w:val="28"/>
          <w:szCs w:val="28"/>
        </w:rPr>
      </w:pPr>
      <w:r w:rsidRPr="00000EE8">
        <w:rPr>
          <w:rFonts w:ascii="Times New Roman" w:hAnsi="Times New Roman" w:cs="Times New Roman"/>
          <w:i/>
          <w:iCs/>
          <w:sz w:val="28"/>
          <w:szCs w:val="28"/>
        </w:rPr>
        <w:t>Four periods.</w:t>
      </w:r>
      <w:r w:rsidRPr="00000EE8">
        <w:rPr>
          <w:rFonts w:ascii="Times New Roman" w:hAnsi="Times New Roman" w:cs="Times New Roman"/>
          <w:sz w:val="28"/>
          <w:szCs w:val="28"/>
        </w:rPr>
        <w:t>—For the purposes of our review the history of financial relations between the Centre and the units in India may be divided broadly into four periods: the period of about sixty years before the coming into effect of the Government of India Act, 1919; the period from 1</w:t>
      </w:r>
      <w:r w:rsidRPr="003323C6">
        <w:rPr>
          <w:rFonts w:ascii="Times New Roman" w:hAnsi="Times New Roman" w:cs="Times New Roman"/>
          <w:sz w:val="28"/>
          <w:szCs w:val="28"/>
          <w:vertAlign w:val="superscript"/>
        </w:rPr>
        <w:t>st</w:t>
      </w:r>
      <w:r w:rsidR="003323C6">
        <w:rPr>
          <w:rFonts w:ascii="Times New Roman" w:hAnsi="Times New Roman" w:cs="Times New Roman"/>
          <w:sz w:val="28"/>
          <w:szCs w:val="28"/>
        </w:rPr>
        <w:t xml:space="preserve"> </w:t>
      </w:r>
      <w:r w:rsidRPr="00000EE8">
        <w:rPr>
          <w:rFonts w:ascii="Times New Roman" w:hAnsi="Times New Roman" w:cs="Times New Roman"/>
          <w:sz w:val="28"/>
          <w:szCs w:val="28"/>
        </w:rPr>
        <w:t>April 1921 to 31</w:t>
      </w:r>
      <w:r w:rsidRPr="003323C6">
        <w:rPr>
          <w:rFonts w:ascii="Times New Roman" w:hAnsi="Times New Roman" w:cs="Times New Roman"/>
          <w:sz w:val="28"/>
          <w:szCs w:val="28"/>
          <w:vertAlign w:val="superscript"/>
        </w:rPr>
        <w:t>st</w:t>
      </w:r>
      <w:r w:rsidR="003323C6">
        <w:rPr>
          <w:rFonts w:ascii="Times New Roman" w:hAnsi="Times New Roman" w:cs="Times New Roman"/>
          <w:sz w:val="28"/>
          <w:szCs w:val="28"/>
        </w:rPr>
        <w:t xml:space="preserve"> </w:t>
      </w:r>
      <w:r w:rsidRPr="00000EE8">
        <w:rPr>
          <w:rFonts w:ascii="Times New Roman" w:hAnsi="Times New Roman" w:cs="Times New Roman"/>
          <w:sz w:val="28"/>
          <w:szCs w:val="28"/>
        </w:rPr>
        <w:t>March 1937, during which the Government of India Act, 1919, remained in force; the period covered by the Government of India Act, 1935, namely, from 1</w:t>
      </w:r>
      <w:r w:rsidRPr="003323C6">
        <w:rPr>
          <w:rFonts w:ascii="Times New Roman" w:hAnsi="Times New Roman" w:cs="Times New Roman"/>
          <w:sz w:val="28"/>
          <w:szCs w:val="28"/>
          <w:vertAlign w:val="superscript"/>
        </w:rPr>
        <w:t>st</w:t>
      </w:r>
      <w:r w:rsidR="003323C6">
        <w:rPr>
          <w:rFonts w:ascii="Times New Roman" w:hAnsi="Times New Roman" w:cs="Times New Roman"/>
          <w:sz w:val="28"/>
          <w:szCs w:val="28"/>
        </w:rPr>
        <w:t xml:space="preserve"> </w:t>
      </w:r>
      <w:r w:rsidRPr="00000EE8">
        <w:rPr>
          <w:rFonts w:ascii="Times New Roman" w:hAnsi="Times New Roman" w:cs="Times New Roman"/>
          <w:sz w:val="28"/>
          <w:szCs w:val="28"/>
        </w:rPr>
        <w:t>April 1937 to the coming into force of the Constitution of India in early 1950; and the period subsequent to the commencement of the Constitution.</w:t>
      </w:r>
    </w:p>
    <w:p w14:paraId="1EAE5B59" w14:textId="77777777" w:rsidR="00497423" w:rsidRPr="00000EE8" w:rsidRDefault="00497423" w:rsidP="00000EE8">
      <w:pPr>
        <w:spacing w:line="380" w:lineRule="exact"/>
        <w:ind w:left="360"/>
        <w:jc w:val="center"/>
        <w:rPr>
          <w:rFonts w:ascii="Times New Roman" w:hAnsi="Times New Roman" w:cs="Times New Roman"/>
          <w:sz w:val="28"/>
          <w:szCs w:val="28"/>
        </w:rPr>
      </w:pPr>
      <w:r w:rsidRPr="00000EE8">
        <w:rPr>
          <w:rFonts w:ascii="Times New Roman" w:hAnsi="Times New Roman" w:cs="Times New Roman"/>
          <w:b/>
          <w:bCs/>
          <w:sz w:val="28"/>
          <w:szCs w:val="28"/>
        </w:rPr>
        <w:t>FIRST PERIOD</w:t>
      </w:r>
    </w:p>
    <w:p w14:paraId="21F32B8B" w14:textId="28A295CF" w:rsidR="00497423" w:rsidRPr="00000EE8" w:rsidRDefault="00497423" w:rsidP="00000EE8">
      <w:pPr>
        <w:pStyle w:val="ListParagraph"/>
        <w:numPr>
          <w:ilvl w:val="0"/>
          <w:numId w:val="28"/>
        </w:numPr>
        <w:spacing w:after="0" w:line="380" w:lineRule="exact"/>
        <w:ind w:left="0" w:firstLine="567"/>
        <w:jc w:val="both"/>
        <w:rPr>
          <w:rFonts w:ascii="Times New Roman" w:hAnsi="Times New Roman" w:cs="Times New Roman"/>
          <w:sz w:val="28"/>
          <w:szCs w:val="28"/>
        </w:rPr>
      </w:pPr>
      <w:r w:rsidRPr="00000EE8">
        <w:rPr>
          <w:rFonts w:ascii="Times New Roman" w:hAnsi="Times New Roman" w:cs="Times New Roman"/>
          <w:i/>
          <w:iCs/>
          <w:sz w:val="28"/>
          <w:szCs w:val="28"/>
        </w:rPr>
        <w:t>Financial Devolution and “Divided Heads”.</w:t>
      </w:r>
      <w:r w:rsidRPr="00000EE8">
        <w:rPr>
          <w:rFonts w:ascii="Times New Roman" w:hAnsi="Times New Roman" w:cs="Times New Roman"/>
          <w:sz w:val="28"/>
          <w:szCs w:val="28"/>
        </w:rPr>
        <w:t xml:space="preserve">—The first period witnessed a gradual process of progressive devolution of financial authority from the Central Government to the Provincial Governments. In the earlier stages of this period, the system of government was highly centralised and the Central Government retained complete control over provincial revenue and expenditure. The financial authority of Provinces was enlarged, at first through fixed grants for the upkeep of definite services and later by the transfer to them of the whole or part of specified heads of revenue, to stimulate their interest in collections as well as to encourage economy in expenditure. Thus developed a system of allocation known as “provincial financial settlements”. The settlements, to start with, were reviewed quinquennially but were later made quasi-permanent and then permanent in 1912. Of particular interest in these arrangements was the system of “divided heads” of revenue evolved by gradual stages. Under the system, the Centre retained the entire profits of the commercial departments and the proceeds of revenue whose locale was no guide to its true incidence, such as the net receipts from customs, salt and opium. As the income derived from these sources was not sufficient to cover the central expenditure, other sources of revenue including income-tax were divided between the Central and Provincial Governments. The Central Government retained a proportion—fixed in the case of each Province, but not uniform as between the Provinces—of the proceeds of the main heads of revenue collected in the Provinces, based on an assessment of the respective needs of the Provinces. In practice, since no definite standards of needs had been evolved, allocations to the Provinces were largely a result of history. The revenue from “divided heads”, being insufficient to meet the needs of the Provincial </w:t>
      </w:r>
      <w:r w:rsidRPr="00000EE8">
        <w:rPr>
          <w:rFonts w:ascii="Times New Roman" w:hAnsi="Times New Roman" w:cs="Times New Roman"/>
          <w:sz w:val="28"/>
          <w:szCs w:val="28"/>
        </w:rPr>
        <w:lastRenderedPageBreak/>
        <w:t>Governments, was supplemented by means of fixed cash assignments, recurring as well as non-recurring, which continued to remain an important feature of the system.</w:t>
      </w:r>
    </w:p>
    <w:p w14:paraId="40295480" w14:textId="77777777" w:rsidR="00497423" w:rsidRPr="00000EE8" w:rsidRDefault="00497423" w:rsidP="00000EE8">
      <w:pPr>
        <w:spacing w:line="380" w:lineRule="exact"/>
        <w:ind w:left="360"/>
        <w:jc w:val="center"/>
        <w:rPr>
          <w:rFonts w:ascii="Times New Roman" w:hAnsi="Times New Roman" w:cs="Times New Roman"/>
          <w:sz w:val="28"/>
          <w:szCs w:val="28"/>
        </w:rPr>
      </w:pPr>
      <w:r w:rsidRPr="00000EE8">
        <w:rPr>
          <w:rFonts w:ascii="Times New Roman" w:hAnsi="Times New Roman" w:cs="Times New Roman"/>
          <w:b/>
          <w:bCs/>
          <w:sz w:val="28"/>
          <w:szCs w:val="28"/>
        </w:rPr>
        <w:t>SECOND PERIOD</w:t>
      </w:r>
    </w:p>
    <w:p w14:paraId="0C9B81ED" w14:textId="008D357C" w:rsidR="00497423" w:rsidRPr="00000EE8" w:rsidRDefault="00497423" w:rsidP="00000EE8">
      <w:pPr>
        <w:pStyle w:val="ListParagraph"/>
        <w:numPr>
          <w:ilvl w:val="0"/>
          <w:numId w:val="28"/>
        </w:numPr>
        <w:spacing w:after="0" w:line="380" w:lineRule="exact"/>
        <w:ind w:left="0" w:firstLine="567"/>
        <w:jc w:val="both"/>
        <w:rPr>
          <w:rFonts w:ascii="Times New Roman" w:hAnsi="Times New Roman" w:cs="Times New Roman"/>
          <w:sz w:val="28"/>
          <w:szCs w:val="28"/>
        </w:rPr>
      </w:pPr>
      <w:r w:rsidRPr="00000EE8">
        <w:rPr>
          <w:rFonts w:ascii="Times New Roman" w:hAnsi="Times New Roman" w:cs="Times New Roman"/>
          <w:i/>
          <w:iCs/>
          <w:sz w:val="28"/>
          <w:szCs w:val="28"/>
        </w:rPr>
        <w:t>Separation of Sources of Revenue.</w:t>
      </w:r>
      <w:r w:rsidR="003323C6">
        <w:rPr>
          <w:rFonts w:ascii="Times New Roman" w:hAnsi="Times New Roman" w:cs="Times New Roman"/>
          <w:i/>
          <w:iCs/>
          <w:sz w:val="28"/>
          <w:szCs w:val="28"/>
        </w:rPr>
        <w:t xml:space="preserve"> - </w:t>
      </w:r>
      <w:r w:rsidRPr="00000EE8">
        <w:rPr>
          <w:rFonts w:ascii="Times New Roman" w:hAnsi="Times New Roman" w:cs="Times New Roman"/>
          <w:sz w:val="28"/>
          <w:szCs w:val="28"/>
        </w:rPr>
        <w:t>The Montagu-Chelmsford Report on Constitutional Reforms, which led to the passing of the Government of India Act, 1919, sought to secure for the Provinces a greater measure of financial autonomy by abolishing the “divided heads” and effecting a complete separation between the central and provincial heads of revenue. At the time the heads which were divided in all or some of the Provinces were land revenue, stamps, excises, income-tax and irrigation receipts. Of these, income-tax and general (or commercial) stamps were to be made entirely central receipts; and excise, judicial stamps, land revenue and irrigation receipts were to be given wholly to the Provinces. With all sources of revenue completely distributed on the lines proposed, it was estimated that there would remain a large deficit in the Government of India budget. This led to the proposal in the Report that the Provinces should make contributions to the Government of India.</w:t>
      </w:r>
    </w:p>
    <w:p w14:paraId="79A486B8" w14:textId="1467E2D4" w:rsidR="007E7609" w:rsidRPr="00000EE8" w:rsidRDefault="00497423" w:rsidP="00000EE8">
      <w:pPr>
        <w:pStyle w:val="ListParagraph"/>
        <w:numPr>
          <w:ilvl w:val="0"/>
          <w:numId w:val="28"/>
        </w:numPr>
        <w:spacing w:after="0" w:line="380" w:lineRule="exact"/>
        <w:ind w:left="360" w:firstLine="567"/>
        <w:jc w:val="both"/>
        <w:rPr>
          <w:rFonts w:ascii="Times New Roman" w:hAnsi="Times New Roman" w:cs="Times New Roman"/>
          <w:sz w:val="28"/>
          <w:szCs w:val="28"/>
        </w:rPr>
      </w:pPr>
      <w:r w:rsidRPr="00000EE8">
        <w:rPr>
          <w:rFonts w:ascii="Times New Roman" w:hAnsi="Times New Roman" w:cs="Times New Roman"/>
          <w:i/>
          <w:iCs/>
          <w:sz w:val="28"/>
          <w:szCs w:val="28"/>
        </w:rPr>
        <w:t>Provincial Contributions.—</w:t>
      </w:r>
      <w:r w:rsidRPr="00000EE8">
        <w:rPr>
          <w:rFonts w:ascii="Times New Roman" w:hAnsi="Times New Roman" w:cs="Times New Roman"/>
          <w:sz w:val="28"/>
          <w:szCs w:val="28"/>
        </w:rPr>
        <w:t xml:space="preserve">The Financial Relations Committee presided over by Lord Meston was appointed to advise on the amounts of provincial contributions, and also on the claims of Bombay to a share of the proceeds of income-tax. The Meston Committee reported in March 1920. While recognising that it would not be possible permanently to exclude Provincial Governments from some form of direct taxation upon the industrial and commercial earnings of their people, the Committee advised against the division of income-tax with the Provinces. They recommended that general stamps be made provincial for financial and administrative reasons. The Committee proposed a scheme of initial contributions and of standard contributions to be attained over a period of seven years. The standard contributions, which were based on the relative taxable capacity of the Provinces and other economic factors, never came into operation. The initial contributions were computed on the increased spending power of each Province resulting from the new scheme of distribution, i.e., the additional income which each Province would acquire on the separation of the sources of revenue. The scheme of contributions was subjected to criticism from various quarters. Some Provinces disliked the initial contributions, others the standard contributions, and industrial Provinces like Bombay were opposed to the whole basis of the revised scheme. The Joint Select Committee of Parliament on Draft Rules made under the Government of India Act, 1919, suggested a gradual </w:t>
      </w:r>
      <w:r w:rsidRPr="00000EE8">
        <w:rPr>
          <w:rFonts w:ascii="Times New Roman" w:hAnsi="Times New Roman" w:cs="Times New Roman"/>
          <w:sz w:val="28"/>
          <w:szCs w:val="28"/>
        </w:rPr>
        <w:lastRenderedPageBreak/>
        <w:t>reduction of the aggregate contribution of all Provinces and underlined the idea that contributions should cease at the earliest possible moment.</w:t>
      </w:r>
    </w:p>
    <w:p w14:paraId="7D1E118A" w14:textId="22885334" w:rsidR="00497423" w:rsidRPr="00000EE8" w:rsidRDefault="00497423" w:rsidP="00000EE8">
      <w:pPr>
        <w:pStyle w:val="ListParagraph"/>
        <w:numPr>
          <w:ilvl w:val="0"/>
          <w:numId w:val="28"/>
        </w:numPr>
        <w:spacing w:after="0" w:line="380" w:lineRule="exact"/>
        <w:ind w:left="360" w:firstLine="567"/>
        <w:jc w:val="both"/>
        <w:rPr>
          <w:rFonts w:ascii="Times New Roman" w:hAnsi="Times New Roman" w:cs="Times New Roman"/>
          <w:sz w:val="28"/>
          <w:szCs w:val="28"/>
        </w:rPr>
      </w:pPr>
      <w:r w:rsidRPr="00000EE8">
        <w:rPr>
          <w:rFonts w:ascii="Times New Roman" w:hAnsi="Times New Roman" w:cs="Times New Roman"/>
          <w:sz w:val="28"/>
          <w:szCs w:val="28"/>
        </w:rPr>
        <w:t>The Committee were definitely opposed to provincialising income-tax but recommended that some share in the growth of revenue from taxation of income should be granted to all Provinces in so far as that growth was attributable to an increase in the amount of incomes assessed in each Province. The scheme of financial arrangements contained in the Report on Indian Constitutional Reforms, as modified on the recommendations of the Joint Select Committee on Draft Rules, was incorporated in the Devolution Rules under the Government of India Act, 1919, which were promulgated in December 1920.</w:t>
      </w:r>
    </w:p>
    <w:p w14:paraId="0593D0D9" w14:textId="77777777" w:rsidR="00497423" w:rsidRPr="00000EE8" w:rsidRDefault="00497423" w:rsidP="00000EE8">
      <w:pPr>
        <w:pStyle w:val="ListParagraph"/>
        <w:numPr>
          <w:ilvl w:val="0"/>
          <w:numId w:val="28"/>
        </w:numPr>
        <w:spacing w:after="0" w:line="380" w:lineRule="exact"/>
        <w:ind w:left="360" w:firstLine="567"/>
        <w:jc w:val="both"/>
        <w:rPr>
          <w:rFonts w:ascii="Times New Roman" w:hAnsi="Times New Roman" w:cs="Times New Roman"/>
          <w:sz w:val="28"/>
          <w:szCs w:val="28"/>
        </w:rPr>
      </w:pPr>
      <w:r w:rsidRPr="00000EE8">
        <w:rPr>
          <w:rFonts w:ascii="Times New Roman" w:hAnsi="Times New Roman" w:cs="Times New Roman"/>
          <w:i/>
          <w:iCs/>
          <w:sz w:val="28"/>
          <w:szCs w:val="28"/>
        </w:rPr>
        <w:t>Beginnings of Income-tax as Balancing Factor: Devolution Rule 15.</w:t>
      </w:r>
      <w:r w:rsidRPr="00000EE8">
        <w:rPr>
          <w:rFonts w:ascii="Times New Roman" w:hAnsi="Times New Roman" w:cs="Times New Roman"/>
          <w:sz w:val="28"/>
          <w:szCs w:val="28"/>
        </w:rPr>
        <w:t xml:space="preserve">—The recommendations of the Joint Select Committee relating to income-tax were embodied in Devolution Rules 14 and 15. Rule 15 provided that a Province should receive 3 pies in each rupee of the amount by which the assessed income of any year exceeded that of the year 1920-21. Inasmuch as collection might not accurately reflect the income-tax revenue due to the economic activity of a Province, some </w:t>
      </w:r>
      <w:r w:rsidRPr="0067311D">
        <w:rPr>
          <w:rFonts w:ascii="Times New Roman" w:hAnsi="Times New Roman" w:cs="Times New Roman"/>
          <w:i/>
          <w:iCs/>
          <w:sz w:val="28"/>
          <w:szCs w:val="28"/>
        </w:rPr>
        <w:t>ad hoc</w:t>
      </w:r>
      <w:r w:rsidRPr="00000EE8">
        <w:rPr>
          <w:rFonts w:ascii="Times New Roman" w:hAnsi="Times New Roman" w:cs="Times New Roman"/>
          <w:sz w:val="28"/>
          <w:szCs w:val="28"/>
        </w:rPr>
        <w:t xml:space="preserve"> adjustments were made on account of industrial units located in a Province different from the Province in which they were assessed to income-tax. The operation of the rule gave unequal results as between Provinces. It did not lead, on the whole, to any significant accretion to provincial revenues and, in particular, virtually failed to secure for the larger industrial Provinces a share in the yield of income-tax. The rule, however, represented a slight departure in principle from the scheme of complete division of sources originally proposed, and thus marked the beginning of the use of income-tax as a balancing factor.</w:t>
      </w:r>
    </w:p>
    <w:p w14:paraId="12BFD619" w14:textId="77777777" w:rsidR="00497423" w:rsidRPr="00000EE8" w:rsidRDefault="00497423" w:rsidP="00000EE8">
      <w:pPr>
        <w:pStyle w:val="ListParagraph"/>
        <w:numPr>
          <w:ilvl w:val="0"/>
          <w:numId w:val="28"/>
        </w:numPr>
        <w:spacing w:after="0" w:line="380" w:lineRule="exact"/>
        <w:ind w:left="360" w:firstLine="567"/>
        <w:jc w:val="both"/>
        <w:rPr>
          <w:rFonts w:ascii="Times New Roman" w:hAnsi="Times New Roman" w:cs="Times New Roman"/>
          <w:sz w:val="28"/>
          <w:szCs w:val="28"/>
        </w:rPr>
      </w:pPr>
      <w:r w:rsidRPr="00000EE8">
        <w:rPr>
          <w:rFonts w:ascii="Times New Roman" w:hAnsi="Times New Roman" w:cs="Times New Roman"/>
          <w:i/>
          <w:iCs/>
          <w:sz w:val="28"/>
          <w:szCs w:val="28"/>
        </w:rPr>
        <w:t>Abolition of Contributions.</w:t>
      </w:r>
      <w:r w:rsidRPr="00000EE8">
        <w:rPr>
          <w:rFonts w:ascii="Times New Roman" w:hAnsi="Times New Roman" w:cs="Times New Roman"/>
          <w:sz w:val="28"/>
          <w:szCs w:val="28"/>
        </w:rPr>
        <w:t>—The trends in central and provincial budgets in the early 'twenties belied the estimates on which the schemes of contributions was based. The Provinces pressed insistently for the abolition of contributions. They were remitted over a period, were wholly suspended from 1927-28 and were abolished from 1928-29. The abolition of the contributions considerably eased the situation of the agricultural provinces which had the largest contributions to make.</w:t>
      </w:r>
    </w:p>
    <w:p w14:paraId="64853893" w14:textId="20806531" w:rsidR="00497423" w:rsidRPr="00000EE8" w:rsidRDefault="00497423" w:rsidP="00000EE8">
      <w:pPr>
        <w:pStyle w:val="ListParagraph"/>
        <w:numPr>
          <w:ilvl w:val="0"/>
          <w:numId w:val="28"/>
        </w:numPr>
        <w:spacing w:after="0" w:line="380" w:lineRule="exact"/>
        <w:ind w:left="360" w:firstLine="567"/>
        <w:jc w:val="both"/>
        <w:rPr>
          <w:rFonts w:ascii="Times New Roman" w:hAnsi="Times New Roman" w:cs="Times New Roman"/>
          <w:sz w:val="28"/>
          <w:szCs w:val="28"/>
        </w:rPr>
      </w:pPr>
      <w:r w:rsidRPr="00000EE8">
        <w:rPr>
          <w:rFonts w:ascii="Times New Roman" w:hAnsi="Times New Roman" w:cs="Times New Roman"/>
          <w:i/>
          <w:iCs/>
          <w:sz w:val="28"/>
          <w:szCs w:val="28"/>
        </w:rPr>
        <w:t>Defects of Financial Settlement: Enquiries with a view to Revision.</w:t>
      </w:r>
      <w:r w:rsidRPr="00000EE8">
        <w:rPr>
          <w:rFonts w:ascii="Times New Roman" w:hAnsi="Times New Roman" w:cs="Times New Roman"/>
          <w:sz w:val="28"/>
          <w:szCs w:val="28"/>
        </w:rPr>
        <w:t xml:space="preserve">—Two main criticisms were made against the general scheme of financial relations under the "Reforms" of 1919, which is often somewhat inaptly described as the Meston Settlement. While the needs in the provincial field were of an expanding nature, the sources of revenue assigned to the Provinces were relatively inelastic; </w:t>
      </w:r>
      <w:r w:rsidRPr="00000EE8">
        <w:rPr>
          <w:rFonts w:ascii="Times New Roman" w:hAnsi="Times New Roman" w:cs="Times New Roman"/>
          <w:sz w:val="28"/>
          <w:szCs w:val="28"/>
        </w:rPr>
        <w:lastRenderedPageBreak/>
        <w:t>on the other hand, the more elastic and expanding sources of revenue were given to the Centre whose needs were then viewed as comparatively stationary. Secondly, while agricultural Provinces received a welcome accession of resources in land revenue which, of all the central</w:t>
      </w:r>
      <w:r w:rsidR="0067311D">
        <w:rPr>
          <w:rFonts w:ascii="Times New Roman" w:hAnsi="Times New Roman" w:cs="Times New Roman"/>
          <w:sz w:val="28"/>
          <w:szCs w:val="28"/>
        </w:rPr>
        <w:t xml:space="preserve"> </w:t>
      </w:r>
      <w:r w:rsidRPr="00000EE8">
        <w:rPr>
          <w:rFonts w:ascii="Times New Roman" w:hAnsi="Times New Roman" w:cs="Times New Roman"/>
          <w:sz w:val="28"/>
          <w:szCs w:val="28"/>
        </w:rPr>
        <w:t>and provincial heads, was the most important at the time, the revenues of industrial Provinces were precluded from benefiting by the prosperity of business enterprise in their areas.</w:t>
      </w:r>
    </w:p>
    <w:p w14:paraId="7717A7FC" w14:textId="77777777" w:rsidR="00497423" w:rsidRPr="00000EE8" w:rsidRDefault="00497423" w:rsidP="00000EE8">
      <w:pPr>
        <w:pStyle w:val="ListParagraph"/>
        <w:numPr>
          <w:ilvl w:val="0"/>
          <w:numId w:val="28"/>
        </w:numPr>
        <w:spacing w:after="0" w:line="380" w:lineRule="exact"/>
        <w:ind w:left="360" w:firstLine="567"/>
        <w:jc w:val="both"/>
        <w:rPr>
          <w:rFonts w:ascii="Times New Roman" w:hAnsi="Times New Roman" w:cs="Times New Roman"/>
          <w:color w:val="1A1C1E"/>
          <w:sz w:val="28"/>
          <w:szCs w:val="28"/>
        </w:rPr>
      </w:pPr>
      <w:r w:rsidRPr="00000EE8">
        <w:rPr>
          <w:rStyle w:val="ng-star-inserted1"/>
          <w:rFonts w:ascii="Times New Roman" w:eastAsiaTheme="majorEastAsia" w:hAnsi="Times New Roman" w:cs="Times New Roman"/>
          <w:color w:val="1A1C1E"/>
          <w:sz w:val="28"/>
          <w:szCs w:val="28"/>
        </w:rPr>
        <w:t>The framework set up in 1919, however, remained unaltered till the Government of India Act, 1935, came into operation. The period covered by the Government of India Act, 1919, was marked by frequent discussions on the structure of financial relations between the Centre and the units. A principal objective of these discussions was to equip the Provincial Governments with greater financial resources. The inadequacy of the existing resources, both of the Centre and the units, and a search for fresh avenues of taxation, also represented a thread running through the discussions. During this period there was also the first systematic enquiry into the whole field of Indian taxation by the Indian Taxation Enquiry Committee, 1924-25.</w:t>
      </w:r>
    </w:p>
    <w:p w14:paraId="61945A5E" w14:textId="77777777" w:rsidR="00497423" w:rsidRPr="00000EE8" w:rsidRDefault="00497423" w:rsidP="00000EE8">
      <w:pPr>
        <w:pStyle w:val="ListParagraph"/>
        <w:numPr>
          <w:ilvl w:val="0"/>
          <w:numId w:val="28"/>
        </w:numPr>
        <w:spacing w:after="0" w:line="380" w:lineRule="exact"/>
        <w:ind w:left="360" w:firstLine="567"/>
        <w:jc w:val="both"/>
        <w:rPr>
          <w:rFonts w:ascii="Times New Roman" w:hAnsi="Times New Roman" w:cs="Times New Roman"/>
          <w:color w:val="1A1C1E"/>
          <w:sz w:val="28"/>
          <w:szCs w:val="28"/>
        </w:rPr>
      </w:pPr>
      <w:r w:rsidRPr="00000EE8">
        <w:rPr>
          <w:rStyle w:val="ng-star-inserted1"/>
          <w:rFonts w:ascii="Times New Roman" w:eastAsiaTheme="majorEastAsia" w:hAnsi="Times New Roman" w:cs="Times New Roman"/>
          <w:i/>
          <w:iCs/>
          <w:color w:val="1A1C1E"/>
          <w:sz w:val="28"/>
          <w:szCs w:val="28"/>
        </w:rPr>
        <w:t>Indian Taxation Enquiry Committee, 1924-25.</w:t>
      </w:r>
      <w:r w:rsidRPr="00000EE8">
        <w:rPr>
          <w:rStyle w:val="ng-star-inserted1"/>
          <w:rFonts w:ascii="Times New Roman" w:eastAsiaTheme="majorEastAsia" w:hAnsi="Times New Roman" w:cs="Times New Roman"/>
          <w:color w:val="1A1C1E"/>
          <w:sz w:val="28"/>
          <w:szCs w:val="28"/>
        </w:rPr>
        <w:t>—The Indian Taxation Enquiry Committee examined, among other matters, the division of sources of revenue and the structure of financial relations between the Centre and the Provinces. They recommended that general stamps and the excise duty on foreign liquors manufactured in the country should be transferred to the Centre, and also suggested that the whole of the revenue from opium might well be transferred similarly. They considered that if any division of taxes was to be made at all, the choice of income-tax as the main balancing factor was inevitable. The other possible balancing factors which, however, they thought should be used only in the last resort, were the export duties, the restrictive excises, besides those on opium and foreign liquor, and the probate duties.</w:t>
      </w:r>
    </w:p>
    <w:p w14:paraId="44A3DA85" w14:textId="77777777" w:rsidR="00000EE8" w:rsidRPr="00000EE8" w:rsidRDefault="00497423" w:rsidP="00000EE8">
      <w:pPr>
        <w:pStyle w:val="ListParagraph"/>
        <w:numPr>
          <w:ilvl w:val="0"/>
          <w:numId w:val="28"/>
        </w:numPr>
        <w:spacing w:after="0" w:line="380" w:lineRule="exact"/>
        <w:ind w:left="360" w:firstLine="567"/>
        <w:jc w:val="both"/>
        <w:rPr>
          <w:rFonts w:ascii="Times New Roman" w:hAnsi="Times New Roman" w:cs="Times New Roman"/>
          <w:color w:val="1A1C1E"/>
          <w:sz w:val="28"/>
          <w:szCs w:val="28"/>
        </w:rPr>
      </w:pPr>
      <w:r w:rsidRPr="00000EE8">
        <w:rPr>
          <w:rStyle w:val="ng-star-inserted1"/>
          <w:rFonts w:ascii="Times New Roman" w:eastAsiaTheme="majorEastAsia" w:hAnsi="Times New Roman" w:cs="Times New Roman"/>
          <w:color w:val="1A1C1E"/>
          <w:sz w:val="28"/>
          <w:szCs w:val="28"/>
        </w:rPr>
        <w:t xml:space="preserve">The Committee expressed themselves against giving the Provinces power to levy and administer an income-tax as well as against the imposition by the Centre of surcharges for the benefit of the Provinces. They suggested that the most appropriate solution for this problem was the assignment to the Provinces of a share of the tax. In regard to its distribution, the Committee proposed that this should be based primarily on the principle of domicile. They proposed to give the Provinces the proceeds of a basic rate on personal incomes, graduated proportionally to the general rate. Under their scheme, collections on incomes not pertaining to residents in particular Provinces such as the tax on undistributed </w:t>
      </w:r>
      <w:r w:rsidRPr="00000EE8">
        <w:rPr>
          <w:rStyle w:val="ng-star-inserted1"/>
          <w:rFonts w:ascii="Times New Roman" w:eastAsiaTheme="majorEastAsia" w:hAnsi="Times New Roman" w:cs="Times New Roman"/>
          <w:color w:val="1A1C1E"/>
          <w:sz w:val="28"/>
          <w:szCs w:val="28"/>
        </w:rPr>
        <w:lastRenderedPageBreak/>
        <w:t>dividends of companies or on incomes of persons resident outside the Province or the country and the whole of super-tax would be retained by the Centre. In addition to the allotment made on the basis of personal incomes, the allocation of which would be based entirely on domicile, the Committee also recommended the giving of a partial recognition to the principle of origin by assigning to each Province a small portion of the receipts of the corporation profits tax. They contemplated that this might be</w:t>
      </w:r>
      <w:r w:rsidR="00000EE8">
        <w:rPr>
          <w:rStyle w:val="ng-star-inserted1"/>
          <w:rFonts w:ascii="Times New Roman" w:eastAsiaTheme="majorEastAsia" w:hAnsi="Times New Roman" w:cs="Times New Roman"/>
          <w:color w:val="1A1C1E"/>
          <w:sz w:val="28"/>
          <w:szCs w:val="28"/>
        </w:rPr>
        <w:t xml:space="preserve"> </w:t>
      </w:r>
      <w:r w:rsidRPr="00000EE8">
        <w:rPr>
          <w:rFonts w:ascii="Times New Roman" w:hAnsi="Times New Roman" w:cs="Times New Roman"/>
          <w:sz w:val="28"/>
          <w:szCs w:val="28"/>
        </w:rPr>
        <w:t>distributed on the basis of the collections of each Province, subject to adjustments similar to those agreed upon for the purpose of the distribution of income-tax under Devolution Rule 15, in cases where profits assessed in one Province originated in another.</w:t>
      </w:r>
    </w:p>
    <w:p w14:paraId="4526B27B" w14:textId="2EBDDBBE" w:rsidR="00F86462" w:rsidRPr="00000EE8" w:rsidRDefault="00F86462" w:rsidP="00000EE8">
      <w:pPr>
        <w:pStyle w:val="ListParagraph"/>
        <w:numPr>
          <w:ilvl w:val="0"/>
          <w:numId w:val="28"/>
        </w:numPr>
        <w:spacing w:after="0" w:line="380" w:lineRule="exact"/>
        <w:ind w:left="360" w:firstLine="567"/>
        <w:jc w:val="both"/>
        <w:rPr>
          <w:rFonts w:ascii="Times New Roman" w:hAnsi="Times New Roman" w:cs="Times New Roman"/>
          <w:color w:val="1A1C1E"/>
          <w:sz w:val="28"/>
          <w:szCs w:val="28"/>
        </w:rPr>
      </w:pPr>
      <w:r w:rsidRPr="00000EE8">
        <w:rPr>
          <w:rFonts w:ascii="Times New Roman" w:hAnsi="Times New Roman" w:cs="Times New Roman"/>
          <w:i/>
          <w:iCs/>
          <w:sz w:val="28"/>
          <w:szCs w:val="28"/>
        </w:rPr>
        <w:t>Indian Statutory Commission Report, 1930.</w:t>
      </w:r>
      <w:r w:rsidRPr="00000EE8">
        <w:rPr>
          <w:rFonts w:ascii="Times New Roman" w:hAnsi="Times New Roman" w:cs="Times New Roman"/>
          <w:sz w:val="28"/>
          <w:szCs w:val="28"/>
        </w:rPr>
        <w:t>—The next important review of the Indian financial arrangements was made by the Indian Statutory Commission, whose report was issued in 1930. The Commission accepted the general principles of the scheme drawn up by their Financial Assessor, Sir Walter (now Lord) Layton, for the division of resources between the Central and Provincial Governments. Lord Layton envisaged the use of income-tax as the main balancing factor in the reallocation of revenues between the Centre and the Provinces. He suggested that in order to meet the claim of the industrial Provinces a substantial part of the revenue from income-tax should be assigned to the Provinces. He endorsed the general method of division proposed by the Taxation Enquiry Committee and recommended that one-half of the income-tax paid by residents of a Province (including tax on dividends received by them from companies carrying on operations outside the Province) be assigned to the Province concerned. Super-tax would remain entirely Central, subject to reconsideration after ten years. The Provincial Governments were also to have the option of levying a surcharge on tax collected on the incomes of residents in the Province limited to half the tax transferred to them, i.e., one-fourth of the total tax. The Commission also suggested that the exemption of agricultural incomes from income-tax should be abolished by definite stages and the whole of the proceeds of the taxation of these incomes should be assigned to the Province of origin.</w:t>
      </w:r>
    </w:p>
    <w:p w14:paraId="7899FE95" w14:textId="77777777" w:rsidR="00F86462" w:rsidRPr="00000EE8" w:rsidRDefault="00F86462" w:rsidP="00000EE8">
      <w:pPr>
        <w:pStyle w:val="ListParagraph"/>
        <w:numPr>
          <w:ilvl w:val="0"/>
          <w:numId w:val="28"/>
        </w:numPr>
        <w:spacing w:after="0" w:line="380" w:lineRule="exact"/>
        <w:ind w:left="360" w:firstLine="567"/>
        <w:jc w:val="both"/>
        <w:rPr>
          <w:rFonts w:ascii="Times New Roman" w:hAnsi="Times New Roman" w:cs="Times New Roman"/>
          <w:sz w:val="28"/>
          <w:szCs w:val="28"/>
        </w:rPr>
      </w:pPr>
      <w:r w:rsidRPr="00000EE8">
        <w:rPr>
          <w:rFonts w:ascii="Times New Roman" w:hAnsi="Times New Roman" w:cs="Times New Roman"/>
          <w:sz w:val="28"/>
          <w:szCs w:val="28"/>
        </w:rPr>
        <w:t>Lord Layton further recommended that a Provincial Fund be formed out of the proceeds of certain new excises on such commodities as cigarettes and matches and, when the central budgetary position permitted, the duty on salt, for distribution among the Provinces on a per capita basis. The Commission endorsed this proposal.</w:t>
      </w:r>
    </w:p>
    <w:p w14:paraId="46C89B88" w14:textId="5494A353" w:rsidR="00F86462" w:rsidRPr="00000EE8" w:rsidRDefault="00F86462" w:rsidP="00000EE8">
      <w:pPr>
        <w:pStyle w:val="ListParagraph"/>
        <w:numPr>
          <w:ilvl w:val="0"/>
          <w:numId w:val="28"/>
        </w:numPr>
        <w:spacing w:after="0" w:line="380" w:lineRule="exact"/>
        <w:ind w:left="360" w:firstLine="567"/>
        <w:jc w:val="both"/>
        <w:rPr>
          <w:rFonts w:ascii="Times New Roman" w:hAnsi="Times New Roman" w:cs="Times New Roman"/>
          <w:sz w:val="28"/>
          <w:szCs w:val="28"/>
        </w:rPr>
      </w:pPr>
      <w:r w:rsidRPr="00000EE8">
        <w:rPr>
          <w:rFonts w:ascii="Times New Roman" w:hAnsi="Times New Roman" w:cs="Times New Roman"/>
          <w:i/>
          <w:iCs/>
          <w:sz w:val="28"/>
          <w:szCs w:val="28"/>
        </w:rPr>
        <w:lastRenderedPageBreak/>
        <w:t>First Peel Committee, 1931.</w:t>
      </w:r>
      <w:r w:rsidRPr="00000EE8">
        <w:rPr>
          <w:rFonts w:ascii="Times New Roman" w:hAnsi="Times New Roman" w:cs="Times New Roman"/>
          <w:sz w:val="28"/>
          <w:szCs w:val="28"/>
        </w:rPr>
        <w:t>—The problem of allocation of resources between the Centre and the units came up again for consideration by two sub-committees of the Federal Structure Committee of the Second and Third Round Table Conferences, both of them presided over by Viscount Peel, and by an Expert Committee presided over by Lord Percy, which came in between. The First Peel Committee suggested that all income-tax proceeds should be transferred to the Provinces at the very outset of federation, collection and administration being in federal hands: federal tax revenues would be mostly derived from indirect taxation. Any resultant federal deficit could be met from provincial contributions which would be extinguished in definite stages over a ten to fifteen year period. Later, if any permanent federal surplus were to materialise, the federal government should be free to allocate the surplus to the units as an alternative preferable to reduction of taxation. The Committee suggested that it was desirable that the Constitution itself should lay down the proportions in which funds thus available should be divided among the units, whether according to respective revenues or to population or to some other criteria. They recommended that an expert committee should advise on this aspect as well as on the criteria by which the proceeds of income-tax should be allocated among the Provinces.</w:t>
      </w:r>
    </w:p>
    <w:p w14:paraId="1F09AC50" w14:textId="5124475D" w:rsidR="00F86462" w:rsidRPr="00000EE8" w:rsidRDefault="00F86462" w:rsidP="00000EE8">
      <w:pPr>
        <w:pStyle w:val="ListParagraph"/>
        <w:numPr>
          <w:ilvl w:val="0"/>
          <w:numId w:val="28"/>
        </w:numPr>
        <w:spacing w:after="0" w:line="380" w:lineRule="exact"/>
        <w:ind w:left="360" w:firstLine="567"/>
        <w:jc w:val="both"/>
        <w:rPr>
          <w:rFonts w:ascii="Times New Roman" w:hAnsi="Times New Roman" w:cs="Times New Roman"/>
          <w:sz w:val="28"/>
          <w:szCs w:val="28"/>
        </w:rPr>
      </w:pPr>
      <w:r w:rsidRPr="00000EE8">
        <w:rPr>
          <w:rFonts w:ascii="Times New Roman" w:hAnsi="Times New Roman" w:cs="Times New Roman"/>
          <w:i/>
          <w:iCs/>
          <w:sz w:val="28"/>
          <w:szCs w:val="28"/>
        </w:rPr>
        <w:t>Percy Committee, 1932.—</w:t>
      </w:r>
      <w:r w:rsidRPr="00000EE8">
        <w:rPr>
          <w:rFonts w:ascii="Times New Roman" w:hAnsi="Times New Roman" w:cs="Times New Roman"/>
          <w:sz w:val="28"/>
          <w:szCs w:val="28"/>
        </w:rPr>
        <w:t xml:space="preserve"> The Percy Committee were accordingly appointed to examine these questions. The basis of distribution of income-tax among the units was considered in detail by this Committee. They held that a proper basis of distribution of income-tax receipts should satisfy what they called three fundamental tests: it should be simple, easily understood and administratively workable; it should give results likely to be accepted as fair between Province and Province; and it should be compatible with the idea of a federation of autonomous units. They considered that an allocation on the basis of collections would lead to gross injustice as between Province and Province and ruled it out. While distribution by population had equally no scientific basis it could be adopted with advantage for the distribution of taxes on certain forms of income not easily assignable to any locality. Theoretically, the basis of origin had much to commend it, but it would be administratively unworkable unless the allocations were made on arbitrary lines. The Committee did not, therefore, recommend the adoption of this basis. Ultimately, they expressed themselves in favour of the basis of residence in one of two forms, either the basis of personal incomes assessed or assessable in each Province or the amount of income-tax attributable to each Province.</w:t>
      </w:r>
    </w:p>
    <w:p w14:paraId="14843171" w14:textId="45C531D5" w:rsidR="00F86462" w:rsidRPr="00000EE8" w:rsidRDefault="00F86462" w:rsidP="00000EE8">
      <w:pPr>
        <w:pStyle w:val="ListParagraph"/>
        <w:numPr>
          <w:ilvl w:val="0"/>
          <w:numId w:val="28"/>
        </w:numPr>
        <w:spacing w:after="0" w:line="380" w:lineRule="exact"/>
        <w:ind w:left="360" w:firstLine="567"/>
        <w:jc w:val="both"/>
        <w:rPr>
          <w:rFonts w:ascii="Times New Roman" w:hAnsi="Times New Roman" w:cs="Times New Roman"/>
          <w:sz w:val="28"/>
          <w:szCs w:val="28"/>
        </w:rPr>
      </w:pPr>
      <w:r w:rsidRPr="00000EE8">
        <w:rPr>
          <w:rFonts w:ascii="Times New Roman" w:hAnsi="Times New Roman" w:cs="Times New Roman"/>
          <w:sz w:val="28"/>
          <w:szCs w:val="28"/>
        </w:rPr>
        <w:lastRenderedPageBreak/>
        <w:t>On the question of distribution of income-tax between the Centre and the Provinces, the Percy Committee expressed the view that if the entire proceeds of income-tax were transferred, the Centre would be faced with a substantial deficit. They, therefore, proposed the following scheme: corporation tax (super-tax on companies), tax paid by residents in federally administered areas and tax paid on salaries of federal officers should be retained by the Centre; of the remainder of the net proceeds, a Province should receive the amount of personal super-tax on the basis of collections from residents, an estimated amount of personal income-tax creditable to it, and a share on the basis of population of the tax on non-residents and undistributed profits of companies, both to be taken as an estimated percentage of the total collections. From the point of view of stability of provincial budgets they suggested that the share of income-tax due to the Provinces should not be altered from year to year even if the data for this were readily available on the bases suggested by them, but should be fixed for a term of years, subject to revision every five years in the light of figures of personal income-tax for the previous quinquennium. For a transitional period, provincial contributions were proposed, primarily with reference to the additional resources of Provincial Governments, i.e., generally in proportion to the share of income-tax.[</w:t>
      </w:r>
      <w:hyperlink r:id="rId10" w:tgtFrame="_blank" w:history="1">
        <w:r w:rsidRPr="00000EE8">
          <w:rPr>
            <w:rStyle w:val="Hyperlink"/>
            <w:rFonts w:ascii="Times New Roman" w:hAnsi="Times New Roman" w:cs="Times New Roman"/>
            <w:sz w:val="28"/>
            <w:szCs w:val="28"/>
          </w:rPr>
          <w:t>1</w:t>
        </w:r>
      </w:hyperlink>
      <w:r w:rsidRPr="00000EE8">
        <w:rPr>
          <w:rFonts w:ascii="Times New Roman" w:hAnsi="Times New Roman" w:cs="Times New Roman"/>
          <w:sz w:val="28"/>
          <w:szCs w:val="28"/>
        </w:rPr>
        <w:t>] The federal government would have the power to impose a surcharge, for its own purposes, on any tax levied by it for the benefit of the Provinces. Federal grants, if and when they became feasible, should be made on a population basis as the Committee believed that the surplus would arise mostly from taxes on consumption.</w:t>
      </w:r>
    </w:p>
    <w:p w14:paraId="45AA5A9A" w14:textId="77777777" w:rsidR="00F86462" w:rsidRPr="00000EE8" w:rsidRDefault="00F86462" w:rsidP="00000EE8">
      <w:pPr>
        <w:pStyle w:val="ListParagraph"/>
        <w:numPr>
          <w:ilvl w:val="0"/>
          <w:numId w:val="28"/>
        </w:numPr>
        <w:spacing w:after="0" w:line="380" w:lineRule="exact"/>
        <w:ind w:left="360" w:firstLine="567"/>
        <w:jc w:val="both"/>
        <w:rPr>
          <w:rFonts w:ascii="Times New Roman" w:hAnsi="Times New Roman" w:cs="Times New Roman"/>
          <w:color w:val="1A1C1E"/>
          <w:sz w:val="28"/>
          <w:szCs w:val="28"/>
        </w:rPr>
      </w:pPr>
      <w:r w:rsidRPr="00000EE8">
        <w:rPr>
          <w:rStyle w:val="ng-star-inserted1"/>
          <w:rFonts w:ascii="Times New Roman" w:eastAsiaTheme="majorEastAsia" w:hAnsi="Times New Roman" w:cs="Times New Roman"/>
          <w:i/>
          <w:iCs/>
          <w:color w:val="1A1C1E"/>
          <w:sz w:val="28"/>
          <w:szCs w:val="28"/>
        </w:rPr>
        <w:t>Second Peel Committee, 1932.—</w:t>
      </w:r>
      <w:r w:rsidRPr="00000EE8">
        <w:rPr>
          <w:rStyle w:val="ng-star-inserted1"/>
          <w:rFonts w:ascii="Times New Roman" w:eastAsiaTheme="majorEastAsia" w:hAnsi="Times New Roman" w:cs="Times New Roman"/>
          <w:color w:val="1A1C1E"/>
          <w:sz w:val="28"/>
          <w:szCs w:val="28"/>
        </w:rPr>
        <w:t>The Second Peel Committee proposed a two-fold division of the proceeds of taxes on income into shares which would be assigned as a permanent constitutional arrangement to the federal government and to the Provinces respectively.[</w:t>
      </w:r>
      <w:hyperlink r:id="rId11" w:tgtFrame="_blank" w:history="1">
        <w:r w:rsidRPr="00000EE8">
          <w:rPr>
            <w:rStyle w:val="ng-star-inserted1"/>
            <w:rFonts w:ascii="Times New Roman" w:eastAsiaTheme="majorEastAsia" w:hAnsi="Times New Roman" w:cs="Times New Roman"/>
            <w:color w:val="2483E2"/>
            <w:sz w:val="28"/>
            <w:szCs w:val="28"/>
          </w:rPr>
          <w:t>1</w:t>
        </w:r>
      </w:hyperlink>
      <w:r w:rsidRPr="00000EE8">
        <w:rPr>
          <w:rStyle w:val="ng-star-inserted1"/>
          <w:rFonts w:ascii="Times New Roman" w:eastAsiaTheme="majorEastAsia" w:hAnsi="Times New Roman" w:cs="Times New Roman"/>
          <w:color w:val="1A1C1E"/>
          <w:sz w:val="28"/>
          <w:szCs w:val="28"/>
        </w:rPr>
        <w:t>][</w:t>
      </w:r>
      <w:hyperlink r:id="rId12" w:tgtFrame="_blank" w:history="1">
        <w:r w:rsidRPr="00000EE8">
          <w:rPr>
            <w:rStyle w:val="ng-star-inserted1"/>
            <w:rFonts w:ascii="Times New Roman" w:eastAsiaTheme="majorEastAsia" w:hAnsi="Times New Roman" w:cs="Times New Roman"/>
            <w:color w:val="2483E2"/>
            <w:sz w:val="28"/>
            <w:szCs w:val="28"/>
          </w:rPr>
          <w:t>2</w:t>
        </w:r>
      </w:hyperlink>
      <w:r w:rsidRPr="00000EE8">
        <w:rPr>
          <w:rStyle w:val="ng-star-inserted1"/>
          <w:rFonts w:ascii="Times New Roman" w:eastAsiaTheme="majorEastAsia" w:hAnsi="Times New Roman" w:cs="Times New Roman"/>
          <w:color w:val="1A1C1E"/>
          <w:sz w:val="28"/>
          <w:szCs w:val="28"/>
        </w:rPr>
        <w:t>] The federal government would be entitled to a share based on the proceeds of heads of tax which were not derived solely from the residents in British India, such as corporation tax, tax on federal officers, tax in federal areas, tax on Government of India securities and taxes on the incomes of persons not resident in British India.[</w:t>
      </w:r>
      <w:hyperlink r:id="rId13" w:tgtFrame="_blank" w:history="1">
        <w:r w:rsidRPr="00000EE8">
          <w:rPr>
            <w:rStyle w:val="ng-star-inserted1"/>
            <w:rFonts w:ascii="Times New Roman" w:eastAsiaTheme="majorEastAsia" w:hAnsi="Times New Roman" w:cs="Times New Roman"/>
            <w:color w:val="2483E2"/>
            <w:sz w:val="28"/>
            <w:szCs w:val="28"/>
          </w:rPr>
          <w:t>2</w:t>
        </w:r>
      </w:hyperlink>
      <w:r w:rsidRPr="00000EE8">
        <w:rPr>
          <w:rStyle w:val="ng-star-inserted1"/>
          <w:rFonts w:ascii="Times New Roman" w:eastAsiaTheme="majorEastAsia" w:hAnsi="Times New Roman" w:cs="Times New Roman"/>
          <w:color w:val="1A1C1E"/>
          <w:sz w:val="28"/>
          <w:szCs w:val="28"/>
        </w:rPr>
        <w:t xml:space="preserve">] The whole of the remaining proceeds from income-tax were to be assigned to the Provinces, but until sufficient time had elapsed for the development of new sources of revenue, the federal government should retain a block amount out of the provincial share of income-tax. The Committee as a whole were in favour of the federal government having the power to levy for its own purposes a surcharge on the heads of income-tax permanently </w:t>
      </w:r>
      <w:r w:rsidRPr="00000EE8">
        <w:rPr>
          <w:rStyle w:val="ng-star-inserted1"/>
          <w:rFonts w:ascii="Times New Roman" w:eastAsiaTheme="majorEastAsia" w:hAnsi="Times New Roman" w:cs="Times New Roman"/>
          <w:color w:val="1A1C1E"/>
          <w:sz w:val="28"/>
          <w:szCs w:val="28"/>
        </w:rPr>
        <w:lastRenderedPageBreak/>
        <w:t>assigned to the Provinces. Most of the members of the Committee were also agreed that the Provinces should have a right to levy a surcharge on the personal tax levied on its residents under the heads permanently allocated to the Provinces, subject to a maximum of 12½ per cent. The Committee also proposed subventions from the Centre to the deficit Provinces in approved cases and on certain conditions, to enable them to balance their budgets on the basis of providing for bare necessities. The Committee suggested that the exceptional difficulties of Bengal might perhaps be met by granting it some share in the revenue from the jute export duty, but made no definite proposal as to the form which this share should take. They thought that it was desirable to provide in the constitution for emergency powers for the federal government to levy contributions under defined circumstances.[</w:t>
      </w:r>
      <w:hyperlink r:id="rId14" w:tgtFrame="_blank" w:history="1">
        <w:r w:rsidRPr="00000EE8">
          <w:rPr>
            <w:rStyle w:val="ng-star-inserted1"/>
            <w:rFonts w:ascii="Times New Roman" w:eastAsiaTheme="majorEastAsia" w:hAnsi="Times New Roman" w:cs="Times New Roman"/>
            <w:color w:val="2483E2"/>
            <w:sz w:val="28"/>
            <w:szCs w:val="28"/>
          </w:rPr>
          <w:t>2</w:t>
        </w:r>
      </w:hyperlink>
      <w:r w:rsidRPr="00000EE8">
        <w:rPr>
          <w:rStyle w:val="ng-star-inserted1"/>
          <w:rFonts w:ascii="Times New Roman" w:eastAsiaTheme="majorEastAsia" w:hAnsi="Times New Roman" w:cs="Times New Roman"/>
          <w:color w:val="1A1C1E"/>
          <w:sz w:val="28"/>
          <w:szCs w:val="28"/>
        </w:rPr>
        <w:t>]</w:t>
      </w:r>
    </w:p>
    <w:p w14:paraId="255AD52A" w14:textId="1CE0434C" w:rsidR="00F86462" w:rsidRPr="00000EE8" w:rsidRDefault="00F86462" w:rsidP="00000EE8">
      <w:pPr>
        <w:pStyle w:val="ListParagraph"/>
        <w:numPr>
          <w:ilvl w:val="0"/>
          <w:numId w:val="28"/>
        </w:numPr>
        <w:spacing w:after="0" w:line="380" w:lineRule="exact"/>
        <w:ind w:left="360" w:firstLine="567"/>
        <w:jc w:val="both"/>
        <w:rPr>
          <w:rFonts w:ascii="Times New Roman" w:hAnsi="Times New Roman" w:cs="Times New Roman"/>
          <w:color w:val="1A1C1E"/>
          <w:sz w:val="28"/>
          <w:szCs w:val="28"/>
        </w:rPr>
      </w:pPr>
      <w:r w:rsidRPr="00000EE8">
        <w:rPr>
          <w:rStyle w:val="ng-star-inserted1"/>
          <w:rFonts w:ascii="Times New Roman" w:eastAsiaTheme="majorEastAsia" w:hAnsi="Times New Roman" w:cs="Times New Roman"/>
          <w:i/>
          <w:iCs/>
          <w:color w:val="1A1C1E"/>
          <w:sz w:val="28"/>
          <w:szCs w:val="28"/>
        </w:rPr>
        <w:t>White Paper on Indian Constitutional Reforms, 1931.—</w:t>
      </w:r>
      <w:r w:rsidRPr="00000EE8">
        <w:rPr>
          <w:rStyle w:val="ng-star-inserted1"/>
          <w:rFonts w:ascii="Times New Roman" w:eastAsiaTheme="majorEastAsia" w:hAnsi="Times New Roman" w:cs="Times New Roman"/>
          <w:color w:val="1A1C1E"/>
          <w:sz w:val="28"/>
          <w:szCs w:val="28"/>
        </w:rPr>
        <w:t>The White Paper on the Proposals for Indian Constitutional Reforms issued by His Majesty's Government in December 1931 contemplated that a prescribed percentage, not being less than 50 per cent.[</w:t>
      </w:r>
      <w:hyperlink r:id="rId15" w:tgtFrame="_blank" w:history="1">
        <w:r w:rsidRPr="00000EE8">
          <w:rPr>
            <w:rStyle w:val="ng-star-inserted1"/>
            <w:rFonts w:ascii="Times New Roman" w:eastAsiaTheme="majorEastAsia" w:hAnsi="Times New Roman" w:cs="Times New Roman"/>
            <w:color w:val="2483E2"/>
            <w:sz w:val="28"/>
            <w:szCs w:val="28"/>
          </w:rPr>
          <w:t>2</w:t>
        </w:r>
      </w:hyperlink>
      <w:r w:rsidRPr="00000EE8">
        <w:rPr>
          <w:rStyle w:val="ng-star-inserted1"/>
          <w:rFonts w:ascii="Times New Roman" w:eastAsiaTheme="majorEastAsia" w:hAnsi="Times New Roman" w:cs="Times New Roman"/>
          <w:color w:val="1A1C1E"/>
          <w:sz w:val="28"/>
          <w:szCs w:val="28"/>
        </w:rPr>
        <w:t>][</w:t>
      </w:r>
      <w:hyperlink r:id="rId16" w:tgtFrame="_blank" w:history="1">
        <w:r w:rsidRPr="00000EE8">
          <w:rPr>
            <w:rStyle w:val="ng-star-inserted1"/>
            <w:rFonts w:ascii="Times New Roman" w:eastAsiaTheme="majorEastAsia" w:hAnsi="Times New Roman" w:cs="Times New Roman"/>
            <w:color w:val="2483E2"/>
            <w:sz w:val="28"/>
            <w:szCs w:val="28"/>
          </w:rPr>
          <w:t>3</w:t>
        </w:r>
      </w:hyperlink>
      <w:r w:rsidRPr="00000EE8">
        <w:rPr>
          <w:rStyle w:val="ng-star-inserted1"/>
          <w:rFonts w:ascii="Times New Roman" w:eastAsiaTheme="majorEastAsia" w:hAnsi="Times New Roman" w:cs="Times New Roman"/>
          <w:color w:val="1A1C1E"/>
          <w:sz w:val="28"/>
          <w:szCs w:val="28"/>
        </w:rPr>
        <w:t>] nor more than 75 per cent., of the net revenue derived from taxes on income, other than agricultural income, except taxes on the income of companies should be assigned to the Provinces on a prescribed basis. It also</w:t>
      </w:r>
      <w:r w:rsidR="000C023E">
        <w:rPr>
          <w:rStyle w:val="ng-star-inserted1"/>
          <w:rFonts w:ascii="Times New Roman" w:eastAsiaTheme="majorEastAsia" w:hAnsi="Times New Roman" w:cs="Times New Roman"/>
          <w:color w:val="1A1C1E"/>
          <w:sz w:val="28"/>
          <w:szCs w:val="28"/>
        </w:rPr>
        <w:t xml:space="preserve"> </w:t>
      </w:r>
      <w:r w:rsidRPr="00000EE8">
        <w:rPr>
          <w:rFonts w:ascii="Times New Roman" w:eastAsiaTheme="majorEastAsia" w:hAnsi="Times New Roman" w:cs="Times New Roman"/>
          <w:color w:val="1A1C1E"/>
          <w:sz w:val="28"/>
          <w:szCs w:val="28"/>
        </w:rPr>
        <w:t>proposed that the federation should retain for the first three years a prescribed sum out of the provincial share which would continue to be retained for a further period of seven years with a reduction of one-eighth of the original sum in each successive year. Both the federation and the Provinces were to have power to levy surcharges on income-tax for their own purposes. The White Paper proposals introduced two new features into the plan for the division of sources of revenue. The federal legislature was to be empowered by law to assign to the units the whole or part of the yield of salt duties, excise duties, other than those specifically assigned to the units, and export duties. They also suggested that in respect of certain taxes, including terminal taxes and death duties, while the power to levy the tax would be vested solely in the federation, the proceeds would be distributed to the Provinces; the federation would have the right to impose a surcharge for federal purposes.</w:t>
      </w:r>
    </w:p>
    <w:p w14:paraId="0D24BB2C" w14:textId="77777777" w:rsidR="00F86462" w:rsidRPr="00000EE8" w:rsidRDefault="00F86462" w:rsidP="00000EE8">
      <w:pPr>
        <w:pStyle w:val="ListParagraph"/>
        <w:numPr>
          <w:ilvl w:val="0"/>
          <w:numId w:val="28"/>
        </w:numPr>
        <w:spacing w:after="0" w:line="380" w:lineRule="exact"/>
        <w:ind w:left="360" w:firstLine="567"/>
        <w:jc w:val="both"/>
        <w:rPr>
          <w:rFonts w:ascii="Times New Roman" w:hAnsi="Times New Roman" w:cs="Times New Roman"/>
          <w:color w:val="1A1C1E"/>
          <w:sz w:val="28"/>
          <w:szCs w:val="28"/>
        </w:rPr>
      </w:pPr>
      <w:r w:rsidRPr="00000EE8">
        <w:rPr>
          <w:rStyle w:val="ng-star-inserted1"/>
          <w:rFonts w:ascii="Times New Roman" w:eastAsiaTheme="majorEastAsia" w:hAnsi="Times New Roman" w:cs="Times New Roman"/>
          <w:i/>
          <w:iCs/>
          <w:color w:val="1A1C1E"/>
          <w:sz w:val="28"/>
          <w:szCs w:val="28"/>
        </w:rPr>
        <w:t>Joint Parliamentary Committee, 1933-34.—</w:t>
      </w:r>
      <w:r w:rsidRPr="00000EE8">
        <w:rPr>
          <w:rStyle w:val="ng-star-inserted1"/>
          <w:rFonts w:ascii="Times New Roman" w:eastAsiaTheme="majorEastAsia" w:hAnsi="Times New Roman" w:cs="Times New Roman"/>
          <w:color w:val="1A1C1E"/>
          <w:sz w:val="28"/>
          <w:szCs w:val="28"/>
        </w:rPr>
        <w:t xml:space="preserve">The Joint Parliamentary Committee on Indian Constitutional Reforms, 1933-34, agreed generally with the proposals in the White Paper. They left the provincial share of income-tax to be prescribed by an Order-in-Council, but could not visualise any prospect of the Provinces' share of income-tax exceeding half of the net revenue from the source. The Committee did not favour the proposal to empower the Provinces also to </w:t>
      </w:r>
      <w:r w:rsidRPr="00000EE8">
        <w:rPr>
          <w:rStyle w:val="ng-star-inserted1"/>
          <w:rFonts w:ascii="Times New Roman" w:eastAsiaTheme="majorEastAsia" w:hAnsi="Times New Roman" w:cs="Times New Roman"/>
          <w:color w:val="1A1C1E"/>
          <w:sz w:val="28"/>
          <w:szCs w:val="28"/>
        </w:rPr>
        <w:lastRenderedPageBreak/>
        <w:t>impose surcharges on personal income-tax. The modified proposals relating to income-tax and other matters were incorporated in the Government of India Act, 1935.</w:t>
      </w:r>
    </w:p>
    <w:p w14:paraId="552D3B6F" w14:textId="77777777" w:rsidR="00F86462" w:rsidRPr="00000EE8" w:rsidRDefault="00F86462" w:rsidP="00000EE8">
      <w:pPr>
        <w:pStyle w:val="ListParagraph"/>
        <w:numPr>
          <w:ilvl w:val="0"/>
          <w:numId w:val="28"/>
        </w:numPr>
        <w:spacing w:after="0" w:line="380" w:lineRule="exact"/>
        <w:ind w:left="360" w:firstLine="567"/>
        <w:jc w:val="both"/>
        <w:rPr>
          <w:rFonts w:ascii="Times New Roman" w:hAnsi="Times New Roman" w:cs="Times New Roman"/>
          <w:color w:val="1A1C1E"/>
          <w:sz w:val="28"/>
          <w:szCs w:val="28"/>
        </w:rPr>
      </w:pPr>
      <w:r w:rsidRPr="00000EE8">
        <w:rPr>
          <w:rStyle w:val="ng-star-inserted1"/>
          <w:rFonts w:ascii="Times New Roman" w:eastAsiaTheme="majorEastAsia" w:hAnsi="Times New Roman" w:cs="Times New Roman"/>
          <w:color w:val="1A1C1E"/>
          <w:sz w:val="28"/>
          <w:szCs w:val="28"/>
        </w:rPr>
        <w:t>It is interesting to note that the idea of devolving the whole of income-tax to the Provinces leaving the Centre to cover the consequent deficit by provincial contributions was abandoned, and a measure of elasticity in the distribution of income-tax was introduced by limiting the provincial share to a part of the net proceeds and giving the Centre power to retain, for a transitional period, a fixed amount out of the provincial share to give it time to adjust its finances.</w:t>
      </w:r>
    </w:p>
    <w:p w14:paraId="0D841BED" w14:textId="77777777" w:rsidR="00F86462" w:rsidRPr="00000EE8" w:rsidRDefault="00F86462" w:rsidP="00000EE8">
      <w:pPr>
        <w:pStyle w:val="ListParagraph"/>
        <w:numPr>
          <w:ilvl w:val="0"/>
          <w:numId w:val="28"/>
        </w:numPr>
        <w:spacing w:after="0" w:line="380" w:lineRule="exact"/>
        <w:ind w:left="360" w:firstLine="567"/>
        <w:jc w:val="both"/>
        <w:rPr>
          <w:rFonts w:ascii="Times New Roman" w:eastAsiaTheme="majorEastAsia" w:hAnsi="Times New Roman" w:cs="Times New Roman"/>
          <w:color w:val="1A1C1E"/>
          <w:sz w:val="28"/>
          <w:szCs w:val="28"/>
        </w:rPr>
      </w:pPr>
      <w:r w:rsidRPr="00000EE8">
        <w:rPr>
          <w:rStyle w:val="ng-star-inserted1"/>
          <w:rFonts w:ascii="Times New Roman" w:eastAsiaTheme="majorEastAsia" w:hAnsi="Times New Roman" w:cs="Times New Roman"/>
          <w:i/>
          <w:iCs/>
          <w:color w:val="1A1C1E"/>
          <w:sz w:val="28"/>
          <w:szCs w:val="28"/>
        </w:rPr>
        <w:t>The position of former Indian States.—</w:t>
      </w:r>
      <w:r w:rsidRPr="00000EE8">
        <w:rPr>
          <w:rStyle w:val="ng-star-inserted1"/>
          <w:rFonts w:ascii="Times New Roman" w:eastAsiaTheme="majorEastAsia" w:hAnsi="Times New Roman" w:cs="Times New Roman"/>
          <w:color w:val="1A1C1E"/>
          <w:sz w:val="28"/>
          <w:szCs w:val="28"/>
        </w:rPr>
        <w:t xml:space="preserve">We may take note at this stage of the position of the former Indian States in relation to the constitutional developments. These States had remained outside the fiscal and financial system of the rest of the country except for certain arrangements entered into with them by the Government of India regarding such matters as maritime customs, central excises, posts and telegraphs and railways. The scheme of the Government of India Act, 1935, contemplated the accession of these States to the Indian federation. Under it the Indian States were to accede in regard to foreign relations, defence and communications, with option to accede in regard to other Central subjects also. This followed an extensive examination of the problems connected with the assimilation of States of varying sizes and having different kinds of relationship with the Centre into a workable system of financial relations </w:t>
      </w:r>
      <w:r w:rsidRPr="00000EE8">
        <w:rPr>
          <w:rFonts w:ascii="Times New Roman" w:eastAsiaTheme="majorEastAsia" w:hAnsi="Times New Roman" w:cs="Times New Roman"/>
          <w:color w:val="1A1C1E"/>
          <w:sz w:val="28"/>
          <w:szCs w:val="28"/>
        </w:rPr>
        <w:t>with the proposed federation. As it happened, the provisions of the Government of India Act, 1935, relating to federation never came into operation. It was not until after Independence that the princely States were integrated into the fiscal system of the country.</w:t>
      </w:r>
    </w:p>
    <w:p w14:paraId="143D1BC4" w14:textId="77777777" w:rsidR="00F86462" w:rsidRPr="00000EE8" w:rsidRDefault="00F86462" w:rsidP="00000EE8">
      <w:pPr>
        <w:pStyle w:val="ListParagraph"/>
        <w:numPr>
          <w:ilvl w:val="0"/>
          <w:numId w:val="28"/>
        </w:numPr>
        <w:spacing w:after="0" w:line="380" w:lineRule="exact"/>
        <w:ind w:left="360" w:firstLine="567"/>
        <w:jc w:val="both"/>
        <w:rPr>
          <w:rFonts w:ascii="Times New Roman" w:hAnsi="Times New Roman" w:cs="Times New Roman"/>
          <w:color w:val="1A1C1E"/>
          <w:sz w:val="28"/>
          <w:szCs w:val="28"/>
        </w:rPr>
      </w:pPr>
      <w:r w:rsidRPr="00000EE8">
        <w:rPr>
          <w:rStyle w:val="ng-star-inserted1"/>
          <w:rFonts w:ascii="Times New Roman" w:eastAsiaTheme="majorEastAsia" w:hAnsi="Times New Roman" w:cs="Times New Roman"/>
          <w:i/>
          <w:iCs/>
          <w:color w:val="1A1C1E"/>
          <w:sz w:val="28"/>
          <w:szCs w:val="28"/>
        </w:rPr>
        <w:t>Government of India Act, 1935.—</w:t>
      </w:r>
      <w:r w:rsidRPr="00000EE8">
        <w:rPr>
          <w:rStyle w:val="ng-star-inserted1"/>
          <w:rFonts w:ascii="Times New Roman" w:eastAsiaTheme="majorEastAsia" w:hAnsi="Times New Roman" w:cs="Times New Roman"/>
          <w:color w:val="1A1C1E"/>
          <w:sz w:val="28"/>
          <w:szCs w:val="28"/>
        </w:rPr>
        <w:t xml:space="preserve">Under the structure of financial arrangements embodied in the Government of India Act, 1935, agricultural income-tax was included in the list of Provincial subjects. Section 138 of the Act provided (a) for the assignment to Provinces and the States which acceded in respect of the subject of income-tax of a percentage of the net proceeds of taxes on income other than agricultural income, except in so far as these proceeds represented proceeds attributable to Chief Commissioners’ Provinces or to taxes payable in respect of federal emoluments, and (b) for the distribution among the Provinces and States of their share. The Centre was, at the same time, empowered to retain for a period a sum out of the share of income-tax assigned to the Provinces and federated States. Section 140 of the Act provided that duties on salt, federal </w:t>
      </w:r>
      <w:r w:rsidRPr="00000EE8">
        <w:rPr>
          <w:rStyle w:val="ng-star-inserted1"/>
          <w:rFonts w:ascii="Times New Roman" w:eastAsiaTheme="majorEastAsia" w:hAnsi="Times New Roman" w:cs="Times New Roman"/>
          <w:color w:val="1A1C1E"/>
          <w:sz w:val="28"/>
          <w:szCs w:val="28"/>
        </w:rPr>
        <w:lastRenderedPageBreak/>
        <w:t>duties of excise and export duties, while levied and collected by the federation would, if an Act of the federal legislature so provided, be assigned wholly or in part to the Provinces and States and be distributed among them in accordance with principles to be formulated by such Act. The provision in respect of the export duty on jute was, however, specific. Section 140 (2) laid down that one-half or such higher proportion as might be determined by Order-in-Council of the net proceeds of the export duty on jute and jute products should be assigned to the Provinces or federated States in which jute was grown in proportion to the respective amounts of jute grown therein. Provision was made in Section 142 for the payment of grants-in-aid of the revenues of such Provinces as might be in need of assistance, the amounts of such grants to be prescribed, however, by Order. Further, the Act provided for the levy by central legislation of duties in respect of succession to property other than agricultural land, stamp duties, terminal taxes on goods and passengers carried by railway or air and taxes on railway fares and freights and for the distribution of the net proceeds, other than those attributable to the Chief Commissioners’ Provinces, to the Provinces and federated States, the federal legislature having the right to levy a surcharge on these taxes for federal purposes.</w:t>
      </w:r>
    </w:p>
    <w:p w14:paraId="075EEA00" w14:textId="77777777" w:rsidR="00F86462" w:rsidRPr="00000EE8" w:rsidRDefault="00F86462" w:rsidP="00000EE8">
      <w:pPr>
        <w:pStyle w:val="ng-star-inserted"/>
        <w:shd w:val="clear" w:color="auto" w:fill="FFFFFF"/>
        <w:spacing w:after="270" w:afterAutospacing="0" w:line="380" w:lineRule="exact"/>
        <w:jc w:val="center"/>
        <w:rPr>
          <w:color w:val="1A1C1E"/>
          <w:sz w:val="28"/>
          <w:szCs w:val="28"/>
        </w:rPr>
      </w:pPr>
      <w:r w:rsidRPr="00000EE8">
        <w:rPr>
          <w:rStyle w:val="ng-star-inserted1"/>
          <w:rFonts w:eastAsiaTheme="majorEastAsia"/>
          <w:b/>
          <w:bCs/>
          <w:color w:val="1A1C1E"/>
          <w:sz w:val="28"/>
          <w:szCs w:val="28"/>
        </w:rPr>
        <w:t>THIRD PERIOD</w:t>
      </w:r>
    </w:p>
    <w:p w14:paraId="5F43B387" w14:textId="2A87D3E5" w:rsidR="00F86462" w:rsidRPr="00000EE8" w:rsidRDefault="00F86462" w:rsidP="00000EE8">
      <w:pPr>
        <w:pStyle w:val="ListParagraph"/>
        <w:numPr>
          <w:ilvl w:val="0"/>
          <w:numId w:val="28"/>
        </w:numPr>
        <w:spacing w:after="0" w:line="380" w:lineRule="exact"/>
        <w:ind w:left="360" w:firstLine="567"/>
        <w:jc w:val="both"/>
        <w:rPr>
          <w:rFonts w:ascii="Times New Roman" w:eastAsiaTheme="majorEastAsia" w:hAnsi="Times New Roman" w:cs="Times New Roman"/>
          <w:color w:val="1A1C1E"/>
          <w:sz w:val="28"/>
          <w:szCs w:val="28"/>
        </w:rPr>
      </w:pPr>
      <w:r w:rsidRPr="00000EE8">
        <w:rPr>
          <w:rStyle w:val="ng-star-inserted1"/>
          <w:rFonts w:ascii="Times New Roman" w:eastAsiaTheme="majorEastAsia" w:hAnsi="Times New Roman" w:cs="Times New Roman"/>
          <w:i/>
          <w:iCs/>
          <w:color w:val="1A1C1E"/>
          <w:sz w:val="28"/>
          <w:szCs w:val="28"/>
        </w:rPr>
        <w:t>Enquiry by Sir Otto Niemeyer, 1936.</w:t>
      </w:r>
      <w:r w:rsidRPr="00000EE8">
        <w:rPr>
          <w:rStyle w:val="ng-star-inserted1"/>
          <w:rFonts w:ascii="Times New Roman" w:eastAsiaTheme="majorEastAsia" w:hAnsi="Times New Roman" w:cs="Times New Roman"/>
          <w:color w:val="1A1C1E"/>
          <w:sz w:val="28"/>
          <w:szCs w:val="28"/>
        </w:rPr>
        <w:t xml:space="preserve">—The scheme of the Government of India Act left several questions to be decided before it could be put into operation. Sir Otto Niemeyer was appointed to make recommendations on matters which under Sections 138 (1) and (2), 140 (2) and 142 of the Government of India Act had to be prescribed or determined by Order-in-Council and on certain other </w:t>
      </w:r>
      <w:r w:rsidRPr="00000EE8">
        <w:rPr>
          <w:rFonts w:ascii="Times New Roman" w:eastAsiaTheme="majorEastAsia" w:hAnsi="Times New Roman" w:cs="Times New Roman"/>
          <w:color w:val="1A1C1E"/>
          <w:sz w:val="28"/>
          <w:szCs w:val="28"/>
        </w:rPr>
        <w:t>ancillary matters. The scope of the enquiry was made comprehensive by a supplementary reference which enabled it to be extended to cover a review of the existing liabilities of the Provincial Governments to the Centre.</w:t>
      </w:r>
      <w:r w:rsidR="00AF2D98" w:rsidRPr="00000EE8">
        <w:rPr>
          <w:rFonts w:ascii="Times New Roman" w:eastAsiaTheme="majorEastAsia" w:hAnsi="Times New Roman" w:cs="Times New Roman"/>
          <w:color w:val="1A1C1E"/>
          <w:sz w:val="28"/>
          <w:szCs w:val="28"/>
        </w:rPr>
        <w:t xml:space="preserve"> </w:t>
      </w:r>
    </w:p>
    <w:p w14:paraId="434DF0DC" w14:textId="6830F43F" w:rsidR="00AF2D98" w:rsidRPr="00000EE8" w:rsidRDefault="00AF2D98" w:rsidP="00000EE8">
      <w:pPr>
        <w:pStyle w:val="ListParagraph"/>
        <w:numPr>
          <w:ilvl w:val="0"/>
          <w:numId w:val="28"/>
        </w:numPr>
        <w:spacing w:after="0" w:line="380" w:lineRule="exact"/>
        <w:ind w:left="360" w:firstLine="567"/>
        <w:jc w:val="both"/>
        <w:rPr>
          <w:rFonts w:ascii="Times New Roman" w:hAnsi="Times New Roman" w:cs="Times New Roman"/>
          <w:color w:val="1A1C1E"/>
          <w:sz w:val="28"/>
          <w:szCs w:val="28"/>
        </w:rPr>
      </w:pPr>
      <w:r w:rsidRPr="00000EE8">
        <w:rPr>
          <w:rFonts w:ascii="Times New Roman" w:hAnsi="Times New Roman" w:cs="Times New Roman"/>
          <w:color w:val="1A1C1E"/>
          <w:sz w:val="28"/>
          <w:szCs w:val="28"/>
        </w:rPr>
        <w:t xml:space="preserve">In respect of income-tax, having regard to the dual considerations of the necessity of safeguarding the financial stability of the Centre and the obvious future needs of the Provinces, and “in order to maintain a reasonable adjustment of relative burdens between the various units”, Sir Otto Niemeyer felt it was desirable that the maximum practicable distribution should be achieved. He recommended that 50 per cent. of the net proceeds of income-tax should be assigned to the Provinces. As regards the distribution of the provincial share, he expressed the view that the mere accident of place of collection was an unsuitable guide and that the residence of the individual, though it might be a convenient </w:t>
      </w:r>
      <w:r w:rsidRPr="00000EE8">
        <w:rPr>
          <w:rFonts w:ascii="Times New Roman" w:hAnsi="Times New Roman" w:cs="Times New Roman"/>
          <w:color w:val="1A1C1E"/>
          <w:sz w:val="28"/>
          <w:szCs w:val="28"/>
        </w:rPr>
        <w:lastRenderedPageBreak/>
        <w:t>practical dividing line for the avoidance of double taxation between separate political units, was not in itself a very scientific criterion, particularly in a federation. Even supposing it were practicable to ascertain to what part of the country particular fractions of income and the incidence of the taxation burden properly adhered, it was, he pointed out, still arguable that in a federation other considerations also were involved, particularly if the benefits and incidence of other forms of common taxation were unequally divided as between the various partners. After a consideration of the various elements of the problem, he came to the conclusion that substantial justice would be done by fixing the scale of distribution partly on residence</w:t>
      </w:r>
      <w:r w:rsidR="0016779B">
        <w:rPr>
          <w:rFonts w:ascii="Times New Roman" w:hAnsi="Times New Roman" w:cs="Times New Roman"/>
          <w:color w:val="1A1C1E"/>
          <w:sz w:val="28"/>
          <w:szCs w:val="28"/>
        </w:rPr>
        <w:t xml:space="preserve"> </w:t>
      </w:r>
      <w:r w:rsidRPr="00000EE8">
        <w:rPr>
          <w:rFonts w:ascii="Times New Roman" w:hAnsi="Times New Roman" w:cs="Times New Roman"/>
          <w:color w:val="1A1C1E"/>
          <w:sz w:val="28"/>
          <w:szCs w:val="28"/>
        </w:rPr>
        <w:t xml:space="preserve"> and partly on population. He recommended distribution among the Provinces according to the following fixed percentages: —</w:t>
      </w:r>
    </w:p>
    <w:tbl>
      <w:tblPr>
        <w:tblStyle w:val="TableGrid"/>
        <w:tblW w:w="0" w:type="auto"/>
        <w:jc w:val="center"/>
        <w:tblLook w:val="04A0" w:firstRow="1" w:lastRow="0" w:firstColumn="1" w:lastColumn="0" w:noHBand="0" w:noVBand="1"/>
      </w:tblPr>
      <w:tblGrid>
        <w:gridCol w:w="3823"/>
        <w:gridCol w:w="2813"/>
      </w:tblGrid>
      <w:tr w:rsidR="00000EE8" w:rsidRPr="00000EE8" w14:paraId="06367D7C" w14:textId="77777777" w:rsidTr="00397688">
        <w:trPr>
          <w:trHeight w:val="20"/>
          <w:jc w:val="center"/>
        </w:trPr>
        <w:tc>
          <w:tcPr>
            <w:tcW w:w="3823" w:type="dxa"/>
            <w:vAlign w:val="center"/>
          </w:tcPr>
          <w:p w14:paraId="2F6505D0" w14:textId="07808312" w:rsidR="00000EE8" w:rsidRPr="00000EE8" w:rsidRDefault="0016779B" w:rsidP="00000EE8">
            <w:pPr>
              <w:spacing w:line="280" w:lineRule="exact"/>
              <w:jc w:val="center"/>
              <w:rPr>
                <w:rFonts w:ascii="Times New Roman" w:hAnsi="Times New Roman" w:cs="Times New Roman"/>
                <w:b/>
                <w:bCs/>
                <w:sz w:val="28"/>
                <w:szCs w:val="28"/>
              </w:rPr>
            </w:pPr>
            <w:r>
              <w:rPr>
                <w:rFonts w:ascii="Times New Roman" w:hAnsi="Times New Roman" w:cs="Times New Roman"/>
                <w:b/>
                <w:bCs/>
                <w:sz w:val="28"/>
                <w:szCs w:val="28"/>
              </w:rPr>
              <w:t>States</w:t>
            </w:r>
          </w:p>
        </w:tc>
        <w:tc>
          <w:tcPr>
            <w:tcW w:w="2813" w:type="dxa"/>
            <w:vAlign w:val="center"/>
          </w:tcPr>
          <w:p w14:paraId="519CC4CB" w14:textId="77777777" w:rsidR="00000EE8" w:rsidRPr="00000EE8" w:rsidRDefault="00000EE8" w:rsidP="00000EE8">
            <w:pPr>
              <w:spacing w:line="280" w:lineRule="exact"/>
              <w:jc w:val="center"/>
              <w:rPr>
                <w:rFonts w:ascii="Times New Roman" w:hAnsi="Times New Roman" w:cs="Times New Roman"/>
                <w:b/>
                <w:bCs/>
                <w:sz w:val="28"/>
                <w:szCs w:val="28"/>
              </w:rPr>
            </w:pPr>
            <w:r w:rsidRPr="00000EE8">
              <w:rPr>
                <w:rFonts w:ascii="Times New Roman" w:hAnsi="Times New Roman" w:cs="Times New Roman"/>
                <w:b/>
                <w:bCs/>
                <w:sz w:val="28"/>
                <w:szCs w:val="28"/>
              </w:rPr>
              <w:t>Per Cent</w:t>
            </w:r>
          </w:p>
        </w:tc>
      </w:tr>
      <w:tr w:rsidR="00000EE8" w:rsidRPr="00000EE8" w14:paraId="6E5D1625" w14:textId="77777777" w:rsidTr="00397688">
        <w:trPr>
          <w:trHeight w:val="20"/>
          <w:jc w:val="center"/>
        </w:trPr>
        <w:tc>
          <w:tcPr>
            <w:tcW w:w="3823" w:type="dxa"/>
            <w:vAlign w:val="center"/>
          </w:tcPr>
          <w:p w14:paraId="7378BA70" w14:textId="77777777" w:rsidR="00000EE8" w:rsidRPr="00000EE8" w:rsidRDefault="00000EE8" w:rsidP="00000EE8">
            <w:pPr>
              <w:spacing w:line="280" w:lineRule="exact"/>
              <w:jc w:val="center"/>
              <w:rPr>
                <w:rFonts w:ascii="Times New Roman" w:hAnsi="Times New Roman" w:cs="Times New Roman"/>
                <w:sz w:val="28"/>
                <w:szCs w:val="28"/>
              </w:rPr>
            </w:pPr>
            <w:r w:rsidRPr="00000EE8">
              <w:rPr>
                <w:rFonts w:ascii="Times New Roman" w:hAnsi="Times New Roman" w:cs="Times New Roman"/>
                <w:sz w:val="28"/>
                <w:szCs w:val="28"/>
              </w:rPr>
              <w:t>Madras</w:t>
            </w:r>
          </w:p>
        </w:tc>
        <w:tc>
          <w:tcPr>
            <w:tcW w:w="2813" w:type="dxa"/>
            <w:vAlign w:val="center"/>
          </w:tcPr>
          <w:p w14:paraId="799543F5" w14:textId="77777777" w:rsidR="00000EE8" w:rsidRPr="00000EE8" w:rsidRDefault="00000EE8" w:rsidP="00000EE8">
            <w:pPr>
              <w:spacing w:line="280" w:lineRule="exact"/>
              <w:jc w:val="center"/>
              <w:rPr>
                <w:rFonts w:ascii="Times New Roman" w:hAnsi="Times New Roman" w:cs="Times New Roman"/>
                <w:sz w:val="28"/>
                <w:szCs w:val="28"/>
              </w:rPr>
            </w:pPr>
            <w:r w:rsidRPr="00000EE8">
              <w:rPr>
                <w:rFonts w:ascii="Times New Roman" w:hAnsi="Times New Roman" w:cs="Times New Roman"/>
                <w:sz w:val="28"/>
                <w:szCs w:val="28"/>
              </w:rPr>
              <w:t>15</w:t>
            </w:r>
          </w:p>
        </w:tc>
      </w:tr>
      <w:tr w:rsidR="00000EE8" w:rsidRPr="00000EE8" w14:paraId="2EA969E4" w14:textId="77777777" w:rsidTr="00397688">
        <w:trPr>
          <w:trHeight w:val="20"/>
          <w:jc w:val="center"/>
        </w:trPr>
        <w:tc>
          <w:tcPr>
            <w:tcW w:w="3823" w:type="dxa"/>
            <w:vAlign w:val="center"/>
          </w:tcPr>
          <w:p w14:paraId="04278B4C" w14:textId="77777777" w:rsidR="00000EE8" w:rsidRPr="00000EE8" w:rsidRDefault="00000EE8" w:rsidP="00000EE8">
            <w:pPr>
              <w:spacing w:line="280" w:lineRule="exact"/>
              <w:jc w:val="center"/>
              <w:rPr>
                <w:rFonts w:ascii="Times New Roman" w:hAnsi="Times New Roman" w:cs="Times New Roman"/>
                <w:sz w:val="28"/>
                <w:szCs w:val="28"/>
              </w:rPr>
            </w:pPr>
            <w:r w:rsidRPr="00000EE8">
              <w:rPr>
                <w:rFonts w:ascii="Times New Roman" w:hAnsi="Times New Roman" w:cs="Times New Roman"/>
                <w:sz w:val="28"/>
                <w:szCs w:val="28"/>
              </w:rPr>
              <w:t>Bombay</w:t>
            </w:r>
          </w:p>
        </w:tc>
        <w:tc>
          <w:tcPr>
            <w:tcW w:w="2813" w:type="dxa"/>
            <w:vAlign w:val="center"/>
          </w:tcPr>
          <w:p w14:paraId="7C178DD7" w14:textId="77777777" w:rsidR="00000EE8" w:rsidRPr="00000EE8" w:rsidRDefault="00000EE8" w:rsidP="00000EE8">
            <w:pPr>
              <w:spacing w:line="280" w:lineRule="exact"/>
              <w:jc w:val="center"/>
              <w:rPr>
                <w:rFonts w:ascii="Times New Roman" w:hAnsi="Times New Roman" w:cs="Times New Roman"/>
                <w:sz w:val="28"/>
                <w:szCs w:val="28"/>
              </w:rPr>
            </w:pPr>
            <w:r w:rsidRPr="00000EE8">
              <w:rPr>
                <w:rFonts w:ascii="Times New Roman" w:hAnsi="Times New Roman" w:cs="Times New Roman"/>
                <w:sz w:val="28"/>
                <w:szCs w:val="28"/>
              </w:rPr>
              <w:t>20</w:t>
            </w:r>
          </w:p>
        </w:tc>
      </w:tr>
      <w:tr w:rsidR="00000EE8" w:rsidRPr="00000EE8" w14:paraId="719C2611" w14:textId="77777777" w:rsidTr="00397688">
        <w:trPr>
          <w:trHeight w:val="20"/>
          <w:jc w:val="center"/>
        </w:trPr>
        <w:tc>
          <w:tcPr>
            <w:tcW w:w="3823" w:type="dxa"/>
            <w:vAlign w:val="center"/>
          </w:tcPr>
          <w:p w14:paraId="3450222D" w14:textId="77777777" w:rsidR="00000EE8" w:rsidRPr="00000EE8" w:rsidRDefault="00000EE8" w:rsidP="00000EE8">
            <w:pPr>
              <w:spacing w:line="280" w:lineRule="exact"/>
              <w:jc w:val="center"/>
              <w:rPr>
                <w:rFonts w:ascii="Times New Roman" w:hAnsi="Times New Roman" w:cs="Times New Roman"/>
                <w:sz w:val="28"/>
                <w:szCs w:val="28"/>
              </w:rPr>
            </w:pPr>
            <w:r w:rsidRPr="00000EE8">
              <w:rPr>
                <w:rFonts w:ascii="Times New Roman" w:hAnsi="Times New Roman" w:cs="Times New Roman"/>
                <w:sz w:val="28"/>
                <w:szCs w:val="28"/>
              </w:rPr>
              <w:t>Bengal</w:t>
            </w:r>
          </w:p>
        </w:tc>
        <w:tc>
          <w:tcPr>
            <w:tcW w:w="2813" w:type="dxa"/>
            <w:vAlign w:val="center"/>
          </w:tcPr>
          <w:p w14:paraId="013BE3BB" w14:textId="77777777" w:rsidR="00000EE8" w:rsidRPr="00000EE8" w:rsidRDefault="00000EE8" w:rsidP="00000EE8">
            <w:pPr>
              <w:spacing w:line="280" w:lineRule="exact"/>
              <w:jc w:val="center"/>
              <w:rPr>
                <w:rFonts w:ascii="Times New Roman" w:hAnsi="Times New Roman" w:cs="Times New Roman"/>
                <w:sz w:val="28"/>
                <w:szCs w:val="28"/>
              </w:rPr>
            </w:pPr>
            <w:r w:rsidRPr="00000EE8">
              <w:rPr>
                <w:rFonts w:ascii="Times New Roman" w:hAnsi="Times New Roman" w:cs="Times New Roman"/>
                <w:sz w:val="28"/>
                <w:szCs w:val="28"/>
              </w:rPr>
              <w:t>20</w:t>
            </w:r>
          </w:p>
        </w:tc>
      </w:tr>
      <w:tr w:rsidR="00000EE8" w:rsidRPr="00000EE8" w14:paraId="212EA5C1" w14:textId="77777777" w:rsidTr="00397688">
        <w:trPr>
          <w:trHeight w:val="20"/>
          <w:jc w:val="center"/>
        </w:trPr>
        <w:tc>
          <w:tcPr>
            <w:tcW w:w="3823" w:type="dxa"/>
            <w:vAlign w:val="center"/>
          </w:tcPr>
          <w:p w14:paraId="0E6D4FAB" w14:textId="77777777" w:rsidR="00000EE8" w:rsidRPr="00000EE8" w:rsidRDefault="00000EE8" w:rsidP="00000EE8">
            <w:pPr>
              <w:spacing w:line="280" w:lineRule="exact"/>
              <w:jc w:val="center"/>
              <w:rPr>
                <w:rFonts w:ascii="Times New Roman" w:hAnsi="Times New Roman" w:cs="Times New Roman"/>
                <w:sz w:val="28"/>
                <w:szCs w:val="28"/>
              </w:rPr>
            </w:pPr>
            <w:r w:rsidRPr="00000EE8">
              <w:rPr>
                <w:rFonts w:ascii="Times New Roman" w:hAnsi="Times New Roman" w:cs="Times New Roman"/>
                <w:sz w:val="28"/>
                <w:szCs w:val="28"/>
              </w:rPr>
              <w:t>United Provinces</w:t>
            </w:r>
          </w:p>
        </w:tc>
        <w:tc>
          <w:tcPr>
            <w:tcW w:w="2813" w:type="dxa"/>
            <w:vAlign w:val="center"/>
          </w:tcPr>
          <w:p w14:paraId="12960AF2" w14:textId="77777777" w:rsidR="00000EE8" w:rsidRPr="00000EE8" w:rsidRDefault="00000EE8" w:rsidP="00000EE8">
            <w:pPr>
              <w:spacing w:line="280" w:lineRule="exact"/>
              <w:jc w:val="center"/>
              <w:rPr>
                <w:rFonts w:ascii="Times New Roman" w:hAnsi="Times New Roman" w:cs="Times New Roman"/>
                <w:sz w:val="28"/>
                <w:szCs w:val="28"/>
              </w:rPr>
            </w:pPr>
            <w:r w:rsidRPr="00000EE8">
              <w:rPr>
                <w:rFonts w:ascii="Times New Roman" w:hAnsi="Times New Roman" w:cs="Times New Roman"/>
                <w:sz w:val="28"/>
                <w:szCs w:val="28"/>
              </w:rPr>
              <w:t>15</w:t>
            </w:r>
          </w:p>
        </w:tc>
      </w:tr>
      <w:tr w:rsidR="00000EE8" w:rsidRPr="00000EE8" w14:paraId="21880C03" w14:textId="77777777" w:rsidTr="00397688">
        <w:trPr>
          <w:trHeight w:val="20"/>
          <w:jc w:val="center"/>
        </w:trPr>
        <w:tc>
          <w:tcPr>
            <w:tcW w:w="3823" w:type="dxa"/>
            <w:vAlign w:val="center"/>
          </w:tcPr>
          <w:p w14:paraId="1599ADAA" w14:textId="77777777" w:rsidR="00000EE8" w:rsidRPr="00000EE8" w:rsidRDefault="00000EE8" w:rsidP="00000EE8">
            <w:pPr>
              <w:spacing w:line="280" w:lineRule="exact"/>
              <w:jc w:val="center"/>
              <w:rPr>
                <w:rFonts w:ascii="Times New Roman" w:hAnsi="Times New Roman" w:cs="Times New Roman"/>
                <w:sz w:val="28"/>
                <w:szCs w:val="28"/>
              </w:rPr>
            </w:pPr>
            <w:r w:rsidRPr="00000EE8">
              <w:rPr>
                <w:rFonts w:ascii="Times New Roman" w:hAnsi="Times New Roman" w:cs="Times New Roman"/>
                <w:sz w:val="28"/>
                <w:szCs w:val="28"/>
              </w:rPr>
              <w:t>Punjab</w:t>
            </w:r>
          </w:p>
        </w:tc>
        <w:tc>
          <w:tcPr>
            <w:tcW w:w="2813" w:type="dxa"/>
            <w:vAlign w:val="center"/>
          </w:tcPr>
          <w:p w14:paraId="43A81059" w14:textId="77777777" w:rsidR="00000EE8" w:rsidRPr="00000EE8" w:rsidRDefault="00000EE8" w:rsidP="00000EE8">
            <w:pPr>
              <w:spacing w:line="280" w:lineRule="exact"/>
              <w:jc w:val="center"/>
              <w:rPr>
                <w:rFonts w:ascii="Times New Roman" w:hAnsi="Times New Roman" w:cs="Times New Roman"/>
                <w:sz w:val="28"/>
                <w:szCs w:val="28"/>
              </w:rPr>
            </w:pPr>
            <w:r w:rsidRPr="00000EE8">
              <w:rPr>
                <w:rFonts w:ascii="Times New Roman" w:hAnsi="Times New Roman" w:cs="Times New Roman"/>
                <w:sz w:val="28"/>
                <w:szCs w:val="28"/>
              </w:rPr>
              <w:t>8</w:t>
            </w:r>
          </w:p>
        </w:tc>
      </w:tr>
      <w:tr w:rsidR="00000EE8" w:rsidRPr="00000EE8" w14:paraId="7B551C91" w14:textId="77777777" w:rsidTr="00397688">
        <w:trPr>
          <w:trHeight w:val="20"/>
          <w:jc w:val="center"/>
        </w:trPr>
        <w:tc>
          <w:tcPr>
            <w:tcW w:w="3823" w:type="dxa"/>
            <w:vAlign w:val="center"/>
          </w:tcPr>
          <w:p w14:paraId="7B419538" w14:textId="77777777" w:rsidR="00000EE8" w:rsidRPr="00000EE8" w:rsidRDefault="00000EE8" w:rsidP="00000EE8">
            <w:pPr>
              <w:spacing w:line="280" w:lineRule="exact"/>
              <w:jc w:val="center"/>
              <w:rPr>
                <w:rFonts w:ascii="Times New Roman" w:hAnsi="Times New Roman" w:cs="Times New Roman"/>
                <w:sz w:val="28"/>
                <w:szCs w:val="28"/>
              </w:rPr>
            </w:pPr>
            <w:r w:rsidRPr="00000EE8">
              <w:rPr>
                <w:rFonts w:ascii="Times New Roman" w:hAnsi="Times New Roman" w:cs="Times New Roman"/>
                <w:sz w:val="28"/>
                <w:szCs w:val="28"/>
              </w:rPr>
              <w:t>Bihar</w:t>
            </w:r>
          </w:p>
        </w:tc>
        <w:tc>
          <w:tcPr>
            <w:tcW w:w="2813" w:type="dxa"/>
            <w:vAlign w:val="center"/>
          </w:tcPr>
          <w:p w14:paraId="1E068626" w14:textId="77777777" w:rsidR="00000EE8" w:rsidRPr="00000EE8" w:rsidRDefault="00000EE8" w:rsidP="00000EE8">
            <w:pPr>
              <w:spacing w:line="280" w:lineRule="exact"/>
              <w:jc w:val="center"/>
              <w:rPr>
                <w:rFonts w:ascii="Times New Roman" w:hAnsi="Times New Roman" w:cs="Times New Roman"/>
                <w:sz w:val="28"/>
                <w:szCs w:val="28"/>
              </w:rPr>
            </w:pPr>
            <w:r w:rsidRPr="00000EE8">
              <w:rPr>
                <w:rFonts w:ascii="Times New Roman" w:hAnsi="Times New Roman" w:cs="Times New Roman"/>
                <w:sz w:val="28"/>
                <w:szCs w:val="28"/>
              </w:rPr>
              <w:t>10</w:t>
            </w:r>
          </w:p>
        </w:tc>
      </w:tr>
      <w:tr w:rsidR="00000EE8" w:rsidRPr="00000EE8" w14:paraId="133B74E5" w14:textId="77777777" w:rsidTr="00397688">
        <w:trPr>
          <w:trHeight w:val="20"/>
          <w:jc w:val="center"/>
        </w:trPr>
        <w:tc>
          <w:tcPr>
            <w:tcW w:w="3823" w:type="dxa"/>
            <w:vAlign w:val="center"/>
          </w:tcPr>
          <w:p w14:paraId="0B35F2CC" w14:textId="77777777" w:rsidR="00000EE8" w:rsidRPr="00000EE8" w:rsidRDefault="00000EE8" w:rsidP="00000EE8">
            <w:pPr>
              <w:spacing w:line="280" w:lineRule="exact"/>
              <w:jc w:val="center"/>
              <w:rPr>
                <w:rFonts w:ascii="Times New Roman" w:hAnsi="Times New Roman" w:cs="Times New Roman"/>
                <w:sz w:val="28"/>
                <w:szCs w:val="28"/>
              </w:rPr>
            </w:pPr>
            <w:r w:rsidRPr="00000EE8">
              <w:rPr>
                <w:rFonts w:ascii="Times New Roman" w:hAnsi="Times New Roman" w:cs="Times New Roman"/>
                <w:sz w:val="28"/>
                <w:szCs w:val="28"/>
              </w:rPr>
              <w:t>Central Provinces</w:t>
            </w:r>
          </w:p>
        </w:tc>
        <w:tc>
          <w:tcPr>
            <w:tcW w:w="2813" w:type="dxa"/>
            <w:vAlign w:val="center"/>
          </w:tcPr>
          <w:p w14:paraId="2FB02300" w14:textId="77777777" w:rsidR="00000EE8" w:rsidRPr="00000EE8" w:rsidRDefault="00000EE8" w:rsidP="00000EE8">
            <w:pPr>
              <w:spacing w:line="280" w:lineRule="exact"/>
              <w:jc w:val="center"/>
              <w:rPr>
                <w:rFonts w:ascii="Times New Roman" w:hAnsi="Times New Roman" w:cs="Times New Roman"/>
                <w:sz w:val="28"/>
                <w:szCs w:val="28"/>
              </w:rPr>
            </w:pPr>
            <w:r w:rsidRPr="00000EE8">
              <w:rPr>
                <w:rFonts w:ascii="Times New Roman" w:hAnsi="Times New Roman" w:cs="Times New Roman"/>
                <w:sz w:val="28"/>
                <w:szCs w:val="28"/>
              </w:rPr>
              <w:t>5</w:t>
            </w:r>
          </w:p>
        </w:tc>
      </w:tr>
      <w:tr w:rsidR="00000EE8" w:rsidRPr="00000EE8" w14:paraId="66832C2A" w14:textId="77777777" w:rsidTr="00397688">
        <w:trPr>
          <w:trHeight w:val="20"/>
          <w:jc w:val="center"/>
        </w:trPr>
        <w:tc>
          <w:tcPr>
            <w:tcW w:w="3823" w:type="dxa"/>
            <w:vAlign w:val="center"/>
          </w:tcPr>
          <w:p w14:paraId="6B002A03" w14:textId="77777777" w:rsidR="00000EE8" w:rsidRPr="00000EE8" w:rsidRDefault="00000EE8" w:rsidP="00000EE8">
            <w:pPr>
              <w:spacing w:line="280" w:lineRule="exact"/>
              <w:jc w:val="center"/>
              <w:rPr>
                <w:rFonts w:ascii="Times New Roman" w:hAnsi="Times New Roman" w:cs="Times New Roman"/>
                <w:sz w:val="28"/>
                <w:szCs w:val="28"/>
              </w:rPr>
            </w:pPr>
            <w:r w:rsidRPr="00000EE8">
              <w:rPr>
                <w:rFonts w:ascii="Times New Roman" w:hAnsi="Times New Roman" w:cs="Times New Roman"/>
                <w:sz w:val="28"/>
                <w:szCs w:val="28"/>
              </w:rPr>
              <w:t>Assam</w:t>
            </w:r>
          </w:p>
        </w:tc>
        <w:tc>
          <w:tcPr>
            <w:tcW w:w="2813" w:type="dxa"/>
            <w:vAlign w:val="center"/>
          </w:tcPr>
          <w:p w14:paraId="0058B778" w14:textId="77777777" w:rsidR="00000EE8" w:rsidRPr="00000EE8" w:rsidRDefault="00000EE8" w:rsidP="00000EE8">
            <w:pPr>
              <w:spacing w:line="280" w:lineRule="exact"/>
              <w:jc w:val="center"/>
              <w:rPr>
                <w:rFonts w:ascii="Times New Roman" w:hAnsi="Times New Roman" w:cs="Times New Roman"/>
                <w:sz w:val="28"/>
                <w:szCs w:val="28"/>
              </w:rPr>
            </w:pPr>
            <w:r w:rsidRPr="00000EE8">
              <w:rPr>
                <w:rFonts w:ascii="Times New Roman" w:hAnsi="Times New Roman" w:cs="Times New Roman"/>
                <w:sz w:val="28"/>
                <w:szCs w:val="28"/>
              </w:rPr>
              <w:t>2</w:t>
            </w:r>
          </w:p>
        </w:tc>
      </w:tr>
      <w:tr w:rsidR="00000EE8" w:rsidRPr="00000EE8" w14:paraId="32F1CACD" w14:textId="77777777" w:rsidTr="00397688">
        <w:trPr>
          <w:trHeight w:val="20"/>
          <w:jc w:val="center"/>
        </w:trPr>
        <w:tc>
          <w:tcPr>
            <w:tcW w:w="3823" w:type="dxa"/>
            <w:vAlign w:val="center"/>
          </w:tcPr>
          <w:p w14:paraId="51424297" w14:textId="77777777" w:rsidR="00000EE8" w:rsidRPr="00000EE8" w:rsidRDefault="00000EE8" w:rsidP="00000EE8">
            <w:pPr>
              <w:spacing w:line="280" w:lineRule="exact"/>
              <w:jc w:val="center"/>
              <w:rPr>
                <w:rFonts w:ascii="Times New Roman" w:hAnsi="Times New Roman" w:cs="Times New Roman"/>
                <w:sz w:val="28"/>
                <w:szCs w:val="28"/>
              </w:rPr>
            </w:pPr>
            <w:r w:rsidRPr="00000EE8">
              <w:rPr>
                <w:rFonts w:ascii="Times New Roman" w:hAnsi="Times New Roman" w:cs="Times New Roman"/>
                <w:sz w:val="28"/>
                <w:szCs w:val="28"/>
              </w:rPr>
              <w:t>North-West Frontier Province</w:t>
            </w:r>
          </w:p>
        </w:tc>
        <w:tc>
          <w:tcPr>
            <w:tcW w:w="2813" w:type="dxa"/>
            <w:vAlign w:val="center"/>
          </w:tcPr>
          <w:p w14:paraId="76018254" w14:textId="77777777" w:rsidR="00000EE8" w:rsidRPr="00000EE8" w:rsidRDefault="00000EE8" w:rsidP="00000EE8">
            <w:pPr>
              <w:spacing w:line="280" w:lineRule="exact"/>
              <w:jc w:val="center"/>
              <w:rPr>
                <w:rFonts w:ascii="Times New Roman" w:hAnsi="Times New Roman" w:cs="Times New Roman"/>
                <w:sz w:val="28"/>
                <w:szCs w:val="28"/>
              </w:rPr>
            </w:pPr>
            <w:r w:rsidRPr="00000EE8">
              <w:rPr>
                <w:rFonts w:ascii="Times New Roman" w:hAnsi="Times New Roman" w:cs="Times New Roman"/>
                <w:sz w:val="28"/>
                <w:szCs w:val="28"/>
              </w:rPr>
              <w:t>1</w:t>
            </w:r>
          </w:p>
        </w:tc>
      </w:tr>
      <w:tr w:rsidR="00000EE8" w:rsidRPr="00000EE8" w14:paraId="63114F2D" w14:textId="77777777" w:rsidTr="00397688">
        <w:trPr>
          <w:trHeight w:val="20"/>
          <w:jc w:val="center"/>
        </w:trPr>
        <w:tc>
          <w:tcPr>
            <w:tcW w:w="3823" w:type="dxa"/>
            <w:vAlign w:val="center"/>
          </w:tcPr>
          <w:p w14:paraId="00FDDEBD" w14:textId="77777777" w:rsidR="00000EE8" w:rsidRPr="00000EE8" w:rsidRDefault="00000EE8" w:rsidP="00000EE8">
            <w:pPr>
              <w:spacing w:line="280" w:lineRule="exact"/>
              <w:jc w:val="center"/>
              <w:rPr>
                <w:rFonts w:ascii="Times New Roman" w:hAnsi="Times New Roman" w:cs="Times New Roman"/>
                <w:sz w:val="28"/>
                <w:szCs w:val="28"/>
              </w:rPr>
            </w:pPr>
            <w:r w:rsidRPr="00000EE8">
              <w:rPr>
                <w:rFonts w:ascii="Times New Roman" w:hAnsi="Times New Roman" w:cs="Times New Roman"/>
                <w:sz w:val="28"/>
                <w:szCs w:val="28"/>
              </w:rPr>
              <w:t>Orissa</w:t>
            </w:r>
          </w:p>
        </w:tc>
        <w:tc>
          <w:tcPr>
            <w:tcW w:w="2813" w:type="dxa"/>
            <w:vAlign w:val="center"/>
          </w:tcPr>
          <w:p w14:paraId="265697FB" w14:textId="77777777" w:rsidR="00000EE8" w:rsidRPr="00000EE8" w:rsidRDefault="00000EE8" w:rsidP="00000EE8">
            <w:pPr>
              <w:spacing w:line="280" w:lineRule="exact"/>
              <w:jc w:val="center"/>
              <w:rPr>
                <w:rFonts w:ascii="Times New Roman" w:hAnsi="Times New Roman" w:cs="Times New Roman"/>
                <w:sz w:val="28"/>
                <w:szCs w:val="28"/>
              </w:rPr>
            </w:pPr>
            <w:r w:rsidRPr="00000EE8">
              <w:rPr>
                <w:rFonts w:ascii="Times New Roman" w:hAnsi="Times New Roman" w:cs="Times New Roman"/>
                <w:sz w:val="28"/>
                <w:szCs w:val="28"/>
              </w:rPr>
              <w:t>2</w:t>
            </w:r>
          </w:p>
        </w:tc>
      </w:tr>
      <w:tr w:rsidR="00000EE8" w:rsidRPr="00000EE8" w14:paraId="526DAC4B" w14:textId="77777777" w:rsidTr="00397688">
        <w:trPr>
          <w:trHeight w:val="20"/>
          <w:jc w:val="center"/>
        </w:trPr>
        <w:tc>
          <w:tcPr>
            <w:tcW w:w="3823" w:type="dxa"/>
            <w:vAlign w:val="center"/>
          </w:tcPr>
          <w:p w14:paraId="2A175245" w14:textId="77777777" w:rsidR="00000EE8" w:rsidRPr="00000EE8" w:rsidRDefault="00000EE8" w:rsidP="00000EE8">
            <w:pPr>
              <w:spacing w:line="280" w:lineRule="exact"/>
              <w:jc w:val="center"/>
              <w:rPr>
                <w:rFonts w:ascii="Times New Roman" w:hAnsi="Times New Roman" w:cs="Times New Roman"/>
                <w:sz w:val="28"/>
                <w:szCs w:val="28"/>
              </w:rPr>
            </w:pPr>
            <w:r w:rsidRPr="00000EE8">
              <w:rPr>
                <w:rFonts w:ascii="Times New Roman" w:hAnsi="Times New Roman" w:cs="Times New Roman"/>
                <w:sz w:val="28"/>
                <w:szCs w:val="28"/>
              </w:rPr>
              <w:t>Sind</w:t>
            </w:r>
          </w:p>
        </w:tc>
        <w:tc>
          <w:tcPr>
            <w:tcW w:w="2813" w:type="dxa"/>
            <w:vAlign w:val="center"/>
          </w:tcPr>
          <w:p w14:paraId="5BBBE5D9" w14:textId="77777777" w:rsidR="00000EE8" w:rsidRPr="00000EE8" w:rsidRDefault="00000EE8" w:rsidP="00000EE8">
            <w:pPr>
              <w:spacing w:line="280" w:lineRule="exact"/>
              <w:jc w:val="center"/>
              <w:rPr>
                <w:rFonts w:ascii="Times New Roman" w:hAnsi="Times New Roman" w:cs="Times New Roman"/>
                <w:sz w:val="28"/>
                <w:szCs w:val="28"/>
              </w:rPr>
            </w:pPr>
            <w:r w:rsidRPr="00000EE8">
              <w:rPr>
                <w:rFonts w:ascii="Times New Roman" w:hAnsi="Times New Roman" w:cs="Times New Roman"/>
                <w:sz w:val="28"/>
                <w:szCs w:val="28"/>
              </w:rPr>
              <w:t>2</w:t>
            </w:r>
          </w:p>
        </w:tc>
      </w:tr>
      <w:tr w:rsidR="00000EE8" w:rsidRPr="00000EE8" w14:paraId="7133176A" w14:textId="77777777" w:rsidTr="00397688">
        <w:trPr>
          <w:trHeight w:val="20"/>
          <w:jc w:val="center"/>
        </w:trPr>
        <w:tc>
          <w:tcPr>
            <w:tcW w:w="3823" w:type="dxa"/>
            <w:vAlign w:val="center"/>
          </w:tcPr>
          <w:p w14:paraId="547799C1" w14:textId="77777777" w:rsidR="00000EE8" w:rsidRPr="00000EE8" w:rsidRDefault="00000EE8" w:rsidP="00000EE8">
            <w:pPr>
              <w:spacing w:line="280" w:lineRule="exact"/>
              <w:jc w:val="center"/>
              <w:rPr>
                <w:rFonts w:ascii="Times New Roman" w:hAnsi="Times New Roman" w:cs="Times New Roman"/>
                <w:sz w:val="28"/>
                <w:szCs w:val="28"/>
              </w:rPr>
            </w:pPr>
          </w:p>
        </w:tc>
        <w:tc>
          <w:tcPr>
            <w:tcW w:w="2813" w:type="dxa"/>
            <w:vAlign w:val="center"/>
          </w:tcPr>
          <w:p w14:paraId="0B525928" w14:textId="77777777" w:rsidR="00000EE8" w:rsidRPr="00000EE8" w:rsidRDefault="00000EE8" w:rsidP="00000EE8">
            <w:pPr>
              <w:spacing w:line="280" w:lineRule="exact"/>
              <w:jc w:val="center"/>
              <w:rPr>
                <w:rFonts w:ascii="Times New Roman" w:hAnsi="Times New Roman" w:cs="Times New Roman"/>
                <w:sz w:val="28"/>
                <w:szCs w:val="28"/>
              </w:rPr>
            </w:pPr>
            <w:r w:rsidRPr="00000EE8">
              <w:rPr>
                <w:rFonts w:ascii="Times New Roman" w:hAnsi="Times New Roman" w:cs="Times New Roman"/>
                <w:sz w:val="28"/>
                <w:szCs w:val="28"/>
              </w:rPr>
              <w:t>100</w:t>
            </w:r>
          </w:p>
        </w:tc>
      </w:tr>
    </w:tbl>
    <w:p w14:paraId="3B9B089B" w14:textId="22406F82" w:rsidR="007C19F8" w:rsidRPr="00000EE8" w:rsidRDefault="00AF2D98" w:rsidP="00000EE8">
      <w:pPr>
        <w:spacing w:line="380" w:lineRule="exact"/>
        <w:jc w:val="both"/>
        <w:rPr>
          <w:rFonts w:ascii="Times New Roman" w:hAnsi="Times New Roman" w:cs="Times New Roman"/>
          <w:sz w:val="28"/>
          <w:szCs w:val="28"/>
        </w:rPr>
      </w:pPr>
      <w:r w:rsidRPr="00000EE8">
        <w:rPr>
          <w:rFonts w:ascii="Times New Roman" w:hAnsi="Times New Roman" w:cs="Times New Roman"/>
          <w:sz w:val="28"/>
          <w:szCs w:val="28"/>
        </w:rPr>
        <w:t>Sir Otto Niemeyer also recommended that the Centre should retain for the first five years out of the provincial moiety a sum equivalent to the amount by which the central share plus the contribution from Railways fell short of Rs. 13 crores a year and that the amount retained from the provincial share should be surrendered to the Provinces over a further period of five years. As part of the assistance he contemplated for the jute-growing Provinces, Sir Otto Niemeyer recommended that the provinces' share of the jute export duty be raised by 12½ per cent. to 62½ per cent. of the net proceeds of the duty.</w:t>
      </w:r>
    </w:p>
    <w:p w14:paraId="605C0B9C" w14:textId="6E5687F2" w:rsidR="00AF2D98" w:rsidRDefault="001C27FC" w:rsidP="00F508A5">
      <w:pPr>
        <w:pStyle w:val="ListParagraph"/>
        <w:numPr>
          <w:ilvl w:val="0"/>
          <w:numId w:val="28"/>
        </w:numPr>
        <w:spacing w:after="0" w:line="380" w:lineRule="exact"/>
        <w:ind w:left="0" w:firstLine="567"/>
        <w:jc w:val="both"/>
        <w:rPr>
          <w:rFonts w:ascii="Times New Roman" w:hAnsi="Times New Roman" w:cs="Times New Roman"/>
          <w:sz w:val="28"/>
          <w:szCs w:val="28"/>
        </w:rPr>
      </w:pPr>
      <w:r w:rsidRPr="00000EE8">
        <w:rPr>
          <w:rFonts w:ascii="Times New Roman" w:hAnsi="Times New Roman" w:cs="Times New Roman"/>
          <w:sz w:val="28"/>
          <w:szCs w:val="28"/>
        </w:rPr>
        <w:t>The following annual grants to the Provinces were also recommended by Sir Otto Niemeyer:—</w:t>
      </w:r>
    </w:p>
    <w:p w14:paraId="058DC78C" w14:textId="77777777" w:rsidR="00F508A5" w:rsidRPr="00000EE8" w:rsidRDefault="00F508A5" w:rsidP="00F508A5">
      <w:pPr>
        <w:pStyle w:val="ListParagraph"/>
        <w:spacing w:after="0" w:line="380" w:lineRule="exact"/>
        <w:ind w:left="927"/>
        <w:jc w:val="both"/>
        <w:rPr>
          <w:rFonts w:ascii="Times New Roman" w:hAnsi="Times New Roman" w:cs="Times New Roman"/>
          <w:sz w:val="28"/>
          <w:szCs w:val="28"/>
        </w:rPr>
      </w:pPr>
    </w:p>
    <w:tbl>
      <w:tblPr>
        <w:tblW w:w="8500" w:type="dxa"/>
        <w:jc w:val="center"/>
        <w:tblLook w:val="04A0" w:firstRow="1" w:lastRow="0" w:firstColumn="1" w:lastColumn="0" w:noHBand="0" w:noVBand="1"/>
      </w:tblPr>
      <w:tblGrid>
        <w:gridCol w:w="2547"/>
        <w:gridCol w:w="5953"/>
      </w:tblGrid>
      <w:tr w:rsidR="00F508A5" w:rsidRPr="00F508A5" w14:paraId="302EABAA" w14:textId="77777777" w:rsidTr="00F508A5">
        <w:trPr>
          <w:trHeight w:val="20"/>
          <w:jc w:val="center"/>
        </w:trPr>
        <w:tc>
          <w:tcPr>
            <w:tcW w:w="2547" w:type="dxa"/>
            <w:tcBorders>
              <w:top w:val="single" w:sz="4" w:space="0" w:color="auto"/>
              <w:left w:val="single" w:sz="4" w:space="0" w:color="auto"/>
              <w:bottom w:val="single" w:sz="4" w:space="0" w:color="auto"/>
              <w:right w:val="single" w:sz="4" w:space="0" w:color="auto"/>
            </w:tcBorders>
            <w:noWrap/>
            <w:vAlign w:val="center"/>
            <w:hideMark/>
          </w:tcPr>
          <w:p w14:paraId="1F464035" w14:textId="77777777" w:rsidR="00F508A5" w:rsidRPr="00F508A5" w:rsidRDefault="00F508A5" w:rsidP="00397688">
            <w:pPr>
              <w:spacing w:after="0" w:line="280" w:lineRule="exact"/>
              <w:rPr>
                <w:rFonts w:ascii="Times New Roman" w:eastAsia="Times New Roman" w:hAnsi="Times New Roman" w:cs="Times New Roman"/>
                <w:color w:val="000000"/>
                <w:kern w:val="0"/>
                <w:sz w:val="28"/>
                <w:szCs w:val="28"/>
                <w:lang w:eastAsia="en-IN"/>
                <w14:ligatures w14:val="none"/>
              </w:rPr>
            </w:pPr>
            <w:r w:rsidRPr="00F508A5">
              <w:rPr>
                <w:rFonts w:ascii="Times New Roman" w:eastAsia="Times New Roman" w:hAnsi="Times New Roman" w:cs="Times New Roman"/>
                <w:color w:val="000000"/>
                <w:kern w:val="0"/>
                <w:sz w:val="28"/>
                <w:szCs w:val="28"/>
                <w:lang w:eastAsia="en-IN"/>
                <w14:ligatures w14:val="none"/>
              </w:rPr>
              <w:t> </w:t>
            </w:r>
          </w:p>
        </w:tc>
        <w:tc>
          <w:tcPr>
            <w:tcW w:w="5953" w:type="dxa"/>
            <w:tcBorders>
              <w:top w:val="single" w:sz="4" w:space="0" w:color="auto"/>
              <w:left w:val="nil"/>
              <w:bottom w:val="single" w:sz="4" w:space="0" w:color="auto"/>
              <w:right w:val="single" w:sz="4" w:space="0" w:color="auto"/>
            </w:tcBorders>
            <w:vAlign w:val="center"/>
            <w:hideMark/>
          </w:tcPr>
          <w:p w14:paraId="6519F73C" w14:textId="77777777" w:rsidR="00F508A5" w:rsidRPr="00566A45" w:rsidRDefault="00F508A5" w:rsidP="00FB44CD">
            <w:pPr>
              <w:spacing w:after="0" w:line="280" w:lineRule="exact"/>
              <w:jc w:val="right"/>
              <w:rPr>
                <w:rFonts w:ascii="Times New Roman" w:eastAsia="Times New Roman" w:hAnsi="Times New Roman" w:cs="Times New Roman"/>
                <w:i/>
                <w:iCs/>
                <w:color w:val="000000"/>
                <w:kern w:val="0"/>
                <w:sz w:val="28"/>
                <w:szCs w:val="28"/>
                <w:lang w:eastAsia="en-IN"/>
                <w14:ligatures w14:val="none"/>
              </w:rPr>
            </w:pPr>
            <w:r w:rsidRPr="00566A45">
              <w:rPr>
                <w:rFonts w:ascii="Times New Roman" w:eastAsia="Times New Roman" w:hAnsi="Times New Roman" w:cs="Times New Roman"/>
                <w:i/>
                <w:iCs/>
                <w:color w:val="000000"/>
                <w:kern w:val="0"/>
                <w:sz w:val="28"/>
                <w:szCs w:val="28"/>
                <w:lang w:eastAsia="en-IN"/>
                <w14:ligatures w14:val="none"/>
              </w:rPr>
              <w:t>(Rupees, lakhs.)</w:t>
            </w:r>
          </w:p>
        </w:tc>
      </w:tr>
      <w:tr w:rsidR="00F508A5" w:rsidRPr="00F508A5" w14:paraId="778F1481" w14:textId="77777777" w:rsidTr="00F508A5">
        <w:trPr>
          <w:trHeight w:val="20"/>
          <w:jc w:val="center"/>
        </w:trPr>
        <w:tc>
          <w:tcPr>
            <w:tcW w:w="2547" w:type="dxa"/>
            <w:tcBorders>
              <w:top w:val="nil"/>
              <w:left w:val="single" w:sz="4" w:space="0" w:color="auto"/>
              <w:bottom w:val="single" w:sz="4" w:space="0" w:color="auto"/>
              <w:right w:val="single" w:sz="4" w:space="0" w:color="auto"/>
            </w:tcBorders>
            <w:noWrap/>
            <w:vAlign w:val="center"/>
            <w:hideMark/>
          </w:tcPr>
          <w:p w14:paraId="097C5DB2" w14:textId="77777777" w:rsidR="00F508A5" w:rsidRPr="00F508A5" w:rsidRDefault="00F508A5" w:rsidP="00397688">
            <w:pPr>
              <w:spacing w:after="0" w:line="280" w:lineRule="exact"/>
              <w:rPr>
                <w:rFonts w:ascii="Times New Roman" w:eastAsia="Times New Roman" w:hAnsi="Times New Roman" w:cs="Times New Roman"/>
                <w:color w:val="000000"/>
                <w:kern w:val="0"/>
                <w:sz w:val="28"/>
                <w:szCs w:val="28"/>
                <w:lang w:eastAsia="en-IN"/>
                <w14:ligatures w14:val="none"/>
              </w:rPr>
            </w:pPr>
            <w:r w:rsidRPr="00F508A5">
              <w:rPr>
                <w:rFonts w:ascii="Times New Roman" w:eastAsia="Times New Roman" w:hAnsi="Times New Roman" w:cs="Times New Roman"/>
                <w:color w:val="000000"/>
                <w:kern w:val="0"/>
                <w:sz w:val="28"/>
                <w:szCs w:val="28"/>
                <w:lang w:eastAsia="en-IN"/>
                <w14:ligatures w14:val="none"/>
              </w:rPr>
              <w:t>United Provinces</w:t>
            </w:r>
          </w:p>
        </w:tc>
        <w:tc>
          <w:tcPr>
            <w:tcW w:w="5953" w:type="dxa"/>
            <w:tcBorders>
              <w:top w:val="nil"/>
              <w:left w:val="nil"/>
              <w:bottom w:val="single" w:sz="4" w:space="0" w:color="auto"/>
              <w:right w:val="single" w:sz="4" w:space="0" w:color="auto"/>
            </w:tcBorders>
            <w:vAlign w:val="center"/>
            <w:hideMark/>
          </w:tcPr>
          <w:p w14:paraId="03232D57" w14:textId="77777777" w:rsidR="00F508A5" w:rsidRPr="00F508A5" w:rsidRDefault="00F508A5" w:rsidP="00397688">
            <w:pPr>
              <w:spacing w:after="0" w:line="280" w:lineRule="exact"/>
              <w:rPr>
                <w:rFonts w:ascii="Times New Roman" w:eastAsia="Times New Roman" w:hAnsi="Times New Roman" w:cs="Times New Roman"/>
                <w:color w:val="000000"/>
                <w:kern w:val="0"/>
                <w:sz w:val="28"/>
                <w:szCs w:val="28"/>
                <w:lang w:eastAsia="en-IN"/>
                <w14:ligatures w14:val="none"/>
              </w:rPr>
            </w:pPr>
            <w:r w:rsidRPr="00F508A5">
              <w:rPr>
                <w:rFonts w:ascii="Times New Roman" w:eastAsia="Times New Roman" w:hAnsi="Times New Roman" w:cs="Times New Roman"/>
                <w:color w:val="000000"/>
                <w:kern w:val="0"/>
                <w:sz w:val="28"/>
                <w:szCs w:val="28"/>
                <w:lang w:eastAsia="en-IN"/>
                <w14:ligatures w14:val="none"/>
              </w:rPr>
              <w:t>25 for a fixed period of five years.</w:t>
            </w:r>
          </w:p>
        </w:tc>
      </w:tr>
      <w:tr w:rsidR="00F508A5" w:rsidRPr="00F508A5" w14:paraId="62B7F60C" w14:textId="77777777" w:rsidTr="00F508A5">
        <w:trPr>
          <w:trHeight w:val="20"/>
          <w:jc w:val="center"/>
        </w:trPr>
        <w:tc>
          <w:tcPr>
            <w:tcW w:w="2547" w:type="dxa"/>
            <w:tcBorders>
              <w:top w:val="nil"/>
              <w:left w:val="single" w:sz="4" w:space="0" w:color="auto"/>
              <w:bottom w:val="single" w:sz="4" w:space="0" w:color="auto"/>
              <w:right w:val="single" w:sz="4" w:space="0" w:color="auto"/>
            </w:tcBorders>
            <w:noWrap/>
            <w:vAlign w:val="center"/>
            <w:hideMark/>
          </w:tcPr>
          <w:p w14:paraId="47129805" w14:textId="77777777" w:rsidR="00F508A5" w:rsidRPr="00F508A5" w:rsidRDefault="00F508A5" w:rsidP="00397688">
            <w:pPr>
              <w:spacing w:after="0" w:line="280" w:lineRule="exact"/>
              <w:rPr>
                <w:rFonts w:ascii="Times New Roman" w:eastAsia="Times New Roman" w:hAnsi="Times New Roman" w:cs="Times New Roman"/>
                <w:color w:val="000000"/>
                <w:kern w:val="0"/>
                <w:sz w:val="28"/>
                <w:szCs w:val="28"/>
                <w:lang w:eastAsia="en-IN"/>
                <w14:ligatures w14:val="none"/>
              </w:rPr>
            </w:pPr>
            <w:r w:rsidRPr="00F508A5">
              <w:rPr>
                <w:rFonts w:ascii="Times New Roman" w:eastAsia="Times New Roman" w:hAnsi="Times New Roman" w:cs="Times New Roman"/>
                <w:color w:val="000000"/>
                <w:kern w:val="0"/>
                <w:sz w:val="28"/>
                <w:szCs w:val="28"/>
                <w:lang w:eastAsia="en-IN"/>
                <w14:ligatures w14:val="none"/>
              </w:rPr>
              <w:t>Assam</w:t>
            </w:r>
          </w:p>
        </w:tc>
        <w:tc>
          <w:tcPr>
            <w:tcW w:w="5953" w:type="dxa"/>
            <w:tcBorders>
              <w:top w:val="nil"/>
              <w:left w:val="nil"/>
              <w:bottom w:val="single" w:sz="4" w:space="0" w:color="auto"/>
              <w:right w:val="single" w:sz="4" w:space="0" w:color="auto"/>
            </w:tcBorders>
            <w:vAlign w:val="center"/>
            <w:hideMark/>
          </w:tcPr>
          <w:p w14:paraId="2F5ECBAA" w14:textId="77777777" w:rsidR="00F508A5" w:rsidRPr="00F508A5" w:rsidRDefault="00F508A5" w:rsidP="00397688">
            <w:pPr>
              <w:spacing w:after="0" w:line="280" w:lineRule="exact"/>
              <w:rPr>
                <w:rFonts w:ascii="Times New Roman" w:eastAsia="Times New Roman" w:hAnsi="Times New Roman" w:cs="Times New Roman"/>
                <w:color w:val="000000"/>
                <w:kern w:val="0"/>
                <w:sz w:val="28"/>
                <w:szCs w:val="28"/>
                <w:lang w:eastAsia="en-IN"/>
                <w14:ligatures w14:val="none"/>
              </w:rPr>
            </w:pPr>
            <w:r w:rsidRPr="00F508A5">
              <w:rPr>
                <w:rFonts w:ascii="Times New Roman" w:eastAsia="Times New Roman" w:hAnsi="Times New Roman" w:cs="Times New Roman"/>
                <w:color w:val="000000"/>
                <w:kern w:val="0"/>
                <w:sz w:val="28"/>
                <w:szCs w:val="28"/>
                <w:lang w:eastAsia="en-IN"/>
                <w14:ligatures w14:val="none"/>
              </w:rPr>
              <w:t>30</w:t>
            </w:r>
          </w:p>
        </w:tc>
      </w:tr>
      <w:tr w:rsidR="00F508A5" w:rsidRPr="00F508A5" w14:paraId="29D4C356" w14:textId="77777777" w:rsidTr="00F508A5">
        <w:trPr>
          <w:trHeight w:val="20"/>
          <w:jc w:val="center"/>
        </w:trPr>
        <w:tc>
          <w:tcPr>
            <w:tcW w:w="2547" w:type="dxa"/>
            <w:tcBorders>
              <w:top w:val="nil"/>
              <w:left w:val="single" w:sz="4" w:space="0" w:color="auto"/>
              <w:bottom w:val="single" w:sz="4" w:space="0" w:color="auto"/>
              <w:right w:val="single" w:sz="4" w:space="0" w:color="auto"/>
            </w:tcBorders>
            <w:noWrap/>
            <w:vAlign w:val="center"/>
            <w:hideMark/>
          </w:tcPr>
          <w:p w14:paraId="46671A87" w14:textId="77777777" w:rsidR="00F508A5" w:rsidRPr="00F508A5" w:rsidRDefault="00F508A5" w:rsidP="00397688">
            <w:pPr>
              <w:spacing w:after="0" w:line="280" w:lineRule="exact"/>
              <w:rPr>
                <w:rFonts w:ascii="Times New Roman" w:eastAsia="Times New Roman" w:hAnsi="Times New Roman" w:cs="Times New Roman"/>
                <w:color w:val="000000"/>
                <w:kern w:val="0"/>
                <w:sz w:val="28"/>
                <w:szCs w:val="28"/>
                <w:lang w:eastAsia="en-IN"/>
                <w14:ligatures w14:val="none"/>
              </w:rPr>
            </w:pPr>
            <w:r w:rsidRPr="00F508A5">
              <w:rPr>
                <w:rFonts w:ascii="Times New Roman" w:eastAsia="Times New Roman" w:hAnsi="Times New Roman" w:cs="Times New Roman"/>
                <w:color w:val="000000"/>
                <w:kern w:val="0"/>
                <w:sz w:val="28"/>
                <w:szCs w:val="28"/>
                <w:lang w:eastAsia="en-IN"/>
                <w14:ligatures w14:val="none"/>
              </w:rPr>
              <w:t>North-West Frontier Province</w:t>
            </w:r>
          </w:p>
        </w:tc>
        <w:tc>
          <w:tcPr>
            <w:tcW w:w="5953" w:type="dxa"/>
            <w:tcBorders>
              <w:top w:val="nil"/>
              <w:left w:val="nil"/>
              <w:bottom w:val="single" w:sz="4" w:space="0" w:color="auto"/>
              <w:right w:val="single" w:sz="4" w:space="0" w:color="auto"/>
            </w:tcBorders>
            <w:vAlign w:val="center"/>
            <w:hideMark/>
          </w:tcPr>
          <w:p w14:paraId="7C7183A8" w14:textId="77777777" w:rsidR="00F508A5" w:rsidRPr="00F508A5" w:rsidRDefault="00F508A5" w:rsidP="00397688">
            <w:pPr>
              <w:spacing w:after="0" w:line="280" w:lineRule="exact"/>
              <w:rPr>
                <w:rFonts w:ascii="Times New Roman" w:eastAsia="Times New Roman" w:hAnsi="Times New Roman" w:cs="Times New Roman"/>
                <w:color w:val="000000"/>
                <w:kern w:val="0"/>
                <w:sz w:val="28"/>
                <w:szCs w:val="28"/>
                <w:lang w:eastAsia="en-IN"/>
                <w14:ligatures w14:val="none"/>
              </w:rPr>
            </w:pPr>
            <w:r w:rsidRPr="00F508A5">
              <w:rPr>
                <w:rFonts w:ascii="Times New Roman" w:eastAsia="Times New Roman" w:hAnsi="Times New Roman" w:cs="Times New Roman"/>
                <w:color w:val="000000"/>
                <w:kern w:val="0"/>
                <w:sz w:val="28"/>
                <w:szCs w:val="28"/>
                <w:lang w:eastAsia="en-IN"/>
                <w14:ligatures w14:val="none"/>
              </w:rPr>
              <w:t>100 subject to consideration at the end of five years</w:t>
            </w:r>
          </w:p>
        </w:tc>
      </w:tr>
      <w:tr w:rsidR="00F508A5" w:rsidRPr="00F508A5" w14:paraId="34CA983B" w14:textId="77777777" w:rsidTr="00F508A5">
        <w:trPr>
          <w:trHeight w:val="20"/>
          <w:jc w:val="center"/>
        </w:trPr>
        <w:tc>
          <w:tcPr>
            <w:tcW w:w="2547" w:type="dxa"/>
            <w:tcBorders>
              <w:top w:val="nil"/>
              <w:left w:val="single" w:sz="4" w:space="0" w:color="auto"/>
              <w:bottom w:val="single" w:sz="4" w:space="0" w:color="auto"/>
              <w:right w:val="single" w:sz="4" w:space="0" w:color="auto"/>
            </w:tcBorders>
            <w:noWrap/>
            <w:vAlign w:val="center"/>
            <w:hideMark/>
          </w:tcPr>
          <w:p w14:paraId="62568518" w14:textId="77777777" w:rsidR="00F508A5" w:rsidRPr="00F508A5" w:rsidRDefault="00F508A5" w:rsidP="00397688">
            <w:pPr>
              <w:spacing w:after="0" w:line="280" w:lineRule="exact"/>
              <w:rPr>
                <w:rFonts w:ascii="Times New Roman" w:eastAsia="Times New Roman" w:hAnsi="Times New Roman" w:cs="Times New Roman"/>
                <w:color w:val="000000"/>
                <w:kern w:val="0"/>
                <w:sz w:val="28"/>
                <w:szCs w:val="28"/>
                <w:lang w:eastAsia="en-IN"/>
                <w14:ligatures w14:val="none"/>
              </w:rPr>
            </w:pPr>
            <w:r w:rsidRPr="00F508A5">
              <w:rPr>
                <w:rFonts w:ascii="Times New Roman" w:eastAsia="Times New Roman" w:hAnsi="Times New Roman" w:cs="Times New Roman"/>
                <w:color w:val="000000"/>
                <w:kern w:val="0"/>
                <w:sz w:val="28"/>
                <w:szCs w:val="28"/>
                <w:lang w:eastAsia="en-IN"/>
                <w14:ligatures w14:val="none"/>
              </w:rPr>
              <w:lastRenderedPageBreak/>
              <w:t>Orissa</w:t>
            </w:r>
          </w:p>
        </w:tc>
        <w:tc>
          <w:tcPr>
            <w:tcW w:w="5953" w:type="dxa"/>
            <w:tcBorders>
              <w:top w:val="nil"/>
              <w:left w:val="nil"/>
              <w:bottom w:val="single" w:sz="4" w:space="0" w:color="auto"/>
              <w:right w:val="single" w:sz="4" w:space="0" w:color="auto"/>
            </w:tcBorders>
            <w:vAlign w:val="center"/>
            <w:hideMark/>
          </w:tcPr>
          <w:p w14:paraId="2C3CD52B" w14:textId="77777777" w:rsidR="00F508A5" w:rsidRPr="00F508A5" w:rsidRDefault="00F508A5" w:rsidP="00397688">
            <w:pPr>
              <w:spacing w:after="0" w:line="280" w:lineRule="exact"/>
              <w:rPr>
                <w:rFonts w:ascii="Times New Roman" w:eastAsia="Times New Roman" w:hAnsi="Times New Roman" w:cs="Times New Roman"/>
                <w:color w:val="000000"/>
                <w:kern w:val="0"/>
                <w:sz w:val="28"/>
                <w:szCs w:val="28"/>
                <w:lang w:eastAsia="en-IN"/>
                <w14:ligatures w14:val="none"/>
              </w:rPr>
            </w:pPr>
            <w:r w:rsidRPr="00F508A5">
              <w:rPr>
                <w:rFonts w:ascii="Times New Roman" w:eastAsia="Times New Roman" w:hAnsi="Times New Roman" w:cs="Times New Roman"/>
                <w:color w:val="000000"/>
                <w:kern w:val="0"/>
                <w:sz w:val="28"/>
                <w:szCs w:val="28"/>
                <w:lang w:eastAsia="en-IN"/>
                <w14:ligatures w14:val="none"/>
              </w:rPr>
              <w:t>40 with Rs. 7 lakhs additional in the first and Rs. 3 lakhs additional in each of the next four years.</w:t>
            </w:r>
          </w:p>
        </w:tc>
      </w:tr>
      <w:tr w:rsidR="00F508A5" w:rsidRPr="00F508A5" w14:paraId="67A43328" w14:textId="77777777" w:rsidTr="00F508A5">
        <w:trPr>
          <w:trHeight w:val="20"/>
          <w:jc w:val="center"/>
        </w:trPr>
        <w:tc>
          <w:tcPr>
            <w:tcW w:w="2547" w:type="dxa"/>
            <w:tcBorders>
              <w:top w:val="nil"/>
              <w:left w:val="single" w:sz="4" w:space="0" w:color="auto"/>
              <w:bottom w:val="single" w:sz="4" w:space="0" w:color="auto"/>
              <w:right w:val="single" w:sz="4" w:space="0" w:color="auto"/>
            </w:tcBorders>
            <w:noWrap/>
            <w:vAlign w:val="center"/>
            <w:hideMark/>
          </w:tcPr>
          <w:p w14:paraId="5B3EDF75" w14:textId="77777777" w:rsidR="00F508A5" w:rsidRPr="00F508A5" w:rsidRDefault="00F508A5" w:rsidP="00397688">
            <w:pPr>
              <w:spacing w:after="0" w:line="280" w:lineRule="exact"/>
              <w:rPr>
                <w:rFonts w:ascii="Times New Roman" w:eastAsia="Times New Roman" w:hAnsi="Times New Roman" w:cs="Times New Roman"/>
                <w:color w:val="000000"/>
                <w:kern w:val="0"/>
                <w:sz w:val="28"/>
                <w:szCs w:val="28"/>
                <w:lang w:eastAsia="en-IN"/>
                <w14:ligatures w14:val="none"/>
              </w:rPr>
            </w:pPr>
            <w:r w:rsidRPr="00F508A5">
              <w:rPr>
                <w:rFonts w:ascii="Times New Roman" w:eastAsia="Times New Roman" w:hAnsi="Times New Roman" w:cs="Times New Roman"/>
                <w:color w:val="000000"/>
                <w:kern w:val="0"/>
                <w:sz w:val="28"/>
                <w:szCs w:val="28"/>
                <w:lang w:eastAsia="en-IN"/>
                <w14:ligatures w14:val="none"/>
              </w:rPr>
              <w:t>Sind</w:t>
            </w:r>
          </w:p>
        </w:tc>
        <w:tc>
          <w:tcPr>
            <w:tcW w:w="5953" w:type="dxa"/>
            <w:tcBorders>
              <w:top w:val="nil"/>
              <w:left w:val="nil"/>
              <w:bottom w:val="single" w:sz="4" w:space="0" w:color="auto"/>
              <w:right w:val="single" w:sz="4" w:space="0" w:color="auto"/>
            </w:tcBorders>
            <w:vAlign w:val="center"/>
            <w:hideMark/>
          </w:tcPr>
          <w:p w14:paraId="160F650C" w14:textId="350B06CF" w:rsidR="00F508A5" w:rsidRPr="00F508A5" w:rsidRDefault="00F508A5" w:rsidP="00397688">
            <w:pPr>
              <w:spacing w:after="0" w:line="280" w:lineRule="exact"/>
              <w:rPr>
                <w:rFonts w:ascii="Times New Roman" w:eastAsia="Times New Roman" w:hAnsi="Times New Roman" w:cs="Times New Roman"/>
                <w:color w:val="000000"/>
                <w:kern w:val="0"/>
                <w:sz w:val="28"/>
                <w:szCs w:val="28"/>
                <w:lang w:eastAsia="en-IN"/>
                <w14:ligatures w14:val="none"/>
              </w:rPr>
            </w:pPr>
            <w:r w:rsidRPr="00F508A5">
              <w:rPr>
                <w:rFonts w:ascii="Times New Roman" w:eastAsia="Times New Roman" w:hAnsi="Times New Roman" w:cs="Times New Roman"/>
                <w:color w:val="000000"/>
                <w:kern w:val="0"/>
                <w:sz w:val="28"/>
                <w:szCs w:val="28"/>
                <w:lang w:eastAsia="en-IN"/>
                <w14:ligatures w14:val="none"/>
              </w:rPr>
              <w:t>105 for 10 years, with Rs. 5 lakhs additional in the first year,</w:t>
            </w:r>
            <w:r w:rsidR="00FB44CD">
              <w:rPr>
                <w:rFonts w:ascii="Times New Roman" w:eastAsia="Times New Roman" w:hAnsi="Times New Roman" w:cs="Times New Roman"/>
                <w:color w:val="000000"/>
                <w:kern w:val="0"/>
                <w:sz w:val="28"/>
                <w:szCs w:val="28"/>
                <w:lang w:eastAsia="en-IN"/>
                <w14:ligatures w14:val="none"/>
              </w:rPr>
              <w:t xml:space="preserve"> </w:t>
            </w:r>
            <w:r w:rsidRPr="00F508A5">
              <w:rPr>
                <w:rFonts w:ascii="Times New Roman" w:eastAsia="Times New Roman" w:hAnsi="Times New Roman" w:cs="Times New Roman"/>
                <w:color w:val="000000"/>
                <w:kern w:val="0"/>
                <w:sz w:val="28"/>
                <w:szCs w:val="28"/>
                <w:lang w:eastAsia="en-IN"/>
                <w14:ligatures w14:val="none"/>
              </w:rPr>
              <w:t>and thereafter falling until the grant ceased in about 45 years' time.</w:t>
            </w:r>
          </w:p>
        </w:tc>
      </w:tr>
    </w:tbl>
    <w:p w14:paraId="28036D13" w14:textId="56B07D4D" w:rsidR="001C27FC" w:rsidRPr="00000EE8" w:rsidRDefault="001C27FC" w:rsidP="00F508A5">
      <w:pPr>
        <w:spacing w:line="380" w:lineRule="exact"/>
        <w:jc w:val="both"/>
        <w:rPr>
          <w:rFonts w:ascii="Times New Roman" w:hAnsi="Times New Roman" w:cs="Times New Roman"/>
          <w:sz w:val="28"/>
          <w:szCs w:val="28"/>
        </w:rPr>
      </w:pPr>
      <w:r w:rsidRPr="00F508A5">
        <w:rPr>
          <w:rFonts w:ascii="Times New Roman" w:hAnsi="Times New Roman" w:cs="Times New Roman"/>
          <w:sz w:val="28"/>
          <w:szCs w:val="28"/>
        </w:rPr>
        <w:t xml:space="preserve">As part of the general scheme, Sir Otto Niemeyer recommended the cancellation </w:t>
      </w:r>
      <w:r w:rsidRPr="00000EE8">
        <w:rPr>
          <w:rFonts w:ascii="Times New Roman" w:hAnsi="Times New Roman" w:cs="Times New Roman"/>
          <w:sz w:val="28"/>
          <w:szCs w:val="28"/>
        </w:rPr>
        <w:t>of the outstanding debts to the Centre of Bengal, Bihar, Assam, North-West Frontier Province and Orissa, contracted prior to the 1st April 1936, and a reduction in the outstanding debt of the Central Provinces.</w:t>
      </w:r>
    </w:p>
    <w:p w14:paraId="6B4C0F42" w14:textId="3FE62D8A" w:rsidR="001C27FC" w:rsidRPr="00000EE8" w:rsidRDefault="001C27FC" w:rsidP="00F508A5">
      <w:pPr>
        <w:pStyle w:val="ListParagraph"/>
        <w:numPr>
          <w:ilvl w:val="0"/>
          <w:numId w:val="28"/>
        </w:numPr>
        <w:spacing w:after="0" w:line="380" w:lineRule="exact"/>
        <w:ind w:left="0" w:firstLine="567"/>
        <w:jc w:val="both"/>
        <w:rPr>
          <w:rFonts w:ascii="Times New Roman" w:hAnsi="Times New Roman" w:cs="Times New Roman"/>
          <w:sz w:val="28"/>
          <w:szCs w:val="28"/>
        </w:rPr>
      </w:pPr>
      <w:r w:rsidRPr="00000EE8">
        <w:rPr>
          <w:rFonts w:ascii="Times New Roman" w:hAnsi="Times New Roman" w:cs="Times New Roman"/>
          <w:sz w:val="28"/>
          <w:szCs w:val="28"/>
        </w:rPr>
        <w:t>The above recommendations were accepted by the authorities and embodied in the Government of India (Distribution of Revenues) Order, 1936. This Order, subject to a change made in 1940, continued to regulate the allocation of resources between the Centre and the units until the partition of the country in August 1947. Following the outbreak of World War II, and the increasing expenditure it entailed on the Centre, steps had to be taken to strengthen Central finances. It was decided that for the duration of the war, the Centre should be permitted to retain a fixed sum of Rs. 4</w:t>
      </w:r>
      <w:r w:rsidR="00FB44CD">
        <w:rPr>
          <w:rFonts w:ascii="Times New Roman" w:hAnsi="Times New Roman" w:cs="Times New Roman"/>
          <w:sz w:val="28"/>
          <w:szCs w:val="28"/>
        </w:rPr>
        <w:t>.</w:t>
      </w:r>
      <w:r w:rsidRPr="00000EE8">
        <w:rPr>
          <w:rFonts w:ascii="Times New Roman" w:hAnsi="Times New Roman" w:cs="Times New Roman"/>
          <w:sz w:val="28"/>
          <w:szCs w:val="28"/>
        </w:rPr>
        <w:t>5 crores out of the provincial share of income-tax. The Order-in-Council was amended accordingly to secure this and the modified provision regulated the distribution of the tax from 1940-41 to 1945-46. In each of the next four years the sum retained by the Centre from the provincial share was reduced by Rs. 75 lakhs a year over the previous year, and the full provincial share was restored to the Provinces in 1950-51.</w:t>
      </w:r>
    </w:p>
    <w:p w14:paraId="06ACA8C7" w14:textId="7C6DD475" w:rsidR="001C27FC" w:rsidRPr="00000EE8" w:rsidRDefault="00B40D51" w:rsidP="00F508A5">
      <w:pPr>
        <w:pStyle w:val="ListParagraph"/>
        <w:numPr>
          <w:ilvl w:val="0"/>
          <w:numId w:val="28"/>
        </w:numPr>
        <w:spacing w:after="0" w:line="380" w:lineRule="exact"/>
        <w:ind w:left="0" w:firstLine="567"/>
        <w:jc w:val="both"/>
        <w:rPr>
          <w:rFonts w:ascii="Times New Roman" w:hAnsi="Times New Roman" w:cs="Times New Roman"/>
          <w:sz w:val="28"/>
          <w:szCs w:val="28"/>
        </w:rPr>
      </w:pPr>
      <w:r w:rsidRPr="00F508A5">
        <w:rPr>
          <w:rFonts w:ascii="Times New Roman" w:hAnsi="Times New Roman" w:cs="Times New Roman"/>
          <w:i/>
          <w:iCs/>
          <w:sz w:val="28"/>
          <w:szCs w:val="28"/>
        </w:rPr>
        <w:t>The Partition: Adjustments in Financial Arrangements, 1947—</w:t>
      </w:r>
      <w:r w:rsidRPr="00F508A5">
        <w:rPr>
          <w:rFonts w:ascii="Times New Roman" w:hAnsi="Times New Roman" w:cs="Times New Roman"/>
          <w:i/>
          <w:iCs/>
          <w:sz w:val="28"/>
          <w:szCs w:val="28"/>
        </w:rPr>
        <w:br/>
      </w:r>
      <w:r w:rsidRPr="00000EE8">
        <w:rPr>
          <w:rFonts w:ascii="Times New Roman" w:hAnsi="Times New Roman" w:cs="Times New Roman"/>
          <w:sz w:val="28"/>
          <w:szCs w:val="28"/>
        </w:rPr>
        <w:t xml:space="preserve">The partition of the country in August 1947 necessitated an adjustment in financial arrangements which affected the scheme of distribution of both income-tax and jute export duty. In regard to income-tax the basic scheme of Sir Otto Niemeyer was retained. The Government of India reduced the shares of the divided Provinces of Bengal and the Punjab in proportion to population and the released percentages as well as the percentages of Sind and North-West Frontier Province were pooled for redistribution. The provincial shares were refixed after distributing the lapsed quota among the Indian Union Provinces, including West Bengal and Punjab, according to population, with a readjustment in favour of West Bengal and a minor adjustment in favour of Assam. The provincial shares thus fixed, which governed the distribution between the 15th August 1947 and 31st March 1950, were as follows:— </w:t>
      </w:r>
    </w:p>
    <w:p w14:paraId="486C9E11" w14:textId="77777777" w:rsidR="00B40D51" w:rsidRPr="00000EE8" w:rsidRDefault="00B40D51" w:rsidP="00000EE8">
      <w:pPr>
        <w:pStyle w:val="ListParagraph"/>
        <w:spacing w:line="380" w:lineRule="exact"/>
        <w:jc w:val="both"/>
        <w:rPr>
          <w:rFonts w:ascii="Times New Roman" w:hAnsi="Times New Roman" w:cs="Times New Roman"/>
          <w:sz w:val="28"/>
          <w:szCs w:val="28"/>
        </w:rPr>
      </w:pPr>
    </w:p>
    <w:tbl>
      <w:tblPr>
        <w:tblStyle w:val="TableGrid"/>
        <w:tblW w:w="0" w:type="auto"/>
        <w:jc w:val="center"/>
        <w:tblLook w:val="04A0" w:firstRow="1" w:lastRow="0" w:firstColumn="1" w:lastColumn="0" w:noHBand="0" w:noVBand="1"/>
      </w:tblPr>
      <w:tblGrid>
        <w:gridCol w:w="2445"/>
        <w:gridCol w:w="2411"/>
      </w:tblGrid>
      <w:tr w:rsidR="00397688" w:rsidRPr="00000EE8" w14:paraId="6718952C" w14:textId="77777777" w:rsidTr="00397688">
        <w:trPr>
          <w:trHeight w:val="304"/>
          <w:jc w:val="center"/>
        </w:trPr>
        <w:tc>
          <w:tcPr>
            <w:tcW w:w="2445" w:type="dxa"/>
            <w:vAlign w:val="center"/>
          </w:tcPr>
          <w:p w14:paraId="3F2ECC1F" w14:textId="77777777" w:rsidR="00397688" w:rsidRPr="00000EE8" w:rsidRDefault="00397688" w:rsidP="00397688">
            <w:pPr>
              <w:pStyle w:val="ListParagraph"/>
              <w:spacing w:line="280" w:lineRule="exact"/>
              <w:ind w:left="0"/>
              <w:jc w:val="center"/>
              <w:rPr>
                <w:rFonts w:ascii="Times New Roman" w:hAnsi="Times New Roman" w:cs="Times New Roman"/>
                <w:sz w:val="28"/>
                <w:szCs w:val="28"/>
              </w:rPr>
            </w:pPr>
          </w:p>
        </w:tc>
        <w:tc>
          <w:tcPr>
            <w:tcW w:w="2411" w:type="dxa"/>
            <w:vAlign w:val="center"/>
          </w:tcPr>
          <w:p w14:paraId="0159A4EC" w14:textId="4414F096" w:rsidR="00397688" w:rsidRPr="00000EE8" w:rsidRDefault="00397688" w:rsidP="00397688">
            <w:pPr>
              <w:pStyle w:val="ListParagraph"/>
              <w:spacing w:line="280" w:lineRule="exact"/>
              <w:ind w:left="0"/>
              <w:jc w:val="center"/>
              <w:rPr>
                <w:rFonts w:ascii="Times New Roman" w:hAnsi="Times New Roman" w:cs="Times New Roman"/>
                <w:sz w:val="28"/>
                <w:szCs w:val="28"/>
              </w:rPr>
            </w:pPr>
            <w:r>
              <w:rPr>
                <w:rFonts w:ascii="Times New Roman" w:hAnsi="Times New Roman" w:cs="Times New Roman"/>
                <w:sz w:val="28"/>
                <w:szCs w:val="28"/>
              </w:rPr>
              <w:t>Per cent</w:t>
            </w:r>
          </w:p>
        </w:tc>
      </w:tr>
      <w:tr w:rsidR="00B40D51" w:rsidRPr="00000EE8" w14:paraId="47BDCD69" w14:textId="77777777" w:rsidTr="00397688">
        <w:trPr>
          <w:trHeight w:val="283"/>
          <w:jc w:val="center"/>
        </w:trPr>
        <w:tc>
          <w:tcPr>
            <w:tcW w:w="2445" w:type="dxa"/>
            <w:vAlign w:val="center"/>
          </w:tcPr>
          <w:p w14:paraId="3C0AECB9" w14:textId="753B02EC" w:rsidR="00B40D51" w:rsidRPr="00000EE8" w:rsidRDefault="00B40D51" w:rsidP="00397688">
            <w:pPr>
              <w:pStyle w:val="ListParagraph"/>
              <w:spacing w:line="280" w:lineRule="exact"/>
              <w:ind w:left="0"/>
              <w:jc w:val="center"/>
              <w:rPr>
                <w:rFonts w:ascii="Times New Roman" w:hAnsi="Times New Roman" w:cs="Times New Roman"/>
                <w:sz w:val="28"/>
                <w:szCs w:val="28"/>
              </w:rPr>
            </w:pPr>
            <w:r w:rsidRPr="00000EE8">
              <w:rPr>
                <w:rFonts w:ascii="Times New Roman" w:hAnsi="Times New Roman" w:cs="Times New Roman"/>
                <w:sz w:val="28"/>
                <w:szCs w:val="28"/>
              </w:rPr>
              <w:t>Bombay</w:t>
            </w:r>
          </w:p>
        </w:tc>
        <w:tc>
          <w:tcPr>
            <w:tcW w:w="2411" w:type="dxa"/>
            <w:vAlign w:val="center"/>
          </w:tcPr>
          <w:p w14:paraId="0A285126" w14:textId="470FFEA3" w:rsidR="00B40D51" w:rsidRPr="00000EE8" w:rsidRDefault="00B40D51" w:rsidP="00397688">
            <w:pPr>
              <w:pStyle w:val="ListParagraph"/>
              <w:spacing w:line="280" w:lineRule="exact"/>
              <w:ind w:left="0"/>
              <w:jc w:val="center"/>
              <w:rPr>
                <w:rFonts w:ascii="Times New Roman" w:hAnsi="Times New Roman" w:cs="Times New Roman"/>
                <w:sz w:val="28"/>
                <w:szCs w:val="28"/>
              </w:rPr>
            </w:pPr>
            <w:r w:rsidRPr="00000EE8">
              <w:rPr>
                <w:rFonts w:ascii="Times New Roman" w:hAnsi="Times New Roman" w:cs="Times New Roman"/>
                <w:sz w:val="28"/>
                <w:szCs w:val="28"/>
              </w:rPr>
              <w:t>21</w:t>
            </w:r>
          </w:p>
        </w:tc>
      </w:tr>
      <w:tr w:rsidR="00B40D51" w:rsidRPr="00000EE8" w14:paraId="642239D3" w14:textId="77777777" w:rsidTr="00397688">
        <w:trPr>
          <w:trHeight w:val="304"/>
          <w:jc w:val="center"/>
        </w:trPr>
        <w:tc>
          <w:tcPr>
            <w:tcW w:w="2445" w:type="dxa"/>
            <w:vAlign w:val="center"/>
          </w:tcPr>
          <w:p w14:paraId="577E0E3C" w14:textId="7EB8413E" w:rsidR="00B40D51" w:rsidRPr="00000EE8" w:rsidRDefault="00B40D51" w:rsidP="00397688">
            <w:pPr>
              <w:pStyle w:val="ListParagraph"/>
              <w:spacing w:line="280" w:lineRule="exact"/>
              <w:ind w:left="0"/>
              <w:jc w:val="center"/>
              <w:rPr>
                <w:rFonts w:ascii="Times New Roman" w:hAnsi="Times New Roman" w:cs="Times New Roman"/>
                <w:sz w:val="28"/>
                <w:szCs w:val="28"/>
              </w:rPr>
            </w:pPr>
            <w:r w:rsidRPr="00000EE8">
              <w:rPr>
                <w:rFonts w:ascii="Times New Roman" w:hAnsi="Times New Roman" w:cs="Times New Roman"/>
                <w:sz w:val="28"/>
                <w:szCs w:val="28"/>
              </w:rPr>
              <w:t>Madras</w:t>
            </w:r>
          </w:p>
        </w:tc>
        <w:tc>
          <w:tcPr>
            <w:tcW w:w="2411" w:type="dxa"/>
            <w:vAlign w:val="center"/>
          </w:tcPr>
          <w:p w14:paraId="19F4EC84" w14:textId="1EDBA55E" w:rsidR="00B40D51" w:rsidRPr="00000EE8" w:rsidRDefault="00B40D51" w:rsidP="00397688">
            <w:pPr>
              <w:pStyle w:val="ListParagraph"/>
              <w:spacing w:line="280" w:lineRule="exact"/>
              <w:ind w:left="0"/>
              <w:jc w:val="center"/>
              <w:rPr>
                <w:rFonts w:ascii="Times New Roman" w:hAnsi="Times New Roman" w:cs="Times New Roman"/>
                <w:sz w:val="28"/>
                <w:szCs w:val="28"/>
              </w:rPr>
            </w:pPr>
            <w:r w:rsidRPr="00000EE8">
              <w:rPr>
                <w:rFonts w:ascii="Times New Roman" w:hAnsi="Times New Roman" w:cs="Times New Roman"/>
                <w:sz w:val="28"/>
                <w:szCs w:val="28"/>
              </w:rPr>
              <w:t>18</w:t>
            </w:r>
          </w:p>
        </w:tc>
      </w:tr>
      <w:tr w:rsidR="00B40D51" w:rsidRPr="00000EE8" w14:paraId="475A473D" w14:textId="77777777" w:rsidTr="00397688">
        <w:trPr>
          <w:trHeight w:val="283"/>
          <w:jc w:val="center"/>
        </w:trPr>
        <w:tc>
          <w:tcPr>
            <w:tcW w:w="2445" w:type="dxa"/>
            <w:vAlign w:val="center"/>
          </w:tcPr>
          <w:p w14:paraId="1011447F" w14:textId="705D73E6" w:rsidR="00B40D51" w:rsidRPr="00000EE8" w:rsidRDefault="00B40D51" w:rsidP="00397688">
            <w:pPr>
              <w:pStyle w:val="ListParagraph"/>
              <w:spacing w:line="280" w:lineRule="exact"/>
              <w:ind w:left="0"/>
              <w:jc w:val="center"/>
              <w:rPr>
                <w:rFonts w:ascii="Times New Roman" w:hAnsi="Times New Roman" w:cs="Times New Roman"/>
                <w:sz w:val="28"/>
                <w:szCs w:val="28"/>
              </w:rPr>
            </w:pPr>
            <w:r w:rsidRPr="00000EE8">
              <w:rPr>
                <w:rFonts w:ascii="Times New Roman" w:hAnsi="Times New Roman" w:cs="Times New Roman"/>
                <w:sz w:val="28"/>
                <w:szCs w:val="28"/>
              </w:rPr>
              <w:lastRenderedPageBreak/>
              <w:t>West Bengal</w:t>
            </w:r>
          </w:p>
        </w:tc>
        <w:tc>
          <w:tcPr>
            <w:tcW w:w="2411" w:type="dxa"/>
            <w:vAlign w:val="center"/>
          </w:tcPr>
          <w:p w14:paraId="017D84BF" w14:textId="70428C85" w:rsidR="00B40D51" w:rsidRPr="00000EE8" w:rsidRDefault="00B40D51" w:rsidP="00397688">
            <w:pPr>
              <w:pStyle w:val="ListParagraph"/>
              <w:spacing w:line="280" w:lineRule="exact"/>
              <w:ind w:left="0"/>
              <w:jc w:val="center"/>
              <w:rPr>
                <w:rFonts w:ascii="Times New Roman" w:hAnsi="Times New Roman" w:cs="Times New Roman"/>
                <w:sz w:val="28"/>
                <w:szCs w:val="28"/>
              </w:rPr>
            </w:pPr>
            <w:r w:rsidRPr="00000EE8">
              <w:rPr>
                <w:rFonts w:ascii="Times New Roman" w:hAnsi="Times New Roman" w:cs="Times New Roman"/>
                <w:sz w:val="28"/>
                <w:szCs w:val="28"/>
              </w:rPr>
              <w:t>12</w:t>
            </w:r>
          </w:p>
        </w:tc>
      </w:tr>
      <w:tr w:rsidR="00B40D51" w:rsidRPr="00000EE8" w14:paraId="18A9A339" w14:textId="77777777" w:rsidTr="00397688">
        <w:trPr>
          <w:trHeight w:val="304"/>
          <w:jc w:val="center"/>
        </w:trPr>
        <w:tc>
          <w:tcPr>
            <w:tcW w:w="2445" w:type="dxa"/>
            <w:vAlign w:val="center"/>
          </w:tcPr>
          <w:p w14:paraId="6D6BBD4F" w14:textId="3E936E7C" w:rsidR="00B40D51" w:rsidRPr="00000EE8" w:rsidRDefault="00B40D51" w:rsidP="00397688">
            <w:pPr>
              <w:spacing w:line="280" w:lineRule="exact"/>
              <w:jc w:val="center"/>
              <w:rPr>
                <w:rFonts w:ascii="Times New Roman" w:hAnsi="Times New Roman" w:cs="Times New Roman"/>
                <w:sz w:val="28"/>
                <w:szCs w:val="28"/>
              </w:rPr>
            </w:pPr>
            <w:r w:rsidRPr="00000EE8">
              <w:rPr>
                <w:rFonts w:ascii="Times New Roman" w:hAnsi="Times New Roman" w:cs="Times New Roman"/>
                <w:sz w:val="28"/>
                <w:szCs w:val="28"/>
              </w:rPr>
              <w:t>Uttar Pradesh</w:t>
            </w:r>
          </w:p>
        </w:tc>
        <w:tc>
          <w:tcPr>
            <w:tcW w:w="2411" w:type="dxa"/>
            <w:vAlign w:val="center"/>
          </w:tcPr>
          <w:p w14:paraId="594A764F" w14:textId="13631DEE" w:rsidR="00B40D51" w:rsidRPr="00000EE8" w:rsidRDefault="00B40D51" w:rsidP="00397688">
            <w:pPr>
              <w:pStyle w:val="ListParagraph"/>
              <w:spacing w:line="280" w:lineRule="exact"/>
              <w:ind w:left="0"/>
              <w:jc w:val="center"/>
              <w:rPr>
                <w:rFonts w:ascii="Times New Roman" w:hAnsi="Times New Roman" w:cs="Times New Roman"/>
                <w:sz w:val="28"/>
                <w:szCs w:val="28"/>
              </w:rPr>
            </w:pPr>
            <w:r w:rsidRPr="00000EE8">
              <w:rPr>
                <w:rFonts w:ascii="Times New Roman" w:hAnsi="Times New Roman" w:cs="Times New Roman"/>
                <w:sz w:val="28"/>
                <w:szCs w:val="28"/>
              </w:rPr>
              <w:t>19</w:t>
            </w:r>
          </w:p>
        </w:tc>
      </w:tr>
      <w:tr w:rsidR="00B40D51" w:rsidRPr="00000EE8" w14:paraId="4ADD4C42" w14:textId="77777777" w:rsidTr="00397688">
        <w:trPr>
          <w:trHeight w:val="283"/>
          <w:jc w:val="center"/>
        </w:trPr>
        <w:tc>
          <w:tcPr>
            <w:tcW w:w="2445" w:type="dxa"/>
            <w:vAlign w:val="center"/>
          </w:tcPr>
          <w:p w14:paraId="3EE7721C" w14:textId="098BF2AA" w:rsidR="00B40D51" w:rsidRPr="00000EE8" w:rsidRDefault="00B40D51" w:rsidP="00397688">
            <w:pPr>
              <w:pStyle w:val="ListParagraph"/>
              <w:spacing w:line="280" w:lineRule="exact"/>
              <w:ind w:left="0"/>
              <w:jc w:val="center"/>
              <w:rPr>
                <w:rFonts w:ascii="Times New Roman" w:hAnsi="Times New Roman" w:cs="Times New Roman"/>
                <w:sz w:val="28"/>
                <w:szCs w:val="28"/>
              </w:rPr>
            </w:pPr>
            <w:r w:rsidRPr="00000EE8">
              <w:rPr>
                <w:rFonts w:ascii="Times New Roman" w:hAnsi="Times New Roman" w:cs="Times New Roman"/>
                <w:sz w:val="28"/>
                <w:szCs w:val="28"/>
              </w:rPr>
              <w:t>Madhya Pradesh</w:t>
            </w:r>
          </w:p>
        </w:tc>
        <w:tc>
          <w:tcPr>
            <w:tcW w:w="2411" w:type="dxa"/>
            <w:vAlign w:val="center"/>
          </w:tcPr>
          <w:p w14:paraId="5011830C" w14:textId="5C7FDCAC" w:rsidR="00B40D51" w:rsidRPr="00000EE8" w:rsidRDefault="00B40D51" w:rsidP="00397688">
            <w:pPr>
              <w:pStyle w:val="ListParagraph"/>
              <w:spacing w:line="280" w:lineRule="exact"/>
              <w:ind w:left="0"/>
              <w:jc w:val="center"/>
              <w:rPr>
                <w:rFonts w:ascii="Times New Roman" w:hAnsi="Times New Roman" w:cs="Times New Roman"/>
                <w:sz w:val="28"/>
                <w:szCs w:val="28"/>
              </w:rPr>
            </w:pPr>
            <w:r w:rsidRPr="00000EE8">
              <w:rPr>
                <w:rFonts w:ascii="Times New Roman" w:hAnsi="Times New Roman" w:cs="Times New Roman"/>
                <w:sz w:val="28"/>
                <w:szCs w:val="28"/>
              </w:rPr>
              <w:t>6</w:t>
            </w:r>
          </w:p>
        </w:tc>
      </w:tr>
      <w:tr w:rsidR="00B40D51" w:rsidRPr="00000EE8" w14:paraId="10433E5B" w14:textId="77777777" w:rsidTr="00397688">
        <w:trPr>
          <w:trHeight w:val="304"/>
          <w:jc w:val="center"/>
        </w:trPr>
        <w:tc>
          <w:tcPr>
            <w:tcW w:w="2445" w:type="dxa"/>
            <w:vAlign w:val="center"/>
          </w:tcPr>
          <w:p w14:paraId="26C36535" w14:textId="482CF4DD" w:rsidR="00B40D51" w:rsidRPr="00000EE8" w:rsidRDefault="00B40D51" w:rsidP="00397688">
            <w:pPr>
              <w:pStyle w:val="ListParagraph"/>
              <w:spacing w:line="280" w:lineRule="exact"/>
              <w:ind w:left="0"/>
              <w:jc w:val="center"/>
              <w:rPr>
                <w:rFonts w:ascii="Times New Roman" w:hAnsi="Times New Roman" w:cs="Times New Roman"/>
                <w:sz w:val="28"/>
                <w:szCs w:val="28"/>
              </w:rPr>
            </w:pPr>
            <w:r w:rsidRPr="00000EE8">
              <w:rPr>
                <w:rFonts w:ascii="Times New Roman" w:hAnsi="Times New Roman" w:cs="Times New Roman"/>
                <w:sz w:val="28"/>
                <w:szCs w:val="28"/>
              </w:rPr>
              <w:t>Punjab</w:t>
            </w:r>
          </w:p>
        </w:tc>
        <w:tc>
          <w:tcPr>
            <w:tcW w:w="2411" w:type="dxa"/>
            <w:vAlign w:val="center"/>
          </w:tcPr>
          <w:p w14:paraId="310E64F1" w14:textId="30418894" w:rsidR="00B40D51" w:rsidRPr="00000EE8" w:rsidRDefault="00B40D51" w:rsidP="00397688">
            <w:pPr>
              <w:pStyle w:val="ListParagraph"/>
              <w:spacing w:line="280" w:lineRule="exact"/>
              <w:ind w:left="0"/>
              <w:jc w:val="center"/>
              <w:rPr>
                <w:rFonts w:ascii="Times New Roman" w:hAnsi="Times New Roman" w:cs="Times New Roman"/>
                <w:sz w:val="28"/>
                <w:szCs w:val="28"/>
              </w:rPr>
            </w:pPr>
            <w:r w:rsidRPr="00000EE8">
              <w:rPr>
                <w:rFonts w:ascii="Times New Roman" w:hAnsi="Times New Roman" w:cs="Times New Roman"/>
                <w:sz w:val="28"/>
                <w:szCs w:val="28"/>
              </w:rPr>
              <w:t>5</w:t>
            </w:r>
          </w:p>
        </w:tc>
      </w:tr>
      <w:tr w:rsidR="00B40D51" w:rsidRPr="00000EE8" w14:paraId="2AEB6A71" w14:textId="77777777" w:rsidTr="00397688">
        <w:trPr>
          <w:trHeight w:val="283"/>
          <w:jc w:val="center"/>
        </w:trPr>
        <w:tc>
          <w:tcPr>
            <w:tcW w:w="2445" w:type="dxa"/>
            <w:vAlign w:val="center"/>
          </w:tcPr>
          <w:p w14:paraId="5966BCB3" w14:textId="7A3E6F2D" w:rsidR="00B40D51" w:rsidRPr="00000EE8" w:rsidRDefault="00B40D51" w:rsidP="00397688">
            <w:pPr>
              <w:pStyle w:val="ListParagraph"/>
              <w:spacing w:line="280" w:lineRule="exact"/>
              <w:ind w:left="0"/>
              <w:jc w:val="center"/>
              <w:rPr>
                <w:rFonts w:ascii="Times New Roman" w:hAnsi="Times New Roman" w:cs="Times New Roman"/>
                <w:sz w:val="28"/>
                <w:szCs w:val="28"/>
              </w:rPr>
            </w:pPr>
            <w:r w:rsidRPr="00000EE8">
              <w:rPr>
                <w:rFonts w:ascii="Times New Roman" w:hAnsi="Times New Roman" w:cs="Times New Roman"/>
                <w:sz w:val="28"/>
                <w:szCs w:val="28"/>
              </w:rPr>
              <w:t>Bihar</w:t>
            </w:r>
          </w:p>
        </w:tc>
        <w:tc>
          <w:tcPr>
            <w:tcW w:w="2411" w:type="dxa"/>
            <w:vAlign w:val="center"/>
          </w:tcPr>
          <w:p w14:paraId="5561FB1D" w14:textId="65115282" w:rsidR="00B40D51" w:rsidRPr="00000EE8" w:rsidRDefault="00B40D51" w:rsidP="00397688">
            <w:pPr>
              <w:pStyle w:val="ListParagraph"/>
              <w:spacing w:line="280" w:lineRule="exact"/>
              <w:ind w:left="0"/>
              <w:jc w:val="center"/>
              <w:rPr>
                <w:rFonts w:ascii="Times New Roman" w:hAnsi="Times New Roman" w:cs="Times New Roman"/>
                <w:sz w:val="28"/>
                <w:szCs w:val="28"/>
              </w:rPr>
            </w:pPr>
            <w:r w:rsidRPr="00000EE8">
              <w:rPr>
                <w:rFonts w:ascii="Times New Roman" w:hAnsi="Times New Roman" w:cs="Times New Roman"/>
                <w:sz w:val="28"/>
                <w:szCs w:val="28"/>
              </w:rPr>
              <w:t>13</w:t>
            </w:r>
          </w:p>
        </w:tc>
      </w:tr>
      <w:tr w:rsidR="00B40D51" w:rsidRPr="00000EE8" w14:paraId="3C601A6E" w14:textId="77777777" w:rsidTr="00397688">
        <w:trPr>
          <w:trHeight w:val="304"/>
          <w:jc w:val="center"/>
        </w:trPr>
        <w:tc>
          <w:tcPr>
            <w:tcW w:w="2445" w:type="dxa"/>
            <w:vAlign w:val="center"/>
          </w:tcPr>
          <w:p w14:paraId="620B0B02" w14:textId="26AA06F8" w:rsidR="00B40D51" w:rsidRPr="00000EE8" w:rsidRDefault="00B40D51" w:rsidP="00397688">
            <w:pPr>
              <w:pStyle w:val="ListParagraph"/>
              <w:spacing w:line="280" w:lineRule="exact"/>
              <w:ind w:left="0"/>
              <w:jc w:val="center"/>
              <w:rPr>
                <w:rFonts w:ascii="Times New Roman" w:hAnsi="Times New Roman" w:cs="Times New Roman"/>
                <w:sz w:val="28"/>
                <w:szCs w:val="28"/>
              </w:rPr>
            </w:pPr>
            <w:r w:rsidRPr="00000EE8">
              <w:rPr>
                <w:rFonts w:ascii="Times New Roman" w:hAnsi="Times New Roman" w:cs="Times New Roman"/>
                <w:sz w:val="28"/>
                <w:szCs w:val="28"/>
              </w:rPr>
              <w:t>Orissa</w:t>
            </w:r>
          </w:p>
        </w:tc>
        <w:tc>
          <w:tcPr>
            <w:tcW w:w="2411" w:type="dxa"/>
            <w:vAlign w:val="center"/>
          </w:tcPr>
          <w:p w14:paraId="5CB239CB" w14:textId="64972715" w:rsidR="00B40D51" w:rsidRPr="00000EE8" w:rsidRDefault="00B40D51" w:rsidP="00397688">
            <w:pPr>
              <w:pStyle w:val="ListParagraph"/>
              <w:spacing w:line="280" w:lineRule="exact"/>
              <w:ind w:left="0"/>
              <w:jc w:val="center"/>
              <w:rPr>
                <w:rFonts w:ascii="Times New Roman" w:hAnsi="Times New Roman" w:cs="Times New Roman"/>
                <w:sz w:val="28"/>
                <w:szCs w:val="28"/>
              </w:rPr>
            </w:pPr>
            <w:r w:rsidRPr="00000EE8">
              <w:rPr>
                <w:rFonts w:ascii="Times New Roman" w:hAnsi="Times New Roman" w:cs="Times New Roman"/>
                <w:sz w:val="28"/>
                <w:szCs w:val="28"/>
              </w:rPr>
              <w:t>3</w:t>
            </w:r>
          </w:p>
        </w:tc>
      </w:tr>
      <w:tr w:rsidR="00B40D51" w:rsidRPr="00000EE8" w14:paraId="40152C13" w14:textId="77777777" w:rsidTr="00397688">
        <w:trPr>
          <w:trHeight w:val="283"/>
          <w:jc w:val="center"/>
        </w:trPr>
        <w:tc>
          <w:tcPr>
            <w:tcW w:w="2445" w:type="dxa"/>
            <w:vAlign w:val="center"/>
          </w:tcPr>
          <w:p w14:paraId="6DDFE3C7" w14:textId="48128B01" w:rsidR="00B40D51" w:rsidRPr="00000EE8" w:rsidRDefault="00B40D51" w:rsidP="00397688">
            <w:pPr>
              <w:pStyle w:val="ListParagraph"/>
              <w:spacing w:line="280" w:lineRule="exact"/>
              <w:ind w:left="0"/>
              <w:jc w:val="center"/>
              <w:rPr>
                <w:rFonts w:ascii="Times New Roman" w:hAnsi="Times New Roman" w:cs="Times New Roman"/>
                <w:sz w:val="28"/>
                <w:szCs w:val="28"/>
              </w:rPr>
            </w:pPr>
            <w:r w:rsidRPr="00000EE8">
              <w:rPr>
                <w:rFonts w:ascii="Times New Roman" w:hAnsi="Times New Roman" w:cs="Times New Roman"/>
                <w:sz w:val="28"/>
                <w:szCs w:val="28"/>
              </w:rPr>
              <w:t>Assam</w:t>
            </w:r>
          </w:p>
        </w:tc>
        <w:tc>
          <w:tcPr>
            <w:tcW w:w="2411" w:type="dxa"/>
            <w:vAlign w:val="center"/>
          </w:tcPr>
          <w:p w14:paraId="413241DA" w14:textId="15C33303" w:rsidR="00B40D51" w:rsidRPr="00000EE8" w:rsidRDefault="00B40D51" w:rsidP="00397688">
            <w:pPr>
              <w:pStyle w:val="ListParagraph"/>
              <w:spacing w:line="280" w:lineRule="exact"/>
              <w:ind w:left="0"/>
              <w:jc w:val="center"/>
              <w:rPr>
                <w:rFonts w:ascii="Times New Roman" w:hAnsi="Times New Roman" w:cs="Times New Roman"/>
                <w:sz w:val="28"/>
                <w:szCs w:val="28"/>
              </w:rPr>
            </w:pPr>
            <w:r w:rsidRPr="00000EE8">
              <w:rPr>
                <w:rFonts w:ascii="Times New Roman" w:hAnsi="Times New Roman" w:cs="Times New Roman"/>
                <w:sz w:val="28"/>
                <w:szCs w:val="28"/>
              </w:rPr>
              <w:t>3</w:t>
            </w:r>
          </w:p>
        </w:tc>
      </w:tr>
    </w:tbl>
    <w:p w14:paraId="76FDE815" w14:textId="7DF36733" w:rsidR="00B40D51" w:rsidRPr="00397688" w:rsidRDefault="00B40D51" w:rsidP="00397688">
      <w:pPr>
        <w:spacing w:line="380" w:lineRule="exact"/>
        <w:jc w:val="both"/>
        <w:rPr>
          <w:rFonts w:ascii="Times New Roman" w:hAnsi="Times New Roman" w:cs="Times New Roman"/>
          <w:sz w:val="28"/>
          <w:szCs w:val="28"/>
        </w:rPr>
      </w:pPr>
      <w:r w:rsidRPr="00397688">
        <w:rPr>
          <w:rFonts w:ascii="Times New Roman" w:hAnsi="Times New Roman" w:cs="Times New Roman"/>
          <w:sz w:val="28"/>
          <w:szCs w:val="28"/>
        </w:rPr>
        <w:t>As regards the jute duty, the provincial share was reduced from 62½ per cent to 20 per cent, roughly in proportion to the jute-growing area which came to be included in Pakistan, but the basis of distribution of the share among the</w:t>
      </w:r>
      <w:r w:rsidR="00F508A5" w:rsidRPr="00397688">
        <w:rPr>
          <w:rFonts w:ascii="Times New Roman" w:hAnsi="Times New Roman" w:cs="Times New Roman"/>
          <w:sz w:val="28"/>
          <w:szCs w:val="28"/>
        </w:rPr>
        <w:t xml:space="preserve"> </w:t>
      </w:r>
      <w:r w:rsidRPr="00397688">
        <w:rPr>
          <w:rFonts w:ascii="Times New Roman" w:hAnsi="Times New Roman" w:cs="Times New Roman"/>
          <w:sz w:val="28"/>
          <w:szCs w:val="28"/>
        </w:rPr>
        <w:t>Provinces was left undisturbed.</w:t>
      </w:r>
    </w:p>
    <w:p w14:paraId="1B4A50B6" w14:textId="108D422D" w:rsidR="006E1C41" w:rsidRPr="00000EE8" w:rsidRDefault="006E1C41" w:rsidP="00F508A5">
      <w:pPr>
        <w:pStyle w:val="ListParagraph"/>
        <w:numPr>
          <w:ilvl w:val="0"/>
          <w:numId w:val="28"/>
        </w:numPr>
        <w:spacing w:after="0" w:line="380" w:lineRule="exact"/>
        <w:ind w:left="0" w:firstLine="567"/>
        <w:jc w:val="both"/>
        <w:rPr>
          <w:rFonts w:ascii="Times New Roman" w:hAnsi="Times New Roman" w:cs="Times New Roman"/>
          <w:color w:val="1A1C1E"/>
          <w:sz w:val="28"/>
          <w:szCs w:val="28"/>
        </w:rPr>
      </w:pPr>
      <w:r w:rsidRPr="00000EE8">
        <w:rPr>
          <w:rStyle w:val="ng-star-inserted1"/>
          <w:rFonts w:ascii="Times New Roman" w:eastAsiaTheme="majorEastAsia" w:hAnsi="Times New Roman" w:cs="Times New Roman"/>
          <w:i/>
          <w:iCs/>
          <w:color w:val="1A1C1E"/>
          <w:sz w:val="28"/>
          <w:szCs w:val="28"/>
        </w:rPr>
        <w:t>Expert Committee on Financial Provisions of the Constitution, 1947.</w:t>
      </w:r>
      <w:r w:rsidRPr="00000EE8">
        <w:rPr>
          <w:rStyle w:val="ng-star-inserted1"/>
          <w:rFonts w:ascii="Times New Roman" w:eastAsiaTheme="majorEastAsia" w:hAnsi="Times New Roman" w:cs="Times New Roman"/>
          <w:color w:val="1A1C1E"/>
          <w:sz w:val="28"/>
          <w:szCs w:val="28"/>
        </w:rPr>
        <w:t xml:space="preserve">—The financial relations between the Centre and the units came up for review in connection with the drafting of the new Constitution. The financial provisions in the Draft Constitution were referred by the President of the Constituent Assembly to an Expert Committee of three, under the chairmanship of Shri N. R. Sarker. This Committee recommended that the whole of income-tax, including corporation tax and income-tax on federal emoluments, should be shared between the Centre and the units except to the extent of the tax attributable to Centrally administered areas. They suggested that the provincial share should be fixed at 60 per cent and allocated among the Provinces in the following manner: 20 on the basis of population and 35 on the basis of collection, the remaining 5 being used for mitigating hardships that might arise as a result of </w:t>
      </w:r>
      <w:r w:rsidRPr="00000EE8">
        <w:rPr>
          <w:rFonts w:ascii="Times New Roman" w:hAnsi="Times New Roman" w:cs="Times New Roman"/>
          <w:color w:val="1A1C1E"/>
          <w:sz w:val="28"/>
          <w:szCs w:val="28"/>
        </w:rPr>
        <w:t xml:space="preserve">The application of the other two criteria. As regards the jute export duty, the Committee recommended that the existing arrangements for the sharing of the net proceeds with the Provinces should be terminated as, in their view, export duties were unsuitable for sharing with the Provinces. In order, however, to avoid hardship to the four jute-growing Provinces which were receiving a share of the duty they proposed that fixed grants-in-aid of Rs. 1 crore to West Bengal, Rs. 15 lakhs to Assam, Rs. 17 lakhs to Bihar and Rs. 3 lakhs to Orissa be given every year as “compensation” for a period not exceeding ten years or till the export duties on jute were abolished. Another recommendation of the Committee, which is of interest in the present context, relates to central excise duties. The Committee remarked that the Provincial Governments had been almost unanimous in demanding some share of excises and considered the problem as being not only one of finding more resources for the units but also one of imparting a better balance to their revenue structure. The Committee suggested that the Provincial Governments should be given a share of one of the important central excises on a commodity not receiving tariff protection, </w:t>
      </w:r>
      <w:r w:rsidRPr="00BC5A12">
        <w:rPr>
          <w:rFonts w:ascii="Times New Roman" w:hAnsi="Times New Roman" w:cs="Times New Roman"/>
          <w:i/>
          <w:iCs/>
          <w:color w:val="1A1C1E"/>
          <w:sz w:val="28"/>
          <w:szCs w:val="28"/>
        </w:rPr>
        <w:t>viz</w:t>
      </w:r>
      <w:r w:rsidRPr="00000EE8">
        <w:rPr>
          <w:rFonts w:ascii="Times New Roman" w:hAnsi="Times New Roman" w:cs="Times New Roman"/>
          <w:color w:val="1A1C1E"/>
          <w:sz w:val="28"/>
          <w:szCs w:val="28"/>
        </w:rPr>
        <w:t xml:space="preserve">., </w:t>
      </w:r>
      <w:r w:rsidRPr="00000EE8">
        <w:rPr>
          <w:rFonts w:ascii="Times New Roman" w:hAnsi="Times New Roman" w:cs="Times New Roman"/>
          <w:color w:val="1A1C1E"/>
          <w:sz w:val="28"/>
          <w:szCs w:val="28"/>
        </w:rPr>
        <w:lastRenderedPageBreak/>
        <w:t xml:space="preserve">tobacco, and accordingly recommended that 50 per cent of the net proceeds of the excise duty on tobacco be distributed to the Provinces on the basis of estimated consumption. Pursuant to the recommendations of the Committee, export duties were made exclusively Central under the Constitution. Provision was made for the payment of grants-in-aid to the States of West Bengal, Bihar, Assam and Orissa in lieu of their share of the jute export duty; the amounts were, however, left to be prescribed by the President. The Committee were also responsible for the suggestion that a Finance Commission should be set up to deal, among other things, with matters connected with the division of revenues between the Centre and the units and the distribution among the units of their shares. </w:t>
      </w:r>
    </w:p>
    <w:p w14:paraId="2FBE630B" w14:textId="7B674428" w:rsidR="006E1C41" w:rsidRPr="00000EE8" w:rsidRDefault="006E1C41" w:rsidP="00397688">
      <w:pPr>
        <w:pStyle w:val="ng-star-inserted"/>
        <w:shd w:val="clear" w:color="auto" w:fill="FFFFFF"/>
        <w:spacing w:before="0" w:beforeAutospacing="0" w:after="45" w:afterAutospacing="0" w:line="380" w:lineRule="exact"/>
        <w:ind w:left="720"/>
        <w:jc w:val="center"/>
        <w:rPr>
          <w:b/>
          <w:bCs/>
          <w:color w:val="1A1C1E"/>
          <w:sz w:val="28"/>
          <w:szCs w:val="28"/>
        </w:rPr>
      </w:pPr>
      <w:r w:rsidRPr="00000EE8">
        <w:rPr>
          <w:b/>
          <w:bCs/>
          <w:color w:val="1A1C1E"/>
          <w:sz w:val="28"/>
          <w:szCs w:val="28"/>
        </w:rPr>
        <w:t>FOURTH PERIOD</w:t>
      </w:r>
    </w:p>
    <w:p w14:paraId="244E65F5" w14:textId="055DE204" w:rsidR="009F05BA" w:rsidRPr="00397688" w:rsidRDefault="006E1C41" w:rsidP="00397688">
      <w:pPr>
        <w:pStyle w:val="ListParagraph"/>
        <w:numPr>
          <w:ilvl w:val="0"/>
          <w:numId w:val="28"/>
        </w:numPr>
        <w:spacing w:after="0" w:line="380" w:lineRule="exact"/>
        <w:ind w:left="0" w:firstLine="567"/>
        <w:jc w:val="both"/>
        <w:rPr>
          <w:rFonts w:ascii="Times New Roman" w:hAnsi="Times New Roman" w:cs="Times New Roman"/>
          <w:color w:val="1A1C1E"/>
          <w:sz w:val="28"/>
          <w:szCs w:val="28"/>
        </w:rPr>
      </w:pPr>
      <w:r w:rsidRPr="00397688">
        <w:rPr>
          <w:rFonts w:ascii="Times New Roman" w:hAnsi="Times New Roman" w:cs="Times New Roman"/>
          <w:i/>
          <w:iCs/>
          <w:color w:val="1A1C1E"/>
          <w:sz w:val="28"/>
          <w:szCs w:val="28"/>
        </w:rPr>
        <w:t>The Constitution of India, 1950.</w:t>
      </w:r>
      <w:r w:rsidRPr="00397688">
        <w:rPr>
          <w:rFonts w:ascii="Times New Roman" w:hAnsi="Times New Roman" w:cs="Times New Roman"/>
          <w:color w:val="1A1C1E"/>
          <w:sz w:val="28"/>
          <w:szCs w:val="28"/>
        </w:rPr>
        <w:t>—The scheme of division of sources of revenue and powers of taxation embodied in the Constitution of India is substantially the same as in the Government of India Act, 1935, differing from it only in regard to a few matters. Financial relations between the Centre and the States become for the first time a matter certain aspects of which are to be regulated after considering the recommendations of a Finance Commission. The percentage of the net proceeds of income-tax to be assigned to the States and the distribution of the States' share among them are left to be prescribed by an Order of the President. It is also provided that after a Finance Commission is constituted the President should take the recommendations of the Commission into consideration before making the Order. Provision is made specifically</w:t>
      </w:r>
      <w:r w:rsidR="00397688" w:rsidRPr="00397688">
        <w:rPr>
          <w:rFonts w:ascii="Times New Roman" w:hAnsi="Times New Roman" w:cs="Times New Roman"/>
          <w:color w:val="1A1C1E"/>
          <w:sz w:val="28"/>
          <w:szCs w:val="28"/>
        </w:rPr>
        <w:t xml:space="preserve"> </w:t>
      </w:r>
      <w:r w:rsidR="009F05BA" w:rsidRPr="00397688">
        <w:rPr>
          <w:rFonts w:ascii="Times New Roman" w:hAnsi="Times New Roman" w:cs="Times New Roman"/>
          <w:color w:val="1A1C1E"/>
          <w:sz w:val="28"/>
          <w:szCs w:val="28"/>
        </w:rPr>
        <w:t>for the payment of grants-in-aid for the purpose of promoting the welfare of the scheduled tribes and raising the level of administration of the scheduled areas in the States. In this connection, the Constitution provides for special grants-in-aid for raising the level of administration of the tribal areas of Assam and for schemes of development in such areas. Lastly, export duties have ceased to be divisible.</w:t>
      </w:r>
    </w:p>
    <w:p w14:paraId="6EAA3A6C" w14:textId="44C56B48" w:rsidR="009F05BA" w:rsidRPr="00397688" w:rsidRDefault="009F05BA" w:rsidP="00397688">
      <w:pPr>
        <w:pStyle w:val="ListParagraph"/>
        <w:numPr>
          <w:ilvl w:val="0"/>
          <w:numId w:val="28"/>
        </w:numPr>
        <w:spacing w:after="0" w:line="380" w:lineRule="exact"/>
        <w:ind w:left="0" w:firstLine="567"/>
        <w:jc w:val="both"/>
        <w:rPr>
          <w:rFonts w:ascii="Times New Roman" w:hAnsi="Times New Roman" w:cs="Times New Roman"/>
          <w:color w:val="1A1C1E"/>
          <w:sz w:val="28"/>
          <w:szCs w:val="28"/>
        </w:rPr>
      </w:pPr>
      <w:r w:rsidRPr="00397688">
        <w:rPr>
          <w:rFonts w:ascii="Times New Roman" w:hAnsi="Times New Roman" w:cs="Times New Roman"/>
          <w:i/>
          <w:iCs/>
          <w:color w:val="1A1C1E"/>
          <w:sz w:val="28"/>
          <w:szCs w:val="28"/>
        </w:rPr>
        <w:t>The Deshmukh Award, 1950.</w:t>
      </w:r>
      <w:r w:rsidRPr="00397688">
        <w:rPr>
          <w:rFonts w:ascii="Times New Roman" w:hAnsi="Times New Roman" w:cs="Times New Roman"/>
          <w:color w:val="1A1C1E"/>
          <w:sz w:val="28"/>
          <w:szCs w:val="28"/>
        </w:rPr>
        <w:t xml:space="preserve">—As a Finance Commission could not be set up immediately, the States' share of income-tax and its distribution and the payment of grants-in-aid under Articles 273 and 275 of the Constitution had to be regulated by Order of the President for the period between the commencement of the Constitution and the appointment of the Commission. Some of the States had expressed dissatisfaction with the arrangements regarding the allocation of income-tax and the jute export duty made by the Government of India immediately after the partition. It was, therefore, decided that the matters should be referred to an impartial authority for reconsideration. Towards the end of 1949, Shri C. D. Deshmukh was </w:t>
      </w:r>
      <w:r w:rsidRPr="00397688">
        <w:rPr>
          <w:rFonts w:ascii="Times New Roman" w:hAnsi="Times New Roman" w:cs="Times New Roman"/>
          <w:color w:val="1A1C1E"/>
          <w:sz w:val="28"/>
          <w:szCs w:val="28"/>
        </w:rPr>
        <w:lastRenderedPageBreak/>
        <w:t>requested by the Government of India to enquire into and decide these two questions. It was agreed that his decision would be in the nature of a binding award. Shri Deshmukh's enquiry did not cover the determination of the States' share of the tax nor was he requested to deal comprehensively with the problem of the distribution of the States' share among all the States. He confined himself to the reallocation of the percentages released as a result of the partition from the share of the divided Provinces and the Provinces wholly included in Pakistan. He did not concern himself with determining the shares of the Part B States or the shares allocable in respect of the territories of the former Indian States merged in the Part A States. There were thus two aspects of the problem before him:—</w:t>
      </w:r>
    </w:p>
    <w:p w14:paraId="139039F2" w14:textId="0D063855" w:rsidR="009F05BA" w:rsidRPr="00397688" w:rsidRDefault="009F05BA" w:rsidP="00397688">
      <w:pPr>
        <w:pStyle w:val="ng-star-inserted"/>
        <w:spacing w:before="0" w:beforeAutospacing="0" w:after="0" w:afterAutospacing="0" w:line="380" w:lineRule="exact"/>
        <w:ind w:left="720"/>
        <w:jc w:val="both"/>
        <w:rPr>
          <w:color w:val="1A1C1E"/>
          <w:sz w:val="28"/>
          <w:szCs w:val="28"/>
        </w:rPr>
      </w:pPr>
      <w:r w:rsidRPr="00397688">
        <w:rPr>
          <w:color w:val="1A1C1E"/>
          <w:sz w:val="28"/>
          <w:szCs w:val="28"/>
        </w:rPr>
        <w:t>(a) to determine the shares to be taken from Bengal, Punjab and Assam in respect of parts of these Provinces included in Pakistan and</w:t>
      </w:r>
    </w:p>
    <w:p w14:paraId="1F0BC45F" w14:textId="77777777" w:rsidR="009F05BA" w:rsidRPr="00397688" w:rsidRDefault="009F05BA" w:rsidP="00397688">
      <w:pPr>
        <w:pStyle w:val="ng-star-inserted"/>
        <w:spacing w:before="0" w:beforeAutospacing="0" w:after="0" w:afterAutospacing="0" w:line="380" w:lineRule="exact"/>
        <w:ind w:left="720"/>
        <w:jc w:val="both"/>
        <w:rPr>
          <w:color w:val="1A1C1E"/>
          <w:sz w:val="28"/>
          <w:szCs w:val="28"/>
        </w:rPr>
      </w:pPr>
      <w:r w:rsidRPr="00397688">
        <w:rPr>
          <w:color w:val="1A1C1E"/>
          <w:sz w:val="28"/>
          <w:szCs w:val="28"/>
        </w:rPr>
        <w:t>(b) to reallocate among the Part A States in the Indian Union these lapsed percentages, as well as the percentages formerly prescribed for Sind and North-West Frontier Province.</w:t>
      </w:r>
    </w:p>
    <w:p w14:paraId="244C0743" w14:textId="38325133" w:rsidR="009F05BA" w:rsidRPr="00397688" w:rsidRDefault="009F05BA" w:rsidP="00397688">
      <w:pPr>
        <w:pStyle w:val="ListParagraph"/>
        <w:numPr>
          <w:ilvl w:val="0"/>
          <w:numId w:val="28"/>
        </w:numPr>
        <w:spacing w:after="0" w:line="380" w:lineRule="exact"/>
        <w:ind w:left="0" w:firstLine="567"/>
        <w:jc w:val="both"/>
        <w:rPr>
          <w:rStyle w:val="ng-star-inserted1"/>
          <w:rFonts w:ascii="Times New Roman" w:hAnsi="Times New Roman" w:cs="Times New Roman"/>
          <w:color w:val="1A1C1E"/>
          <w:sz w:val="28"/>
          <w:szCs w:val="28"/>
        </w:rPr>
      </w:pPr>
      <w:r w:rsidRPr="00397688">
        <w:rPr>
          <w:rFonts w:ascii="Times New Roman" w:hAnsi="Times New Roman" w:cs="Times New Roman"/>
          <w:color w:val="1A1C1E"/>
          <w:sz w:val="28"/>
          <w:szCs w:val="28"/>
        </w:rPr>
        <w:t xml:space="preserve">In approaching his task, Shri Deshmukh first attempted to estimate as nearly as possible the percentages that might have been allotted by Sir Otto Niemeyer to parts of the Provinces now included in Pakistan had they been in existence as separate Provinces at the time. Having thus determined the aggregate quota available for redistribution, he distributed it largely on the basis of population, making minor adjustments for the purpose of rounding off and </w:t>
      </w:r>
      <w:r w:rsidRPr="00397688">
        <w:rPr>
          <w:rStyle w:val="ng-star-inserted1"/>
          <w:rFonts w:ascii="Times New Roman" w:eastAsiaTheme="majorEastAsia" w:hAnsi="Times New Roman" w:cs="Times New Roman"/>
          <w:color w:val="1A1C1E"/>
          <w:sz w:val="28"/>
          <w:szCs w:val="28"/>
        </w:rPr>
        <w:t xml:space="preserve">giving a small weightage in favour of the weaker States. In </w:t>
      </w:r>
      <w:r w:rsidR="009768D7" w:rsidRPr="00397688">
        <w:rPr>
          <w:rStyle w:val="ng-star-inserted1"/>
          <w:rFonts w:ascii="Times New Roman" w:eastAsiaTheme="majorEastAsia" w:hAnsi="Times New Roman" w:cs="Times New Roman"/>
          <w:color w:val="1A1C1E"/>
          <w:sz w:val="28"/>
          <w:szCs w:val="28"/>
        </w:rPr>
        <w:t>taking population as the basis of reallocation,</w:t>
      </w:r>
      <w:r w:rsidRPr="00397688">
        <w:rPr>
          <w:rStyle w:val="ng-star-inserted1"/>
          <w:rFonts w:ascii="Times New Roman" w:eastAsiaTheme="majorEastAsia" w:hAnsi="Times New Roman" w:cs="Times New Roman"/>
          <w:color w:val="1A1C1E"/>
          <w:sz w:val="28"/>
          <w:szCs w:val="28"/>
        </w:rPr>
        <w:t xml:space="preserve"> he was influenced by the consideration that any award which gave additional weightage to residence would hinder progress towards a general equalisation of the levels of administration which, in the prevailing circumstances, he thought was a desirable end. The table below indicates the percentage distribution among the States of their share of income-tax (i) before the partition, (ii) under the arrangements made by the Government of India immediately after partition and (iii) under the award given by Shri </w:t>
      </w:r>
      <w:r w:rsidR="009768D7" w:rsidRPr="00397688">
        <w:rPr>
          <w:rStyle w:val="ng-star-inserted1"/>
          <w:rFonts w:ascii="Times New Roman" w:eastAsiaTheme="majorEastAsia" w:hAnsi="Times New Roman" w:cs="Times New Roman"/>
          <w:color w:val="1A1C1E"/>
          <w:sz w:val="28"/>
          <w:szCs w:val="28"/>
        </w:rPr>
        <w:t xml:space="preserve">Deshmukh: — </w:t>
      </w:r>
    </w:p>
    <w:tbl>
      <w:tblPr>
        <w:tblStyle w:val="TableGrid"/>
        <w:tblW w:w="10252" w:type="dxa"/>
        <w:jc w:val="center"/>
        <w:tblLook w:val="04A0" w:firstRow="1" w:lastRow="0" w:firstColumn="1" w:lastColumn="0" w:noHBand="0" w:noVBand="1"/>
      </w:tblPr>
      <w:tblGrid>
        <w:gridCol w:w="2537"/>
        <w:gridCol w:w="1994"/>
        <w:gridCol w:w="3144"/>
        <w:gridCol w:w="2577"/>
      </w:tblGrid>
      <w:tr w:rsidR="009F05BA" w:rsidRPr="00397688" w14:paraId="1585213C" w14:textId="77777777" w:rsidTr="00397688">
        <w:trPr>
          <w:trHeight w:val="20"/>
          <w:jc w:val="center"/>
        </w:trPr>
        <w:tc>
          <w:tcPr>
            <w:tcW w:w="2537" w:type="dxa"/>
            <w:vAlign w:val="center"/>
          </w:tcPr>
          <w:p w14:paraId="005ED00D" w14:textId="4DB729BF" w:rsidR="009F05BA" w:rsidRPr="00FC7F28" w:rsidRDefault="009F05BA" w:rsidP="003E0728">
            <w:pPr>
              <w:pStyle w:val="Tables"/>
              <w:rPr>
                <w:b/>
                <w:bCs/>
              </w:rPr>
            </w:pPr>
            <w:r w:rsidRPr="00FC7F28">
              <w:rPr>
                <w:b/>
                <w:bCs/>
              </w:rPr>
              <w:t>Province</w:t>
            </w:r>
          </w:p>
        </w:tc>
        <w:tc>
          <w:tcPr>
            <w:tcW w:w="1994" w:type="dxa"/>
            <w:vAlign w:val="center"/>
          </w:tcPr>
          <w:p w14:paraId="50602D22" w14:textId="2D609C30" w:rsidR="009F05BA" w:rsidRPr="00FC7F28" w:rsidRDefault="009768D7" w:rsidP="003E0728">
            <w:pPr>
              <w:pStyle w:val="Tables"/>
              <w:rPr>
                <w:b/>
                <w:bCs/>
              </w:rPr>
            </w:pPr>
            <w:r w:rsidRPr="00FC7F28">
              <w:rPr>
                <w:b/>
                <w:bCs/>
              </w:rPr>
              <w:t>Pre-partition share, per cent.</w:t>
            </w:r>
          </w:p>
        </w:tc>
        <w:tc>
          <w:tcPr>
            <w:tcW w:w="3144" w:type="dxa"/>
            <w:vAlign w:val="center"/>
          </w:tcPr>
          <w:p w14:paraId="14B043DA" w14:textId="372F914C" w:rsidR="009F05BA" w:rsidRPr="00FC7F28" w:rsidRDefault="009768D7" w:rsidP="003E0728">
            <w:pPr>
              <w:pStyle w:val="Tables"/>
              <w:rPr>
                <w:b/>
                <w:bCs/>
              </w:rPr>
            </w:pPr>
            <w:r w:rsidRPr="00FC7F28">
              <w:rPr>
                <w:b/>
                <w:bCs/>
              </w:rPr>
              <w:t>Share under Government of India allocation, per cent.</w:t>
            </w:r>
          </w:p>
        </w:tc>
        <w:tc>
          <w:tcPr>
            <w:tcW w:w="2577" w:type="dxa"/>
            <w:vAlign w:val="center"/>
          </w:tcPr>
          <w:p w14:paraId="4927C388" w14:textId="74785DC8" w:rsidR="009F05BA" w:rsidRPr="00FC7F28" w:rsidRDefault="009768D7" w:rsidP="003E0728">
            <w:pPr>
              <w:pStyle w:val="Tables"/>
              <w:rPr>
                <w:b/>
                <w:bCs/>
              </w:rPr>
            </w:pPr>
            <w:r w:rsidRPr="00FC7F28">
              <w:rPr>
                <w:b/>
                <w:bCs/>
              </w:rPr>
              <w:t>Share under Deshmukh Award, per cent.</w:t>
            </w:r>
          </w:p>
        </w:tc>
      </w:tr>
      <w:tr w:rsidR="009F05BA" w:rsidRPr="00397688" w14:paraId="78AA629D" w14:textId="77777777" w:rsidTr="00397688">
        <w:trPr>
          <w:trHeight w:val="20"/>
          <w:jc w:val="center"/>
        </w:trPr>
        <w:tc>
          <w:tcPr>
            <w:tcW w:w="2537" w:type="dxa"/>
            <w:vAlign w:val="center"/>
          </w:tcPr>
          <w:p w14:paraId="2F58B2B2" w14:textId="2D96C034" w:rsidR="009F05BA" w:rsidRPr="00397688" w:rsidRDefault="009768D7" w:rsidP="003E0728">
            <w:pPr>
              <w:pStyle w:val="Tables"/>
            </w:pPr>
            <w:r w:rsidRPr="00397688">
              <w:t>Madras</w:t>
            </w:r>
          </w:p>
        </w:tc>
        <w:tc>
          <w:tcPr>
            <w:tcW w:w="1994" w:type="dxa"/>
            <w:vAlign w:val="center"/>
          </w:tcPr>
          <w:p w14:paraId="78CC1D78" w14:textId="2CC89663" w:rsidR="009F05BA" w:rsidRPr="00397688" w:rsidRDefault="009768D7" w:rsidP="003E0728">
            <w:pPr>
              <w:pStyle w:val="Tables"/>
            </w:pPr>
            <w:r w:rsidRPr="00397688">
              <w:t>15</w:t>
            </w:r>
          </w:p>
        </w:tc>
        <w:tc>
          <w:tcPr>
            <w:tcW w:w="3144" w:type="dxa"/>
            <w:vAlign w:val="center"/>
          </w:tcPr>
          <w:p w14:paraId="49937762" w14:textId="20405961" w:rsidR="009F05BA" w:rsidRPr="00397688" w:rsidRDefault="009768D7" w:rsidP="003E0728">
            <w:pPr>
              <w:pStyle w:val="Tables"/>
            </w:pPr>
            <w:r w:rsidRPr="00397688">
              <w:t>18</w:t>
            </w:r>
          </w:p>
        </w:tc>
        <w:tc>
          <w:tcPr>
            <w:tcW w:w="2577" w:type="dxa"/>
            <w:vAlign w:val="center"/>
          </w:tcPr>
          <w:p w14:paraId="3957CEEE" w14:textId="60A14ECC" w:rsidR="009F05BA" w:rsidRPr="00397688" w:rsidRDefault="00BB3E58" w:rsidP="003E0728">
            <w:pPr>
              <w:pStyle w:val="Tables"/>
            </w:pPr>
            <w:r>
              <w:t>.</w:t>
            </w:r>
            <w:r w:rsidR="009768D7" w:rsidRPr="00397688">
              <w:t>5</w:t>
            </w:r>
          </w:p>
        </w:tc>
      </w:tr>
      <w:tr w:rsidR="009F05BA" w:rsidRPr="00397688" w14:paraId="025B6D1D" w14:textId="77777777" w:rsidTr="00900680">
        <w:trPr>
          <w:trHeight w:val="20"/>
          <w:jc w:val="center"/>
        </w:trPr>
        <w:tc>
          <w:tcPr>
            <w:tcW w:w="2537" w:type="dxa"/>
            <w:vAlign w:val="center"/>
          </w:tcPr>
          <w:p w14:paraId="3B961F4A" w14:textId="75A52A21" w:rsidR="009F05BA" w:rsidRPr="00397688" w:rsidRDefault="009768D7" w:rsidP="003E0728">
            <w:pPr>
              <w:pStyle w:val="Tables"/>
            </w:pPr>
            <w:r w:rsidRPr="00397688">
              <w:t>Bombay</w:t>
            </w:r>
          </w:p>
        </w:tc>
        <w:tc>
          <w:tcPr>
            <w:tcW w:w="1994" w:type="dxa"/>
            <w:vAlign w:val="center"/>
          </w:tcPr>
          <w:p w14:paraId="093B3646" w14:textId="36F7D178" w:rsidR="009F05BA" w:rsidRPr="00397688" w:rsidRDefault="009768D7" w:rsidP="003E0728">
            <w:pPr>
              <w:pStyle w:val="Tables"/>
            </w:pPr>
            <w:r w:rsidRPr="00397688">
              <w:t>20</w:t>
            </w:r>
          </w:p>
        </w:tc>
        <w:tc>
          <w:tcPr>
            <w:tcW w:w="3144" w:type="dxa"/>
            <w:vAlign w:val="center"/>
          </w:tcPr>
          <w:p w14:paraId="3F9DCD7B" w14:textId="3AA2E5FB" w:rsidR="009F05BA" w:rsidRPr="00397688" w:rsidRDefault="009768D7" w:rsidP="003E0728">
            <w:pPr>
              <w:pStyle w:val="Tables"/>
            </w:pPr>
            <w:r w:rsidRPr="00397688">
              <w:t>21</w:t>
            </w:r>
          </w:p>
        </w:tc>
        <w:tc>
          <w:tcPr>
            <w:tcW w:w="2577" w:type="dxa"/>
            <w:vAlign w:val="center"/>
          </w:tcPr>
          <w:p w14:paraId="23E0CE6A" w14:textId="02DF7312" w:rsidR="009F05BA" w:rsidRPr="00566A45" w:rsidRDefault="009768D7" w:rsidP="003E0728">
            <w:pPr>
              <w:pStyle w:val="Tables"/>
              <w:rPr>
                <w:highlight w:val="yellow"/>
              </w:rPr>
            </w:pPr>
            <w:r w:rsidRPr="00900680">
              <w:t>2</w:t>
            </w:r>
            <w:r w:rsidR="00900680" w:rsidRPr="00900680">
              <w:t>1</w:t>
            </w:r>
            <w:r w:rsidRPr="00900680">
              <w:t>.0</w:t>
            </w:r>
          </w:p>
        </w:tc>
      </w:tr>
      <w:tr w:rsidR="009F05BA" w:rsidRPr="00397688" w14:paraId="7F3A740A" w14:textId="77777777" w:rsidTr="00397688">
        <w:trPr>
          <w:trHeight w:val="20"/>
          <w:jc w:val="center"/>
        </w:trPr>
        <w:tc>
          <w:tcPr>
            <w:tcW w:w="2537" w:type="dxa"/>
            <w:vAlign w:val="center"/>
          </w:tcPr>
          <w:p w14:paraId="08759248" w14:textId="1B14181B" w:rsidR="009F05BA" w:rsidRPr="00397688" w:rsidRDefault="009768D7" w:rsidP="003E0728">
            <w:pPr>
              <w:pStyle w:val="Tables"/>
            </w:pPr>
            <w:r w:rsidRPr="00397688">
              <w:t>West Bengal</w:t>
            </w:r>
          </w:p>
        </w:tc>
        <w:tc>
          <w:tcPr>
            <w:tcW w:w="1994" w:type="dxa"/>
            <w:vAlign w:val="center"/>
          </w:tcPr>
          <w:p w14:paraId="21799619" w14:textId="4E21A0DB" w:rsidR="009F05BA" w:rsidRPr="00397688" w:rsidRDefault="009768D7" w:rsidP="003E0728">
            <w:pPr>
              <w:pStyle w:val="Tables"/>
            </w:pPr>
            <w:r w:rsidRPr="00397688">
              <w:t>20*</w:t>
            </w:r>
          </w:p>
        </w:tc>
        <w:tc>
          <w:tcPr>
            <w:tcW w:w="3144" w:type="dxa"/>
            <w:vAlign w:val="center"/>
          </w:tcPr>
          <w:p w14:paraId="5080018E" w14:textId="203D944A" w:rsidR="009F05BA" w:rsidRPr="00397688" w:rsidRDefault="009768D7" w:rsidP="003E0728">
            <w:pPr>
              <w:pStyle w:val="Tables"/>
            </w:pPr>
            <w:r w:rsidRPr="00397688">
              <w:t>12</w:t>
            </w:r>
          </w:p>
        </w:tc>
        <w:tc>
          <w:tcPr>
            <w:tcW w:w="2577" w:type="dxa"/>
            <w:vAlign w:val="center"/>
          </w:tcPr>
          <w:p w14:paraId="59C8964A" w14:textId="2ABB1A5B" w:rsidR="009F05BA" w:rsidRPr="00397688" w:rsidRDefault="009768D7" w:rsidP="003E0728">
            <w:pPr>
              <w:pStyle w:val="Tables"/>
            </w:pPr>
            <w:r w:rsidRPr="00397688">
              <w:t>13.5</w:t>
            </w:r>
          </w:p>
        </w:tc>
      </w:tr>
      <w:tr w:rsidR="009F05BA" w:rsidRPr="00397688" w14:paraId="63E46D05" w14:textId="77777777" w:rsidTr="00397688">
        <w:trPr>
          <w:trHeight w:val="20"/>
          <w:jc w:val="center"/>
        </w:trPr>
        <w:tc>
          <w:tcPr>
            <w:tcW w:w="2537" w:type="dxa"/>
            <w:vAlign w:val="center"/>
          </w:tcPr>
          <w:p w14:paraId="008297B3" w14:textId="5EF33307" w:rsidR="009F05BA" w:rsidRPr="00397688" w:rsidRDefault="009768D7" w:rsidP="003E0728">
            <w:pPr>
              <w:pStyle w:val="Tables"/>
            </w:pPr>
            <w:r w:rsidRPr="00397688">
              <w:t>Uttar Pradesh</w:t>
            </w:r>
          </w:p>
        </w:tc>
        <w:tc>
          <w:tcPr>
            <w:tcW w:w="1994" w:type="dxa"/>
            <w:vAlign w:val="center"/>
          </w:tcPr>
          <w:p w14:paraId="2D026F71" w14:textId="5116F1A3" w:rsidR="009F05BA" w:rsidRPr="00397688" w:rsidRDefault="009768D7" w:rsidP="003E0728">
            <w:pPr>
              <w:pStyle w:val="Tables"/>
            </w:pPr>
            <w:r w:rsidRPr="00397688">
              <w:t>15</w:t>
            </w:r>
          </w:p>
        </w:tc>
        <w:tc>
          <w:tcPr>
            <w:tcW w:w="3144" w:type="dxa"/>
            <w:vAlign w:val="center"/>
          </w:tcPr>
          <w:p w14:paraId="517A0B7B" w14:textId="2D1EB3AF" w:rsidR="009F05BA" w:rsidRPr="00397688" w:rsidRDefault="009768D7" w:rsidP="003E0728">
            <w:pPr>
              <w:pStyle w:val="Tables"/>
            </w:pPr>
            <w:r w:rsidRPr="00397688">
              <w:t>19</w:t>
            </w:r>
          </w:p>
        </w:tc>
        <w:tc>
          <w:tcPr>
            <w:tcW w:w="2577" w:type="dxa"/>
            <w:vAlign w:val="center"/>
          </w:tcPr>
          <w:p w14:paraId="52175353" w14:textId="2632C6AF" w:rsidR="009F05BA" w:rsidRPr="00397688" w:rsidRDefault="009768D7" w:rsidP="003E0728">
            <w:pPr>
              <w:pStyle w:val="Tables"/>
            </w:pPr>
            <w:r w:rsidRPr="00397688">
              <w:t>18.0</w:t>
            </w:r>
          </w:p>
        </w:tc>
      </w:tr>
      <w:tr w:rsidR="009F05BA" w:rsidRPr="00397688" w14:paraId="684B3E1C" w14:textId="77777777" w:rsidTr="00397688">
        <w:trPr>
          <w:trHeight w:val="20"/>
          <w:jc w:val="center"/>
        </w:trPr>
        <w:tc>
          <w:tcPr>
            <w:tcW w:w="2537" w:type="dxa"/>
            <w:vAlign w:val="center"/>
          </w:tcPr>
          <w:p w14:paraId="4D3738CD" w14:textId="0646ED7D" w:rsidR="009F05BA" w:rsidRPr="00397688" w:rsidRDefault="009768D7" w:rsidP="003E0728">
            <w:pPr>
              <w:pStyle w:val="Tables"/>
            </w:pPr>
            <w:r w:rsidRPr="00397688">
              <w:t>Punjab</w:t>
            </w:r>
          </w:p>
        </w:tc>
        <w:tc>
          <w:tcPr>
            <w:tcW w:w="1994" w:type="dxa"/>
            <w:vAlign w:val="center"/>
          </w:tcPr>
          <w:p w14:paraId="5A8ADE19" w14:textId="68480373" w:rsidR="009F05BA" w:rsidRPr="00397688" w:rsidRDefault="009768D7" w:rsidP="003E0728">
            <w:pPr>
              <w:pStyle w:val="Tables"/>
            </w:pPr>
            <w:r w:rsidRPr="00397688">
              <w:t>8*</w:t>
            </w:r>
          </w:p>
        </w:tc>
        <w:tc>
          <w:tcPr>
            <w:tcW w:w="3144" w:type="dxa"/>
            <w:vAlign w:val="center"/>
          </w:tcPr>
          <w:p w14:paraId="1C7745D1" w14:textId="0DDFF973" w:rsidR="009F05BA" w:rsidRPr="00397688" w:rsidRDefault="009768D7" w:rsidP="003E0728">
            <w:pPr>
              <w:pStyle w:val="Tables"/>
            </w:pPr>
            <w:r w:rsidRPr="00397688">
              <w:t>5</w:t>
            </w:r>
          </w:p>
        </w:tc>
        <w:tc>
          <w:tcPr>
            <w:tcW w:w="2577" w:type="dxa"/>
            <w:vAlign w:val="center"/>
          </w:tcPr>
          <w:p w14:paraId="26BE2983" w14:textId="3A8DBA41" w:rsidR="009F05BA" w:rsidRPr="00397688" w:rsidRDefault="009768D7" w:rsidP="003E0728">
            <w:pPr>
              <w:pStyle w:val="Tables"/>
            </w:pPr>
            <w:r w:rsidRPr="00397688">
              <w:t>5.5</w:t>
            </w:r>
          </w:p>
        </w:tc>
      </w:tr>
      <w:tr w:rsidR="009768D7" w:rsidRPr="00397688" w14:paraId="6CF8999A" w14:textId="77777777" w:rsidTr="00397688">
        <w:trPr>
          <w:trHeight w:val="20"/>
          <w:jc w:val="center"/>
        </w:trPr>
        <w:tc>
          <w:tcPr>
            <w:tcW w:w="2537" w:type="dxa"/>
            <w:vAlign w:val="center"/>
          </w:tcPr>
          <w:p w14:paraId="126CA93B" w14:textId="63B61419" w:rsidR="009768D7" w:rsidRPr="00397688" w:rsidRDefault="009768D7" w:rsidP="003E0728">
            <w:pPr>
              <w:pStyle w:val="Tables"/>
            </w:pPr>
            <w:r w:rsidRPr="00397688">
              <w:t>Bihar</w:t>
            </w:r>
          </w:p>
        </w:tc>
        <w:tc>
          <w:tcPr>
            <w:tcW w:w="1994" w:type="dxa"/>
            <w:vAlign w:val="center"/>
          </w:tcPr>
          <w:p w14:paraId="6DA4F839" w14:textId="24B256AC" w:rsidR="009768D7" w:rsidRPr="00397688" w:rsidRDefault="009768D7" w:rsidP="003E0728">
            <w:pPr>
              <w:pStyle w:val="Tables"/>
            </w:pPr>
            <w:r w:rsidRPr="00397688">
              <w:t>10</w:t>
            </w:r>
          </w:p>
        </w:tc>
        <w:tc>
          <w:tcPr>
            <w:tcW w:w="3144" w:type="dxa"/>
            <w:vAlign w:val="center"/>
          </w:tcPr>
          <w:p w14:paraId="6CD3A0F5" w14:textId="6C598C35" w:rsidR="009768D7" w:rsidRPr="00397688" w:rsidRDefault="009768D7" w:rsidP="003E0728">
            <w:pPr>
              <w:pStyle w:val="Tables"/>
            </w:pPr>
            <w:r w:rsidRPr="00397688">
              <w:t>13</w:t>
            </w:r>
          </w:p>
        </w:tc>
        <w:tc>
          <w:tcPr>
            <w:tcW w:w="2577" w:type="dxa"/>
            <w:vAlign w:val="center"/>
          </w:tcPr>
          <w:p w14:paraId="0DD2D9C2" w14:textId="66C80C0B" w:rsidR="009768D7" w:rsidRPr="00397688" w:rsidRDefault="009768D7" w:rsidP="003E0728">
            <w:pPr>
              <w:pStyle w:val="Tables"/>
            </w:pPr>
            <w:r w:rsidRPr="00397688">
              <w:t>12.5</w:t>
            </w:r>
          </w:p>
        </w:tc>
      </w:tr>
      <w:tr w:rsidR="009768D7" w:rsidRPr="00397688" w14:paraId="1BD0E727" w14:textId="77777777" w:rsidTr="00397688">
        <w:trPr>
          <w:trHeight w:val="20"/>
          <w:jc w:val="center"/>
        </w:trPr>
        <w:tc>
          <w:tcPr>
            <w:tcW w:w="2537" w:type="dxa"/>
            <w:vAlign w:val="center"/>
          </w:tcPr>
          <w:p w14:paraId="7FF5E493" w14:textId="5DDFDDD5" w:rsidR="009768D7" w:rsidRPr="00397688" w:rsidRDefault="009768D7" w:rsidP="003E0728">
            <w:pPr>
              <w:pStyle w:val="Tables"/>
            </w:pPr>
            <w:r w:rsidRPr="00397688">
              <w:t>Madhya Pradesh</w:t>
            </w:r>
          </w:p>
        </w:tc>
        <w:tc>
          <w:tcPr>
            <w:tcW w:w="1994" w:type="dxa"/>
            <w:vAlign w:val="center"/>
          </w:tcPr>
          <w:p w14:paraId="174EE74C" w14:textId="68B3D1E2" w:rsidR="009768D7" w:rsidRPr="00397688" w:rsidRDefault="009768D7" w:rsidP="003E0728">
            <w:pPr>
              <w:pStyle w:val="Tables"/>
            </w:pPr>
            <w:r w:rsidRPr="00397688">
              <w:t>5</w:t>
            </w:r>
          </w:p>
        </w:tc>
        <w:tc>
          <w:tcPr>
            <w:tcW w:w="3144" w:type="dxa"/>
            <w:vAlign w:val="center"/>
          </w:tcPr>
          <w:p w14:paraId="490C06E1" w14:textId="4264B674" w:rsidR="009768D7" w:rsidRPr="00397688" w:rsidRDefault="009768D7" w:rsidP="003E0728">
            <w:pPr>
              <w:pStyle w:val="Tables"/>
            </w:pPr>
            <w:r w:rsidRPr="00397688">
              <w:t>6</w:t>
            </w:r>
          </w:p>
        </w:tc>
        <w:tc>
          <w:tcPr>
            <w:tcW w:w="2577" w:type="dxa"/>
            <w:vAlign w:val="center"/>
          </w:tcPr>
          <w:p w14:paraId="6D70CF62" w14:textId="410E3D19" w:rsidR="009768D7" w:rsidRPr="00397688" w:rsidRDefault="009768D7" w:rsidP="003E0728">
            <w:pPr>
              <w:pStyle w:val="Tables"/>
            </w:pPr>
            <w:r w:rsidRPr="00397688">
              <w:t>6.0</w:t>
            </w:r>
          </w:p>
        </w:tc>
      </w:tr>
      <w:tr w:rsidR="009768D7" w:rsidRPr="00397688" w14:paraId="3C96ECE9" w14:textId="77777777" w:rsidTr="00397688">
        <w:trPr>
          <w:trHeight w:val="20"/>
          <w:jc w:val="center"/>
        </w:trPr>
        <w:tc>
          <w:tcPr>
            <w:tcW w:w="2537" w:type="dxa"/>
            <w:vAlign w:val="center"/>
          </w:tcPr>
          <w:p w14:paraId="681D35A8" w14:textId="1019EB32" w:rsidR="009768D7" w:rsidRPr="00397688" w:rsidRDefault="009768D7" w:rsidP="003E0728">
            <w:pPr>
              <w:pStyle w:val="Tables"/>
            </w:pPr>
            <w:r w:rsidRPr="00397688">
              <w:lastRenderedPageBreak/>
              <w:t>Assam</w:t>
            </w:r>
          </w:p>
        </w:tc>
        <w:tc>
          <w:tcPr>
            <w:tcW w:w="1994" w:type="dxa"/>
            <w:vAlign w:val="center"/>
          </w:tcPr>
          <w:p w14:paraId="43A05A4D" w14:textId="5375B931" w:rsidR="009768D7" w:rsidRPr="00397688" w:rsidRDefault="009768D7" w:rsidP="003E0728">
            <w:pPr>
              <w:pStyle w:val="Tables"/>
            </w:pPr>
            <w:r w:rsidRPr="00397688">
              <w:t>2*</w:t>
            </w:r>
          </w:p>
        </w:tc>
        <w:tc>
          <w:tcPr>
            <w:tcW w:w="3144" w:type="dxa"/>
            <w:vAlign w:val="center"/>
          </w:tcPr>
          <w:p w14:paraId="79B527DE" w14:textId="2CB85AE1" w:rsidR="009768D7" w:rsidRPr="00397688" w:rsidRDefault="009768D7" w:rsidP="003E0728">
            <w:pPr>
              <w:pStyle w:val="Tables"/>
            </w:pPr>
            <w:r w:rsidRPr="00397688">
              <w:t>3</w:t>
            </w:r>
          </w:p>
        </w:tc>
        <w:tc>
          <w:tcPr>
            <w:tcW w:w="2577" w:type="dxa"/>
            <w:vAlign w:val="center"/>
          </w:tcPr>
          <w:p w14:paraId="35C75F11" w14:textId="5E8373F1" w:rsidR="009768D7" w:rsidRPr="00397688" w:rsidRDefault="009768D7" w:rsidP="003E0728">
            <w:pPr>
              <w:pStyle w:val="Tables"/>
            </w:pPr>
            <w:r w:rsidRPr="00397688">
              <w:t>3.0</w:t>
            </w:r>
          </w:p>
        </w:tc>
      </w:tr>
      <w:tr w:rsidR="009768D7" w:rsidRPr="00397688" w14:paraId="50FA0459" w14:textId="77777777" w:rsidTr="00397688">
        <w:trPr>
          <w:trHeight w:val="20"/>
          <w:jc w:val="center"/>
        </w:trPr>
        <w:tc>
          <w:tcPr>
            <w:tcW w:w="2537" w:type="dxa"/>
            <w:vAlign w:val="center"/>
          </w:tcPr>
          <w:p w14:paraId="61AE34D7" w14:textId="6FF9D09C" w:rsidR="009768D7" w:rsidRPr="00397688" w:rsidRDefault="009768D7" w:rsidP="003E0728">
            <w:pPr>
              <w:pStyle w:val="Tables"/>
            </w:pPr>
            <w:r w:rsidRPr="00397688">
              <w:t>Orissa</w:t>
            </w:r>
          </w:p>
        </w:tc>
        <w:tc>
          <w:tcPr>
            <w:tcW w:w="1994" w:type="dxa"/>
            <w:vAlign w:val="center"/>
          </w:tcPr>
          <w:p w14:paraId="732E11AA" w14:textId="664E698F" w:rsidR="009768D7" w:rsidRPr="00397688" w:rsidRDefault="009768D7" w:rsidP="003E0728">
            <w:pPr>
              <w:pStyle w:val="Tables"/>
            </w:pPr>
            <w:r w:rsidRPr="00397688">
              <w:t>2</w:t>
            </w:r>
          </w:p>
        </w:tc>
        <w:tc>
          <w:tcPr>
            <w:tcW w:w="3144" w:type="dxa"/>
            <w:vAlign w:val="center"/>
          </w:tcPr>
          <w:p w14:paraId="4968A6BC" w14:textId="3783424E" w:rsidR="009768D7" w:rsidRPr="00397688" w:rsidRDefault="009768D7" w:rsidP="003E0728">
            <w:pPr>
              <w:pStyle w:val="Tables"/>
            </w:pPr>
            <w:r w:rsidRPr="00397688">
              <w:t>3</w:t>
            </w:r>
          </w:p>
        </w:tc>
        <w:tc>
          <w:tcPr>
            <w:tcW w:w="2577" w:type="dxa"/>
            <w:vAlign w:val="center"/>
          </w:tcPr>
          <w:p w14:paraId="4ED15D6D" w14:textId="47C38E4E" w:rsidR="009768D7" w:rsidRPr="00397688" w:rsidRDefault="009768D7" w:rsidP="003E0728">
            <w:pPr>
              <w:pStyle w:val="Tables"/>
            </w:pPr>
            <w:r w:rsidRPr="00397688">
              <w:t>3.0</w:t>
            </w:r>
          </w:p>
        </w:tc>
      </w:tr>
    </w:tbl>
    <w:p w14:paraId="47223631" w14:textId="6FFE004D" w:rsidR="00BD604D" w:rsidRPr="00397688" w:rsidRDefault="00397688" w:rsidP="003E0728">
      <w:pPr>
        <w:pStyle w:val="Sources"/>
      </w:pPr>
      <w:r w:rsidRPr="00397688">
        <w:t>*</w:t>
      </w:r>
      <w:r w:rsidR="00BD604D" w:rsidRPr="00397688">
        <w:t>relates to the undivided Provinces.</w:t>
      </w:r>
    </w:p>
    <w:p w14:paraId="49AC805B" w14:textId="5DB70185" w:rsidR="00BD604D" w:rsidRDefault="00BD604D" w:rsidP="00397688">
      <w:pPr>
        <w:pStyle w:val="ListParagraph"/>
        <w:numPr>
          <w:ilvl w:val="0"/>
          <w:numId w:val="28"/>
        </w:numPr>
        <w:spacing w:after="0" w:line="380" w:lineRule="exact"/>
        <w:ind w:left="0" w:firstLine="567"/>
        <w:jc w:val="both"/>
        <w:rPr>
          <w:rFonts w:ascii="Times New Roman" w:hAnsi="Times New Roman" w:cs="Times New Roman"/>
          <w:color w:val="1A1C1E"/>
          <w:sz w:val="28"/>
          <w:szCs w:val="28"/>
        </w:rPr>
      </w:pPr>
      <w:r w:rsidRPr="00397688">
        <w:rPr>
          <w:rFonts w:ascii="Times New Roman" w:hAnsi="Times New Roman" w:cs="Times New Roman"/>
          <w:color w:val="1A1C1E"/>
          <w:sz w:val="28"/>
          <w:szCs w:val="28"/>
        </w:rPr>
        <w:t>In regard to grants-in-aid in lieu of a share in the export duty on jute and jute products, Shri Deshmukh observed that the provision in the Constitution "alters completely the constitutional rationale of the old arrangement", the grants being in effect "compensation payments" "constituting a means of financial assistance to the four Provinces". He recommended that the following grants-in-aid be paid each year to the four States mentioned in Article 273 of the Constitution, until the Finance Commission proposed any revision:</w:t>
      </w:r>
    </w:p>
    <w:p w14:paraId="176FB143" w14:textId="77777777" w:rsidR="00397688" w:rsidRPr="00397688" w:rsidRDefault="00397688" w:rsidP="00397688">
      <w:pPr>
        <w:pStyle w:val="ListParagraph"/>
        <w:spacing w:after="0" w:line="380" w:lineRule="exact"/>
        <w:ind w:left="567"/>
        <w:jc w:val="both"/>
        <w:rPr>
          <w:rFonts w:ascii="Times New Roman" w:hAnsi="Times New Roman" w:cs="Times New Roman"/>
          <w:color w:val="1A1C1E"/>
          <w:sz w:val="28"/>
          <w:szCs w:val="28"/>
        </w:rPr>
      </w:pPr>
    </w:p>
    <w:tbl>
      <w:tblPr>
        <w:tblStyle w:val="TableGrid"/>
        <w:tblW w:w="0" w:type="auto"/>
        <w:tblInd w:w="720" w:type="dxa"/>
        <w:tblLook w:val="04A0" w:firstRow="1" w:lastRow="0" w:firstColumn="1" w:lastColumn="0" w:noHBand="0" w:noVBand="1"/>
      </w:tblPr>
      <w:tblGrid>
        <w:gridCol w:w="4119"/>
        <w:gridCol w:w="4119"/>
      </w:tblGrid>
      <w:tr w:rsidR="00BD604D" w:rsidRPr="00397688" w14:paraId="72DAF4B2" w14:textId="77777777" w:rsidTr="00BD604D">
        <w:trPr>
          <w:trHeight w:val="128"/>
        </w:trPr>
        <w:tc>
          <w:tcPr>
            <w:tcW w:w="4119" w:type="dxa"/>
          </w:tcPr>
          <w:p w14:paraId="353A333A" w14:textId="1083DE8B" w:rsidR="00BD604D" w:rsidRPr="00FC7F28" w:rsidRDefault="00BD604D" w:rsidP="003E0728">
            <w:pPr>
              <w:pStyle w:val="Tables"/>
              <w:rPr>
                <w:b/>
                <w:bCs/>
              </w:rPr>
            </w:pPr>
            <w:r w:rsidRPr="00FC7F28">
              <w:rPr>
                <w:b/>
                <w:bCs/>
              </w:rPr>
              <w:t>Province</w:t>
            </w:r>
          </w:p>
        </w:tc>
        <w:tc>
          <w:tcPr>
            <w:tcW w:w="4119" w:type="dxa"/>
          </w:tcPr>
          <w:p w14:paraId="14CC0B52" w14:textId="1D52FD29" w:rsidR="00BD604D" w:rsidRPr="00FC7F28" w:rsidRDefault="00BD604D" w:rsidP="003E0728">
            <w:pPr>
              <w:pStyle w:val="Tables"/>
              <w:rPr>
                <w:b/>
                <w:bCs/>
              </w:rPr>
            </w:pPr>
            <w:r w:rsidRPr="00FC7F28">
              <w:rPr>
                <w:b/>
                <w:bCs/>
              </w:rPr>
              <w:t>(Rupees, lakhs)</w:t>
            </w:r>
          </w:p>
        </w:tc>
      </w:tr>
      <w:tr w:rsidR="00BD604D" w:rsidRPr="00397688" w14:paraId="787C8451" w14:textId="77777777" w:rsidTr="00BD604D">
        <w:trPr>
          <w:trHeight w:val="139"/>
        </w:trPr>
        <w:tc>
          <w:tcPr>
            <w:tcW w:w="4119" w:type="dxa"/>
          </w:tcPr>
          <w:p w14:paraId="54EA3B70" w14:textId="45F8E445" w:rsidR="00BD604D" w:rsidRPr="00397688" w:rsidRDefault="00BD604D" w:rsidP="003E0728">
            <w:pPr>
              <w:pStyle w:val="Tables"/>
            </w:pPr>
            <w:r w:rsidRPr="00397688">
              <w:t>West Bengal</w:t>
            </w:r>
          </w:p>
        </w:tc>
        <w:tc>
          <w:tcPr>
            <w:tcW w:w="4119" w:type="dxa"/>
          </w:tcPr>
          <w:p w14:paraId="38F70B62" w14:textId="509A8DF0" w:rsidR="00BD604D" w:rsidRPr="00397688" w:rsidRDefault="00BD604D" w:rsidP="003E0728">
            <w:pPr>
              <w:pStyle w:val="Tables"/>
            </w:pPr>
            <w:r w:rsidRPr="00397688">
              <w:t>105</w:t>
            </w:r>
          </w:p>
        </w:tc>
      </w:tr>
      <w:tr w:rsidR="00BD604D" w:rsidRPr="00397688" w14:paraId="06F4D288" w14:textId="77777777" w:rsidTr="00BD604D">
        <w:trPr>
          <w:trHeight w:val="128"/>
        </w:trPr>
        <w:tc>
          <w:tcPr>
            <w:tcW w:w="4119" w:type="dxa"/>
          </w:tcPr>
          <w:p w14:paraId="5BED0FD6" w14:textId="41E31CF8" w:rsidR="00BD604D" w:rsidRPr="00397688" w:rsidRDefault="00BD604D" w:rsidP="003E0728">
            <w:pPr>
              <w:pStyle w:val="Tables"/>
            </w:pPr>
            <w:r w:rsidRPr="00397688">
              <w:t>Assam</w:t>
            </w:r>
          </w:p>
        </w:tc>
        <w:tc>
          <w:tcPr>
            <w:tcW w:w="4119" w:type="dxa"/>
          </w:tcPr>
          <w:p w14:paraId="30855AB0" w14:textId="51A33BD1" w:rsidR="00BD604D" w:rsidRPr="00397688" w:rsidRDefault="00BD604D" w:rsidP="003E0728">
            <w:pPr>
              <w:pStyle w:val="Tables"/>
            </w:pPr>
            <w:r w:rsidRPr="00397688">
              <w:t>40</w:t>
            </w:r>
          </w:p>
        </w:tc>
      </w:tr>
      <w:tr w:rsidR="00BD604D" w:rsidRPr="00000EE8" w14:paraId="0CD0EC50" w14:textId="77777777" w:rsidTr="00BD604D">
        <w:trPr>
          <w:trHeight w:val="139"/>
        </w:trPr>
        <w:tc>
          <w:tcPr>
            <w:tcW w:w="4119" w:type="dxa"/>
          </w:tcPr>
          <w:p w14:paraId="40A4E4CD" w14:textId="33E0D2A5" w:rsidR="00BD604D" w:rsidRPr="00000EE8" w:rsidRDefault="00BD604D" w:rsidP="003E0728">
            <w:pPr>
              <w:pStyle w:val="Tables"/>
            </w:pPr>
            <w:r w:rsidRPr="00000EE8">
              <w:t>Bihar</w:t>
            </w:r>
          </w:p>
        </w:tc>
        <w:tc>
          <w:tcPr>
            <w:tcW w:w="4119" w:type="dxa"/>
          </w:tcPr>
          <w:p w14:paraId="10EA6FD5" w14:textId="2B3E8CA2" w:rsidR="00BD604D" w:rsidRPr="00000EE8" w:rsidRDefault="00BD604D" w:rsidP="003E0728">
            <w:pPr>
              <w:pStyle w:val="Tables"/>
            </w:pPr>
            <w:r w:rsidRPr="00000EE8">
              <w:t>35</w:t>
            </w:r>
          </w:p>
        </w:tc>
      </w:tr>
      <w:tr w:rsidR="00BD604D" w:rsidRPr="00000EE8" w14:paraId="3CB3654A" w14:textId="77777777" w:rsidTr="00BD604D">
        <w:trPr>
          <w:trHeight w:val="417"/>
        </w:trPr>
        <w:tc>
          <w:tcPr>
            <w:tcW w:w="4119" w:type="dxa"/>
          </w:tcPr>
          <w:p w14:paraId="7AA6DDDF" w14:textId="22E619AF" w:rsidR="00BD604D" w:rsidRPr="00000EE8" w:rsidRDefault="00BD604D" w:rsidP="003E0728">
            <w:pPr>
              <w:pStyle w:val="Tables"/>
            </w:pPr>
            <w:r w:rsidRPr="00000EE8">
              <w:t>Orissa</w:t>
            </w:r>
          </w:p>
        </w:tc>
        <w:tc>
          <w:tcPr>
            <w:tcW w:w="4119" w:type="dxa"/>
          </w:tcPr>
          <w:p w14:paraId="6E9A9E2F" w14:textId="19A5EA1C" w:rsidR="00BD604D" w:rsidRPr="00000EE8" w:rsidRDefault="00BD604D" w:rsidP="003E0728">
            <w:pPr>
              <w:pStyle w:val="Tables"/>
            </w:pPr>
            <w:r w:rsidRPr="00000EE8">
              <w:t>5</w:t>
            </w:r>
          </w:p>
        </w:tc>
      </w:tr>
    </w:tbl>
    <w:p w14:paraId="756A9876" w14:textId="466F0C89" w:rsidR="009F05BA" w:rsidRPr="00000EE8" w:rsidRDefault="00BD604D" w:rsidP="00397688">
      <w:pPr>
        <w:pStyle w:val="ng-star-inserted"/>
        <w:spacing w:before="0" w:beforeAutospacing="0" w:after="0" w:afterAutospacing="0" w:line="380" w:lineRule="exact"/>
        <w:jc w:val="both"/>
        <w:rPr>
          <w:color w:val="1A1C1E"/>
          <w:sz w:val="28"/>
          <w:szCs w:val="28"/>
        </w:rPr>
      </w:pPr>
      <w:r w:rsidRPr="00000EE8">
        <w:rPr>
          <w:color w:val="1A1C1E"/>
          <w:sz w:val="28"/>
          <w:szCs w:val="28"/>
        </w:rPr>
        <w:t xml:space="preserve">The Deshmukh Award was given effect to from the 1st April 1950 and remained in force for the two years ending with the 31st March 1952. </w:t>
      </w:r>
    </w:p>
    <w:p w14:paraId="3BAA013C" w14:textId="1BB0E445" w:rsidR="00BD604D" w:rsidRPr="00397688" w:rsidRDefault="00BD604D" w:rsidP="00397688">
      <w:pPr>
        <w:pStyle w:val="ListParagraph"/>
        <w:numPr>
          <w:ilvl w:val="0"/>
          <w:numId w:val="28"/>
        </w:numPr>
        <w:spacing w:after="0" w:line="380" w:lineRule="exact"/>
        <w:ind w:left="0" w:firstLine="567"/>
        <w:jc w:val="both"/>
        <w:rPr>
          <w:rFonts w:ascii="Times New Roman" w:hAnsi="Times New Roman" w:cs="Times New Roman"/>
          <w:color w:val="1A1C1E"/>
          <w:sz w:val="28"/>
          <w:szCs w:val="28"/>
        </w:rPr>
      </w:pPr>
      <w:r w:rsidRPr="00397688">
        <w:rPr>
          <w:rFonts w:ascii="Times New Roman" w:hAnsi="Times New Roman" w:cs="Times New Roman"/>
          <w:i/>
          <w:iCs/>
          <w:color w:val="1A1C1E"/>
          <w:sz w:val="28"/>
          <w:szCs w:val="28"/>
        </w:rPr>
        <w:t>Financial Integration of former Indian States.</w:t>
      </w:r>
      <w:r w:rsidRPr="00397688">
        <w:rPr>
          <w:rFonts w:ascii="Times New Roman" w:hAnsi="Times New Roman" w:cs="Times New Roman"/>
          <w:color w:val="1A1C1E"/>
          <w:sz w:val="28"/>
          <w:szCs w:val="28"/>
        </w:rPr>
        <w:t xml:space="preserve">—We mentioned earlier the position of the Indian States in the fiscal and financial set-up of the country. During the period between the achievement of Independence and the framing of the Constitution, a great step forward was taken in the unification of the country by the integration of these States. Within less than two years from the date of Independence, all the Indian States had been either formed into sizeable units, or merged in the neighbouring Provinces or constituted into separate Centrally administered Chief Commissioners' Provinces. The political integration had to be followed by financial integration with the Centre and in October 1948 the Indian States Finances Enquiry Committee were set up under the Chairmanship of Shri V. T. Krishnamachari to consider this problem. The Committee were asked to examine and report upon, among other matters, the desirability and feasibility of integrating federal finance in the Indian States and Unions of States with the rest of India; the extent to which the process of integration should be gradual and the manner in which it ought to be brought about; the results of a policy of integration upon the finances of the States and the Unions of States and the consequential financial adjustments between the Governments of these States and Unions of States and the Government of India; and the measures necessary to revise the structure of "provincial" finance and the levels and sources of "provincial" revenue in these States and Unions of States. While the scope of this Committee's work was limited to what are now Part B States, they were </w:t>
      </w:r>
      <w:r w:rsidRPr="00397688">
        <w:rPr>
          <w:rFonts w:ascii="Times New Roman" w:hAnsi="Times New Roman" w:cs="Times New Roman"/>
          <w:color w:val="1A1C1E"/>
          <w:sz w:val="28"/>
          <w:szCs w:val="28"/>
        </w:rPr>
        <w:lastRenderedPageBreak/>
        <w:t>also requested to advise on similar problems arising out of the merger of Baroda with Bombay. The recommendations of the Committee were accepted by the Government of India and the Governments of the States concerned, with certain agreed modifications, and embodied in agreements entered into by the Government of India with them.</w:t>
      </w:r>
    </w:p>
    <w:p w14:paraId="1C5A0269" w14:textId="77777777" w:rsidR="00A32479" w:rsidRPr="00397688" w:rsidRDefault="00BD604D" w:rsidP="000A6E2D">
      <w:pPr>
        <w:pStyle w:val="ListParagraph"/>
        <w:numPr>
          <w:ilvl w:val="0"/>
          <w:numId w:val="28"/>
        </w:numPr>
        <w:spacing w:after="0" w:line="380" w:lineRule="exact"/>
        <w:ind w:left="0" w:firstLine="567"/>
        <w:jc w:val="both"/>
        <w:rPr>
          <w:rFonts w:ascii="Times New Roman" w:hAnsi="Times New Roman" w:cs="Times New Roman"/>
          <w:color w:val="1A1C1E"/>
          <w:sz w:val="28"/>
          <w:szCs w:val="28"/>
        </w:rPr>
      </w:pPr>
      <w:r w:rsidRPr="00397688">
        <w:rPr>
          <w:rFonts w:ascii="Times New Roman" w:hAnsi="Times New Roman" w:cs="Times New Roman"/>
          <w:color w:val="1A1C1E"/>
          <w:sz w:val="28"/>
          <w:szCs w:val="28"/>
        </w:rPr>
        <w:t>It is sufficient for our purpose to indicate only the broad features of these agreements which affect the allocation of resources between the Centre and the States. As a result of the integration, the Centre took over from these States the subjects and services falling in the Union List of the Constitution with the related assets and liabilities. Viewed in the light of the distribution of subjects adopted by the Constitution some of the States had, in effect, been financing services falling in the State field from the surplus from Union subjects. Some form of financial assistance thus became necessary to enable them to meet the dislocation caused by the disappearance from their budgets following integration of the revenue and expenditure relating to Union subjects. It was, therefore, agreed that the centre should make good to such States for a transitional period the difference between the revenue lost to them from Union subjects and the expenditure</w:t>
      </w:r>
      <w:r w:rsidR="00A32479" w:rsidRPr="00397688">
        <w:rPr>
          <w:rFonts w:ascii="Times New Roman" w:hAnsi="Times New Roman" w:cs="Times New Roman"/>
          <w:color w:val="1A1C1E"/>
          <w:sz w:val="28"/>
          <w:szCs w:val="28"/>
        </w:rPr>
        <w:t xml:space="preserve"> saved to them on Union subjects and services as a result of financial integration, the computation being made with reference to the actual revenue and expenditure during an agreed basic period immediately preceding the integration. The payments made to these States under this arrangement, generally called “revenue gap grants”, were guaranteed in full for the first five years and on a gradually diminishing scale for a further period of five years, at the end of which the grants would reach roughly 60 per cent of the original figure. After integration all the Part B States would be entitled to a share in divisible sources of Central revenue like income-tax on the same footing as the Part A States, the Part B States getting their share of revenue or the “revenue gap grant” whichever might be larger.</w:t>
      </w:r>
    </w:p>
    <w:p w14:paraId="6A80B67D" w14:textId="77777777" w:rsidR="00A32479" w:rsidRPr="00397688" w:rsidRDefault="00A32479" w:rsidP="000A6E2D">
      <w:pPr>
        <w:pStyle w:val="ListParagraph"/>
        <w:numPr>
          <w:ilvl w:val="0"/>
          <w:numId w:val="28"/>
        </w:numPr>
        <w:spacing w:after="0" w:line="380" w:lineRule="exact"/>
        <w:ind w:left="0" w:firstLine="567"/>
        <w:jc w:val="both"/>
        <w:rPr>
          <w:rStyle w:val="ng-star-inserted1"/>
          <w:rFonts w:ascii="Times New Roman" w:hAnsi="Times New Roman" w:cs="Times New Roman"/>
          <w:color w:val="1A1C1E"/>
          <w:sz w:val="28"/>
          <w:szCs w:val="28"/>
        </w:rPr>
      </w:pPr>
      <w:r w:rsidRPr="00397688">
        <w:rPr>
          <w:rStyle w:val="ng-star-inserted1"/>
          <w:rFonts w:ascii="Times New Roman" w:eastAsiaTheme="majorEastAsia" w:hAnsi="Times New Roman" w:cs="Times New Roman"/>
          <w:color w:val="1A1C1E"/>
          <w:sz w:val="28"/>
          <w:szCs w:val="28"/>
        </w:rPr>
        <w:t xml:space="preserve">Of the seven Part B States, four States, viz., Hyderabad, Mysore, Travancore-Cochin and Saurashtra received “revenue gap grants”. Three States, viz., Rajasthan, Madhya Bharat and Patiala and East Punjab States Union did not qualify for this grant because the expenditure saved to them by integration was more than the revenue lost to them. For a transitional period the States falling in this category were to make a limited and progressively decreasing contribution to the Centre in respect of the payments made by the Government of India on account of the privy purses of the former Rulers. In computing the financial effects of integration on the States the privy purses of the former Rulers were treated as an item of expenditure saved to the </w:t>
      </w:r>
      <w:r w:rsidRPr="00397688">
        <w:rPr>
          <w:rStyle w:val="ng-star-inserted1"/>
          <w:rFonts w:ascii="Times New Roman" w:eastAsiaTheme="majorEastAsia" w:hAnsi="Times New Roman" w:cs="Times New Roman"/>
          <w:color w:val="1A1C1E"/>
          <w:sz w:val="28"/>
          <w:szCs w:val="28"/>
        </w:rPr>
        <w:lastRenderedPageBreak/>
        <w:t>States, as the privy purses were payable to the Rulers by the Government of India. In regard to income-tax, which is at present the only tax divided between the Centre and the States, it was agreed that the share of each Part B State should be 50 per cent. of the net proceeds of the taxes on income other than agricultural income levied and collected by the Government of India in that State in each year.</w:t>
      </w:r>
    </w:p>
    <w:p w14:paraId="47FAEEA6" w14:textId="1FD08290" w:rsidR="00A32479" w:rsidRPr="000A6E2D" w:rsidRDefault="00A32479" w:rsidP="000A6E2D">
      <w:pPr>
        <w:pStyle w:val="ListParagraph"/>
        <w:numPr>
          <w:ilvl w:val="0"/>
          <w:numId w:val="28"/>
        </w:numPr>
        <w:spacing w:after="0" w:line="380" w:lineRule="exact"/>
        <w:ind w:left="0" w:firstLine="567"/>
        <w:jc w:val="both"/>
        <w:rPr>
          <w:rStyle w:val="ng-star-inserted1"/>
          <w:rFonts w:ascii="Times New Roman" w:hAnsi="Times New Roman" w:cs="Times New Roman"/>
          <w:color w:val="1A1C1E"/>
          <w:sz w:val="28"/>
          <w:szCs w:val="28"/>
        </w:rPr>
      </w:pPr>
      <w:r w:rsidRPr="00397688">
        <w:rPr>
          <w:rStyle w:val="ng-star-inserted1"/>
          <w:rFonts w:ascii="Times New Roman" w:eastAsiaTheme="majorEastAsia" w:hAnsi="Times New Roman" w:cs="Times New Roman"/>
          <w:i/>
          <w:iCs/>
          <w:color w:val="1A1C1E"/>
          <w:sz w:val="28"/>
          <w:szCs w:val="28"/>
        </w:rPr>
        <w:t>Income-tax Concessions in Part B States.</w:t>
      </w:r>
      <w:r w:rsidRPr="00397688">
        <w:rPr>
          <w:rStyle w:val="ng-star-inserted1"/>
          <w:rFonts w:ascii="Times New Roman" w:eastAsiaTheme="majorEastAsia" w:hAnsi="Times New Roman" w:cs="Times New Roman"/>
          <w:color w:val="1A1C1E"/>
          <w:sz w:val="28"/>
          <w:szCs w:val="28"/>
        </w:rPr>
        <w:t>—The pattern of Central taxation is now uniform throughout the country, except in Jammu and Kashmir with which there has been no financial integration and which is governed by special provisions in the Constitution. It is, however, necessary to add that while the rates of income-tax are uniform throughout the country, provision has been made for the grant of rebate on a progressively diminishing scale for a short transitional period in some of the Part B States. It was considered undesirable to bring the Indian rates into operation immediately, either because these States had no income-tax prior to integration or because their rates of taxation were lower. The rebates will disappear in Hyderabad from 1953-54, in Mysore from 1954-55 and in Saur</w:t>
      </w:r>
      <w:r w:rsidRPr="00000EE8">
        <w:rPr>
          <w:rStyle w:val="ng-star-inserted1"/>
          <w:rFonts w:eastAsiaTheme="majorEastAsia"/>
          <w:color w:val="1A1C1E"/>
          <w:sz w:val="28"/>
          <w:szCs w:val="28"/>
        </w:rPr>
        <w:t>ashtra, Rajasthan and Madhya Bharat from 1955-56. It may also be mentioned that in four Part B States (Hyderabad, Rajasthan,</w:t>
      </w:r>
      <w:r w:rsidRPr="00000EE8">
        <w:rPr>
          <w:rStyle w:val="ng-star-inserted1"/>
          <w:color w:val="1A1C1E"/>
          <w:sz w:val="28"/>
          <w:szCs w:val="28"/>
        </w:rPr>
        <w:t xml:space="preserve"> </w:t>
      </w:r>
      <w:r w:rsidRPr="00000EE8">
        <w:rPr>
          <w:rStyle w:val="ng-star-inserted1"/>
          <w:rFonts w:eastAsiaTheme="majorEastAsia"/>
          <w:color w:val="1A1C1E"/>
          <w:sz w:val="28"/>
          <w:szCs w:val="28"/>
        </w:rPr>
        <w:t xml:space="preserve">Madhya Bharat and Saurashtra), which before integration relied to a substantial extent for their revenue on internal customs duties, inter-State transit duties have been allowed to be levied instead for a </w:t>
      </w:r>
      <w:r w:rsidRPr="000A6E2D">
        <w:rPr>
          <w:rStyle w:val="ng-star-inserted1"/>
          <w:rFonts w:ascii="Times New Roman" w:eastAsiaTheme="majorEastAsia" w:hAnsi="Times New Roman" w:cs="Times New Roman"/>
          <w:color w:val="1A1C1E"/>
          <w:sz w:val="28"/>
          <w:szCs w:val="28"/>
        </w:rPr>
        <w:t>short period of four or five years, to give these States time to replace them by alternative taxes like the sales tax.</w:t>
      </w:r>
    </w:p>
    <w:p w14:paraId="6D61C243" w14:textId="26BEC79B" w:rsidR="00A32479" w:rsidRPr="000A6E2D" w:rsidRDefault="00A32479" w:rsidP="000A6E2D">
      <w:pPr>
        <w:pStyle w:val="ListParagraph"/>
        <w:numPr>
          <w:ilvl w:val="0"/>
          <w:numId w:val="28"/>
        </w:numPr>
        <w:spacing w:after="0" w:line="380" w:lineRule="exact"/>
        <w:ind w:left="0" w:firstLine="567"/>
        <w:jc w:val="both"/>
        <w:rPr>
          <w:rFonts w:ascii="Times New Roman" w:hAnsi="Times New Roman" w:cs="Times New Roman"/>
          <w:color w:val="1A1C1E"/>
          <w:sz w:val="28"/>
          <w:szCs w:val="28"/>
        </w:rPr>
      </w:pPr>
      <w:r w:rsidRPr="000A6E2D">
        <w:rPr>
          <w:rStyle w:val="ng-star-inserted1"/>
          <w:rFonts w:ascii="Times New Roman" w:eastAsiaTheme="majorEastAsia" w:hAnsi="Times New Roman" w:cs="Times New Roman"/>
          <w:i/>
          <w:iCs/>
          <w:color w:val="1A1C1E"/>
          <w:sz w:val="28"/>
          <w:szCs w:val="28"/>
        </w:rPr>
        <w:t>“Merged Areas” in Part A States.</w:t>
      </w:r>
      <w:r w:rsidRPr="000A6E2D">
        <w:rPr>
          <w:rStyle w:val="ng-star-inserted1"/>
          <w:rFonts w:ascii="Times New Roman" w:eastAsiaTheme="majorEastAsia" w:hAnsi="Times New Roman" w:cs="Times New Roman"/>
          <w:color w:val="1A1C1E"/>
          <w:sz w:val="28"/>
          <w:szCs w:val="28"/>
        </w:rPr>
        <w:t>—The financial dislocation caused to some of the Part A States by the merger of former Indian States in their territory was also dealt with on the same lines as for the Part B States, although the Constitution does not contemplate any agreements with them on this account. All the Part A States affected by the merger receive 50 per cent of the net proceeds of the taxes on income other than agricultural income levied and collected in the merged territories within the States each year or the “revenue gap grant” whichever might be larger. Four Part A States, namely, Bombay, Bihar, Madhya Pradesh and West Bengal are now in receipt of “revenue gap grants”. The other States affected by the merger (Madras, Uttar Pradesh, Punjab and Orissa) do not receive “revenue gap grants” but get instead their share of income-tax in respect of the merged territories.</w:t>
      </w:r>
    </w:p>
    <w:p w14:paraId="0AAB023B" w14:textId="77777777" w:rsidR="00A32479" w:rsidRPr="00000EE8" w:rsidRDefault="00A32479" w:rsidP="00000EE8">
      <w:pPr>
        <w:pStyle w:val="ng-star-inserted"/>
        <w:shd w:val="clear" w:color="auto" w:fill="FFFFFF"/>
        <w:spacing w:before="0" w:beforeAutospacing="0" w:after="45" w:afterAutospacing="0" w:line="380" w:lineRule="exact"/>
        <w:jc w:val="both"/>
        <w:rPr>
          <w:color w:val="1A1C1E"/>
          <w:sz w:val="28"/>
          <w:szCs w:val="28"/>
        </w:rPr>
      </w:pPr>
    </w:p>
    <w:p w14:paraId="66E5DBEF" w14:textId="77777777" w:rsidR="00A32479" w:rsidRPr="0003452E" w:rsidRDefault="00A32479" w:rsidP="00A32479">
      <w:pPr>
        <w:pStyle w:val="ng-star-inserted"/>
        <w:shd w:val="clear" w:color="auto" w:fill="FFFFFF"/>
        <w:spacing w:line="300" w:lineRule="atLeast"/>
        <w:ind w:left="720"/>
        <w:rPr>
          <w:color w:val="1A1C1E"/>
          <w:sz w:val="21"/>
          <w:szCs w:val="21"/>
        </w:rPr>
      </w:pPr>
    </w:p>
    <w:p w14:paraId="7A89A5B4" w14:textId="7CCBC0E7" w:rsidR="00A32479" w:rsidRPr="0003452E" w:rsidRDefault="00A32479" w:rsidP="000A6E2D">
      <w:pPr>
        <w:pStyle w:val="Heading1"/>
      </w:pPr>
      <w:r w:rsidRPr="0003452E">
        <w:br w:type="page"/>
      </w:r>
      <w:bookmarkStart w:id="3" w:name="_Toc221007113"/>
      <w:r w:rsidRPr="0003452E">
        <w:lastRenderedPageBreak/>
        <w:t>CHAPTER III</w:t>
      </w:r>
      <w:r w:rsidR="000A6E2D">
        <w:t xml:space="preserve"> </w:t>
      </w:r>
      <w:r w:rsidR="000A6E2D">
        <w:br/>
      </w:r>
      <w:r w:rsidRPr="0003452E">
        <w:t>TRENDS IN CENTRAL AND STATE FINANCES</w:t>
      </w:r>
      <w:bookmarkEnd w:id="3"/>
    </w:p>
    <w:p w14:paraId="5A1841DD" w14:textId="77777777" w:rsidR="00A32479" w:rsidRPr="000A6E2D" w:rsidRDefault="00A32479" w:rsidP="000A6E2D">
      <w:pPr>
        <w:pStyle w:val="ng-star-inserted"/>
        <w:spacing w:before="0" w:beforeAutospacing="0" w:after="0" w:afterAutospacing="0" w:line="380" w:lineRule="exact"/>
        <w:ind w:left="720"/>
        <w:jc w:val="both"/>
        <w:rPr>
          <w:color w:val="1A1C1E"/>
          <w:sz w:val="28"/>
          <w:szCs w:val="28"/>
        </w:rPr>
      </w:pPr>
    </w:p>
    <w:p w14:paraId="0DA6DA30" w14:textId="6FA3A96D" w:rsidR="00A32479" w:rsidRPr="000A6E2D" w:rsidRDefault="00A32479" w:rsidP="00EE0179">
      <w:pPr>
        <w:pStyle w:val="ListParagraph"/>
        <w:numPr>
          <w:ilvl w:val="0"/>
          <w:numId w:val="29"/>
        </w:numPr>
        <w:spacing w:after="0" w:line="520" w:lineRule="exact"/>
        <w:ind w:left="0" w:firstLine="556"/>
        <w:jc w:val="both"/>
        <w:rPr>
          <w:rFonts w:ascii="Times New Roman" w:hAnsi="Times New Roman" w:cs="Times New Roman"/>
          <w:color w:val="1A1C1E"/>
          <w:sz w:val="28"/>
          <w:szCs w:val="28"/>
        </w:rPr>
      </w:pPr>
      <w:r w:rsidRPr="000A6E2D">
        <w:rPr>
          <w:rFonts w:ascii="Times New Roman" w:hAnsi="Times New Roman" w:cs="Times New Roman"/>
          <w:color w:val="1A1C1E"/>
          <w:sz w:val="28"/>
          <w:szCs w:val="28"/>
        </w:rPr>
        <w:t xml:space="preserve">It is difficult to make a connected survey of trends in the finances of the Central and State Governments over a long period of years owing to the disturbance of continuity as a result of the partition and the integration of the former Indian States; earlier, in 1935, changes took place in the constitutional basis of financial relations between the Centre and the units. This makes it necessary to divide the period of about thirty years since the coming into effect of the Government of India Act, 1919, from the 1st April, 1921,—to which we propose to restrict the scope of the survey in this chapter—into three or four periods. It is possible to study the outstanding features of the Central and State finances from one period to another. This may indicate some essential characteristics of the finances of the Centre and the States as well as changes in the relative financial position of States which have a bearing on the problem of the adjustment of financial relations. </w:t>
      </w:r>
    </w:p>
    <w:p w14:paraId="550D1736" w14:textId="2AA1998C" w:rsidR="00A32479" w:rsidRPr="000A6E2D" w:rsidRDefault="00A32479" w:rsidP="00EE0179">
      <w:pPr>
        <w:pStyle w:val="ListParagraph"/>
        <w:numPr>
          <w:ilvl w:val="0"/>
          <w:numId w:val="29"/>
        </w:numPr>
        <w:spacing w:after="0" w:line="520" w:lineRule="exact"/>
        <w:ind w:left="0" w:firstLine="556"/>
        <w:jc w:val="both"/>
        <w:rPr>
          <w:rFonts w:ascii="Times New Roman" w:hAnsi="Times New Roman" w:cs="Times New Roman"/>
          <w:color w:val="1A1C1E"/>
          <w:sz w:val="28"/>
          <w:szCs w:val="28"/>
        </w:rPr>
      </w:pPr>
      <w:r w:rsidRPr="000A6E2D">
        <w:rPr>
          <w:rFonts w:ascii="Times New Roman" w:hAnsi="Times New Roman" w:cs="Times New Roman"/>
          <w:i/>
          <w:iCs/>
          <w:color w:val="1A1C1E"/>
          <w:sz w:val="28"/>
          <w:szCs w:val="28"/>
        </w:rPr>
        <w:t>Comparative elasticity of Central and State revenues.</w:t>
      </w:r>
      <w:r w:rsidRPr="000A6E2D">
        <w:rPr>
          <w:rFonts w:ascii="Times New Roman" w:hAnsi="Times New Roman" w:cs="Times New Roman"/>
          <w:color w:val="1A1C1E"/>
          <w:sz w:val="28"/>
          <w:szCs w:val="28"/>
        </w:rPr>
        <w:t>—One aspect of central and state finances which is of special interest relates to the comparative elasticity of central and state revenues. The following table gives the revenues collected by the Central and State Governments at the beginning, middle and end of the sixteen-year period from 1921-22 to 1936-37; during the first and last years of the decade of "provincial autonomy" viz., 1937-38 and 1946-47; and for the last four years following the attainment of Independence and the partition of the country.</w:t>
      </w:r>
      <w:r w:rsidR="00C743FC" w:rsidRPr="000A6E2D">
        <w:rPr>
          <w:rStyle w:val="FootnoteReference"/>
          <w:rFonts w:ascii="Times New Roman" w:hAnsi="Times New Roman" w:cs="Times New Roman"/>
          <w:color w:val="1A1C1E"/>
          <w:sz w:val="28"/>
          <w:szCs w:val="28"/>
        </w:rPr>
        <w:footnoteReference w:id="3"/>
      </w:r>
      <w:r w:rsidRPr="000A6E2D">
        <w:rPr>
          <w:rFonts w:ascii="Times New Roman" w:hAnsi="Times New Roman" w:cs="Times New Roman"/>
          <w:color w:val="1A1C1E"/>
          <w:sz w:val="28"/>
          <w:szCs w:val="28"/>
        </w:rPr>
        <w:t xml:space="preserve"> Except during the first period, there were significant transfers of revenues from the Centre to the States. For purposes of the present comparison, these have been included, not in State revenues but in Central revenues.</w:t>
      </w:r>
    </w:p>
    <w:p w14:paraId="0FB3FC92" w14:textId="658644E2" w:rsidR="00C968D0" w:rsidRPr="00C968D0" w:rsidRDefault="00C968D0" w:rsidP="00C968D0">
      <w:pPr>
        <w:spacing w:after="0" w:line="380" w:lineRule="exact"/>
        <w:jc w:val="center"/>
        <w:rPr>
          <w:rFonts w:ascii="Times New Roman" w:hAnsi="Times New Roman" w:cs="Times New Roman"/>
          <w:sz w:val="28"/>
          <w:szCs w:val="28"/>
        </w:rPr>
      </w:pPr>
      <w:r w:rsidRPr="00C968D0">
        <w:rPr>
          <w:rFonts w:ascii="Times New Roman" w:hAnsi="Times New Roman" w:cs="Times New Roman"/>
          <w:sz w:val="28"/>
          <w:szCs w:val="28"/>
        </w:rPr>
        <w:lastRenderedPageBreak/>
        <w:t>CENTRAL AND PROVINCIAL REVENUES SINCE 1921-22</w:t>
      </w:r>
    </w:p>
    <w:p w14:paraId="72406029" w14:textId="6AE4115E" w:rsidR="00A32479" w:rsidRDefault="00A32479" w:rsidP="000A6E2D">
      <w:pPr>
        <w:pStyle w:val="ng-star-inserted"/>
        <w:spacing w:before="0" w:beforeAutospacing="0" w:after="0" w:afterAutospacing="0" w:line="380" w:lineRule="exact"/>
        <w:jc w:val="both"/>
        <w:rPr>
          <w:color w:val="1A1C1E"/>
          <w:sz w:val="28"/>
          <w:szCs w:val="28"/>
        </w:rPr>
      </w:pPr>
    </w:p>
    <w:tbl>
      <w:tblPr>
        <w:tblW w:w="10486" w:type="dxa"/>
        <w:jc w:val="center"/>
        <w:tblLook w:val="04A0" w:firstRow="1" w:lastRow="0" w:firstColumn="1" w:lastColumn="0" w:noHBand="0" w:noVBand="1"/>
      </w:tblPr>
      <w:tblGrid>
        <w:gridCol w:w="1196"/>
        <w:gridCol w:w="1041"/>
        <w:gridCol w:w="1196"/>
        <w:gridCol w:w="1367"/>
        <w:gridCol w:w="1196"/>
        <w:gridCol w:w="1041"/>
        <w:gridCol w:w="1196"/>
        <w:gridCol w:w="1367"/>
        <w:gridCol w:w="886"/>
      </w:tblGrid>
      <w:tr w:rsidR="00C968D0" w:rsidRPr="000A6E2D" w14:paraId="141F876C" w14:textId="77777777" w:rsidTr="00015DBB">
        <w:trPr>
          <w:trHeight w:val="437"/>
          <w:jc w:val="center"/>
        </w:trPr>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E0432E" w14:textId="3BD58123" w:rsidR="00C968D0" w:rsidRPr="000A6E2D" w:rsidRDefault="00C968D0" w:rsidP="003E0728">
            <w:pPr>
              <w:pStyle w:val="Tables"/>
            </w:pPr>
          </w:p>
        </w:tc>
        <w:tc>
          <w:tcPr>
            <w:tcW w:w="4800" w:type="dxa"/>
            <w:gridSpan w:val="4"/>
            <w:tcBorders>
              <w:top w:val="single" w:sz="4" w:space="0" w:color="auto"/>
              <w:left w:val="nil"/>
              <w:bottom w:val="single" w:sz="4" w:space="0" w:color="auto"/>
              <w:right w:val="single" w:sz="4" w:space="0" w:color="auto"/>
            </w:tcBorders>
            <w:shd w:val="clear" w:color="000000" w:fill="FFFFFF"/>
            <w:vAlign w:val="center"/>
            <w:hideMark/>
          </w:tcPr>
          <w:p w14:paraId="35259EC4" w14:textId="2C04E611" w:rsidR="00C968D0" w:rsidRPr="000A6E2D" w:rsidRDefault="00C968D0" w:rsidP="003E0728">
            <w:pPr>
              <w:pStyle w:val="Tables"/>
            </w:pPr>
            <w:r>
              <w:t>T</w:t>
            </w:r>
            <w:r w:rsidRPr="000A6E2D">
              <w:t>otal Revenue</w:t>
            </w:r>
          </w:p>
        </w:tc>
        <w:tc>
          <w:tcPr>
            <w:tcW w:w="4490" w:type="dxa"/>
            <w:gridSpan w:val="4"/>
            <w:tcBorders>
              <w:top w:val="single" w:sz="4" w:space="0" w:color="auto"/>
              <w:left w:val="nil"/>
              <w:bottom w:val="single" w:sz="4" w:space="0" w:color="auto"/>
              <w:right w:val="single" w:sz="4" w:space="0" w:color="auto"/>
            </w:tcBorders>
            <w:shd w:val="clear" w:color="000000" w:fill="FFFFFF"/>
            <w:vAlign w:val="center"/>
            <w:hideMark/>
          </w:tcPr>
          <w:p w14:paraId="24600EAB" w14:textId="7C53FE74" w:rsidR="00C968D0" w:rsidRPr="000A6E2D" w:rsidRDefault="00C968D0" w:rsidP="003E0728">
            <w:pPr>
              <w:pStyle w:val="Tables"/>
            </w:pPr>
            <w:r w:rsidRPr="000A6E2D">
              <w:t>Tax Revenue </w:t>
            </w:r>
          </w:p>
        </w:tc>
      </w:tr>
      <w:tr w:rsidR="00C968D0" w:rsidRPr="000A6E2D" w14:paraId="726E3608" w14:textId="77777777" w:rsidTr="00015DBB">
        <w:trPr>
          <w:trHeight w:val="291"/>
          <w:jc w:val="center"/>
        </w:trPr>
        <w:tc>
          <w:tcPr>
            <w:tcW w:w="1196" w:type="dxa"/>
            <w:tcBorders>
              <w:top w:val="nil"/>
              <w:left w:val="single" w:sz="4" w:space="0" w:color="auto"/>
              <w:bottom w:val="single" w:sz="4" w:space="0" w:color="auto"/>
              <w:right w:val="single" w:sz="4" w:space="0" w:color="auto"/>
            </w:tcBorders>
            <w:shd w:val="clear" w:color="000000" w:fill="FFFFFF"/>
            <w:vAlign w:val="center"/>
            <w:hideMark/>
          </w:tcPr>
          <w:p w14:paraId="189AF0C9" w14:textId="77777777" w:rsidR="00C968D0" w:rsidRPr="000A6E2D" w:rsidRDefault="00C968D0" w:rsidP="003E0728">
            <w:pPr>
              <w:pStyle w:val="Tables"/>
            </w:pPr>
            <w:r w:rsidRPr="000A6E2D">
              <w:t> </w:t>
            </w:r>
          </w:p>
        </w:tc>
        <w:tc>
          <w:tcPr>
            <w:tcW w:w="2237" w:type="dxa"/>
            <w:gridSpan w:val="2"/>
            <w:tcBorders>
              <w:top w:val="nil"/>
              <w:left w:val="nil"/>
              <w:bottom w:val="single" w:sz="4" w:space="0" w:color="auto"/>
              <w:right w:val="single" w:sz="4" w:space="0" w:color="auto"/>
            </w:tcBorders>
            <w:shd w:val="clear" w:color="000000" w:fill="FFFFFF"/>
            <w:vAlign w:val="center"/>
            <w:hideMark/>
          </w:tcPr>
          <w:p w14:paraId="1B09844B" w14:textId="1BE8758B" w:rsidR="00C968D0" w:rsidRPr="000A6E2D" w:rsidRDefault="00C968D0" w:rsidP="003E0728">
            <w:pPr>
              <w:pStyle w:val="Tables"/>
            </w:pPr>
            <w:r w:rsidRPr="000A6E2D">
              <w:t>Central</w:t>
            </w:r>
          </w:p>
        </w:tc>
        <w:tc>
          <w:tcPr>
            <w:tcW w:w="2563" w:type="dxa"/>
            <w:gridSpan w:val="2"/>
            <w:tcBorders>
              <w:top w:val="nil"/>
              <w:left w:val="nil"/>
              <w:bottom w:val="single" w:sz="4" w:space="0" w:color="auto"/>
              <w:right w:val="single" w:sz="4" w:space="0" w:color="auto"/>
            </w:tcBorders>
            <w:shd w:val="clear" w:color="000000" w:fill="FFFFFF"/>
            <w:vAlign w:val="center"/>
            <w:hideMark/>
          </w:tcPr>
          <w:p w14:paraId="3DF7186A" w14:textId="45AD8ED7" w:rsidR="00C968D0" w:rsidRPr="000A6E2D" w:rsidRDefault="00C968D0" w:rsidP="003E0728">
            <w:pPr>
              <w:pStyle w:val="Tables"/>
            </w:pPr>
            <w:r w:rsidRPr="000A6E2D">
              <w:t>Provincial</w:t>
            </w:r>
          </w:p>
        </w:tc>
        <w:tc>
          <w:tcPr>
            <w:tcW w:w="2237" w:type="dxa"/>
            <w:gridSpan w:val="2"/>
            <w:tcBorders>
              <w:top w:val="nil"/>
              <w:left w:val="nil"/>
              <w:bottom w:val="single" w:sz="4" w:space="0" w:color="auto"/>
              <w:right w:val="single" w:sz="4" w:space="0" w:color="auto"/>
            </w:tcBorders>
            <w:shd w:val="clear" w:color="000000" w:fill="FFFFFF"/>
            <w:vAlign w:val="center"/>
            <w:hideMark/>
          </w:tcPr>
          <w:p w14:paraId="31F8E55A" w14:textId="760B0B3F" w:rsidR="00C968D0" w:rsidRPr="000A6E2D" w:rsidRDefault="00C968D0" w:rsidP="003E0728">
            <w:pPr>
              <w:pStyle w:val="Tables"/>
            </w:pPr>
            <w:r w:rsidRPr="000A6E2D">
              <w:t>Central</w:t>
            </w:r>
          </w:p>
        </w:tc>
        <w:tc>
          <w:tcPr>
            <w:tcW w:w="2253" w:type="dxa"/>
            <w:gridSpan w:val="2"/>
            <w:tcBorders>
              <w:top w:val="nil"/>
              <w:left w:val="nil"/>
              <w:bottom w:val="single" w:sz="4" w:space="0" w:color="auto"/>
              <w:right w:val="single" w:sz="4" w:space="0" w:color="auto"/>
            </w:tcBorders>
            <w:shd w:val="clear" w:color="000000" w:fill="FFFFFF"/>
            <w:vAlign w:val="center"/>
            <w:hideMark/>
          </w:tcPr>
          <w:p w14:paraId="3532A199" w14:textId="193D58E5" w:rsidR="00C968D0" w:rsidRPr="000A6E2D" w:rsidRDefault="00C968D0" w:rsidP="003E0728">
            <w:pPr>
              <w:pStyle w:val="Tables"/>
            </w:pPr>
            <w:r>
              <w:t>P</w:t>
            </w:r>
            <w:r w:rsidRPr="000A6E2D">
              <w:t>rovincial </w:t>
            </w:r>
          </w:p>
        </w:tc>
      </w:tr>
      <w:tr w:rsidR="000A6E2D" w:rsidRPr="000A6E2D" w14:paraId="187339D5" w14:textId="77777777" w:rsidTr="00C968D0">
        <w:trPr>
          <w:trHeight w:val="291"/>
          <w:jc w:val="center"/>
        </w:trPr>
        <w:tc>
          <w:tcPr>
            <w:tcW w:w="1196" w:type="dxa"/>
            <w:tcBorders>
              <w:top w:val="nil"/>
              <w:left w:val="single" w:sz="4" w:space="0" w:color="auto"/>
              <w:bottom w:val="single" w:sz="4" w:space="0" w:color="auto"/>
              <w:right w:val="single" w:sz="4" w:space="0" w:color="auto"/>
            </w:tcBorders>
            <w:shd w:val="clear" w:color="000000" w:fill="FFFFFF"/>
            <w:vAlign w:val="center"/>
            <w:hideMark/>
          </w:tcPr>
          <w:p w14:paraId="091BCDBE" w14:textId="77777777" w:rsidR="000A6E2D" w:rsidRPr="000A6E2D" w:rsidRDefault="000A6E2D" w:rsidP="003E0728">
            <w:pPr>
              <w:pStyle w:val="Tables"/>
            </w:pPr>
            <w:r w:rsidRPr="000A6E2D">
              <w:t>Year</w:t>
            </w:r>
          </w:p>
        </w:tc>
        <w:tc>
          <w:tcPr>
            <w:tcW w:w="1041" w:type="dxa"/>
            <w:tcBorders>
              <w:top w:val="nil"/>
              <w:left w:val="nil"/>
              <w:bottom w:val="single" w:sz="4" w:space="0" w:color="auto"/>
              <w:right w:val="single" w:sz="4" w:space="0" w:color="auto"/>
            </w:tcBorders>
            <w:shd w:val="clear" w:color="000000" w:fill="FFFFFF"/>
            <w:vAlign w:val="center"/>
            <w:hideMark/>
          </w:tcPr>
          <w:p w14:paraId="0AB096D1" w14:textId="77777777" w:rsidR="000A6E2D" w:rsidRPr="000A6E2D" w:rsidRDefault="000A6E2D" w:rsidP="003E0728">
            <w:pPr>
              <w:pStyle w:val="Tables"/>
            </w:pPr>
            <w:r w:rsidRPr="000A6E2D">
              <w:t>Rs. crores</w:t>
            </w:r>
          </w:p>
        </w:tc>
        <w:tc>
          <w:tcPr>
            <w:tcW w:w="1196" w:type="dxa"/>
            <w:tcBorders>
              <w:top w:val="nil"/>
              <w:left w:val="nil"/>
              <w:bottom w:val="single" w:sz="4" w:space="0" w:color="auto"/>
              <w:right w:val="single" w:sz="4" w:space="0" w:color="auto"/>
            </w:tcBorders>
            <w:shd w:val="clear" w:color="000000" w:fill="FFFFFF"/>
            <w:vAlign w:val="center"/>
            <w:hideMark/>
          </w:tcPr>
          <w:p w14:paraId="33968A85" w14:textId="77777777" w:rsidR="000A6E2D" w:rsidRPr="000A6E2D" w:rsidRDefault="000A6E2D" w:rsidP="003E0728">
            <w:pPr>
              <w:pStyle w:val="Tables"/>
            </w:pPr>
            <w:r w:rsidRPr="000A6E2D">
              <w:t>Index</w:t>
            </w:r>
          </w:p>
        </w:tc>
        <w:tc>
          <w:tcPr>
            <w:tcW w:w="1367" w:type="dxa"/>
            <w:tcBorders>
              <w:top w:val="nil"/>
              <w:left w:val="nil"/>
              <w:bottom w:val="single" w:sz="4" w:space="0" w:color="auto"/>
              <w:right w:val="single" w:sz="4" w:space="0" w:color="auto"/>
            </w:tcBorders>
            <w:shd w:val="clear" w:color="000000" w:fill="FFFFFF"/>
            <w:vAlign w:val="center"/>
            <w:hideMark/>
          </w:tcPr>
          <w:p w14:paraId="314CEBCE" w14:textId="77777777" w:rsidR="000A6E2D" w:rsidRPr="000A6E2D" w:rsidRDefault="000A6E2D" w:rsidP="003E0728">
            <w:pPr>
              <w:pStyle w:val="Tables"/>
            </w:pPr>
            <w:r w:rsidRPr="000A6E2D">
              <w:t>Rs. crores</w:t>
            </w:r>
          </w:p>
        </w:tc>
        <w:tc>
          <w:tcPr>
            <w:tcW w:w="1196" w:type="dxa"/>
            <w:tcBorders>
              <w:top w:val="nil"/>
              <w:left w:val="nil"/>
              <w:bottom w:val="single" w:sz="4" w:space="0" w:color="auto"/>
              <w:right w:val="single" w:sz="4" w:space="0" w:color="auto"/>
            </w:tcBorders>
            <w:shd w:val="clear" w:color="000000" w:fill="FFFFFF"/>
            <w:vAlign w:val="center"/>
            <w:hideMark/>
          </w:tcPr>
          <w:p w14:paraId="6EFF0F5B" w14:textId="77777777" w:rsidR="000A6E2D" w:rsidRPr="000A6E2D" w:rsidRDefault="000A6E2D" w:rsidP="003E0728">
            <w:pPr>
              <w:pStyle w:val="Tables"/>
            </w:pPr>
            <w:r w:rsidRPr="000A6E2D">
              <w:t>Index</w:t>
            </w:r>
          </w:p>
        </w:tc>
        <w:tc>
          <w:tcPr>
            <w:tcW w:w="1041" w:type="dxa"/>
            <w:tcBorders>
              <w:top w:val="nil"/>
              <w:left w:val="nil"/>
              <w:bottom w:val="single" w:sz="4" w:space="0" w:color="auto"/>
              <w:right w:val="single" w:sz="4" w:space="0" w:color="auto"/>
            </w:tcBorders>
            <w:shd w:val="clear" w:color="000000" w:fill="FFFFFF"/>
            <w:vAlign w:val="center"/>
            <w:hideMark/>
          </w:tcPr>
          <w:p w14:paraId="49FD07E0" w14:textId="77777777" w:rsidR="000A6E2D" w:rsidRPr="000A6E2D" w:rsidRDefault="000A6E2D" w:rsidP="003E0728">
            <w:pPr>
              <w:pStyle w:val="Tables"/>
            </w:pPr>
            <w:r w:rsidRPr="000A6E2D">
              <w:t>Rs. crores</w:t>
            </w:r>
          </w:p>
        </w:tc>
        <w:tc>
          <w:tcPr>
            <w:tcW w:w="1196" w:type="dxa"/>
            <w:tcBorders>
              <w:top w:val="nil"/>
              <w:left w:val="nil"/>
              <w:bottom w:val="single" w:sz="4" w:space="0" w:color="auto"/>
              <w:right w:val="single" w:sz="4" w:space="0" w:color="auto"/>
            </w:tcBorders>
            <w:shd w:val="clear" w:color="000000" w:fill="FFFFFF"/>
            <w:vAlign w:val="center"/>
            <w:hideMark/>
          </w:tcPr>
          <w:p w14:paraId="0B23F2EC" w14:textId="77777777" w:rsidR="000A6E2D" w:rsidRPr="000A6E2D" w:rsidRDefault="000A6E2D" w:rsidP="003E0728">
            <w:pPr>
              <w:pStyle w:val="Tables"/>
            </w:pPr>
            <w:r w:rsidRPr="000A6E2D">
              <w:t>Index</w:t>
            </w:r>
          </w:p>
        </w:tc>
        <w:tc>
          <w:tcPr>
            <w:tcW w:w="1367" w:type="dxa"/>
            <w:tcBorders>
              <w:top w:val="nil"/>
              <w:left w:val="nil"/>
              <w:bottom w:val="single" w:sz="4" w:space="0" w:color="auto"/>
              <w:right w:val="single" w:sz="4" w:space="0" w:color="auto"/>
            </w:tcBorders>
            <w:shd w:val="clear" w:color="000000" w:fill="FFFFFF"/>
            <w:vAlign w:val="center"/>
            <w:hideMark/>
          </w:tcPr>
          <w:p w14:paraId="7D2AF357" w14:textId="77777777" w:rsidR="000A6E2D" w:rsidRPr="000A6E2D" w:rsidRDefault="000A6E2D" w:rsidP="003E0728">
            <w:pPr>
              <w:pStyle w:val="Tables"/>
            </w:pPr>
            <w:r w:rsidRPr="000A6E2D">
              <w:t>Rs. crores</w:t>
            </w:r>
          </w:p>
        </w:tc>
        <w:tc>
          <w:tcPr>
            <w:tcW w:w="886" w:type="dxa"/>
            <w:tcBorders>
              <w:top w:val="nil"/>
              <w:left w:val="nil"/>
              <w:bottom w:val="single" w:sz="4" w:space="0" w:color="auto"/>
              <w:right w:val="single" w:sz="4" w:space="0" w:color="auto"/>
            </w:tcBorders>
            <w:shd w:val="clear" w:color="000000" w:fill="FFFFFF"/>
            <w:vAlign w:val="center"/>
            <w:hideMark/>
          </w:tcPr>
          <w:p w14:paraId="73C645DE" w14:textId="77777777" w:rsidR="000A6E2D" w:rsidRPr="000A6E2D" w:rsidRDefault="000A6E2D" w:rsidP="003E0728">
            <w:pPr>
              <w:pStyle w:val="Tables"/>
            </w:pPr>
            <w:r w:rsidRPr="000A6E2D">
              <w:t>Index</w:t>
            </w:r>
          </w:p>
        </w:tc>
      </w:tr>
      <w:tr w:rsidR="000A6E2D" w:rsidRPr="000A6E2D" w14:paraId="7F9979B5" w14:textId="77777777" w:rsidTr="00C968D0">
        <w:trPr>
          <w:trHeight w:val="145"/>
          <w:jc w:val="center"/>
        </w:trPr>
        <w:tc>
          <w:tcPr>
            <w:tcW w:w="1196" w:type="dxa"/>
            <w:tcBorders>
              <w:top w:val="nil"/>
              <w:left w:val="single" w:sz="4" w:space="0" w:color="auto"/>
              <w:bottom w:val="single" w:sz="4" w:space="0" w:color="auto"/>
              <w:right w:val="single" w:sz="4" w:space="0" w:color="auto"/>
            </w:tcBorders>
            <w:shd w:val="clear" w:color="000000" w:fill="FFFFFF"/>
            <w:vAlign w:val="center"/>
            <w:hideMark/>
          </w:tcPr>
          <w:p w14:paraId="177E4E50" w14:textId="77777777" w:rsidR="000A6E2D" w:rsidRPr="000A6E2D" w:rsidRDefault="000A6E2D" w:rsidP="003E0728">
            <w:pPr>
              <w:pStyle w:val="Tables"/>
            </w:pPr>
            <w:r w:rsidRPr="000A6E2D">
              <w:t>1921-22</w:t>
            </w:r>
          </w:p>
        </w:tc>
        <w:tc>
          <w:tcPr>
            <w:tcW w:w="1041" w:type="dxa"/>
            <w:tcBorders>
              <w:top w:val="nil"/>
              <w:left w:val="nil"/>
              <w:bottom w:val="single" w:sz="4" w:space="0" w:color="auto"/>
              <w:right w:val="single" w:sz="4" w:space="0" w:color="auto"/>
            </w:tcBorders>
            <w:shd w:val="clear" w:color="000000" w:fill="FFFFFF"/>
            <w:vAlign w:val="center"/>
            <w:hideMark/>
          </w:tcPr>
          <w:p w14:paraId="638F13CC" w14:textId="77777777" w:rsidR="000A6E2D" w:rsidRPr="000A6E2D" w:rsidRDefault="000A6E2D" w:rsidP="003E0728">
            <w:pPr>
              <w:pStyle w:val="Tables"/>
            </w:pPr>
            <w:r w:rsidRPr="000A6E2D">
              <w:t>70.54</w:t>
            </w:r>
          </w:p>
        </w:tc>
        <w:tc>
          <w:tcPr>
            <w:tcW w:w="1196" w:type="dxa"/>
            <w:tcBorders>
              <w:top w:val="nil"/>
              <w:left w:val="nil"/>
              <w:bottom w:val="single" w:sz="4" w:space="0" w:color="auto"/>
              <w:right w:val="single" w:sz="4" w:space="0" w:color="auto"/>
            </w:tcBorders>
            <w:shd w:val="clear" w:color="000000" w:fill="FFFFFF"/>
            <w:vAlign w:val="center"/>
            <w:hideMark/>
          </w:tcPr>
          <w:p w14:paraId="02F776EB" w14:textId="77777777" w:rsidR="000A6E2D" w:rsidRPr="000A6E2D" w:rsidRDefault="000A6E2D" w:rsidP="003E0728">
            <w:pPr>
              <w:pStyle w:val="Tables"/>
            </w:pPr>
            <w:r w:rsidRPr="000A6E2D">
              <w:t>100</w:t>
            </w:r>
          </w:p>
        </w:tc>
        <w:tc>
          <w:tcPr>
            <w:tcW w:w="1367" w:type="dxa"/>
            <w:tcBorders>
              <w:top w:val="nil"/>
              <w:left w:val="nil"/>
              <w:bottom w:val="single" w:sz="4" w:space="0" w:color="auto"/>
              <w:right w:val="single" w:sz="4" w:space="0" w:color="auto"/>
            </w:tcBorders>
            <w:shd w:val="clear" w:color="000000" w:fill="FFFFFF"/>
            <w:vAlign w:val="center"/>
            <w:hideMark/>
          </w:tcPr>
          <w:p w14:paraId="6A99C7DF" w14:textId="77777777" w:rsidR="000A6E2D" w:rsidRPr="000A6E2D" w:rsidRDefault="000A6E2D" w:rsidP="003E0728">
            <w:pPr>
              <w:pStyle w:val="Tables"/>
            </w:pPr>
            <w:r w:rsidRPr="000A6E2D">
              <w:t>69.86</w:t>
            </w:r>
          </w:p>
        </w:tc>
        <w:tc>
          <w:tcPr>
            <w:tcW w:w="1196" w:type="dxa"/>
            <w:tcBorders>
              <w:top w:val="nil"/>
              <w:left w:val="nil"/>
              <w:bottom w:val="single" w:sz="4" w:space="0" w:color="auto"/>
              <w:right w:val="single" w:sz="4" w:space="0" w:color="auto"/>
            </w:tcBorders>
            <w:shd w:val="clear" w:color="000000" w:fill="FFFFFF"/>
            <w:vAlign w:val="center"/>
            <w:hideMark/>
          </w:tcPr>
          <w:p w14:paraId="2895A030" w14:textId="77777777" w:rsidR="000A6E2D" w:rsidRPr="000A6E2D" w:rsidRDefault="000A6E2D" w:rsidP="003E0728">
            <w:pPr>
              <w:pStyle w:val="Tables"/>
            </w:pPr>
            <w:r w:rsidRPr="000A6E2D">
              <w:t>100</w:t>
            </w:r>
          </w:p>
        </w:tc>
        <w:tc>
          <w:tcPr>
            <w:tcW w:w="1041" w:type="dxa"/>
            <w:tcBorders>
              <w:top w:val="nil"/>
              <w:left w:val="nil"/>
              <w:bottom w:val="single" w:sz="4" w:space="0" w:color="auto"/>
              <w:right w:val="single" w:sz="4" w:space="0" w:color="auto"/>
            </w:tcBorders>
            <w:shd w:val="clear" w:color="000000" w:fill="FFFFFF"/>
            <w:vAlign w:val="center"/>
            <w:hideMark/>
          </w:tcPr>
          <w:p w14:paraId="0F2F2AAE" w14:textId="77777777" w:rsidR="000A6E2D" w:rsidRPr="000A6E2D" w:rsidRDefault="000A6E2D" w:rsidP="003E0728">
            <w:pPr>
              <w:pStyle w:val="Tables"/>
            </w:pPr>
            <w:r w:rsidRPr="000A6E2D">
              <w:t>68.01</w:t>
            </w:r>
          </w:p>
        </w:tc>
        <w:tc>
          <w:tcPr>
            <w:tcW w:w="1196" w:type="dxa"/>
            <w:tcBorders>
              <w:top w:val="nil"/>
              <w:left w:val="nil"/>
              <w:bottom w:val="single" w:sz="4" w:space="0" w:color="auto"/>
              <w:right w:val="single" w:sz="4" w:space="0" w:color="auto"/>
            </w:tcBorders>
            <w:shd w:val="clear" w:color="000000" w:fill="FFFFFF"/>
            <w:vAlign w:val="center"/>
            <w:hideMark/>
          </w:tcPr>
          <w:p w14:paraId="1F851580" w14:textId="77777777" w:rsidR="000A6E2D" w:rsidRPr="000A6E2D" w:rsidRDefault="000A6E2D" w:rsidP="003E0728">
            <w:pPr>
              <w:pStyle w:val="Tables"/>
            </w:pPr>
            <w:r w:rsidRPr="000A6E2D">
              <w:t>100</w:t>
            </w:r>
          </w:p>
        </w:tc>
        <w:tc>
          <w:tcPr>
            <w:tcW w:w="1367" w:type="dxa"/>
            <w:tcBorders>
              <w:top w:val="nil"/>
              <w:left w:val="nil"/>
              <w:bottom w:val="single" w:sz="4" w:space="0" w:color="auto"/>
              <w:right w:val="single" w:sz="4" w:space="0" w:color="auto"/>
            </w:tcBorders>
            <w:shd w:val="clear" w:color="000000" w:fill="FFFFFF"/>
            <w:vAlign w:val="center"/>
            <w:hideMark/>
          </w:tcPr>
          <w:p w14:paraId="4F96A37E" w14:textId="77777777" w:rsidR="000A6E2D" w:rsidRPr="000A6E2D" w:rsidRDefault="000A6E2D" w:rsidP="003E0728">
            <w:pPr>
              <w:pStyle w:val="Tables"/>
            </w:pPr>
            <w:r w:rsidRPr="000A6E2D">
              <w:t>55.63</w:t>
            </w:r>
          </w:p>
        </w:tc>
        <w:tc>
          <w:tcPr>
            <w:tcW w:w="886" w:type="dxa"/>
            <w:tcBorders>
              <w:top w:val="nil"/>
              <w:left w:val="nil"/>
              <w:bottom w:val="single" w:sz="4" w:space="0" w:color="auto"/>
              <w:right w:val="single" w:sz="4" w:space="0" w:color="auto"/>
            </w:tcBorders>
            <w:shd w:val="clear" w:color="000000" w:fill="FFFFFF"/>
            <w:vAlign w:val="center"/>
            <w:hideMark/>
          </w:tcPr>
          <w:p w14:paraId="610B0A5D" w14:textId="77777777" w:rsidR="000A6E2D" w:rsidRPr="000A6E2D" w:rsidRDefault="000A6E2D" w:rsidP="003E0728">
            <w:pPr>
              <w:pStyle w:val="Tables"/>
            </w:pPr>
            <w:r w:rsidRPr="000A6E2D">
              <w:t>100</w:t>
            </w:r>
          </w:p>
        </w:tc>
      </w:tr>
      <w:tr w:rsidR="000A6E2D" w:rsidRPr="000A6E2D" w14:paraId="15287837" w14:textId="77777777" w:rsidTr="00C968D0">
        <w:trPr>
          <w:trHeight w:val="145"/>
          <w:jc w:val="center"/>
        </w:trPr>
        <w:tc>
          <w:tcPr>
            <w:tcW w:w="1196" w:type="dxa"/>
            <w:tcBorders>
              <w:top w:val="nil"/>
              <w:left w:val="single" w:sz="4" w:space="0" w:color="auto"/>
              <w:bottom w:val="single" w:sz="4" w:space="0" w:color="auto"/>
              <w:right w:val="single" w:sz="4" w:space="0" w:color="auto"/>
            </w:tcBorders>
            <w:shd w:val="clear" w:color="000000" w:fill="FFFFFF"/>
            <w:vAlign w:val="center"/>
            <w:hideMark/>
          </w:tcPr>
          <w:p w14:paraId="3DDF127C" w14:textId="77777777" w:rsidR="000A6E2D" w:rsidRPr="000A6E2D" w:rsidRDefault="000A6E2D" w:rsidP="003E0728">
            <w:pPr>
              <w:pStyle w:val="Tables"/>
            </w:pPr>
            <w:r w:rsidRPr="000A6E2D">
              <w:t>1929-30</w:t>
            </w:r>
          </w:p>
        </w:tc>
        <w:tc>
          <w:tcPr>
            <w:tcW w:w="1041" w:type="dxa"/>
            <w:tcBorders>
              <w:top w:val="nil"/>
              <w:left w:val="nil"/>
              <w:bottom w:val="single" w:sz="4" w:space="0" w:color="auto"/>
              <w:right w:val="single" w:sz="4" w:space="0" w:color="auto"/>
            </w:tcBorders>
            <w:shd w:val="clear" w:color="000000" w:fill="FFFFFF"/>
            <w:vAlign w:val="center"/>
            <w:hideMark/>
          </w:tcPr>
          <w:p w14:paraId="31D4F118" w14:textId="77777777" w:rsidR="000A6E2D" w:rsidRPr="000A6E2D" w:rsidRDefault="000A6E2D" w:rsidP="003E0728">
            <w:pPr>
              <w:pStyle w:val="Tables"/>
            </w:pPr>
            <w:r w:rsidRPr="000A6E2D">
              <w:t>97.08</w:t>
            </w:r>
          </w:p>
        </w:tc>
        <w:tc>
          <w:tcPr>
            <w:tcW w:w="1196" w:type="dxa"/>
            <w:tcBorders>
              <w:top w:val="nil"/>
              <w:left w:val="nil"/>
              <w:bottom w:val="single" w:sz="4" w:space="0" w:color="auto"/>
              <w:right w:val="single" w:sz="4" w:space="0" w:color="auto"/>
            </w:tcBorders>
            <w:shd w:val="clear" w:color="000000" w:fill="FFFFFF"/>
            <w:vAlign w:val="center"/>
            <w:hideMark/>
          </w:tcPr>
          <w:p w14:paraId="5131FB96" w14:textId="77777777" w:rsidR="000A6E2D" w:rsidRPr="000A6E2D" w:rsidRDefault="000A6E2D" w:rsidP="003E0728">
            <w:pPr>
              <w:pStyle w:val="Tables"/>
            </w:pPr>
            <w:r w:rsidRPr="000A6E2D">
              <w:t>138</w:t>
            </w:r>
          </w:p>
        </w:tc>
        <w:tc>
          <w:tcPr>
            <w:tcW w:w="1367" w:type="dxa"/>
            <w:tcBorders>
              <w:top w:val="nil"/>
              <w:left w:val="nil"/>
              <w:bottom w:val="single" w:sz="4" w:space="0" w:color="auto"/>
              <w:right w:val="single" w:sz="4" w:space="0" w:color="auto"/>
            </w:tcBorders>
            <w:shd w:val="clear" w:color="000000" w:fill="FFFFFF"/>
            <w:vAlign w:val="center"/>
            <w:hideMark/>
          </w:tcPr>
          <w:p w14:paraId="058D897B" w14:textId="77777777" w:rsidR="000A6E2D" w:rsidRPr="000A6E2D" w:rsidRDefault="000A6E2D" w:rsidP="003E0728">
            <w:pPr>
              <w:pStyle w:val="Tables"/>
            </w:pPr>
            <w:r w:rsidRPr="000A6E2D">
              <w:t>83.45</w:t>
            </w:r>
          </w:p>
        </w:tc>
        <w:tc>
          <w:tcPr>
            <w:tcW w:w="1196" w:type="dxa"/>
            <w:tcBorders>
              <w:top w:val="nil"/>
              <w:left w:val="nil"/>
              <w:bottom w:val="single" w:sz="4" w:space="0" w:color="auto"/>
              <w:right w:val="single" w:sz="4" w:space="0" w:color="auto"/>
            </w:tcBorders>
            <w:shd w:val="clear" w:color="000000" w:fill="FFFFFF"/>
            <w:vAlign w:val="center"/>
            <w:hideMark/>
          </w:tcPr>
          <w:p w14:paraId="21DFDAF3" w14:textId="77777777" w:rsidR="000A6E2D" w:rsidRPr="000A6E2D" w:rsidRDefault="000A6E2D" w:rsidP="003E0728">
            <w:pPr>
              <w:pStyle w:val="Tables"/>
            </w:pPr>
            <w:r w:rsidRPr="000A6E2D">
              <w:t>119</w:t>
            </w:r>
          </w:p>
        </w:tc>
        <w:tc>
          <w:tcPr>
            <w:tcW w:w="1041" w:type="dxa"/>
            <w:tcBorders>
              <w:top w:val="nil"/>
              <w:left w:val="nil"/>
              <w:bottom w:val="single" w:sz="4" w:space="0" w:color="auto"/>
              <w:right w:val="single" w:sz="4" w:space="0" w:color="auto"/>
            </w:tcBorders>
            <w:shd w:val="clear" w:color="000000" w:fill="FFFFFF"/>
            <w:vAlign w:val="center"/>
            <w:hideMark/>
          </w:tcPr>
          <w:p w14:paraId="23DF56A6" w14:textId="77777777" w:rsidR="000A6E2D" w:rsidRPr="000A6E2D" w:rsidRDefault="000A6E2D" w:rsidP="003E0728">
            <w:pPr>
              <w:pStyle w:val="Tables"/>
            </w:pPr>
            <w:r w:rsidRPr="000A6E2D">
              <w:t>80.09</w:t>
            </w:r>
          </w:p>
        </w:tc>
        <w:tc>
          <w:tcPr>
            <w:tcW w:w="1196" w:type="dxa"/>
            <w:tcBorders>
              <w:top w:val="nil"/>
              <w:left w:val="nil"/>
              <w:bottom w:val="single" w:sz="4" w:space="0" w:color="auto"/>
              <w:right w:val="single" w:sz="4" w:space="0" w:color="auto"/>
            </w:tcBorders>
            <w:shd w:val="clear" w:color="000000" w:fill="FFFFFF"/>
            <w:vAlign w:val="center"/>
            <w:hideMark/>
          </w:tcPr>
          <w:p w14:paraId="4A0BE4E3" w14:textId="77777777" w:rsidR="000A6E2D" w:rsidRPr="000A6E2D" w:rsidRDefault="000A6E2D" w:rsidP="003E0728">
            <w:pPr>
              <w:pStyle w:val="Tables"/>
            </w:pPr>
            <w:r w:rsidRPr="000A6E2D">
              <w:t>118</w:t>
            </w:r>
          </w:p>
        </w:tc>
        <w:tc>
          <w:tcPr>
            <w:tcW w:w="1367" w:type="dxa"/>
            <w:tcBorders>
              <w:top w:val="nil"/>
              <w:left w:val="nil"/>
              <w:bottom w:val="single" w:sz="4" w:space="0" w:color="auto"/>
              <w:right w:val="single" w:sz="4" w:space="0" w:color="auto"/>
            </w:tcBorders>
            <w:shd w:val="clear" w:color="000000" w:fill="FFFFFF"/>
            <w:vAlign w:val="center"/>
            <w:hideMark/>
          </w:tcPr>
          <w:p w14:paraId="4558B65A" w14:textId="77777777" w:rsidR="000A6E2D" w:rsidRPr="000A6E2D" w:rsidRDefault="000A6E2D" w:rsidP="003E0728">
            <w:pPr>
              <w:pStyle w:val="Tables"/>
            </w:pPr>
            <w:r w:rsidRPr="000A6E2D">
              <w:t>61.15</w:t>
            </w:r>
          </w:p>
        </w:tc>
        <w:tc>
          <w:tcPr>
            <w:tcW w:w="886" w:type="dxa"/>
            <w:tcBorders>
              <w:top w:val="nil"/>
              <w:left w:val="nil"/>
              <w:bottom w:val="single" w:sz="4" w:space="0" w:color="auto"/>
              <w:right w:val="single" w:sz="4" w:space="0" w:color="auto"/>
            </w:tcBorders>
            <w:shd w:val="clear" w:color="000000" w:fill="FFFFFF"/>
            <w:vAlign w:val="center"/>
            <w:hideMark/>
          </w:tcPr>
          <w:p w14:paraId="77586505" w14:textId="77777777" w:rsidR="000A6E2D" w:rsidRPr="000A6E2D" w:rsidRDefault="000A6E2D" w:rsidP="003E0728">
            <w:pPr>
              <w:pStyle w:val="Tables"/>
            </w:pPr>
            <w:r w:rsidRPr="000A6E2D">
              <w:t>110</w:t>
            </w:r>
          </w:p>
        </w:tc>
      </w:tr>
      <w:tr w:rsidR="000A6E2D" w:rsidRPr="000A6E2D" w14:paraId="72969D73" w14:textId="77777777" w:rsidTr="00C968D0">
        <w:trPr>
          <w:trHeight w:val="145"/>
          <w:jc w:val="center"/>
        </w:trPr>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989226" w14:textId="77777777" w:rsidR="000A6E2D" w:rsidRPr="000A6E2D" w:rsidRDefault="000A6E2D" w:rsidP="003E0728">
            <w:pPr>
              <w:pStyle w:val="Tables"/>
            </w:pPr>
            <w:r w:rsidRPr="000A6E2D">
              <w:t>1936-37</w:t>
            </w:r>
          </w:p>
        </w:tc>
        <w:tc>
          <w:tcPr>
            <w:tcW w:w="104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2B902D" w14:textId="77777777" w:rsidR="000A6E2D" w:rsidRPr="000A6E2D" w:rsidRDefault="000A6E2D" w:rsidP="003E0728">
            <w:pPr>
              <w:pStyle w:val="Tables"/>
            </w:pPr>
            <w:r w:rsidRPr="000A6E2D">
              <w:t>84.01</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46D60D" w14:textId="77777777" w:rsidR="000A6E2D" w:rsidRPr="000A6E2D" w:rsidRDefault="000A6E2D" w:rsidP="003E0728">
            <w:pPr>
              <w:pStyle w:val="Tables"/>
            </w:pPr>
            <w:r w:rsidRPr="000A6E2D">
              <w:t>119</w:t>
            </w:r>
          </w:p>
        </w:tc>
        <w:tc>
          <w:tcPr>
            <w:tcW w:w="13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8EAA68" w14:textId="77777777" w:rsidR="000A6E2D" w:rsidRPr="000A6E2D" w:rsidRDefault="000A6E2D" w:rsidP="003E0728">
            <w:pPr>
              <w:pStyle w:val="Tables"/>
            </w:pPr>
            <w:r w:rsidRPr="000A6E2D">
              <w:t>77.97</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2C3105" w14:textId="77777777" w:rsidR="000A6E2D" w:rsidRPr="000A6E2D" w:rsidRDefault="000A6E2D" w:rsidP="003E0728">
            <w:pPr>
              <w:pStyle w:val="Tables"/>
            </w:pPr>
            <w:r w:rsidRPr="000A6E2D">
              <w:t>112</w:t>
            </w:r>
          </w:p>
        </w:tc>
        <w:tc>
          <w:tcPr>
            <w:tcW w:w="104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617378" w14:textId="77777777" w:rsidR="000A6E2D" w:rsidRPr="000A6E2D" w:rsidRDefault="000A6E2D" w:rsidP="003E0728">
            <w:pPr>
              <w:pStyle w:val="Tables"/>
            </w:pPr>
            <w:r w:rsidRPr="000A6E2D">
              <w:t>79.94</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979698" w14:textId="77777777" w:rsidR="000A6E2D" w:rsidRPr="000A6E2D" w:rsidRDefault="000A6E2D" w:rsidP="003E0728">
            <w:pPr>
              <w:pStyle w:val="Tables"/>
            </w:pPr>
            <w:r w:rsidRPr="000A6E2D">
              <w:t>118</w:t>
            </w:r>
          </w:p>
        </w:tc>
        <w:tc>
          <w:tcPr>
            <w:tcW w:w="13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78EA16" w14:textId="77777777" w:rsidR="000A6E2D" w:rsidRPr="000A6E2D" w:rsidRDefault="000A6E2D" w:rsidP="003E0728">
            <w:pPr>
              <w:pStyle w:val="Tables"/>
            </w:pPr>
            <w:r w:rsidRPr="000A6E2D">
              <w:t>51.23</w:t>
            </w:r>
          </w:p>
        </w:tc>
        <w:tc>
          <w:tcPr>
            <w:tcW w:w="8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B90F8E" w14:textId="77777777" w:rsidR="000A6E2D" w:rsidRPr="000A6E2D" w:rsidRDefault="000A6E2D" w:rsidP="003E0728">
            <w:pPr>
              <w:pStyle w:val="Tables"/>
            </w:pPr>
            <w:r w:rsidRPr="000A6E2D">
              <w:t>92</w:t>
            </w:r>
          </w:p>
        </w:tc>
      </w:tr>
      <w:tr w:rsidR="000A6E2D" w:rsidRPr="000A6E2D" w14:paraId="554BF57A" w14:textId="77777777" w:rsidTr="00C968D0">
        <w:trPr>
          <w:trHeight w:val="145"/>
          <w:jc w:val="center"/>
        </w:trPr>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234BA7" w14:textId="77777777" w:rsidR="000A6E2D" w:rsidRPr="000A6E2D" w:rsidRDefault="000A6E2D" w:rsidP="003E0728">
            <w:pPr>
              <w:pStyle w:val="Tables"/>
            </w:pPr>
            <w:r w:rsidRPr="000A6E2D">
              <w:t> </w:t>
            </w:r>
          </w:p>
        </w:tc>
        <w:tc>
          <w:tcPr>
            <w:tcW w:w="1041" w:type="dxa"/>
            <w:tcBorders>
              <w:top w:val="single" w:sz="4" w:space="0" w:color="auto"/>
              <w:left w:val="nil"/>
              <w:bottom w:val="single" w:sz="4" w:space="0" w:color="auto"/>
              <w:right w:val="single" w:sz="4" w:space="0" w:color="auto"/>
            </w:tcBorders>
            <w:shd w:val="clear" w:color="000000" w:fill="FFFFFF"/>
            <w:vAlign w:val="center"/>
            <w:hideMark/>
          </w:tcPr>
          <w:p w14:paraId="4019F759" w14:textId="77777777" w:rsidR="000A6E2D" w:rsidRPr="000A6E2D" w:rsidRDefault="000A6E2D" w:rsidP="003E0728">
            <w:pPr>
              <w:pStyle w:val="Tables"/>
            </w:pPr>
            <w:r w:rsidRPr="000A6E2D">
              <w:t> </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3F32D538" w14:textId="77777777" w:rsidR="000A6E2D" w:rsidRPr="000A6E2D" w:rsidRDefault="000A6E2D" w:rsidP="003E0728">
            <w:pPr>
              <w:pStyle w:val="Tables"/>
            </w:pPr>
            <w:r w:rsidRPr="000A6E2D">
              <w:t> </w:t>
            </w:r>
          </w:p>
        </w:tc>
        <w:tc>
          <w:tcPr>
            <w:tcW w:w="1367" w:type="dxa"/>
            <w:tcBorders>
              <w:top w:val="single" w:sz="4" w:space="0" w:color="auto"/>
              <w:left w:val="nil"/>
              <w:bottom w:val="single" w:sz="4" w:space="0" w:color="auto"/>
              <w:right w:val="single" w:sz="4" w:space="0" w:color="auto"/>
            </w:tcBorders>
            <w:shd w:val="clear" w:color="000000" w:fill="FFFFFF"/>
            <w:vAlign w:val="center"/>
            <w:hideMark/>
          </w:tcPr>
          <w:p w14:paraId="1C2A8E8D" w14:textId="77777777" w:rsidR="000A6E2D" w:rsidRPr="000A6E2D" w:rsidRDefault="000A6E2D" w:rsidP="003E0728">
            <w:pPr>
              <w:pStyle w:val="Tables"/>
            </w:pPr>
            <w:r w:rsidRPr="000A6E2D">
              <w:t> </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27AB7C75" w14:textId="77777777" w:rsidR="000A6E2D" w:rsidRPr="000A6E2D" w:rsidRDefault="000A6E2D" w:rsidP="003E0728">
            <w:pPr>
              <w:pStyle w:val="Tables"/>
            </w:pPr>
            <w:r w:rsidRPr="000A6E2D">
              <w:t> </w:t>
            </w:r>
          </w:p>
        </w:tc>
        <w:tc>
          <w:tcPr>
            <w:tcW w:w="1041" w:type="dxa"/>
            <w:tcBorders>
              <w:top w:val="single" w:sz="4" w:space="0" w:color="auto"/>
              <w:left w:val="nil"/>
              <w:bottom w:val="single" w:sz="4" w:space="0" w:color="auto"/>
              <w:right w:val="single" w:sz="4" w:space="0" w:color="auto"/>
            </w:tcBorders>
            <w:shd w:val="clear" w:color="000000" w:fill="FFFFFF"/>
            <w:vAlign w:val="center"/>
            <w:hideMark/>
          </w:tcPr>
          <w:p w14:paraId="78D2680C" w14:textId="77777777" w:rsidR="000A6E2D" w:rsidRPr="000A6E2D" w:rsidRDefault="000A6E2D" w:rsidP="003E0728">
            <w:pPr>
              <w:pStyle w:val="Tables"/>
            </w:pPr>
            <w:r w:rsidRPr="000A6E2D">
              <w:t> </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3AEE8281" w14:textId="77777777" w:rsidR="000A6E2D" w:rsidRPr="000A6E2D" w:rsidRDefault="000A6E2D" w:rsidP="003E0728">
            <w:pPr>
              <w:pStyle w:val="Tables"/>
            </w:pPr>
            <w:r w:rsidRPr="000A6E2D">
              <w:t> </w:t>
            </w:r>
          </w:p>
        </w:tc>
        <w:tc>
          <w:tcPr>
            <w:tcW w:w="1367" w:type="dxa"/>
            <w:tcBorders>
              <w:top w:val="single" w:sz="4" w:space="0" w:color="auto"/>
              <w:left w:val="nil"/>
              <w:bottom w:val="single" w:sz="4" w:space="0" w:color="auto"/>
              <w:right w:val="single" w:sz="4" w:space="0" w:color="auto"/>
            </w:tcBorders>
            <w:shd w:val="clear" w:color="000000" w:fill="FFFFFF"/>
            <w:vAlign w:val="center"/>
            <w:hideMark/>
          </w:tcPr>
          <w:p w14:paraId="6B11694D" w14:textId="77777777" w:rsidR="000A6E2D" w:rsidRPr="000A6E2D" w:rsidRDefault="000A6E2D" w:rsidP="003E0728">
            <w:pPr>
              <w:pStyle w:val="Tables"/>
            </w:pPr>
            <w:r w:rsidRPr="000A6E2D">
              <w:t> </w:t>
            </w:r>
          </w:p>
        </w:tc>
        <w:tc>
          <w:tcPr>
            <w:tcW w:w="886" w:type="dxa"/>
            <w:tcBorders>
              <w:top w:val="single" w:sz="4" w:space="0" w:color="auto"/>
              <w:left w:val="nil"/>
              <w:bottom w:val="single" w:sz="4" w:space="0" w:color="auto"/>
              <w:right w:val="single" w:sz="4" w:space="0" w:color="auto"/>
            </w:tcBorders>
            <w:shd w:val="clear" w:color="000000" w:fill="FFFFFF"/>
            <w:vAlign w:val="center"/>
            <w:hideMark/>
          </w:tcPr>
          <w:p w14:paraId="16019208" w14:textId="77777777" w:rsidR="000A6E2D" w:rsidRPr="000A6E2D" w:rsidRDefault="000A6E2D" w:rsidP="003E0728">
            <w:pPr>
              <w:pStyle w:val="Tables"/>
            </w:pPr>
            <w:r w:rsidRPr="000A6E2D">
              <w:t> </w:t>
            </w:r>
          </w:p>
        </w:tc>
      </w:tr>
      <w:tr w:rsidR="000A6E2D" w:rsidRPr="000A6E2D" w14:paraId="59951C6D" w14:textId="77777777" w:rsidTr="00C968D0">
        <w:trPr>
          <w:trHeight w:val="145"/>
          <w:jc w:val="center"/>
        </w:trPr>
        <w:tc>
          <w:tcPr>
            <w:tcW w:w="1196" w:type="dxa"/>
            <w:tcBorders>
              <w:top w:val="nil"/>
              <w:left w:val="single" w:sz="4" w:space="0" w:color="auto"/>
              <w:bottom w:val="single" w:sz="4" w:space="0" w:color="auto"/>
              <w:right w:val="single" w:sz="4" w:space="0" w:color="auto"/>
            </w:tcBorders>
            <w:shd w:val="clear" w:color="000000" w:fill="FFFFFF"/>
            <w:vAlign w:val="center"/>
            <w:hideMark/>
          </w:tcPr>
          <w:p w14:paraId="5E15287A" w14:textId="77777777" w:rsidR="000A6E2D" w:rsidRPr="000A6E2D" w:rsidRDefault="000A6E2D" w:rsidP="003E0728">
            <w:pPr>
              <w:pStyle w:val="Tables"/>
            </w:pPr>
            <w:r w:rsidRPr="000A6E2D">
              <w:t>1937-38</w:t>
            </w:r>
          </w:p>
        </w:tc>
        <w:tc>
          <w:tcPr>
            <w:tcW w:w="1041" w:type="dxa"/>
            <w:tcBorders>
              <w:top w:val="nil"/>
              <w:left w:val="nil"/>
              <w:bottom w:val="single" w:sz="4" w:space="0" w:color="auto"/>
              <w:right w:val="single" w:sz="4" w:space="0" w:color="auto"/>
            </w:tcBorders>
            <w:shd w:val="clear" w:color="000000" w:fill="FFFFFF"/>
            <w:vAlign w:val="center"/>
            <w:hideMark/>
          </w:tcPr>
          <w:p w14:paraId="6CBEC462" w14:textId="77777777" w:rsidR="000A6E2D" w:rsidRPr="000A6E2D" w:rsidRDefault="000A6E2D" w:rsidP="003E0728">
            <w:pPr>
              <w:pStyle w:val="Tables"/>
            </w:pPr>
            <w:r w:rsidRPr="000A6E2D">
              <w:t>89.65</w:t>
            </w:r>
          </w:p>
        </w:tc>
        <w:tc>
          <w:tcPr>
            <w:tcW w:w="1196" w:type="dxa"/>
            <w:tcBorders>
              <w:top w:val="nil"/>
              <w:left w:val="nil"/>
              <w:bottom w:val="single" w:sz="4" w:space="0" w:color="auto"/>
              <w:right w:val="single" w:sz="4" w:space="0" w:color="auto"/>
            </w:tcBorders>
            <w:shd w:val="clear" w:color="000000" w:fill="FFFFFF"/>
            <w:vAlign w:val="center"/>
            <w:hideMark/>
          </w:tcPr>
          <w:p w14:paraId="6D80CB4D" w14:textId="77777777" w:rsidR="000A6E2D" w:rsidRPr="000A6E2D" w:rsidRDefault="000A6E2D" w:rsidP="003E0728">
            <w:pPr>
              <w:pStyle w:val="Tables"/>
            </w:pPr>
            <w:r w:rsidRPr="000A6E2D">
              <w:t>100</w:t>
            </w:r>
          </w:p>
        </w:tc>
        <w:tc>
          <w:tcPr>
            <w:tcW w:w="1367" w:type="dxa"/>
            <w:tcBorders>
              <w:top w:val="nil"/>
              <w:left w:val="nil"/>
              <w:bottom w:val="single" w:sz="4" w:space="0" w:color="auto"/>
              <w:right w:val="single" w:sz="4" w:space="0" w:color="auto"/>
            </w:tcBorders>
            <w:shd w:val="clear" w:color="000000" w:fill="FFFFFF"/>
            <w:vAlign w:val="center"/>
            <w:hideMark/>
          </w:tcPr>
          <w:p w14:paraId="010431CD" w14:textId="77777777" w:rsidR="000A6E2D" w:rsidRPr="000A6E2D" w:rsidRDefault="000A6E2D" w:rsidP="003E0728">
            <w:pPr>
              <w:pStyle w:val="Tables"/>
            </w:pPr>
            <w:r w:rsidRPr="000A6E2D">
              <w:t>78.66</w:t>
            </w:r>
          </w:p>
        </w:tc>
        <w:tc>
          <w:tcPr>
            <w:tcW w:w="1196" w:type="dxa"/>
            <w:tcBorders>
              <w:top w:val="nil"/>
              <w:left w:val="nil"/>
              <w:bottom w:val="single" w:sz="4" w:space="0" w:color="auto"/>
              <w:right w:val="single" w:sz="4" w:space="0" w:color="auto"/>
            </w:tcBorders>
            <w:shd w:val="clear" w:color="000000" w:fill="FFFFFF"/>
            <w:vAlign w:val="center"/>
            <w:hideMark/>
          </w:tcPr>
          <w:p w14:paraId="18F73D72" w14:textId="77777777" w:rsidR="000A6E2D" w:rsidRPr="000A6E2D" w:rsidRDefault="000A6E2D" w:rsidP="003E0728">
            <w:pPr>
              <w:pStyle w:val="Tables"/>
            </w:pPr>
            <w:r w:rsidRPr="000A6E2D">
              <w:t>100</w:t>
            </w:r>
          </w:p>
        </w:tc>
        <w:tc>
          <w:tcPr>
            <w:tcW w:w="1041" w:type="dxa"/>
            <w:tcBorders>
              <w:top w:val="nil"/>
              <w:left w:val="nil"/>
              <w:bottom w:val="single" w:sz="4" w:space="0" w:color="auto"/>
              <w:right w:val="single" w:sz="4" w:space="0" w:color="auto"/>
            </w:tcBorders>
            <w:shd w:val="clear" w:color="000000" w:fill="FFFFFF"/>
            <w:vAlign w:val="center"/>
            <w:hideMark/>
          </w:tcPr>
          <w:p w14:paraId="5FFD0C30" w14:textId="77777777" w:rsidR="000A6E2D" w:rsidRPr="000A6E2D" w:rsidRDefault="000A6E2D" w:rsidP="003E0728">
            <w:pPr>
              <w:pStyle w:val="Tables"/>
            </w:pPr>
            <w:r w:rsidRPr="000A6E2D">
              <w:t>78.96</w:t>
            </w:r>
          </w:p>
        </w:tc>
        <w:tc>
          <w:tcPr>
            <w:tcW w:w="1196" w:type="dxa"/>
            <w:tcBorders>
              <w:top w:val="nil"/>
              <w:left w:val="nil"/>
              <w:bottom w:val="single" w:sz="4" w:space="0" w:color="auto"/>
              <w:right w:val="single" w:sz="4" w:space="0" w:color="auto"/>
            </w:tcBorders>
            <w:shd w:val="clear" w:color="000000" w:fill="FFFFFF"/>
            <w:vAlign w:val="center"/>
            <w:hideMark/>
          </w:tcPr>
          <w:p w14:paraId="09C9879D" w14:textId="77777777" w:rsidR="000A6E2D" w:rsidRPr="000A6E2D" w:rsidRDefault="000A6E2D" w:rsidP="003E0728">
            <w:pPr>
              <w:pStyle w:val="Tables"/>
            </w:pPr>
            <w:r w:rsidRPr="000A6E2D">
              <w:t>100</w:t>
            </w:r>
          </w:p>
        </w:tc>
        <w:tc>
          <w:tcPr>
            <w:tcW w:w="1367" w:type="dxa"/>
            <w:tcBorders>
              <w:top w:val="nil"/>
              <w:left w:val="nil"/>
              <w:bottom w:val="single" w:sz="4" w:space="0" w:color="auto"/>
              <w:right w:val="single" w:sz="4" w:space="0" w:color="auto"/>
            </w:tcBorders>
            <w:shd w:val="clear" w:color="000000" w:fill="FFFFFF"/>
            <w:vAlign w:val="center"/>
            <w:hideMark/>
          </w:tcPr>
          <w:p w14:paraId="136438B4" w14:textId="77777777" w:rsidR="000A6E2D" w:rsidRPr="000A6E2D" w:rsidRDefault="000A6E2D" w:rsidP="003E0728">
            <w:pPr>
              <w:pStyle w:val="Tables"/>
            </w:pPr>
            <w:r w:rsidRPr="000A6E2D">
              <w:t>55.11</w:t>
            </w:r>
          </w:p>
        </w:tc>
        <w:tc>
          <w:tcPr>
            <w:tcW w:w="886" w:type="dxa"/>
            <w:tcBorders>
              <w:top w:val="nil"/>
              <w:left w:val="nil"/>
              <w:bottom w:val="single" w:sz="4" w:space="0" w:color="auto"/>
              <w:right w:val="single" w:sz="4" w:space="0" w:color="auto"/>
            </w:tcBorders>
            <w:shd w:val="clear" w:color="000000" w:fill="FFFFFF"/>
            <w:vAlign w:val="center"/>
            <w:hideMark/>
          </w:tcPr>
          <w:p w14:paraId="06DFFA61" w14:textId="77777777" w:rsidR="000A6E2D" w:rsidRPr="000A6E2D" w:rsidRDefault="000A6E2D" w:rsidP="003E0728">
            <w:pPr>
              <w:pStyle w:val="Tables"/>
            </w:pPr>
            <w:r w:rsidRPr="000A6E2D">
              <w:t>100</w:t>
            </w:r>
          </w:p>
        </w:tc>
      </w:tr>
      <w:tr w:rsidR="000A6E2D" w:rsidRPr="000A6E2D" w14:paraId="196112EA" w14:textId="77777777" w:rsidTr="00C968D0">
        <w:trPr>
          <w:trHeight w:val="145"/>
          <w:jc w:val="center"/>
        </w:trPr>
        <w:tc>
          <w:tcPr>
            <w:tcW w:w="1196" w:type="dxa"/>
            <w:tcBorders>
              <w:top w:val="nil"/>
              <w:left w:val="single" w:sz="4" w:space="0" w:color="auto"/>
              <w:bottom w:val="single" w:sz="4" w:space="0" w:color="auto"/>
              <w:right w:val="single" w:sz="4" w:space="0" w:color="auto"/>
            </w:tcBorders>
            <w:shd w:val="clear" w:color="000000" w:fill="FFFFFF"/>
            <w:vAlign w:val="center"/>
            <w:hideMark/>
          </w:tcPr>
          <w:p w14:paraId="48705C7C" w14:textId="77777777" w:rsidR="000A6E2D" w:rsidRPr="000A6E2D" w:rsidRDefault="000A6E2D" w:rsidP="003E0728">
            <w:pPr>
              <w:pStyle w:val="Tables"/>
            </w:pPr>
            <w:r w:rsidRPr="000A6E2D">
              <w:t>1944-45</w:t>
            </w:r>
          </w:p>
        </w:tc>
        <w:tc>
          <w:tcPr>
            <w:tcW w:w="1041" w:type="dxa"/>
            <w:tcBorders>
              <w:top w:val="nil"/>
              <w:left w:val="nil"/>
              <w:bottom w:val="single" w:sz="4" w:space="0" w:color="auto"/>
              <w:right w:val="single" w:sz="4" w:space="0" w:color="auto"/>
            </w:tcBorders>
            <w:shd w:val="clear" w:color="000000" w:fill="FFFFFF"/>
            <w:vAlign w:val="center"/>
            <w:hideMark/>
          </w:tcPr>
          <w:p w14:paraId="1998E78D" w14:textId="77777777" w:rsidR="000A6E2D" w:rsidRPr="000A6E2D" w:rsidRDefault="000A6E2D" w:rsidP="003E0728">
            <w:pPr>
              <w:pStyle w:val="Tables"/>
            </w:pPr>
            <w:r w:rsidRPr="000A6E2D">
              <w:t>363.74</w:t>
            </w:r>
          </w:p>
        </w:tc>
        <w:tc>
          <w:tcPr>
            <w:tcW w:w="1196" w:type="dxa"/>
            <w:tcBorders>
              <w:top w:val="nil"/>
              <w:left w:val="nil"/>
              <w:bottom w:val="single" w:sz="4" w:space="0" w:color="auto"/>
              <w:right w:val="single" w:sz="4" w:space="0" w:color="auto"/>
            </w:tcBorders>
            <w:shd w:val="clear" w:color="000000" w:fill="FFFFFF"/>
            <w:vAlign w:val="center"/>
            <w:hideMark/>
          </w:tcPr>
          <w:p w14:paraId="19F7D249" w14:textId="77777777" w:rsidR="000A6E2D" w:rsidRPr="000A6E2D" w:rsidRDefault="000A6E2D" w:rsidP="003E0728">
            <w:pPr>
              <w:pStyle w:val="Tables"/>
            </w:pPr>
            <w:r w:rsidRPr="000A6E2D">
              <w:t>407</w:t>
            </w:r>
          </w:p>
        </w:tc>
        <w:tc>
          <w:tcPr>
            <w:tcW w:w="1367" w:type="dxa"/>
            <w:tcBorders>
              <w:top w:val="nil"/>
              <w:left w:val="nil"/>
              <w:bottom w:val="single" w:sz="4" w:space="0" w:color="auto"/>
              <w:right w:val="single" w:sz="4" w:space="0" w:color="auto"/>
            </w:tcBorders>
            <w:shd w:val="clear" w:color="000000" w:fill="FFFFFF"/>
            <w:vAlign w:val="center"/>
            <w:hideMark/>
          </w:tcPr>
          <w:p w14:paraId="534AE7A0" w14:textId="77777777" w:rsidR="000A6E2D" w:rsidRPr="000A6E2D" w:rsidRDefault="000A6E2D" w:rsidP="003E0728">
            <w:pPr>
              <w:pStyle w:val="Tables"/>
            </w:pPr>
            <w:r w:rsidRPr="000A6E2D">
              <w:t>177.05</w:t>
            </w:r>
          </w:p>
        </w:tc>
        <w:tc>
          <w:tcPr>
            <w:tcW w:w="1196" w:type="dxa"/>
            <w:tcBorders>
              <w:top w:val="nil"/>
              <w:left w:val="nil"/>
              <w:bottom w:val="single" w:sz="4" w:space="0" w:color="auto"/>
              <w:right w:val="single" w:sz="4" w:space="0" w:color="auto"/>
            </w:tcBorders>
            <w:shd w:val="clear" w:color="000000" w:fill="FFFFFF"/>
            <w:vAlign w:val="center"/>
            <w:hideMark/>
          </w:tcPr>
          <w:p w14:paraId="7BA4CC4C" w14:textId="77777777" w:rsidR="000A6E2D" w:rsidRPr="000A6E2D" w:rsidRDefault="000A6E2D" w:rsidP="003E0728">
            <w:pPr>
              <w:pStyle w:val="Tables"/>
            </w:pPr>
            <w:r w:rsidRPr="000A6E2D">
              <w:t>225</w:t>
            </w:r>
          </w:p>
        </w:tc>
        <w:tc>
          <w:tcPr>
            <w:tcW w:w="1041" w:type="dxa"/>
            <w:tcBorders>
              <w:top w:val="nil"/>
              <w:left w:val="nil"/>
              <w:bottom w:val="single" w:sz="4" w:space="0" w:color="auto"/>
              <w:right w:val="single" w:sz="4" w:space="0" w:color="auto"/>
            </w:tcBorders>
            <w:shd w:val="clear" w:color="000000" w:fill="FFFFFF"/>
            <w:vAlign w:val="center"/>
            <w:hideMark/>
          </w:tcPr>
          <w:p w14:paraId="7C3E8461" w14:textId="77777777" w:rsidR="000A6E2D" w:rsidRPr="000A6E2D" w:rsidRDefault="000A6E2D" w:rsidP="003E0728">
            <w:pPr>
              <w:pStyle w:val="Tables"/>
            </w:pPr>
            <w:r w:rsidRPr="000A6E2D">
              <w:t>282.98</w:t>
            </w:r>
          </w:p>
        </w:tc>
        <w:tc>
          <w:tcPr>
            <w:tcW w:w="1196" w:type="dxa"/>
            <w:tcBorders>
              <w:top w:val="nil"/>
              <w:left w:val="nil"/>
              <w:bottom w:val="single" w:sz="4" w:space="0" w:color="auto"/>
              <w:right w:val="single" w:sz="4" w:space="0" w:color="auto"/>
            </w:tcBorders>
            <w:shd w:val="clear" w:color="000000" w:fill="FFFFFF"/>
            <w:vAlign w:val="center"/>
            <w:hideMark/>
          </w:tcPr>
          <w:p w14:paraId="05697859" w14:textId="77777777" w:rsidR="000A6E2D" w:rsidRPr="000A6E2D" w:rsidRDefault="000A6E2D" w:rsidP="003E0728">
            <w:pPr>
              <w:pStyle w:val="Tables"/>
            </w:pPr>
            <w:r w:rsidRPr="000A6E2D">
              <w:t>358</w:t>
            </w:r>
          </w:p>
        </w:tc>
        <w:tc>
          <w:tcPr>
            <w:tcW w:w="1367" w:type="dxa"/>
            <w:tcBorders>
              <w:top w:val="nil"/>
              <w:left w:val="nil"/>
              <w:bottom w:val="single" w:sz="4" w:space="0" w:color="auto"/>
              <w:right w:val="single" w:sz="4" w:space="0" w:color="auto"/>
            </w:tcBorders>
            <w:shd w:val="clear" w:color="000000" w:fill="FFFFFF"/>
            <w:vAlign w:val="center"/>
            <w:hideMark/>
          </w:tcPr>
          <w:p w14:paraId="3A3AB298" w14:textId="77777777" w:rsidR="000A6E2D" w:rsidRPr="000A6E2D" w:rsidRDefault="000A6E2D" w:rsidP="003E0728">
            <w:pPr>
              <w:pStyle w:val="Tables"/>
            </w:pPr>
            <w:r w:rsidRPr="000A6E2D">
              <w:t>117.66</w:t>
            </w:r>
          </w:p>
        </w:tc>
        <w:tc>
          <w:tcPr>
            <w:tcW w:w="886" w:type="dxa"/>
            <w:tcBorders>
              <w:top w:val="nil"/>
              <w:left w:val="nil"/>
              <w:bottom w:val="single" w:sz="4" w:space="0" w:color="auto"/>
              <w:right w:val="single" w:sz="4" w:space="0" w:color="auto"/>
            </w:tcBorders>
            <w:shd w:val="clear" w:color="000000" w:fill="FFFFFF"/>
            <w:vAlign w:val="center"/>
            <w:hideMark/>
          </w:tcPr>
          <w:p w14:paraId="78E236E6" w14:textId="77777777" w:rsidR="000A6E2D" w:rsidRPr="000A6E2D" w:rsidRDefault="000A6E2D" w:rsidP="003E0728">
            <w:pPr>
              <w:pStyle w:val="Tables"/>
            </w:pPr>
            <w:r w:rsidRPr="000A6E2D">
              <w:t>214</w:t>
            </w:r>
          </w:p>
        </w:tc>
      </w:tr>
      <w:tr w:rsidR="000A6E2D" w:rsidRPr="000A6E2D" w14:paraId="46CF5D8A" w14:textId="77777777" w:rsidTr="00C968D0">
        <w:trPr>
          <w:trHeight w:val="145"/>
          <w:jc w:val="center"/>
        </w:trPr>
        <w:tc>
          <w:tcPr>
            <w:tcW w:w="1196" w:type="dxa"/>
            <w:tcBorders>
              <w:top w:val="nil"/>
              <w:left w:val="single" w:sz="4" w:space="0" w:color="auto"/>
              <w:bottom w:val="single" w:sz="4" w:space="0" w:color="auto"/>
              <w:right w:val="single" w:sz="4" w:space="0" w:color="auto"/>
            </w:tcBorders>
            <w:shd w:val="clear" w:color="000000" w:fill="FFFFFF"/>
            <w:vAlign w:val="center"/>
            <w:hideMark/>
          </w:tcPr>
          <w:p w14:paraId="3C1F4A23" w14:textId="77777777" w:rsidR="000A6E2D" w:rsidRPr="000A6E2D" w:rsidRDefault="000A6E2D" w:rsidP="003E0728">
            <w:pPr>
              <w:pStyle w:val="Tables"/>
            </w:pPr>
            <w:r w:rsidRPr="000A6E2D">
              <w:t>1946-47</w:t>
            </w:r>
          </w:p>
        </w:tc>
        <w:tc>
          <w:tcPr>
            <w:tcW w:w="1041" w:type="dxa"/>
            <w:tcBorders>
              <w:top w:val="nil"/>
              <w:left w:val="nil"/>
              <w:bottom w:val="single" w:sz="4" w:space="0" w:color="auto"/>
              <w:right w:val="single" w:sz="4" w:space="0" w:color="auto"/>
            </w:tcBorders>
            <w:shd w:val="clear" w:color="000000" w:fill="FFFFFF"/>
            <w:vAlign w:val="center"/>
            <w:hideMark/>
          </w:tcPr>
          <w:p w14:paraId="176C0439" w14:textId="77777777" w:rsidR="000A6E2D" w:rsidRPr="000A6E2D" w:rsidRDefault="000A6E2D" w:rsidP="003E0728">
            <w:pPr>
              <w:pStyle w:val="Tables"/>
            </w:pPr>
            <w:r w:rsidRPr="000A6E2D">
              <w:t>375.63</w:t>
            </w:r>
          </w:p>
        </w:tc>
        <w:tc>
          <w:tcPr>
            <w:tcW w:w="1196" w:type="dxa"/>
            <w:tcBorders>
              <w:top w:val="nil"/>
              <w:left w:val="nil"/>
              <w:bottom w:val="single" w:sz="4" w:space="0" w:color="auto"/>
              <w:right w:val="single" w:sz="4" w:space="0" w:color="auto"/>
            </w:tcBorders>
            <w:shd w:val="clear" w:color="000000" w:fill="FFFFFF"/>
            <w:vAlign w:val="center"/>
            <w:hideMark/>
          </w:tcPr>
          <w:p w14:paraId="25EABA94" w14:textId="3488C4B2" w:rsidR="000A6E2D" w:rsidRPr="000A6E2D" w:rsidRDefault="000A6E2D" w:rsidP="003E0728">
            <w:pPr>
              <w:pStyle w:val="Tables"/>
            </w:pPr>
            <w:r w:rsidRPr="000A6E2D">
              <w:t>42</w:t>
            </w:r>
            <w:r w:rsidR="00D143B0">
              <w:t>6</w:t>
            </w:r>
          </w:p>
        </w:tc>
        <w:tc>
          <w:tcPr>
            <w:tcW w:w="1367" w:type="dxa"/>
            <w:tcBorders>
              <w:top w:val="nil"/>
              <w:left w:val="nil"/>
              <w:bottom w:val="single" w:sz="4" w:space="0" w:color="auto"/>
              <w:right w:val="single" w:sz="4" w:space="0" w:color="auto"/>
            </w:tcBorders>
            <w:shd w:val="clear" w:color="000000" w:fill="FFFFFF"/>
            <w:vAlign w:val="center"/>
            <w:hideMark/>
          </w:tcPr>
          <w:p w14:paraId="39047843" w14:textId="77777777" w:rsidR="000A6E2D" w:rsidRPr="000A6E2D" w:rsidRDefault="000A6E2D" w:rsidP="003E0728">
            <w:pPr>
              <w:pStyle w:val="Tables"/>
            </w:pPr>
            <w:r w:rsidRPr="000A6E2D">
              <w:t>211.82</w:t>
            </w:r>
          </w:p>
        </w:tc>
        <w:tc>
          <w:tcPr>
            <w:tcW w:w="1196" w:type="dxa"/>
            <w:tcBorders>
              <w:top w:val="nil"/>
              <w:left w:val="nil"/>
              <w:bottom w:val="single" w:sz="4" w:space="0" w:color="auto"/>
              <w:right w:val="single" w:sz="4" w:space="0" w:color="auto"/>
            </w:tcBorders>
            <w:shd w:val="clear" w:color="000000" w:fill="FFFFFF"/>
            <w:vAlign w:val="center"/>
            <w:hideMark/>
          </w:tcPr>
          <w:p w14:paraId="7B867A87" w14:textId="77777777" w:rsidR="000A6E2D" w:rsidRPr="000A6E2D" w:rsidRDefault="000A6E2D" w:rsidP="003E0728">
            <w:pPr>
              <w:pStyle w:val="Tables"/>
            </w:pPr>
            <w:r w:rsidRPr="000A6E2D">
              <w:t>269</w:t>
            </w:r>
          </w:p>
        </w:tc>
        <w:tc>
          <w:tcPr>
            <w:tcW w:w="1041" w:type="dxa"/>
            <w:tcBorders>
              <w:top w:val="nil"/>
              <w:left w:val="nil"/>
              <w:bottom w:val="single" w:sz="4" w:space="0" w:color="auto"/>
              <w:right w:val="single" w:sz="4" w:space="0" w:color="auto"/>
            </w:tcBorders>
            <w:shd w:val="clear" w:color="000000" w:fill="FFFFFF"/>
            <w:vAlign w:val="center"/>
            <w:hideMark/>
          </w:tcPr>
          <w:p w14:paraId="7117853A" w14:textId="77777777" w:rsidR="000A6E2D" w:rsidRPr="000A6E2D" w:rsidRDefault="000A6E2D" w:rsidP="003E0728">
            <w:pPr>
              <w:pStyle w:val="Tables"/>
            </w:pPr>
            <w:r w:rsidRPr="000A6E2D">
              <w:t>308.66</w:t>
            </w:r>
          </w:p>
        </w:tc>
        <w:tc>
          <w:tcPr>
            <w:tcW w:w="1196" w:type="dxa"/>
            <w:tcBorders>
              <w:top w:val="nil"/>
              <w:left w:val="nil"/>
              <w:bottom w:val="single" w:sz="4" w:space="0" w:color="auto"/>
              <w:right w:val="single" w:sz="4" w:space="0" w:color="auto"/>
            </w:tcBorders>
            <w:shd w:val="clear" w:color="000000" w:fill="FFFFFF"/>
            <w:vAlign w:val="center"/>
            <w:hideMark/>
          </w:tcPr>
          <w:p w14:paraId="2E5EE966" w14:textId="77777777" w:rsidR="000A6E2D" w:rsidRPr="000A6E2D" w:rsidRDefault="000A6E2D" w:rsidP="003E0728">
            <w:pPr>
              <w:pStyle w:val="Tables"/>
            </w:pPr>
            <w:r w:rsidRPr="000A6E2D">
              <w:t>391</w:t>
            </w:r>
          </w:p>
        </w:tc>
        <w:tc>
          <w:tcPr>
            <w:tcW w:w="1367" w:type="dxa"/>
            <w:tcBorders>
              <w:top w:val="nil"/>
              <w:left w:val="nil"/>
              <w:bottom w:val="single" w:sz="4" w:space="0" w:color="auto"/>
              <w:right w:val="single" w:sz="4" w:space="0" w:color="auto"/>
            </w:tcBorders>
            <w:shd w:val="clear" w:color="000000" w:fill="FFFFFF"/>
            <w:vAlign w:val="center"/>
            <w:hideMark/>
          </w:tcPr>
          <w:p w14:paraId="0A2CB41E" w14:textId="77777777" w:rsidR="000A6E2D" w:rsidRPr="000A6E2D" w:rsidRDefault="000A6E2D" w:rsidP="003E0728">
            <w:pPr>
              <w:pStyle w:val="Tables"/>
            </w:pPr>
            <w:r w:rsidRPr="000A6E2D">
              <w:t>134.76</w:t>
            </w:r>
          </w:p>
        </w:tc>
        <w:tc>
          <w:tcPr>
            <w:tcW w:w="886" w:type="dxa"/>
            <w:tcBorders>
              <w:top w:val="nil"/>
              <w:left w:val="nil"/>
              <w:bottom w:val="single" w:sz="4" w:space="0" w:color="auto"/>
              <w:right w:val="single" w:sz="4" w:space="0" w:color="auto"/>
            </w:tcBorders>
            <w:shd w:val="clear" w:color="000000" w:fill="FFFFFF"/>
            <w:vAlign w:val="center"/>
            <w:hideMark/>
          </w:tcPr>
          <w:p w14:paraId="70069001" w14:textId="77777777" w:rsidR="000A6E2D" w:rsidRPr="000A6E2D" w:rsidRDefault="000A6E2D" w:rsidP="003E0728">
            <w:pPr>
              <w:pStyle w:val="Tables"/>
            </w:pPr>
            <w:r w:rsidRPr="000A6E2D">
              <w:t>245</w:t>
            </w:r>
          </w:p>
        </w:tc>
      </w:tr>
      <w:tr w:rsidR="000A6E2D" w:rsidRPr="000A6E2D" w14:paraId="55366CB2" w14:textId="77777777" w:rsidTr="00C968D0">
        <w:trPr>
          <w:trHeight w:val="145"/>
          <w:jc w:val="center"/>
        </w:trPr>
        <w:tc>
          <w:tcPr>
            <w:tcW w:w="1196" w:type="dxa"/>
            <w:tcBorders>
              <w:top w:val="nil"/>
              <w:left w:val="single" w:sz="4" w:space="0" w:color="auto"/>
              <w:bottom w:val="single" w:sz="4" w:space="0" w:color="auto"/>
              <w:right w:val="single" w:sz="4" w:space="0" w:color="auto"/>
            </w:tcBorders>
            <w:shd w:val="clear" w:color="000000" w:fill="FFFFFF"/>
            <w:vAlign w:val="center"/>
            <w:hideMark/>
          </w:tcPr>
          <w:p w14:paraId="1C44559F" w14:textId="77777777" w:rsidR="000A6E2D" w:rsidRPr="000A6E2D" w:rsidRDefault="000A6E2D" w:rsidP="003E0728">
            <w:pPr>
              <w:pStyle w:val="Tables"/>
            </w:pPr>
            <w:r w:rsidRPr="000A6E2D">
              <w:t> </w:t>
            </w:r>
          </w:p>
        </w:tc>
        <w:tc>
          <w:tcPr>
            <w:tcW w:w="1041" w:type="dxa"/>
            <w:tcBorders>
              <w:top w:val="nil"/>
              <w:left w:val="nil"/>
              <w:bottom w:val="single" w:sz="4" w:space="0" w:color="auto"/>
              <w:right w:val="single" w:sz="4" w:space="0" w:color="auto"/>
            </w:tcBorders>
            <w:shd w:val="clear" w:color="000000" w:fill="FFFFFF"/>
            <w:vAlign w:val="center"/>
            <w:hideMark/>
          </w:tcPr>
          <w:p w14:paraId="04956A1D" w14:textId="77777777" w:rsidR="000A6E2D" w:rsidRPr="000A6E2D" w:rsidRDefault="000A6E2D" w:rsidP="003E0728">
            <w:pPr>
              <w:pStyle w:val="Tables"/>
            </w:pPr>
            <w:r w:rsidRPr="000A6E2D">
              <w:t> </w:t>
            </w:r>
          </w:p>
        </w:tc>
        <w:tc>
          <w:tcPr>
            <w:tcW w:w="1196" w:type="dxa"/>
            <w:tcBorders>
              <w:top w:val="nil"/>
              <w:left w:val="nil"/>
              <w:bottom w:val="single" w:sz="4" w:space="0" w:color="auto"/>
              <w:right w:val="single" w:sz="4" w:space="0" w:color="auto"/>
            </w:tcBorders>
            <w:shd w:val="clear" w:color="000000" w:fill="FFFFFF"/>
            <w:vAlign w:val="center"/>
            <w:hideMark/>
          </w:tcPr>
          <w:p w14:paraId="73149A99" w14:textId="77777777" w:rsidR="000A6E2D" w:rsidRPr="000A6E2D" w:rsidRDefault="000A6E2D" w:rsidP="003E0728">
            <w:pPr>
              <w:pStyle w:val="Tables"/>
            </w:pPr>
            <w:r w:rsidRPr="000A6E2D">
              <w:t> </w:t>
            </w:r>
          </w:p>
        </w:tc>
        <w:tc>
          <w:tcPr>
            <w:tcW w:w="1367" w:type="dxa"/>
            <w:tcBorders>
              <w:top w:val="nil"/>
              <w:left w:val="nil"/>
              <w:bottom w:val="single" w:sz="4" w:space="0" w:color="auto"/>
              <w:right w:val="single" w:sz="4" w:space="0" w:color="auto"/>
            </w:tcBorders>
            <w:shd w:val="clear" w:color="000000" w:fill="FFFFFF"/>
            <w:vAlign w:val="center"/>
            <w:hideMark/>
          </w:tcPr>
          <w:p w14:paraId="787BC508" w14:textId="77777777" w:rsidR="000A6E2D" w:rsidRPr="000A6E2D" w:rsidRDefault="000A6E2D" w:rsidP="003E0728">
            <w:pPr>
              <w:pStyle w:val="Tables"/>
            </w:pPr>
            <w:r w:rsidRPr="000A6E2D">
              <w:t> </w:t>
            </w:r>
          </w:p>
        </w:tc>
        <w:tc>
          <w:tcPr>
            <w:tcW w:w="1196" w:type="dxa"/>
            <w:tcBorders>
              <w:top w:val="nil"/>
              <w:left w:val="nil"/>
              <w:bottom w:val="single" w:sz="4" w:space="0" w:color="auto"/>
              <w:right w:val="single" w:sz="4" w:space="0" w:color="auto"/>
            </w:tcBorders>
            <w:shd w:val="clear" w:color="000000" w:fill="FFFFFF"/>
            <w:vAlign w:val="center"/>
            <w:hideMark/>
          </w:tcPr>
          <w:p w14:paraId="3F42C203" w14:textId="77777777" w:rsidR="000A6E2D" w:rsidRPr="000A6E2D" w:rsidRDefault="000A6E2D" w:rsidP="003E0728">
            <w:pPr>
              <w:pStyle w:val="Tables"/>
            </w:pPr>
            <w:r w:rsidRPr="000A6E2D">
              <w:t> </w:t>
            </w:r>
          </w:p>
        </w:tc>
        <w:tc>
          <w:tcPr>
            <w:tcW w:w="1041" w:type="dxa"/>
            <w:tcBorders>
              <w:top w:val="nil"/>
              <w:left w:val="nil"/>
              <w:bottom w:val="single" w:sz="4" w:space="0" w:color="auto"/>
              <w:right w:val="single" w:sz="4" w:space="0" w:color="auto"/>
            </w:tcBorders>
            <w:shd w:val="clear" w:color="000000" w:fill="FFFFFF"/>
            <w:vAlign w:val="center"/>
            <w:hideMark/>
          </w:tcPr>
          <w:p w14:paraId="7F19BB89" w14:textId="77777777" w:rsidR="000A6E2D" w:rsidRPr="000A6E2D" w:rsidRDefault="000A6E2D" w:rsidP="003E0728">
            <w:pPr>
              <w:pStyle w:val="Tables"/>
            </w:pPr>
            <w:r w:rsidRPr="000A6E2D">
              <w:t> </w:t>
            </w:r>
          </w:p>
        </w:tc>
        <w:tc>
          <w:tcPr>
            <w:tcW w:w="1196" w:type="dxa"/>
            <w:tcBorders>
              <w:top w:val="nil"/>
              <w:left w:val="nil"/>
              <w:bottom w:val="single" w:sz="4" w:space="0" w:color="auto"/>
              <w:right w:val="single" w:sz="4" w:space="0" w:color="auto"/>
            </w:tcBorders>
            <w:shd w:val="clear" w:color="000000" w:fill="FFFFFF"/>
            <w:vAlign w:val="center"/>
            <w:hideMark/>
          </w:tcPr>
          <w:p w14:paraId="193C7DCB" w14:textId="77777777" w:rsidR="000A6E2D" w:rsidRPr="000A6E2D" w:rsidRDefault="000A6E2D" w:rsidP="003E0728">
            <w:pPr>
              <w:pStyle w:val="Tables"/>
            </w:pPr>
            <w:r w:rsidRPr="000A6E2D">
              <w:t> </w:t>
            </w:r>
          </w:p>
        </w:tc>
        <w:tc>
          <w:tcPr>
            <w:tcW w:w="1367" w:type="dxa"/>
            <w:tcBorders>
              <w:top w:val="nil"/>
              <w:left w:val="nil"/>
              <w:bottom w:val="single" w:sz="4" w:space="0" w:color="auto"/>
              <w:right w:val="single" w:sz="4" w:space="0" w:color="auto"/>
            </w:tcBorders>
            <w:shd w:val="clear" w:color="000000" w:fill="FFFFFF"/>
            <w:vAlign w:val="center"/>
            <w:hideMark/>
          </w:tcPr>
          <w:p w14:paraId="40B29483" w14:textId="77777777" w:rsidR="000A6E2D" w:rsidRPr="000A6E2D" w:rsidRDefault="000A6E2D" w:rsidP="003E0728">
            <w:pPr>
              <w:pStyle w:val="Tables"/>
            </w:pPr>
            <w:r w:rsidRPr="000A6E2D">
              <w:t> </w:t>
            </w:r>
          </w:p>
        </w:tc>
        <w:tc>
          <w:tcPr>
            <w:tcW w:w="886" w:type="dxa"/>
            <w:tcBorders>
              <w:top w:val="nil"/>
              <w:left w:val="nil"/>
              <w:bottom w:val="single" w:sz="4" w:space="0" w:color="auto"/>
              <w:right w:val="single" w:sz="4" w:space="0" w:color="auto"/>
            </w:tcBorders>
            <w:shd w:val="clear" w:color="000000" w:fill="FFFFFF"/>
            <w:vAlign w:val="center"/>
            <w:hideMark/>
          </w:tcPr>
          <w:p w14:paraId="1DF82F2C" w14:textId="77777777" w:rsidR="000A6E2D" w:rsidRPr="000A6E2D" w:rsidRDefault="000A6E2D" w:rsidP="003E0728">
            <w:pPr>
              <w:pStyle w:val="Tables"/>
            </w:pPr>
            <w:r w:rsidRPr="000A6E2D">
              <w:t> </w:t>
            </w:r>
          </w:p>
        </w:tc>
      </w:tr>
      <w:tr w:rsidR="000A6E2D" w:rsidRPr="000A6E2D" w14:paraId="38E41717" w14:textId="77777777" w:rsidTr="00C968D0">
        <w:trPr>
          <w:trHeight w:val="291"/>
          <w:jc w:val="center"/>
        </w:trPr>
        <w:tc>
          <w:tcPr>
            <w:tcW w:w="1196" w:type="dxa"/>
            <w:tcBorders>
              <w:top w:val="nil"/>
              <w:left w:val="single" w:sz="4" w:space="0" w:color="auto"/>
              <w:bottom w:val="single" w:sz="4" w:space="0" w:color="auto"/>
              <w:right w:val="single" w:sz="4" w:space="0" w:color="auto"/>
            </w:tcBorders>
            <w:shd w:val="clear" w:color="000000" w:fill="FFFFFF"/>
            <w:vAlign w:val="center"/>
            <w:hideMark/>
          </w:tcPr>
          <w:p w14:paraId="23F4CDF8" w14:textId="77777777" w:rsidR="000A6E2D" w:rsidRPr="000A6E2D" w:rsidRDefault="000A6E2D" w:rsidP="003E0728">
            <w:pPr>
              <w:pStyle w:val="Tables"/>
            </w:pPr>
            <w:r w:rsidRPr="000A6E2D">
              <w:t>1948-49 (a)</w:t>
            </w:r>
          </w:p>
        </w:tc>
        <w:tc>
          <w:tcPr>
            <w:tcW w:w="1041" w:type="dxa"/>
            <w:tcBorders>
              <w:top w:val="nil"/>
              <w:left w:val="nil"/>
              <w:bottom w:val="single" w:sz="4" w:space="0" w:color="auto"/>
              <w:right w:val="single" w:sz="4" w:space="0" w:color="auto"/>
            </w:tcBorders>
            <w:shd w:val="clear" w:color="000000" w:fill="FFFFFF"/>
            <w:vAlign w:val="center"/>
            <w:hideMark/>
          </w:tcPr>
          <w:p w14:paraId="018E6CC1" w14:textId="77777777" w:rsidR="000A6E2D" w:rsidRPr="000A6E2D" w:rsidRDefault="000A6E2D" w:rsidP="003E0728">
            <w:pPr>
              <w:pStyle w:val="Tables"/>
            </w:pPr>
            <w:r w:rsidRPr="000A6E2D">
              <w:t>414.92</w:t>
            </w:r>
          </w:p>
        </w:tc>
        <w:tc>
          <w:tcPr>
            <w:tcW w:w="1196" w:type="dxa"/>
            <w:tcBorders>
              <w:top w:val="nil"/>
              <w:left w:val="nil"/>
              <w:bottom w:val="single" w:sz="4" w:space="0" w:color="auto"/>
              <w:right w:val="single" w:sz="4" w:space="0" w:color="auto"/>
            </w:tcBorders>
            <w:shd w:val="clear" w:color="000000" w:fill="FFFFFF"/>
            <w:vAlign w:val="center"/>
            <w:hideMark/>
          </w:tcPr>
          <w:p w14:paraId="4FEECA6E" w14:textId="77777777" w:rsidR="000A6E2D" w:rsidRPr="000A6E2D" w:rsidRDefault="000A6E2D" w:rsidP="003E0728">
            <w:pPr>
              <w:pStyle w:val="Tables"/>
            </w:pPr>
            <w:r w:rsidRPr="000A6E2D">
              <w:t>...</w:t>
            </w:r>
          </w:p>
        </w:tc>
        <w:tc>
          <w:tcPr>
            <w:tcW w:w="1367" w:type="dxa"/>
            <w:tcBorders>
              <w:top w:val="nil"/>
              <w:left w:val="nil"/>
              <w:bottom w:val="single" w:sz="4" w:space="0" w:color="auto"/>
              <w:right w:val="single" w:sz="4" w:space="0" w:color="auto"/>
            </w:tcBorders>
            <w:shd w:val="clear" w:color="000000" w:fill="FFFFFF"/>
            <w:vAlign w:val="center"/>
            <w:hideMark/>
          </w:tcPr>
          <w:p w14:paraId="16D8BF26" w14:textId="77777777" w:rsidR="000A6E2D" w:rsidRPr="000A6E2D" w:rsidRDefault="000A6E2D" w:rsidP="003E0728">
            <w:pPr>
              <w:pStyle w:val="Tables"/>
            </w:pPr>
            <w:r w:rsidRPr="000A6E2D">
              <w:t>186.67</w:t>
            </w:r>
          </w:p>
        </w:tc>
        <w:tc>
          <w:tcPr>
            <w:tcW w:w="1196" w:type="dxa"/>
            <w:tcBorders>
              <w:top w:val="nil"/>
              <w:left w:val="nil"/>
              <w:bottom w:val="single" w:sz="4" w:space="0" w:color="auto"/>
              <w:right w:val="single" w:sz="4" w:space="0" w:color="auto"/>
            </w:tcBorders>
            <w:shd w:val="clear" w:color="000000" w:fill="FFFFFF"/>
            <w:vAlign w:val="center"/>
            <w:hideMark/>
          </w:tcPr>
          <w:p w14:paraId="1429C3F0" w14:textId="77777777" w:rsidR="000A6E2D" w:rsidRPr="000A6E2D" w:rsidRDefault="000A6E2D" w:rsidP="003E0728">
            <w:pPr>
              <w:pStyle w:val="Tables"/>
            </w:pPr>
            <w:r w:rsidRPr="000A6E2D">
              <w:t>...</w:t>
            </w:r>
          </w:p>
        </w:tc>
        <w:tc>
          <w:tcPr>
            <w:tcW w:w="1041" w:type="dxa"/>
            <w:tcBorders>
              <w:top w:val="nil"/>
              <w:left w:val="nil"/>
              <w:bottom w:val="single" w:sz="4" w:space="0" w:color="auto"/>
              <w:right w:val="single" w:sz="4" w:space="0" w:color="auto"/>
            </w:tcBorders>
            <w:shd w:val="clear" w:color="000000" w:fill="FFFFFF"/>
            <w:vAlign w:val="center"/>
            <w:hideMark/>
          </w:tcPr>
          <w:p w14:paraId="214E8B55" w14:textId="77777777" w:rsidR="000A6E2D" w:rsidRPr="000A6E2D" w:rsidRDefault="000A6E2D" w:rsidP="003E0728">
            <w:pPr>
              <w:pStyle w:val="Tables"/>
            </w:pPr>
            <w:r w:rsidRPr="000A6E2D">
              <w:t>364.08</w:t>
            </w:r>
          </w:p>
        </w:tc>
        <w:tc>
          <w:tcPr>
            <w:tcW w:w="1196" w:type="dxa"/>
            <w:tcBorders>
              <w:top w:val="nil"/>
              <w:left w:val="nil"/>
              <w:bottom w:val="single" w:sz="4" w:space="0" w:color="auto"/>
              <w:right w:val="single" w:sz="4" w:space="0" w:color="auto"/>
            </w:tcBorders>
            <w:shd w:val="clear" w:color="000000" w:fill="FFFFFF"/>
            <w:vAlign w:val="center"/>
            <w:hideMark/>
          </w:tcPr>
          <w:p w14:paraId="5D43F7BF" w14:textId="77777777" w:rsidR="000A6E2D" w:rsidRPr="000A6E2D" w:rsidRDefault="000A6E2D" w:rsidP="003E0728">
            <w:pPr>
              <w:pStyle w:val="Tables"/>
            </w:pPr>
            <w:r w:rsidRPr="000A6E2D">
              <w:t>...</w:t>
            </w:r>
          </w:p>
        </w:tc>
        <w:tc>
          <w:tcPr>
            <w:tcW w:w="1367" w:type="dxa"/>
            <w:tcBorders>
              <w:top w:val="nil"/>
              <w:left w:val="nil"/>
              <w:bottom w:val="single" w:sz="4" w:space="0" w:color="auto"/>
              <w:right w:val="single" w:sz="4" w:space="0" w:color="auto"/>
            </w:tcBorders>
            <w:shd w:val="clear" w:color="000000" w:fill="FFFFFF"/>
            <w:vAlign w:val="center"/>
            <w:hideMark/>
          </w:tcPr>
          <w:p w14:paraId="13843940" w14:textId="77777777" w:rsidR="000A6E2D" w:rsidRPr="000A6E2D" w:rsidRDefault="000A6E2D" w:rsidP="003E0728">
            <w:pPr>
              <w:pStyle w:val="Tables"/>
            </w:pPr>
            <w:r w:rsidRPr="000A6E2D">
              <w:t>132.03</w:t>
            </w:r>
          </w:p>
        </w:tc>
        <w:tc>
          <w:tcPr>
            <w:tcW w:w="886" w:type="dxa"/>
            <w:tcBorders>
              <w:top w:val="nil"/>
              <w:left w:val="nil"/>
              <w:bottom w:val="single" w:sz="4" w:space="0" w:color="auto"/>
              <w:right w:val="single" w:sz="4" w:space="0" w:color="auto"/>
            </w:tcBorders>
            <w:shd w:val="clear" w:color="000000" w:fill="FFFFFF"/>
            <w:vAlign w:val="center"/>
            <w:hideMark/>
          </w:tcPr>
          <w:p w14:paraId="5294FE14" w14:textId="77777777" w:rsidR="000A6E2D" w:rsidRPr="000A6E2D" w:rsidRDefault="000A6E2D" w:rsidP="003E0728">
            <w:pPr>
              <w:pStyle w:val="Tables"/>
            </w:pPr>
            <w:r w:rsidRPr="000A6E2D">
              <w:t>...</w:t>
            </w:r>
          </w:p>
        </w:tc>
      </w:tr>
      <w:tr w:rsidR="000A6E2D" w:rsidRPr="000A6E2D" w14:paraId="1E4C7A42" w14:textId="77777777" w:rsidTr="00C968D0">
        <w:trPr>
          <w:trHeight w:val="145"/>
          <w:jc w:val="center"/>
        </w:trPr>
        <w:tc>
          <w:tcPr>
            <w:tcW w:w="1196" w:type="dxa"/>
            <w:tcBorders>
              <w:top w:val="nil"/>
              <w:left w:val="single" w:sz="4" w:space="0" w:color="auto"/>
              <w:bottom w:val="single" w:sz="4" w:space="0" w:color="auto"/>
              <w:right w:val="single" w:sz="4" w:space="0" w:color="auto"/>
            </w:tcBorders>
            <w:shd w:val="clear" w:color="000000" w:fill="FFFFFF"/>
            <w:vAlign w:val="center"/>
            <w:hideMark/>
          </w:tcPr>
          <w:p w14:paraId="21568E52" w14:textId="77777777" w:rsidR="000A6E2D" w:rsidRPr="000A6E2D" w:rsidRDefault="000A6E2D" w:rsidP="003E0728">
            <w:pPr>
              <w:pStyle w:val="Tables"/>
            </w:pPr>
            <w:r w:rsidRPr="000A6E2D">
              <w:t>1949-50</w:t>
            </w:r>
          </w:p>
        </w:tc>
        <w:tc>
          <w:tcPr>
            <w:tcW w:w="1041" w:type="dxa"/>
            <w:tcBorders>
              <w:top w:val="nil"/>
              <w:left w:val="nil"/>
              <w:bottom w:val="single" w:sz="4" w:space="0" w:color="auto"/>
              <w:right w:val="single" w:sz="4" w:space="0" w:color="auto"/>
            </w:tcBorders>
            <w:shd w:val="clear" w:color="000000" w:fill="FFFFFF"/>
            <w:vAlign w:val="center"/>
            <w:hideMark/>
          </w:tcPr>
          <w:p w14:paraId="109EA5C6" w14:textId="77777777" w:rsidR="000A6E2D" w:rsidRPr="000A6E2D" w:rsidRDefault="000A6E2D" w:rsidP="003E0728">
            <w:pPr>
              <w:pStyle w:val="Tables"/>
            </w:pPr>
            <w:r w:rsidRPr="000A6E2D">
              <w:t>398.06</w:t>
            </w:r>
          </w:p>
        </w:tc>
        <w:tc>
          <w:tcPr>
            <w:tcW w:w="1196" w:type="dxa"/>
            <w:tcBorders>
              <w:top w:val="nil"/>
              <w:left w:val="nil"/>
              <w:bottom w:val="single" w:sz="4" w:space="0" w:color="auto"/>
              <w:right w:val="single" w:sz="4" w:space="0" w:color="auto"/>
            </w:tcBorders>
            <w:shd w:val="clear" w:color="000000" w:fill="FFFFFF"/>
            <w:vAlign w:val="center"/>
            <w:hideMark/>
          </w:tcPr>
          <w:p w14:paraId="314A696F" w14:textId="77777777" w:rsidR="000A6E2D" w:rsidRPr="000A6E2D" w:rsidRDefault="000A6E2D" w:rsidP="003E0728">
            <w:pPr>
              <w:pStyle w:val="Tables"/>
            </w:pPr>
            <w:r w:rsidRPr="000A6E2D">
              <w:t>100</w:t>
            </w:r>
          </w:p>
        </w:tc>
        <w:tc>
          <w:tcPr>
            <w:tcW w:w="1367" w:type="dxa"/>
            <w:tcBorders>
              <w:top w:val="nil"/>
              <w:left w:val="nil"/>
              <w:bottom w:val="single" w:sz="4" w:space="0" w:color="auto"/>
              <w:right w:val="single" w:sz="4" w:space="0" w:color="auto"/>
            </w:tcBorders>
            <w:shd w:val="clear" w:color="000000" w:fill="FFFFFF"/>
            <w:vAlign w:val="center"/>
            <w:hideMark/>
          </w:tcPr>
          <w:p w14:paraId="0EBB8C43" w14:textId="77777777" w:rsidR="000A6E2D" w:rsidRPr="000A6E2D" w:rsidRDefault="000A6E2D" w:rsidP="003E0728">
            <w:pPr>
              <w:pStyle w:val="Tables"/>
            </w:pPr>
            <w:r w:rsidRPr="000A6E2D">
              <w:t>217.14</w:t>
            </w:r>
          </w:p>
        </w:tc>
        <w:tc>
          <w:tcPr>
            <w:tcW w:w="1196" w:type="dxa"/>
            <w:tcBorders>
              <w:top w:val="nil"/>
              <w:left w:val="nil"/>
              <w:bottom w:val="single" w:sz="4" w:space="0" w:color="auto"/>
              <w:right w:val="single" w:sz="4" w:space="0" w:color="auto"/>
            </w:tcBorders>
            <w:shd w:val="clear" w:color="000000" w:fill="FFFFFF"/>
            <w:vAlign w:val="center"/>
            <w:hideMark/>
          </w:tcPr>
          <w:p w14:paraId="4C009E03" w14:textId="77777777" w:rsidR="000A6E2D" w:rsidRPr="000A6E2D" w:rsidRDefault="000A6E2D" w:rsidP="003E0728">
            <w:pPr>
              <w:pStyle w:val="Tables"/>
            </w:pPr>
            <w:r w:rsidRPr="000A6E2D">
              <w:t>100</w:t>
            </w:r>
          </w:p>
        </w:tc>
        <w:tc>
          <w:tcPr>
            <w:tcW w:w="1041" w:type="dxa"/>
            <w:tcBorders>
              <w:top w:val="nil"/>
              <w:left w:val="nil"/>
              <w:bottom w:val="single" w:sz="4" w:space="0" w:color="auto"/>
              <w:right w:val="single" w:sz="4" w:space="0" w:color="auto"/>
            </w:tcBorders>
            <w:shd w:val="clear" w:color="000000" w:fill="FFFFFF"/>
            <w:vAlign w:val="center"/>
            <w:hideMark/>
          </w:tcPr>
          <w:p w14:paraId="4EBAB15B" w14:textId="77777777" w:rsidR="000A6E2D" w:rsidRPr="000A6E2D" w:rsidRDefault="000A6E2D" w:rsidP="003E0728">
            <w:pPr>
              <w:pStyle w:val="Tables"/>
            </w:pPr>
            <w:r w:rsidRPr="000A6E2D">
              <w:t>360.46</w:t>
            </w:r>
          </w:p>
        </w:tc>
        <w:tc>
          <w:tcPr>
            <w:tcW w:w="1196" w:type="dxa"/>
            <w:tcBorders>
              <w:top w:val="nil"/>
              <w:left w:val="nil"/>
              <w:bottom w:val="single" w:sz="4" w:space="0" w:color="auto"/>
              <w:right w:val="single" w:sz="4" w:space="0" w:color="auto"/>
            </w:tcBorders>
            <w:shd w:val="clear" w:color="000000" w:fill="FFFFFF"/>
            <w:vAlign w:val="center"/>
            <w:hideMark/>
          </w:tcPr>
          <w:p w14:paraId="6B32C8D9" w14:textId="77777777" w:rsidR="000A6E2D" w:rsidRPr="000A6E2D" w:rsidRDefault="000A6E2D" w:rsidP="003E0728">
            <w:pPr>
              <w:pStyle w:val="Tables"/>
            </w:pPr>
            <w:r w:rsidRPr="000A6E2D">
              <w:t>100</w:t>
            </w:r>
          </w:p>
        </w:tc>
        <w:tc>
          <w:tcPr>
            <w:tcW w:w="1367" w:type="dxa"/>
            <w:tcBorders>
              <w:top w:val="nil"/>
              <w:left w:val="nil"/>
              <w:bottom w:val="single" w:sz="4" w:space="0" w:color="auto"/>
              <w:right w:val="single" w:sz="4" w:space="0" w:color="auto"/>
            </w:tcBorders>
            <w:shd w:val="clear" w:color="000000" w:fill="FFFFFF"/>
            <w:vAlign w:val="center"/>
            <w:hideMark/>
          </w:tcPr>
          <w:p w14:paraId="1650100A" w14:textId="77777777" w:rsidR="000A6E2D" w:rsidRPr="000A6E2D" w:rsidRDefault="000A6E2D" w:rsidP="003E0728">
            <w:pPr>
              <w:pStyle w:val="Tables"/>
            </w:pPr>
            <w:r w:rsidRPr="000A6E2D">
              <w:t>154.31</w:t>
            </w:r>
          </w:p>
        </w:tc>
        <w:tc>
          <w:tcPr>
            <w:tcW w:w="886" w:type="dxa"/>
            <w:tcBorders>
              <w:top w:val="nil"/>
              <w:left w:val="nil"/>
              <w:bottom w:val="single" w:sz="4" w:space="0" w:color="auto"/>
              <w:right w:val="single" w:sz="4" w:space="0" w:color="auto"/>
            </w:tcBorders>
            <w:shd w:val="clear" w:color="000000" w:fill="FFFFFF"/>
            <w:vAlign w:val="center"/>
            <w:hideMark/>
          </w:tcPr>
          <w:p w14:paraId="188415FE" w14:textId="77777777" w:rsidR="000A6E2D" w:rsidRPr="000A6E2D" w:rsidRDefault="000A6E2D" w:rsidP="003E0728">
            <w:pPr>
              <w:pStyle w:val="Tables"/>
            </w:pPr>
            <w:r w:rsidRPr="000A6E2D">
              <w:t>100</w:t>
            </w:r>
          </w:p>
        </w:tc>
      </w:tr>
      <w:tr w:rsidR="000A6E2D" w:rsidRPr="000A6E2D" w14:paraId="58CC7DDE" w14:textId="77777777" w:rsidTr="00C968D0">
        <w:trPr>
          <w:trHeight w:val="145"/>
          <w:jc w:val="center"/>
        </w:trPr>
        <w:tc>
          <w:tcPr>
            <w:tcW w:w="1196" w:type="dxa"/>
            <w:tcBorders>
              <w:top w:val="nil"/>
              <w:left w:val="single" w:sz="4" w:space="0" w:color="auto"/>
              <w:bottom w:val="single" w:sz="4" w:space="0" w:color="auto"/>
              <w:right w:val="single" w:sz="4" w:space="0" w:color="auto"/>
            </w:tcBorders>
            <w:shd w:val="clear" w:color="000000" w:fill="FFFFFF"/>
            <w:vAlign w:val="center"/>
            <w:hideMark/>
          </w:tcPr>
          <w:p w14:paraId="76FAE64D" w14:textId="77777777" w:rsidR="000A6E2D" w:rsidRPr="000A6E2D" w:rsidRDefault="000A6E2D" w:rsidP="003E0728">
            <w:pPr>
              <w:pStyle w:val="Tables"/>
            </w:pPr>
            <w:r w:rsidRPr="000A6E2D">
              <w:t>1950-51</w:t>
            </w:r>
          </w:p>
        </w:tc>
        <w:tc>
          <w:tcPr>
            <w:tcW w:w="1041" w:type="dxa"/>
            <w:tcBorders>
              <w:top w:val="nil"/>
              <w:left w:val="nil"/>
              <w:bottom w:val="single" w:sz="4" w:space="0" w:color="auto"/>
              <w:right w:val="single" w:sz="4" w:space="0" w:color="auto"/>
            </w:tcBorders>
            <w:shd w:val="clear" w:color="000000" w:fill="FFFFFF"/>
            <w:vAlign w:val="center"/>
            <w:hideMark/>
          </w:tcPr>
          <w:p w14:paraId="12621E3F" w14:textId="77777777" w:rsidR="000A6E2D" w:rsidRPr="000A6E2D" w:rsidRDefault="000A6E2D" w:rsidP="003E0728">
            <w:pPr>
              <w:pStyle w:val="Tables"/>
            </w:pPr>
            <w:r w:rsidRPr="000A6E2D">
              <w:t>458.18</w:t>
            </w:r>
          </w:p>
        </w:tc>
        <w:tc>
          <w:tcPr>
            <w:tcW w:w="1196" w:type="dxa"/>
            <w:tcBorders>
              <w:top w:val="nil"/>
              <w:left w:val="nil"/>
              <w:bottom w:val="single" w:sz="4" w:space="0" w:color="auto"/>
              <w:right w:val="single" w:sz="4" w:space="0" w:color="auto"/>
            </w:tcBorders>
            <w:shd w:val="clear" w:color="000000" w:fill="FFFFFF"/>
            <w:vAlign w:val="center"/>
            <w:hideMark/>
          </w:tcPr>
          <w:p w14:paraId="592F1D8B" w14:textId="77777777" w:rsidR="000A6E2D" w:rsidRPr="000A6E2D" w:rsidRDefault="000A6E2D" w:rsidP="003E0728">
            <w:pPr>
              <w:pStyle w:val="Tables"/>
            </w:pPr>
            <w:r w:rsidRPr="000A6E2D">
              <w:t>115</w:t>
            </w:r>
          </w:p>
        </w:tc>
        <w:tc>
          <w:tcPr>
            <w:tcW w:w="1367" w:type="dxa"/>
            <w:tcBorders>
              <w:top w:val="nil"/>
              <w:left w:val="nil"/>
              <w:bottom w:val="single" w:sz="4" w:space="0" w:color="auto"/>
              <w:right w:val="single" w:sz="4" w:space="0" w:color="auto"/>
            </w:tcBorders>
            <w:shd w:val="clear" w:color="000000" w:fill="FFFFFF"/>
            <w:vAlign w:val="center"/>
            <w:hideMark/>
          </w:tcPr>
          <w:p w14:paraId="7F8D4259" w14:textId="77777777" w:rsidR="000A6E2D" w:rsidRPr="000A6E2D" w:rsidRDefault="000A6E2D" w:rsidP="003E0728">
            <w:pPr>
              <w:pStyle w:val="Tables"/>
            </w:pPr>
            <w:r w:rsidRPr="000A6E2D">
              <w:t>234.05</w:t>
            </w:r>
          </w:p>
        </w:tc>
        <w:tc>
          <w:tcPr>
            <w:tcW w:w="1196" w:type="dxa"/>
            <w:tcBorders>
              <w:top w:val="nil"/>
              <w:left w:val="nil"/>
              <w:bottom w:val="single" w:sz="4" w:space="0" w:color="auto"/>
              <w:right w:val="single" w:sz="4" w:space="0" w:color="auto"/>
            </w:tcBorders>
            <w:shd w:val="clear" w:color="000000" w:fill="FFFFFF"/>
            <w:vAlign w:val="center"/>
            <w:hideMark/>
          </w:tcPr>
          <w:p w14:paraId="69373CE7" w14:textId="77777777" w:rsidR="000A6E2D" w:rsidRPr="000A6E2D" w:rsidRDefault="000A6E2D" w:rsidP="003E0728">
            <w:pPr>
              <w:pStyle w:val="Tables"/>
            </w:pPr>
            <w:r w:rsidRPr="000A6E2D">
              <w:t>108</w:t>
            </w:r>
          </w:p>
        </w:tc>
        <w:tc>
          <w:tcPr>
            <w:tcW w:w="1041" w:type="dxa"/>
            <w:tcBorders>
              <w:top w:val="nil"/>
              <w:left w:val="nil"/>
              <w:bottom w:val="single" w:sz="4" w:space="0" w:color="auto"/>
              <w:right w:val="single" w:sz="4" w:space="0" w:color="auto"/>
            </w:tcBorders>
            <w:shd w:val="clear" w:color="000000" w:fill="FFFFFF"/>
            <w:vAlign w:val="center"/>
            <w:hideMark/>
          </w:tcPr>
          <w:p w14:paraId="07284B67" w14:textId="77777777" w:rsidR="000A6E2D" w:rsidRPr="000A6E2D" w:rsidRDefault="000A6E2D" w:rsidP="003E0728">
            <w:pPr>
              <w:pStyle w:val="Tables"/>
            </w:pPr>
            <w:r w:rsidRPr="000A6E2D">
              <w:t>407.38</w:t>
            </w:r>
          </w:p>
        </w:tc>
        <w:tc>
          <w:tcPr>
            <w:tcW w:w="1196" w:type="dxa"/>
            <w:tcBorders>
              <w:top w:val="nil"/>
              <w:left w:val="nil"/>
              <w:bottom w:val="single" w:sz="4" w:space="0" w:color="auto"/>
              <w:right w:val="single" w:sz="4" w:space="0" w:color="auto"/>
            </w:tcBorders>
            <w:shd w:val="clear" w:color="000000" w:fill="FFFFFF"/>
            <w:vAlign w:val="center"/>
            <w:hideMark/>
          </w:tcPr>
          <w:p w14:paraId="2FE16DF5" w14:textId="77777777" w:rsidR="000A6E2D" w:rsidRPr="000A6E2D" w:rsidRDefault="000A6E2D" w:rsidP="003E0728">
            <w:pPr>
              <w:pStyle w:val="Tables"/>
            </w:pPr>
            <w:r w:rsidRPr="000A6E2D">
              <w:t>113</w:t>
            </w:r>
          </w:p>
        </w:tc>
        <w:tc>
          <w:tcPr>
            <w:tcW w:w="1367" w:type="dxa"/>
            <w:tcBorders>
              <w:top w:val="nil"/>
              <w:left w:val="nil"/>
              <w:bottom w:val="single" w:sz="4" w:space="0" w:color="auto"/>
              <w:right w:val="single" w:sz="4" w:space="0" w:color="auto"/>
            </w:tcBorders>
            <w:shd w:val="clear" w:color="000000" w:fill="FFFFFF"/>
            <w:vAlign w:val="center"/>
            <w:hideMark/>
          </w:tcPr>
          <w:p w14:paraId="76442B0A" w14:textId="77777777" w:rsidR="000A6E2D" w:rsidRPr="000A6E2D" w:rsidRDefault="000A6E2D" w:rsidP="003E0728">
            <w:pPr>
              <w:pStyle w:val="Tables"/>
            </w:pPr>
            <w:r w:rsidRPr="000A6E2D">
              <w:t>162.91</w:t>
            </w:r>
          </w:p>
        </w:tc>
        <w:tc>
          <w:tcPr>
            <w:tcW w:w="886" w:type="dxa"/>
            <w:tcBorders>
              <w:top w:val="nil"/>
              <w:left w:val="nil"/>
              <w:bottom w:val="single" w:sz="4" w:space="0" w:color="auto"/>
              <w:right w:val="single" w:sz="4" w:space="0" w:color="auto"/>
            </w:tcBorders>
            <w:shd w:val="clear" w:color="000000" w:fill="FFFFFF"/>
            <w:vAlign w:val="center"/>
            <w:hideMark/>
          </w:tcPr>
          <w:p w14:paraId="30341313" w14:textId="77777777" w:rsidR="000A6E2D" w:rsidRPr="000A6E2D" w:rsidRDefault="000A6E2D" w:rsidP="003E0728">
            <w:pPr>
              <w:pStyle w:val="Tables"/>
            </w:pPr>
            <w:r w:rsidRPr="000A6E2D">
              <w:t>106</w:t>
            </w:r>
          </w:p>
        </w:tc>
      </w:tr>
      <w:tr w:rsidR="000A6E2D" w:rsidRPr="000A6E2D" w14:paraId="26229F4F" w14:textId="77777777" w:rsidTr="00C968D0">
        <w:trPr>
          <w:trHeight w:val="291"/>
          <w:jc w:val="center"/>
        </w:trPr>
        <w:tc>
          <w:tcPr>
            <w:tcW w:w="1196" w:type="dxa"/>
            <w:tcBorders>
              <w:top w:val="nil"/>
              <w:left w:val="single" w:sz="4" w:space="0" w:color="auto"/>
              <w:bottom w:val="single" w:sz="4" w:space="0" w:color="auto"/>
              <w:right w:val="single" w:sz="4" w:space="0" w:color="auto"/>
            </w:tcBorders>
            <w:shd w:val="clear" w:color="000000" w:fill="FFFFFF"/>
            <w:vAlign w:val="center"/>
            <w:hideMark/>
          </w:tcPr>
          <w:p w14:paraId="38058FCE" w14:textId="77777777" w:rsidR="000A6E2D" w:rsidRPr="000A6E2D" w:rsidRDefault="000A6E2D" w:rsidP="003E0728">
            <w:pPr>
              <w:pStyle w:val="Tables"/>
            </w:pPr>
            <w:r w:rsidRPr="000A6E2D">
              <w:t>1951-52</w:t>
            </w:r>
          </w:p>
        </w:tc>
        <w:tc>
          <w:tcPr>
            <w:tcW w:w="1041" w:type="dxa"/>
            <w:tcBorders>
              <w:top w:val="nil"/>
              <w:left w:val="nil"/>
              <w:bottom w:val="single" w:sz="4" w:space="0" w:color="auto"/>
              <w:right w:val="single" w:sz="4" w:space="0" w:color="auto"/>
            </w:tcBorders>
            <w:shd w:val="clear" w:color="000000" w:fill="FFFFFF"/>
            <w:vAlign w:val="center"/>
            <w:hideMark/>
          </w:tcPr>
          <w:p w14:paraId="486AA9BA" w14:textId="77777777" w:rsidR="000A6E2D" w:rsidRPr="000A6E2D" w:rsidRDefault="000A6E2D" w:rsidP="003E0728">
            <w:pPr>
              <w:pStyle w:val="Tables"/>
            </w:pPr>
            <w:r w:rsidRPr="000A6E2D">
              <w:t>(b) 550.37</w:t>
            </w:r>
          </w:p>
        </w:tc>
        <w:tc>
          <w:tcPr>
            <w:tcW w:w="1196" w:type="dxa"/>
            <w:tcBorders>
              <w:top w:val="nil"/>
              <w:left w:val="nil"/>
              <w:bottom w:val="single" w:sz="4" w:space="0" w:color="auto"/>
              <w:right w:val="single" w:sz="4" w:space="0" w:color="auto"/>
            </w:tcBorders>
            <w:shd w:val="clear" w:color="000000" w:fill="FFFFFF"/>
            <w:vAlign w:val="center"/>
            <w:hideMark/>
          </w:tcPr>
          <w:p w14:paraId="3EFE20E2" w14:textId="77777777" w:rsidR="000A6E2D" w:rsidRPr="000A6E2D" w:rsidRDefault="000A6E2D" w:rsidP="003E0728">
            <w:pPr>
              <w:pStyle w:val="Tables"/>
            </w:pPr>
            <w:r w:rsidRPr="000A6E2D">
              <w:t>138</w:t>
            </w:r>
          </w:p>
        </w:tc>
        <w:tc>
          <w:tcPr>
            <w:tcW w:w="1367" w:type="dxa"/>
            <w:tcBorders>
              <w:top w:val="nil"/>
              <w:left w:val="nil"/>
              <w:bottom w:val="single" w:sz="4" w:space="0" w:color="auto"/>
              <w:right w:val="single" w:sz="4" w:space="0" w:color="auto"/>
            </w:tcBorders>
            <w:shd w:val="clear" w:color="000000" w:fill="FFFFFF"/>
            <w:vAlign w:val="center"/>
            <w:hideMark/>
          </w:tcPr>
          <w:p w14:paraId="36404F8D" w14:textId="77777777" w:rsidR="000A6E2D" w:rsidRPr="000A6E2D" w:rsidRDefault="000A6E2D" w:rsidP="003E0728">
            <w:pPr>
              <w:pStyle w:val="Tables"/>
            </w:pPr>
            <w:r w:rsidRPr="000A6E2D">
              <w:t>(c) 242.30</w:t>
            </w:r>
          </w:p>
        </w:tc>
        <w:tc>
          <w:tcPr>
            <w:tcW w:w="1196" w:type="dxa"/>
            <w:tcBorders>
              <w:top w:val="nil"/>
              <w:left w:val="nil"/>
              <w:bottom w:val="single" w:sz="4" w:space="0" w:color="auto"/>
              <w:right w:val="single" w:sz="4" w:space="0" w:color="auto"/>
            </w:tcBorders>
            <w:shd w:val="clear" w:color="000000" w:fill="FFFFFF"/>
            <w:vAlign w:val="center"/>
            <w:hideMark/>
          </w:tcPr>
          <w:p w14:paraId="5C3898B5" w14:textId="77777777" w:rsidR="000A6E2D" w:rsidRPr="000A6E2D" w:rsidRDefault="000A6E2D" w:rsidP="003E0728">
            <w:pPr>
              <w:pStyle w:val="Tables"/>
            </w:pPr>
            <w:r w:rsidRPr="000A6E2D">
              <w:t>112</w:t>
            </w:r>
          </w:p>
        </w:tc>
        <w:tc>
          <w:tcPr>
            <w:tcW w:w="1041" w:type="dxa"/>
            <w:tcBorders>
              <w:top w:val="nil"/>
              <w:left w:val="nil"/>
              <w:bottom w:val="single" w:sz="4" w:space="0" w:color="auto"/>
              <w:right w:val="single" w:sz="4" w:space="0" w:color="auto"/>
            </w:tcBorders>
            <w:shd w:val="clear" w:color="000000" w:fill="FFFFFF"/>
            <w:vAlign w:val="center"/>
            <w:hideMark/>
          </w:tcPr>
          <w:p w14:paraId="02473259" w14:textId="77777777" w:rsidR="000A6E2D" w:rsidRPr="000A6E2D" w:rsidRDefault="000A6E2D" w:rsidP="003E0728">
            <w:pPr>
              <w:pStyle w:val="Tables"/>
            </w:pPr>
            <w:r w:rsidRPr="000A6E2D">
              <w:t>(b) 501.28</w:t>
            </w:r>
          </w:p>
        </w:tc>
        <w:tc>
          <w:tcPr>
            <w:tcW w:w="1196" w:type="dxa"/>
            <w:tcBorders>
              <w:top w:val="nil"/>
              <w:left w:val="nil"/>
              <w:bottom w:val="single" w:sz="4" w:space="0" w:color="auto"/>
              <w:right w:val="single" w:sz="4" w:space="0" w:color="auto"/>
            </w:tcBorders>
            <w:shd w:val="clear" w:color="000000" w:fill="FFFFFF"/>
            <w:vAlign w:val="center"/>
            <w:hideMark/>
          </w:tcPr>
          <w:p w14:paraId="0063249A" w14:textId="77777777" w:rsidR="000A6E2D" w:rsidRPr="000A6E2D" w:rsidRDefault="000A6E2D" w:rsidP="003E0728">
            <w:pPr>
              <w:pStyle w:val="Tables"/>
            </w:pPr>
            <w:r w:rsidRPr="000A6E2D">
              <w:t>139</w:t>
            </w:r>
          </w:p>
        </w:tc>
        <w:tc>
          <w:tcPr>
            <w:tcW w:w="1367" w:type="dxa"/>
            <w:tcBorders>
              <w:top w:val="nil"/>
              <w:left w:val="nil"/>
              <w:bottom w:val="single" w:sz="4" w:space="0" w:color="auto"/>
              <w:right w:val="single" w:sz="4" w:space="0" w:color="auto"/>
            </w:tcBorders>
            <w:shd w:val="clear" w:color="000000" w:fill="FFFFFF"/>
            <w:vAlign w:val="center"/>
            <w:hideMark/>
          </w:tcPr>
          <w:p w14:paraId="767FD820" w14:textId="77777777" w:rsidR="000A6E2D" w:rsidRPr="000A6E2D" w:rsidRDefault="000A6E2D" w:rsidP="003E0728">
            <w:pPr>
              <w:pStyle w:val="Tables"/>
            </w:pPr>
            <w:r w:rsidRPr="000A6E2D">
              <w:t>(c) 169.34</w:t>
            </w:r>
          </w:p>
        </w:tc>
        <w:tc>
          <w:tcPr>
            <w:tcW w:w="886" w:type="dxa"/>
            <w:tcBorders>
              <w:top w:val="nil"/>
              <w:left w:val="nil"/>
              <w:bottom w:val="single" w:sz="4" w:space="0" w:color="auto"/>
              <w:right w:val="single" w:sz="4" w:space="0" w:color="auto"/>
            </w:tcBorders>
            <w:shd w:val="clear" w:color="000000" w:fill="FFFFFF"/>
            <w:vAlign w:val="center"/>
            <w:hideMark/>
          </w:tcPr>
          <w:p w14:paraId="21932C99" w14:textId="77777777" w:rsidR="000A6E2D" w:rsidRPr="000A6E2D" w:rsidRDefault="000A6E2D" w:rsidP="003E0728">
            <w:pPr>
              <w:pStyle w:val="Tables"/>
            </w:pPr>
            <w:r w:rsidRPr="000A6E2D">
              <w:t>109</w:t>
            </w:r>
          </w:p>
        </w:tc>
      </w:tr>
    </w:tbl>
    <w:p w14:paraId="7BF5ED6F" w14:textId="388E21A0" w:rsidR="00E35549" w:rsidRPr="00C968D0" w:rsidRDefault="00E35549" w:rsidP="003E0728">
      <w:pPr>
        <w:pStyle w:val="Sources"/>
      </w:pPr>
      <w:r w:rsidRPr="00C968D0">
        <w:t>Central Revenue.—Excludes provincial contributions (1921-22) but includes share of income-tax and jute duty assigned to the provinces.</w:t>
      </w:r>
    </w:p>
    <w:p w14:paraId="24A2B157" w14:textId="77777777" w:rsidR="00E35549" w:rsidRPr="00C968D0" w:rsidRDefault="00E35549" w:rsidP="003E0728">
      <w:pPr>
        <w:pStyle w:val="Sources"/>
      </w:pPr>
      <w:r w:rsidRPr="00C968D0">
        <w:t>Provincial Revenue.—Relates to all Provinces in British India (except Burma) upto 1946-47 and Part A States only thereafter. Figures include provincial contributions (1921-22) but exclude (i) transfers from Revenue Reserve Funds, and (ii) receipts from the Centre as shown in the provincial budgets in respect of a share in income-tax and jute duty, subventions and grants-in-aid including special grants.</w:t>
      </w:r>
    </w:p>
    <w:p w14:paraId="107A0D62" w14:textId="77777777" w:rsidR="00E35549" w:rsidRPr="00C968D0" w:rsidRDefault="00E35549" w:rsidP="003E0728">
      <w:pPr>
        <w:pStyle w:val="Sources"/>
      </w:pPr>
      <w:r w:rsidRPr="00C968D0">
        <w:t>(a) Provincial figures for 1948-49 are not strictly comparable with those for the later years due to the merger of some of the former Indian States in the adjoining Provinces. Because of this 1949-50 is taken as the base year.</w:t>
      </w:r>
    </w:p>
    <w:p w14:paraId="3560139D" w14:textId="77777777" w:rsidR="00E35549" w:rsidRPr="00C968D0" w:rsidRDefault="00E35549" w:rsidP="003E0728">
      <w:pPr>
        <w:pStyle w:val="Sources"/>
      </w:pPr>
      <w:r w:rsidRPr="00C968D0">
        <w:t>(b) Revised Estimates.</w:t>
      </w:r>
    </w:p>
    <w:p w14:paraId="41DD2B8D" w14:textId="77777777" w:rsidR="00E35549" w:rsidRPr="00C968D0" w:rsidRDefault="00E35549" w:rsidP="003E0728">
      <w:pPr>
        <w:pStyle w:val="Sources"/>
      </w:pPr>
      <w:r w:rsidRPr="00C968D0">
        <w:t>(c) Provisional figures.</w:t>
      </w:r>
    </w:p>
    <w:p w14:paraId="44346872" w14:textId="6470E3A7" w:rsidR="00E35549" w:rsidRPr="00C968D0" w:rsidRDefault="00E35549" w:rsidP="00EE0179">
      <w:pPr>
        <w:pStyle w:val="ListParagraph"/>
        <w:numPr>
          <w:ilvl w:val="0"/>
          <w:numId w:val="29"/>
        </w:numPr>
        <w:spacing w:after="0" w:line="520" w:lineRule="exact"/>
        <w:ind w:left="0" w:firstLine="556"/>
        <w:jc w:val="both"/>
        <w:rPr>
          <w:rFonts w:ascii="Times New Roman" w:hAnsi="Times New Roman" w:cs="Times New Roman"/>
          <w:color w:val="1A1C1E"/>
          <w:sz w:val="28"/>
          <w:szCs w:val="28"/>
        </w:rPr>
      </w:pPr>
      <w:r w:rsidRPr="00C968D0">
        <w:rPr>
          <w:rFonts w:ascii="Times New Roman" w:hAnsi="Times New Roman" w:cs="Times New Roman"/>
          <w:color w:val="1A1C1E"/>
          <w:sz w:val="28"/>
          <w:szCs w:val="28"/>
        </w:rPr>
        <w:t>The figures as between the different periods given in the table are not comparable, but the relative trends within each period make interesting comparison. During the first period, both Central and Provincial revenues rose between 1921-22 and 1929-30 and recorded substantial declines in the later part of the period. The main rise occurred in the first few years, which marked the peak of agricultural prices between the world wars, and the later decline was associated with the depression; some recovery actually took place by the end of the first period. The trends in central and provincial revenues, though similar, were disparate in degree, the variations in central revenues being greater than in provincial revenues. Central tax revenues, however, showed no decline during the latter part of the period.</w:t>
      </w:r>
    </w:p>
    <w:p w14:paraId="2997C75D" w14:textId="77777777" w:rsidR="00E35549" w:rsidRPr="000A6E2D" w:rsidRDefault="00E35549" w:rsidP="00EE0179">
      <w:pPr>
        <w:pStyle w:val="ListParagraph"/>
        <w:numPr>
          <w:ilvl w:val="0"/>
          <w:numId w:val="29"/>
        </w:numPr>
        <w:spacing w:after="0" w:line="520" w:lineRule="exact"/>
        <w:ind w:left="0" w:firstLine="556"/>
        <w:jc w:val="both"/>
        <w:rPr>
          <w:rFonts w:ascii="Times New Roman" w:hAnsi="Times New Roman" w:cs="Times New Roman"/>
          <w:sz w:val="28"/>
          <w:szCs w:val="28"/>
        </w:rPr>
      </w:pPr>
      <w:r w:rsidRPr="00C968D0">
        <w:rPr>
          <w:rFonts w:ascii="Times New Roman" w:hAnsi="Times New Roman" w:cs="Times New Roman"/>
          <w:color w:val="1A1C1E"/>
          <w:sz w:val="28"/>
          <w:szCs w:val="28"/>
        </w:rPr>
        <w:lastRenderedPageBreak/>
        <w:t>The greater elasticity of central revenues continued after the redistribution of sources under the Government of India Act, 1935, and was strikingly demonstrated in the period 1937-38 to 1946-47, when Central revenues expanded more than four-fold as against</w:t>
      </w:r>
      <w:r w:rsidRPr="000A6E2D">
        <w:rPr>
          <w:rFonts w:ascii="Times New Roman" w:hAnsi="Times New Roman" w:cs="Times New Roman"/>
          <w:sz w:val="28"/>
          <w:szCs w:val="28"/>
        </w:rPr>
        <w:t xml:space="preserve"> an increase of over two-and-a-half times in Provincial revenues. It was, no doubt, inevitable that in the war years and after, under inflationary conditions, the yield from taxation of personal and business incomes should expand considerably; the incentive to develop tax resources to the maximum possible extent in order to meet the increasing demands of war expenditure and to mop up the surplus purchasing power was also greater at the Centre than in the Provinces. Even allowing for such increases in revenue as were due to new tax measures, however, it would appear that the degree of the elasticity of tax revenues in response to changes in general economic conditions was greater in the Central than in the Provincial sphere. The same general conclusion regarding the greater elasticity of Central revenues is also brought out by the development of Central tax revenues, particularly under customs, in the last period.</w:t>
      </w:r>
    </w:p>
    <w:p w14:paraId="61E81BC6" w14:textId="76E55E6A" w:rsidR="00E35549" w:rsidRPr="00C968D0" w:rsidRDefault="00E35549" w:rsidP="00EE0179">
      <w:pPr>
        <w:spacing w:after="0" w:line="520" w:lineRule="exact"/>
        <w:ind w:left="720"/>
        <w:jc w:val="center"/>
        <w:rPr>
          <w:rFonts w:ascii="Times New Roman" w:hAnsi="Times New Roman" w:cs="Times New Roman"/>
          <w:sz w:val="28"/>
          <w:szCs w:val="28"/>
        </w:rPr>
      </w:pPr>
      <w:r w:rsidRPr="00C968D0">
        <w:rPr>
          <w:rFonts w:ascii="Times New Roman" w:hAnsi="Times New Roman" w:cs="Times New Roman"/>
          <w:sz w:val="28"/>
          <w:szCs w:val="28"/>
        </w:rPr>
        <w:t>PROVINCIAL AUTONOMY, WAR AND AFTER</w:t>
      </w:r>
    </w:p>
    <w:p w14:paraId="1F176EA6" w14:textId="6665E5A8" w:rsidR="00E35549" w:rsidRPr="00C968D0" w:rsidRDefault="00E35549" w:rsidP="00EE0179">
      <w:pPr>
        <w:spacing w:after="0" w:line="520" w:lineRule="exact"/>
        <w:ind w:left="720"/>
        <w:jc w:val="center"/>
        <w:rPr>
          <w:rFonts w:ascii="Times New Roman" w:hAnsi="Times New Roman" w:cs="Times New Roman"/>
          <w:sz w:val="28"/>
          <w:szCs w:val="28"/>
        </w:rPr>
      </w:pPr>
      <w:r w:rsidRPr="00C968D0">
        <w:rPr>
          <w:rFonts w:ascii="Times New Roman" w:hAnsi="Times New Roman" w:cs="Times New Roman"/>
          <w:sz w:val="28"/>
          <w:szCs w:val="28"/>
        </w:rPr>
        <w:t>(1937-38—1946-47)</w:t>
      </w:r>
    </w:p>
    <w:p w14:paraId="7245D170" w14:textId="77777777" w:rsidR="00C968D0" w:rsidRDefault="00E35549" w:rsidP="00EE0179">
      <w:pPr>
        <w:pStyle w:val="ListParagraph"/>
        <w:numPr>
          <w:ilvl w:val="0"/>
          <w:numId w:val="29"/>
        </w:numPr>
        <w:spacing w:after="0" w:line="520" w:lineRule="exact"/>
        <w:ind w:left="0" w:firstLine="556"/>
        <w:jc w:val="both"/>
        <w:rPr>
          <w:rFonts w:ascii="Times New Roman" w:hAnsi="Times New Roman" w:cs="Times New Roman"/>
          <w:sz w:val="28"/>
          <w:szCs w:val="28"/>
        </w:rPr>
      </w:pPr>
      <w:r w:rsidRPr="000A6E2D">
        <w:rPr>
          <w:rFonts w:ascii="Times New Roman" w:hAnsi="Times New Roman" w:cs="Times New Roman"/>
          <w:sz w:val="28"/>
          <w:szCs w:val="28"/>
        </w:rPr>
        <w:t>We may now turn to a somewhat fuller analysis of the position of the Centre and the States since the inauguration of “provincial autonomy” in 1937-38 under the Government of India Act, 1935, the scheme of division of sources of revenue and functions underlying which was substantially the same as under the present Constitution.</w:t>
      </w:r>
    </w:p>
    <w:p w14:paraId="260FD04F" w14:textId="73D0F988" w:rsidR="00E35549" w:rsidRPr="00C968D0" w:rsidRDefault="00E35549" w:rsidP="00EE0179">
      <w:pPr>
        <w:pStyle w:val="ListParagraph"/>
        <w:numPr>
          <w:ilvl w:val="0"/>
          <w:numId w:val="29"/>
        </w:numPr>
        <w:spacing w:after="0" w:line="520" w:lineRule="exact"/>
        <w:ind w:left="0" w:firstLine="556"/>
        <w:jc w:val="both"/>
        <w:rPr>
          <w:rFonts w:ascii="Times New Roman" w:hAnsi="Times New Roman" w:cs="Times New Roman"/>
          <w:sz w:val="28"/>
          <w:szCs w:val="28"/>
        </w:rPr>
      </w:pPr>
      <w:r w:rsidRPr="00C968D0">
        <w:rPr>
          <w:rFonts w:ascii="Times New Roman" w:hAnsi="Times New Roman" w:cs="Times New Roman"/>
          <w:i/>
          <w:iCs/>
          <w:sz w:val="28"/>
          <w:szCs w:val="28"/>
        </w:rPr>
        <w:t>Central Government Finances.</w:t>
      </w:r>
      <w:r w:rsidRPr="00C968D0">
        <w:rPr>
          <w:rFonts w:ascii="Times New Roman" w:hAnsi="Times New Roman" w:cs="Times New Roman"/>
          <w:sz w:val="28"/>
          <w:szCs w:val="28"/>
        </w:rPr>
        <w:t>—The following table brings out the relative trends in the important revenue and expenditure heads of the Central Government and their altering pattern during the decade before partition.</w:t>
      </w:r>
    </w:p>
    <w:p w14:paraId="0AE82B0C" w14:textId="77777777" w:rsidR="00C968D0" w:rsidRDefault="00C968D0" w:rsidP="00C968D0">
      <w:pPr>
        <w:spacing w:after="0" w:line="380" w:lineRule="exact"/>
        <w:ind w:left="720"/>
        <w:jc w:val="center"/>
        <w:rPr>
          <w:rFonts w:ascii="Times New Roman" w:hAnsi="Times New Roman" w:cs="Times New Roman"/>
          <w:b/>
          <w:bCs/>
          <w:sz w:val="28"/>
          <w:szCs w:val="28"/>
        </w:rPr>
      </w:pPr>
    </w:p>
    <w:p w14:paraId="1A81C999" w14:textId="77777777" w:rsidR="00343E94" w:rsidRDefault="00343E94">
      <w:pPr>
        <w:rPr>
          <w:rFonts w:ascii="Times New Roman" w:hAnsi="Times New Roman" w:cs="Times New Roman"/>
          <w:sz w:val="28"/>
          <w:szCs w:val="28"/>
        </w:rPr>
      </w:pPr>
      <w:r>
        <w:rPr>
          <w:rFonts w:ascii="Times New Roman" w:hAnsi="Times New Roman" w:cs="Times New Roman"/>
          <w:sz w:val="28"/>
          <w:szCs w:val="28"/>
        </w:rPr>
        <w:br w:type="page"/>
      </w:r>
    </w:p>
    <w:p w14:paraId="5EF50374" w14:textId="2571D193" w:rsidR="00E35549" w:rsidRPr="00CB0A24" w:rsidRDefault="004E121D" w:rsidP="00CB0A24">
      <w:pPr>
        <w:spacing w:line="380" w:lineRule="exact"/>
        <w:ind w:left="720"/>
        <w:jc w:val="center"/>
        <w:rPr>
          <w:rFonts w:ascii="Times New Roman" w:hAnsi="Times New Roman" w:cs="Times New Roman"/>
          <w:sz w:val="28"/>
          <w:szCs w:val="28"/>
        </w:rPr>
      </w:pPr>
      <w:r w:rsidRPr="00CB0A24">
        <w:rPr>
          <w:rFonts w:ascii="Times New Roman" w:hAnsi="Times New Roman" w:cs="Times New Roman"/>
          <w:sz w:val="28"/>
          <w:szCs w:val="28"/>
        </w:rPr>
        <w:lastRenderedPageBreak/>
        <w:t>CENTRAL REVENUE AND</w:t>
      </w:r>
      <w:r w:rsidR="00C968D0" w:rsidRPr="00CB0A24">
        <w:rPr>
          <w:rFonts w:ascii="Times New Roman" w:hAnsi="Times New Roman" w:cs="Times New Roman"/>
          <w:sz w:val="28"/>
          <w:szCs w:val="28"/>
        </w:rPr>
        <w:t xml:space="preserve"> EXPENDITURE 1937-38 TO 1946-47</w:t>
      </w:r>
    </w:p>
    <w:p w14:paraId="2C356F96" w14:textId="07C83039" w:rsidR="004E121D" w:rsidRPr="00CB0A24" w:rsidRDefault="004E121D" w:rsidP="00CB0A24">
      <w:pPr>
        <w:pStyle w:val="ListParagraph"/>
        <w:numPr>
          <w:ilvl w:val="0"/>
          <w:numId w:val="7"/>
        </w:numPr>
        <w:spacing w:line="380" w:lineRule="exact"/>
        <w:jc w:val="center"/>
        <w:rPr>
          <w:rFonts w:ascii="Times New Roman" w:hAnsi="Times New Roman" w:cs="Times New Roman"/>
          <w:sz w:val="28"/>
          <w:szCs w:val="28"/>
        </w:rPr>
      </w:pPr>
      <w:r w:rsidRPr="00CB0A24">
        <w:rPr>
          <w:rFonts w:ascii="Times New Roman" w:hAnsi="Times New Roman" w:cs="Times New Roman"/>
          <w:sz w:val="28"/>
          <w:szCs w:val="28"/>
        </w:rPr>
        <w:t>Rev</w:t>
      </w:r>
      <w:r w:rsidR="00C968D0" w:rsidRPr="00CB0A24">
        <w:rPr>
          <w:rFonts w:ascii="Times New Roman" w:hAnsi="Times New Roman" w:cs="Times New Roman"/>
          <w:sz w:val="28"/>
          <w:szCs w:val="28"/>
        </w:rPr>
        <w:t>enue</w:t>
      </w:r>
    </w:p>
    <w:tbl>
      <w:tblPr>
        <w:tblW w:w="10269" w:type="dxa"/>
        <w:jc w:val="center"/>
        <w:tblLook w:val="04A0" w:firstRow="1" w:lastRow="0" w:firstColumn="1" w:lastColumn="0" w:noHBand="0" w:noVBand="1"/>
      </w:tblPr>
      <w:tblGrid>
        <w:gridCol w:w="1647"/>
        <w:gridCol w:w="1010"/>
        <w:gridCol w:w="1150"/>
        <w:gridCol w:w="1010"/>
        <w:gridCol w:w="870"/>
        <w:gridCol w:w="986"/>
        <w:gridCol w:w="986"/>
        <w:gridCol w:w="870"/>
        <w:gridCol w:w="870"/>
        <w:gridCol w:w="870"/>
      </w:tblGrid>
      <w:tr w:rsidR="00C968D0" w:rsidRPr="00C968D0" w14:paraId="0E5E2161" w14:textId="77777777" w:rsidTr="00C968D0">
        <w:trPr>
          <w:trHeight w:val="20"/>
          <w:jc w:val="center"/>
        </w:trPr>
        <w:tc>
          <w:tcPr>
            <w:tcW w:w="1647" w:type="dxa"/>
            <w:vMerge w:val="restart"/>
            <w:tcBorders>
              <w:top w:val="single" w:sz="4" w:space="0" w:color="auto"/>
              <w:left w:val="single" w:sz="4" w:space="0" w:color="auto"/>
              <w:bottom w:val="single" w:sz="4" w:space="0" w:color="auto"/>
              <w:right w:val="single" w:sz="4" w:space="0" w:color="auto"/>
            </w:tcBorders>
            <w:vAlign w:val="center"/>
            <w:hideMark/>
          </w:tcPr>
          <w:p w14:paraId="2B2FF54A" w14:textId="77777777" w:rsidR="00C968D0" w:rsidRPr="00C968D0" w:rsidRDefault="00C968D0" w:rsidP="003E0728">
            <w:pPr>
              <w:pStyle w:val="Tables"/>
            </w:pPr>
            <w:r w:rsidRPr="00C968D0">
              <w:t>Heads of Revenue</w:t>
            </w:r>
          </w:p>
        </w:tc>
        <w:tc>
          <w:tcPr>
            <w:tcW w:w="3170" w:type="dxa"/>
            <w:gridSpan w:val="3"/>
            <w:tcBorders>
              <w:top w:val="single" w:sz="4" w:space="0" w:color="auto"/>
              <w:left w:val="nil"/>
              <w:bottom w:val="single" w:sz="4" w:space="0" w:color="auto"/>
              <w:right w:val="single" w:sz="4" w:space="0" w:color="000000"/>
            </w:tcBorders>
            <w:vAlign w:val="center"/>
            <w:hideMark/>
          </w:tcPr>
          <w:p w14:paraId="69E1D027" w14:textId="77777777" w:rsidR="00C968D0" w:rsidRPr="00C968D0" w:rsidRDefault="00C968D0" w:rsidP="003E0728">
            <w:pPr>
              <w:pStyle w:val="Tables"/>
            </w:pPr>
            <w:r w:rsidRPr="00C968D0">
              <w:t>Yield (Rs. Crores)</w:t>
            </w:r>
          </w:p>
        </w:tc>
        <w:tc>
          <w:tcPr>
            <w:tcW w:w="2842" w:type="dxa"/>
            <w:gridSpan w:val="3"/>
            <w:tcBorders>
              <w:top w:val="single" w:sz="4" w:space="0" w:color="auto"/>
              <w:left w:val="nil"/>
              <w:bottom w:val="single" w:sz="4" w:space="0" w:color="auto"/>
              <w:right w:val="single" w:sz="4" w:space="0" w:color="auto"/>
            </w:tcBorders>
            <w:shd w:val="clear" w:color="000000" w:fill="FFFFFF"/>
            <w:vAlign w:val="center"/>
            <w:hideMark/>
          </w:tcPr>
          <w:p w14:paraId="16FB51D2" w14:textId="77777777" w:rsidR="00C968D0" w:rsidRPr="00C968D0" w:rsidRDefault="00C968D0" w:rsidP="003E0728">
            <w:pPr>
              <w:pStyle w:val="Tables"/>
            </w:pPr>
            <w:r w:rsidRPr="00C968D0">
              <w:t>Index of yield (1937-38=100)</w:t>
            </w:r>
          </w:p>
        </w:tc>
        <w:tc>
          <w:tcPr>
            <w:tcW w:w="2610" w:type="dxa"/>
            <w:gridSpan w:val="3"/>
            <w:tcBorders>
              <w:top w:val="single" w:sz="4" w:space="0" w:color="auto"/>
              <w:left w:val="nil"/>
              <w:bottom w:val="single" w:sz="4" w:space="0" w:color="auto"/>
              <w:right w:val="single" w:sz="4" w:space="0" w:color="auto"/>
            </w:tcBorders>
            <w:shd w:val="clear" w:color="000000" w:fill="FFFFFF"/>
            <w:vAlign w:val="center"/>
            <w:hideMark/>
          </w:tcPr>
          <w:p w14:paraId="427E9D1C" w14:textId="77777777" w:rsidR="00C968D0" w:rsidRPr="00C968D0" w:rsidRDefault="00C968D0" w:rsidP="003E0728">
            <w:pPr>
              <w:pStyle w:val="Tables"/>
            </w:pPr>
            <w:r w:rsidRPr="00C968D0">
              <w:t>Share in Total Revenue (per cent)</w:t>
            </w:r>
          </w:p>
        </w:tc>
      </w:tr>
      <w:tr w:rsidR="00C968D0" w:rsidRPr="00C968D0" w14:paraId="400611A7" w14:textId="77777777" w:rsidTr="00C968D0">
        <w:trPr>
          <w:trHeight w:val="20"/>
          <w:jc w:val="center"/>
        </w:trPr>
        <w:tc>
          <w:tcPr>
            <w:tcW w:w="1647" w:type="dxa"/>
            <w:vMerge/>
            <w:tcBorders>
              <w:top w:val="single" w:sz="4" w:space="0" w:color="auto"/>
              <w:left w:val="single" w:sz="4" w:space="0" w:color="auto"/>
              <w:bottom w:val="single" w:sz="4" w:space="0" w:color="auto"/>
              <w:right w:val="single" w:sz="4" w:space="0" w:color="auto"/>
            </w:tcBorders>
            <w:vAlign w:val="center"/>
            <w:hideMark/>
          </w:tcPr>
          <w:p w14:paraId="4C33306C" w14:textId="77777777" w:rsidR="00C968D0" w:rsidRPr="00C968D0" w:rsidRDefault="00C968D0" w:rsidP="003E0728">
            <w:pPr>
              <w:pStyle w:val="Tables"/>
            </w:pPr>
          </w:p>
        </w:tc>
        <w:tc>
          <w:tcPr>
            <w:tcW w:w="1010" w:type="dxa"/>
            <w:tcBorders>
              <w:top w:val="nil"/>
              <w:left w:val="nil"/>
              <w:bottom w:val="single" w:sz="4" w:space="0" w:color="auto"/>
              <w:right w:val="single" w:sz="4" w:space="0" w:color="auto"/>
            </w:tcBorders>
            <w:vAlign w:val="center"/>
            <w:hideMark/>
          </w:tcPr>
          <w:p w14:paraId="62D58330" w14:textId="77777777" w:rsidR="00C968D0" w:rsidRPr="00C968D0" w:rsidRDefault="00C968D0" w:rsidP="003E0728">
            <w:pPr>
              <w:pStyle w:val="Tables"/>
            </w:pPr>
            <w:r w:rsidRPr="00C968D0">
              <w:t> 1937-38</w:t>
            </w:r>
          </w:p>
        </w:tc>
        <w:tc>
          <w:tcPr>
            <w:tcW w:w="1150" w:type="dxa"/>
            <w:tcBorders>
              <w:top w:val="nil"/>
              <w:left w:val="nil"/>
              <w:bottom w:val="single" w:sz="4" w:space="0" w:color="auto"/>
              <w:right w:val="single" w:sz="4" w:space="0" w:color="auto"/>
            </w:tcBorders>
            <w:vAlign w:val="center"/>
            <w:hideMark/>
          </w:tcPr>
          <w:p w14:paraId="3416AE1E" w14:textId="77777777" w:rsidR="00C968D0" w:rsidRPr="00C968D0" w:rsidRDefault="00C968D0" w:rsidP="003E0728">
            <w:pPr>
              <w:pStyle w:val="Tables"/>
            </w:pPr>
            <w:r w:rsidRPr="00C968D0">
              <w:t>1944-45 </w:t>
            </w:r>
          </w:p>
        </w:tc>
        <w:tc>
          <w:tcPr>
            <w:tcW w:w="1010" w:type="dxa"/>
            <w:tcBorders>
              <w:top w:val="nil"/>
              <w:left w:val="nil"/>
              <w:bottom w:val="single" w:sz="4" w:space="0" w:color="auto"/>
              <w:right w:val="single" w:sz="4" w:space="0" w:color="auto"/>
            </w:tcBorders>
            <w:vAlign w:val="center"/>
            <w:hideMark/>
          </w:tcPr>
          <w:p w14:paraId="65227B08" w14:textId="77777777" w:rsidR="00C968D0" w:rsidRPr="00C968D0" w:rsidRDefault="00C968D0" w:rsidP="003E0728">
            <w:pPr>
              <w:pStyle w:val="Tables"/>
            </w:pPr>
            <w:r w:rsidRPr="00C968D0">
              <w:t> 1946-47 </w:t>
            </w:r>
          </w:p>
        </w:tc>
        <w:tc>
          <w:tcPr>
            <w:tcW w:w="870" w:type="dxa"/>
            <w:tcBorders>
              <w:top w:val="nil"/>
              <w:left w:val="nil"/>
              <w:bottom w:val="single" w:sz="4" w:space="0" w:color="auto"/>
              <w:right w:val="single" w:sz="4" w:space="0" w:color="auto"/>
            </w:tcBorders>
            <w:shd w:val="clear" w:color="000000" w:fill="FFFFFF"/>
            <w:vAlign w:val="center"/>
            <w:hideMark/>
          </w:tcPr>
          <w:p w14:paraId="76D6BC57" w14:textId="77777777" w:rsidR="00C968D0" w:rsidRPr="00C968D0" w:rsidRDefault="00C968D0" w:rsidP="003E0728">
            <w:pPr>
              <w:pStyle w:val="Tables"/>
            </w:pPr>
            <w:r w:rsidRPr="00C968D0">
              <w:t>1937-38</w:t>
            </w:r>
          </w:p>
        </w:tc>
        <w:tc>
          <w:tcPr>
            <w:tcW w:w="986" w:type="dxa"/>
            <w:tcBorders>
              <w:top w:val="nil"/>
              <w:left w:val="nil"/>
              <w:bottom w:val="single" w:sz="4" w:space="0" w:color="auto"/>
              <w:right w:val="single" w:sz="4" w:space="0" w:color="auto"/>
            </w:tcBorders>
            <w:shd w:val="clear" w:color="000000" w:fill="FFFFFF"/>
            <w:vAlign w:val="center"/>
            <w:hideMark/>
          </w:tcPr>
          <w:p w14:paraId="27045F07" w14:textId="77777777" w:rsidR="00C968D0" w:rsidRPr="00C968D0" w:rsidRDefault="00C968D0" w:rsidP="003E0728">
            <w:pPr>
              <w:pStyle w:val="Tables"/>
            </w:pPr>
            <w:r w:rsidRPr="00C968D0">
              <w:t>1944-45</w:t>
            </w:r>
          </w:p>
        </w:tc>
        <w:tc>
          <w:tcPr>
            <w:tcW w:w="986" w:type="dxa"/>
            <w:tcBorders>
              <w:top w:val="nil"/>
              <w:left w:val="nil"/>
              <w:bottom w:val="single" w:sz="4" w:space="0" w:color="auto"/>
              <w:right w:val="single" w:sz="4" w:space="0" w:color="auto"/>
            </w:tcBorders>
            <w:shd w:val="clear" w:color="000000" w:fill="FFFFFF"/>
            <w:vAlign w:val="center"/>
            <w:hideMark/>
          </w:tcPr>
          <w:p w14:paraId="6DBE481D" w14:textId="77777777" w:rsidR="00C968D0" w:rsidRPr="00C968D0" w:rsidRDefault="00C968D0" w:rsidP="003E0728">
            <w:pPr>
              <w:pStyle w:val="Tables"/>
            </w:pPr>
            <w:r w:rsidRPr="00C968D0">
              <w:t>1946-47</w:t>
            </w:r>
          </w:p>
        </w:tc>
        <w:tc>
          <w:tcPr>
            <w:tcW w:w="870" w:type="dxa"/>
            <w:tcBorders>
              <w:top w:val="nil"/>
              <w:left w:val="nil"/>
              <w:bottom w:val="single" w:sz="4" w:space="0" w:color="auto"/>
              <w:right w:val="single" w:sz="4" w:space="0" w:color="auto"/>
            </w:tcBorders>
            <w:shd w:val="clear" w:color="000000" w:fill="FFFFFF"/>
            <w:vAlign w:val="center"/>
            <w:hideMark/>
          </w:tcPr>
          <w:p w14:paraId="37E15FB2" w14:textId="77777777" w:rsidR="00C968D0" w:rsidRPr="00C968D0" w:rsidRDefault="00C968D0" w:rsidP="003E0728">
            <w:pPr>
              <w:pStyle w:val="Tables"/>
            </w:pPr>
            <w:r w:rsidRPr="00C968D0">
              <w:t>1937-38</w:t>
            </w:r>
          </w:p>
        </w:tc>
        <w:tc>
          <w:tcPr>
            <w:tcW w:w="870" w:type="dxa"/>
            <w:tcBorders>
              <w:top w:val="nil"/>
              <w:left w:val="nil"/>
              <w:bottom w:val="single" w:sz="4" w:space="0" w:color="auto"/>
              <w:right w:val="single" w:sz="4" w:space="0" w:color="auto"/>
            </w:tcBorders>
            <w:shd w:val="clear" w:color="000000" w:fill="FFFFFF"/>
            <w:vAlign w:val="center"/>
            <w:hideMark/>
          </w:tcPr>
          <w:p w14:paraId="5C20FD83" w14:textId="77777777" w:rsidR="00C968D0" w:rsidRPr="00C968D0" w:rsidRDefault="00C968D0" w:rsidP="003E0728">
            <w:pPr>
              <w:pStyle w:val="Tables"/>
            </w:pPr>
            <w:r w:rsidRPr="00C968D0">
              <w:t>1944-45</w:t>
            </w:r>
          </w:p>
        </w:tc>
        <w:tc>
          <w:tcPr>
            <w:tcW w:w="870" w:type="dxa"/>
            <w:tcBorders>
              <w:top w:val="nil"/>
              <w:left w:val="nil"/>
              <w:bottom w:val="single" w:sz="4" w:space="0" w:color="auto"/>
              <w:right w:val="single" w:sz="4" w:space="0" w:color="auto"/>
            </w:tcBorders>
            <w:shd w:val="clear" w:color="000000" w:fill="FFFFFF"/>
            <w:vAlign w:val="center"/>
            <w:hideMark/>
          </w:tcPr>
          <w:p w14:paraId="78AA8039" w14:textId="77777777" w:rsidR="00C968D0" w:rsidRPr="00C968D0" w:rsidRDefault="00C968D0" w:rsidP="003E0728">
            <w:pPr>
              <w:pStyle w:val="Tables"/>
            </w:pPr>
            <w:r w:rsidRPr="00C968D0">
              <w:t>1946-47</w:t>
            </w:r>
          </w:p>
        </w:tc>
      </w:tr>
      <w:tr w:rsidR="00C968D0" w:rsidRPr="00C968D0" w14:paraId="0B959197" w14:textId="77777777" w:rsidTr="00C968D0">
        <w:trPr>
          <w:trHeight w:val="20"/>
          <w:jc w:val="center"/>
        </w:trPr>
        <w:tc>
          <w:tcPr>
            <w:tcW w:w="1647" w:type="dxa"/>
            <w:tcBorders>
              <w:top w:val="nil"/>
              <w:left w:val="single" w:sz="4" w:space="0" w:color="auto"/>
              <w:bottom w:val="single" w:sz="4" w:space="0" w:color="auto"/>
              <w:right w:val="single" w:sz="4" w:space="0" w:color="auto"/>
            </w:tcBorders>
            <w:vAlign w:val="center"/>
            <w:hideMark/>
          </w:tcPr>
          <w:p w14:paraId="43E012C1" w14:textId="77777777" w:rsidR="00C968D0" w:rsidRPr="00ED2DF2" w:rsidRDefault="00C968D0" w:rsidP="003E0728">
            <w:pPr>
              <w:pStyle w:val="Tables"/>
            </w:pPr>
            <w:r w:rsidRPr="00ED2DF2">
              <w:t>TOTAL REVENUE</w:t>
            </w:r>
          </w:p>
        </w:tc>
        <w:tc>
          <w:tcPr>
            <w:tcW w:w="1010" w:type="dxa"/>
            <w:tcBorders>
              <w:top w:val="nil"/>
              <w:left w:val="nil"/>
              <w:bottom w:val="single" w:sz="4" w:space="0" w:color="auto"/>
              <w:right w:val="single" w:sz="4" w:space="0" w:color="auto"/>
            </w:tcBorders>
            <w:vAlign w:val="center"/>
            <w:hideMark/>
          </w:tcPr>
          <w:p w14:paraId="063C3CD9" w14:textId="77777777" w:rsidR="00C968D0" w:rsidRPr="00ED2DF2" w:rsidRDefault="00C968D0" w:rsidP="003E0728">
            <w:pPr>
              <w:pStyle w:val="Tables"/>
            </w:pPr>
            <w:r w:rsidRPr="00ED2DF2">
              <w:t>86·61 </w:t>
            </w:r>
          </w:p>
        </w:tc>
        <w:tc>
          <w:tcPr>
            <w:tcW w:w="1150" w:type="dxa"/>
            <w:tcBorders>
              <w:top w:val="nil"/>
              <w:left w:val="nil"/>
              <w:bottom w:val="single" w:sz="4" w:space="0" w:color="auto"/>
              <w:right w:val="single" w:sz="4" w:space="0" w:color="auto"/>
            </w:tcBorders>
            <w:vAlign w:val="center"/>
            <w:hideMark/>
          </w:tcPr>
          <w:p w14:paraId="4FF7164A" w14:textId="77777777" w:rsidR="00C968D0" w:rsidRPr="00ED2DF2" w:rsidRDefault="00C968D0" w:rsidP="003E0728">
            <w:pPr>
              <w:pStyle w:val="Tables"/>
            </w:pPr>
            <w:r w:rsidRPr="00ED2DF2">
              <w:t>335·73</w:t>
            </w:r>
          </w:p>
        </w:tc>
        <w:tc>
          <w:tcPr>
            <w:tcW w:w="1010" w:type="dxa"/>
            <w:tcBorders>
              <w:top w:val="nil"/>
              <w:left w:val="nil"/>
              <w:bottom w:val="single" w:sz="4" w:space="0" w:color="auto"/>
              <w:right w:val="single" w:sz="4" w:space="0" w:color="auto"/>
            </w:tcBorders>
            <w:vAlign w:val="center"/>
            <w:hideMark/>
          </w:tcPr>
          <w:p w14:paraId="551EFD55" w14:textId="77777777" w:rsidR="00C968D0" w:rsidRPr="00ED2DF2" w:rsidRDefault="00C968D0" w:rsidP="003E0728">
            <w:pPr>
              <w:pStyle w:val="Tables"/>
            </w:pPr>
            <w:r w:rsidRPr="00ED2DF2">
              <w:t>342·89</w:t>
            </w:r>
          </w:p>
        </w:tc>
        <w:tc>
          <w:tcPr>
            <w:tcW w:w="870" w:type="dxa"/>
            <w:tcBorders>
              <w:top w:val="nil"/>
              <w:left w:val="nil"/>
              <w:bottom w:val="single" w:sz="4" w:space="0" w:color="auto"/>
              <w:right w:val="single" w:sz="4" w:space="0" w:color="auto"/>
            </w:tcBorders>
            <w:shd w:val="clear" w:color="000000" w:fill="FFFFFF"/>
            <w:vAlign w:val="center"/>
            <w:hideMark/>
          </w:tcPr>
          <w:p w14:paraId="20E987AA" w14:textId="7B1C7485" w:rsidR="00C968D0" w:rsidRPr="00ED2DF2" w:rsidRDefault="00C968D0" w:rsidP="003E0728">
            <w:pPr>
              <w:pStyle w:val="Tables"/>
            </w:pPr>
            <w:r w:rsidRPr="00ED2DF2">
              <w:t>100</w:t>
            </w:r>
            <w:r w:rsidR="009D1901">
              <w:t>.0</w:t>
            </w:r>
          </w:p>
        </w:tc>
        <w:tc>
          <w:tcPr>
            <w:tcW w:w="986" w:type="dxa"/>
            <w:tcBorders>
              <w:top w:val="nil"/>
              <w:left w:val="nil"/>
              <w:bottom w:val="single" w:sz="4" w:space="0" w:color="auto"/>
              <w:right w:val="single" w:sz="4" w:space="0" w:color="auto"/>
            </w:tcBorders>
            <w:shd w:val="clear" w:color="000000" w:fill="FFFFFF"/>
            <w:vAlign w:val="center"/>
            <w:hideMark/>
          </w:tcPr>
          <w:p w14:paraId="3A0639CF" w14:textId="54A785FD" w:rsidR="00C968D0" w:rsidRPr="00ED2DF2" w:rsidRDefault="00C968D0" w:rsidP="003E0728">
            <w:pPr>
              <w:pStyle w:val="Tables"/>
            </w:pPr>
            <w:r w:rsidRPr="00ED2DF2">
              <w:t>2</w:t>
            </w:r>
            <w:r w:rsidR="00A45DCE">
              <w:t>3</w:t>
            </w:r>
            <w:r w:rsidRPr="00ED2DF2">
              <w:t>7.6</w:t>
            </w:r>
          </w:p>
        </w:tc>
        <w:tc>
          <w:tcPr>
            <w:tcW w:w="986" w:type="dxa"/>
            <w:tcBorders>
              <w:top w:val="nil"/>
              <w:left w:val="nil"/>
              <w:bottom w:val="single" w:sz="4" w:space="0" w:color="auto"/>
              <w:right w:val="single" w:sz="4" w:space="0" w:color="auto"/>
            </w:tcBorders>
            <w:shd w:val="clear" w:color="000000" w:fill="FFFFFF"/>
            <w:vAlign w:val="center"/>
            <w:hideMark/>
          </w:tcPr>
          <w:p w14:paraId="1BE484C1" w14:textId="711B1C51" w:rsidR="00C968D0" w:rsidRPr="00ED2DF2" w:rsidRDefault="00A45DCE" w:rsidP="003E0728">
            <w:pPr>
              <w:pStyle w:val="Tables"/>
            </w:pPr>
            <w:r>
              <w:t>396</w:t>
            </w:r>
            <w:r w:rsidR="00C968D0" w:rsidRPr="00ED2DF2">
              <w:t>.9</w:t>
            </w:r>
          </w:p>
        </w:tc>
        <w:tc>
          <w:tcPr>
            <w:tcW w:w="870" w:type="dxa"/>
            <w:tcBorders>
              <w:top w:val="nil"/>
              <w:left w:val="nil"/>
              <w:bottom w:val="single" w:sz="4" w:space="0" w:color="auto"/>
              <w:right w:val="single" w:sz="4" w:space="0" w:color="auto"/>
            </w:tcBorders>
            <w:shd w:val="clear" w:color="000000" w:fill="FFFFFF"/>
            <w:vAlign w:val="center"/>
            <w:hideMark/>
          </w:tcPr>
          <w:p w14:paraId="28C5AFB0" w14:textId="77777777" w:rsidR="00C968D0" w:rsidRPr="00ED2DF2" w:rsidRDefault="00C968D0" w:rsidP="003E0728">
            <w:pPr>
              <w:pStyle w:val="Tables"/>
            </w:pPr>
            <w:r w:rsidRPr="00ED2DF2">
              <w:t>100</w:t>
            </w:r>
          </w:p>
        </w:tc>
        <w:tc>
          <w:tcPr>
            <w:tcW w:w="870" w:type="dxa"/>
            <w:tcBorders>
              <w:top w:val="nil"/>
              <w:left w:val="nil"/>
              <w:bottom w:val="single" w:sz="4" w:space="0" w:color="auto"/>
              <w:right w:val="single" w:sz="4" w:space="0" w:color="auto"/>
            </w:tcBorders>
            <w:shd w:val="clear" w:color="000000" w:fill="FFFFFF"/>
            <w:vAlign w:val="center"/>
            <w:hideMark/>
          </w:tcPr>
          <w:p w14:paraId="42F1C908" w14:textId="77777777" w:rsidR="00C968D0" w:rsidRPr="00ED2DF2" w:rsidRDefault="00C968D0" w:rsidP="003E0728">
            <w:pPr>
              <w:pStyle w:val="Tables"/>
            </w:pPr>
            <w:r w:rsidRPr="00ED2DF2">
              <w:t>100</w:t>
            </w:r>
          </w:p>
        </w:tc>
        <w:tc>
          <w:tcPr>
            <w:tcW w:w="870" w:type="dxa"/>
            <w:tcBorders>
              <w:top w:val="nil"/>
              <w:left w:val="nil"/>
              <w:bottom w:val="single" w:sz="4" w:space="0" w:color="auto"/>
              <w:right w:val="single" w:sz="4" w:space="0" w:color="auto"/>
            </w:tcBorders>
            <w:shd w:val="clear" w:color="000000" w:fill="FFFFFF"/>
            <w:vAlign w:val="center"/>
            <w:hideMark/>
          </w:tcPr>
          <w:p w14:paraId="50BA066E" w14:textId="77777777" w:rsidR="00C968D0" w:rsidRPr="00ED2DF2" w:rsidRDefault="00C968D0" w:rsidP="003E0728">
            <w:pPr>
              <w:pStyle w:val="Tables"/>
            </w:pPr>
            <w:r w:rsidRPr="00ED2DF2">
              <w:t>100</w:t>
            </w:r>
          </w:p>
        </w:tc>
      </w:tr>
      <w:tr w:rsidR="00C968D0" w:rsidRPr="00C968D0" w14:paraId="79817982" w14:textId="77777777" w:rsidTr="00C968D0">
        <w:trPr>
          <w:trHeight w:val="20"/>
          <w:jc w:val="center"/>
        </w:trPr>
        <w:tc>
          <w:tcPr>
            <w:tcW w:w="1647" w:type="dxa"/>
            <w:tcBorders>
              <w:top w:val="nil"/>
              <w:left w:val="single" w:sz="4" w:space="0" w:color="auto"/>
              <w:bottom w:val="single" w:sz="4" w:space="0" w:color="auto"/>
              <w:right w:val="single" w:sz="4" w:space="0" w:color="auto"/>
            </w:tcBorders>
            <w:vAlign w:val="center"/>
            <w:hideMark/>
          </w:tcPr>
          <w:p w14:paraId="03FF095A" w14:textId="77777777" w:rsidR="00C968D0" w:rsidRPr="00C968D0" w:rsidRDefault="00C968D0" w:rsidP="003E0728">
            <w:pPr>
              <w:pStyle w:val="Tables"/>
            </w:pPr>
            <w:r w:rsidRPr="00C968D0">
              <w:t>Customs </w:t>
            </w:r>
          </w:p>
        </w:tc>
        <w:tc>
          <w:tcPr>
            <w:tcW w:w="1010" w:type="dxa"/>
            <w:tcBorders>
              <w:top w:val="nil"/>
              <w:left w:val="nil"/>
              <w:bottom w:val="single" w:sz="4" w:space="0" w:color="auto"/>
              <w:right w:val="single" w:sz="4" w:space="0" w:color="auto"/>
            </w:tcBorders>
            <w:vAlign w:val="center"/>
            <w:hideMark/>
          </w:tcPr>
          <w:p w14:paraId="6A167DB6" w14:textId="77777777" w:rsidR="00C968D0" w:rsidRPr="00C968D0" w:rsidRDefault="00C968D0" w:rsidP="003E0728">
            <w:pPr>
              <w:pStyle w:val="Tables"/>
            </w:pPr>
            <w:r w:rsidRPr="00C968D0">
              <w:t>43·11</w:t>
            </w:r>
          </w:p>
        </w:tc>
        <w:tc>
          <w:tcPr>
            <w:tcW w:w="1150" w:type="dxa"/>
            <w:tcBorders>
              <w:top w:val="nil"/>
              <w:left w:val="nil"/>
              <w:bottom w:val="single" w:sz="4" w:space="0" w:color="auto"/>
              <w:right w:val="single" w:sz="4" w:space="0" w:color="auto"/>
            </w:tcBorders>
            <w:vAlign w:val="center"/>
            <w:hideMark/>
          </w:tcPr>
          <w:p w14:paraId="7BE19BE9" w14:textId="77777777" w:rsidR="00C968D0" w:rsidRPr="00C968D0" w:rsidRDefault="00C968D0" w:rsidP="003E0728">
            <w:pPr>
              <w:pStyle w:val="Tables"/>
            </w:pPr>
            <w:r w:rsidRPr="00C968D0">
              <w:t> 39·77 </w:t>
            </w:r>
          </w:p>
        </w:tc>
        <w:tc>
          <w:tcPr>
            <w:tcW w:w="1010" w:type="dxa"/>
            <w:tcBorders>
              <w:top w:val="nil"/>
              <w:left w:val="nil"/>
              <w:bottom w:val="single" w:sz="4" w:space="0" w:color="auto"/>
              <w:right w:val="single" w:sz="4" w:space="0" w:color="auto"/>
            </w:tcBorders>
            <w:vAlign w:val="center"/>
            <w:hideMark/>
          </w:tcPr>
          <w:p w14:paraId="19272FF6" w14:textId="77777777" w:rsidR="00C968D0" w:rsidRPr="00C968D0" w:rsidRDefault="00C968D0" w:rsidP="003E0728">
            <w:pPr>
              <w:pStyle w:val="Tables"/>
            </w:pPr>
            <w:r w:rsidRPr="00C968D0">
              <w:t>89·22</w:t>
            </w:r>
          </w:p>
        </w:tc>
        <w:tc>
          <w:tcPr>
            <w:tcW w:w="870" w:type="dxa"/>
            <w:tcBorders>
              <w:top w:val="nil"/>
              <w:left w:val="nil"/>
              <w:bottom w:val="single" w:sz="4" w:space="0" w:color="auto"/>
              <w:right w:val="single" w:sz="4" w:space="0" w:color="auto"/>
            </w:tcBorders>
            <w:shd w:val="clear" w:color="000000" w:fill="FFFFFF"/>
            <w:vAlign w:val="center"/>
            <w:hideMark/>
          </w:tcPr>
          <w:p w14:paraId="0F679CA7" w14:textId="1043CB9E" w:rsidR="00C968D0" w:rsidRPr="00C968D0" w:rsidRDefault="00C968D0" w:rsidP="003E0728">
            <w:pPr>
              <w:pStyle w:val="Tables"/>
            </w:pPr>
            <w:r w:rsidRPr="00C968D0">
              <w:t>100</w:t>
            </w:r>
            <w:r w:rsidR="009D1901">
              <w:t>.0</w:t>
            </w:r>
          </w:p>
        </w:tc>
        <w:tc>
          <w:tcPr>
            <w:tcW w:w="986" w:type="dxa"/>
            <w:tcBorders>
              <w:top w:val="nil"/>
              <w:left w:val="nil"/>
              <w:bottom w:val="single" w:sz="4" w:space="0" w:color="auto"/>
              <w:right w:val="single" w:sz="4" w:space="0" w:color="auto"/>
            </w:tcBorders>
            <w:shd w:val="clear" w:color="000000" w:fill="FFFFFF"/>
            <w:vAlign w:val="center"/>
            <w:hideMark/>
          </w:tcPr>
          <w:p w14:paraId="14F1738F" w14:textId="77777777" w:rsidR="00C968D0" w:rsidRPr="00C968D0" w:rsidRDefault="00C968D0" w:rsidP="003E0728">
            <w:pPr>
              <w:pStyle w:val="Tables"/>
            </w:pPr>
            <w:r w:rsidRPr="00C968D0">
              <w:t>92.3</w:t>
            </w:r>
          </w:p>
        </w:tc>
        <w:tc>
          <w:tcPr>
            <w:tcW w:w="986" w:type="dxa"/>
            <w:tcBorders>
              <w:top w:val="nil"/>
              <w:left w:val="nil"/>
              <w:bottom w:val="single" w:sz="4" w:space="0" w:color="auto"/>
              <w:right w:val="single" w:sz="4" w:space="0" w:color="auto"/>
            </w:tcBorders>
            <w:shd w:val="clear" w:color="000000" w:fill="FFFFFF"/>
            <w:vAlign w:val="center"/>
            <w:hideMark/>
          </w:tcPr>
          <w:p w14:paraId="0DEAF3F8" w14:textId="77777777" w:rsidR="00C968D0" w:rsidRPr="00C968D0" w:rsidRDefault="00C968D0" w:rsidP="003E0728">
            <w:pPr>
              <w:pStyle w:val="Tables"/>
            </w:pPr>
            <w:r w:rsidRPr="00C968D0">
              <w:t>206.9</w:t>
            </w:r>
          </w:p>
        </w:tc>
        <w:tc>
          <w:tcPr>
            <w:tcW w:w="870" w:type="dxa"/>
            <w:tcBorders>
              <w:top w:val="nil"/>
              <w:left w:val="nil"/>
              <w:bottom w:val="single" w:sz="4" w:space="0" w:color="auto"/>
              <w:right w:val="single" w:sz="4" w:space="0" w:color="auto"/>
            </w:tcBorders>
            <w:shd w:val="clear" w:color="000000" w:fill="FFFFFF"/>
            <w:vAlign w:val="center"/>
            <w:hideMark/>
          </w:tcPr>
          <w:p w14:paraId="099E1B5B" w14:textId="77777777" w:rsidR="00C968D0" w:rsidRPr="00C968D0" w:rsidRDefault="00C968D0" w:rsidP="003E0728">
            <w:pPr>
              <w:pStyle w:val="Tables"/>
            </w:pPr>
            <w:r w:rsidRPr="00C968D0">
              <w:t>49.8</w:t>
            </w:r>
          </w:p>
        </w:tc>
        <w:tc>
          <w:tcPr>
            <w:tcW w:w="870" w:type="dxa"/>
            <w:tcBorders>
              <w:top w:val="nil"/>
              <w:left w:val="nil"/>
              <w:bottom w:val="single" w:sz="4" w:space="0" w:color="auto"/>
              <w:right w:val="single" w:sz="4" w:space="0" w:color="auto"/>
            </w:tcBorders>
            <w:shd w:val="clear" w:color="000000" w:fill="FFFFFF"/>
            <w:vAlign w:val="center"/>
            <w:hideMark/>
          </w:tcPr>
          <w:p w14:paraId="118C369F" w14:textId="77777777" w:rsidR="00C968D0" w:rsidRPr="00C968D0" w:rsidRDefault="00C968D0" w:rsidP="003E0728">
            <w:pPr>
              <w:pStyle w:val="Tables"/>
            </w:pPr>
            <w:r w:rsidRPr="00C968D0">
              <w:t>11.9</w:t>
            </w:r>
          </w:p>
        </w:tc>
        <w:tc>
          <w:tcPr>
            <w:tcW w:w="870" w:type="dxa"/>
            <w:tcBorders>
              <w:top w:val="nil"/>
              <w:left w:val="nil"/>
              <w:bottom w:val="single" w:sz="4" w:space="0" w:color="auto"/>
              <w:right w:val="single" w:sz="4" w:space="0" w:color="auto"/>
            </w:tcBorders>
            <w:shd w:val="clear" w:color="000000" w:fill="FFFFFF"/>
            <w:vAlign w:val="center"/>
            <w:hideMark/>
          </w:tcPr>
          <w:p w14:paraId="4B182CF4" w14:textId="623DD8B8" w:rsidR="00C968D0" w:rsidRPr="00C968D0" w:rsidRDefault="00C968D0" w:rsidP="003E0728">
            <w:pPr>
              <w:pStyle w:val="Tables"/>
            </w:pPr>
            <w:r w:rsidRPr="00C968D0">
              <w:t>26</w:t>
            </w:r>
            <w:r w:rsidR="008D3E88">
              <w:t>.0</w:t>
            </w:r>
          </w:p>
        </w:tc>
      </w:tr>
      <w:tr w:rsidR="00C968D0" w:rsidRPr="00C968D0" w14:paraId="131B3404" w14:textId="77777777" w:rsidTr="00C968D0">
        <w:trPr>
          <w:trHeight w:val="20"/>
          <w:jc w:val="center"/>
        </w:trPr>
        <w:tc>
          <w:tcPr>
            <w:tcW w:w="1647" w:type="dxa"/>
            <w:tcBorders>
              <w:top w:val="nil"/>
              <w:left w:val="single" w:sz="4" w:space="0" w:color="auto"/>
              <w:bottom w:val="single" w:sz="4" w:space="0" w:color="auto"/>
              <w:right w:val="single" w:sz="4" w:space="0" w:color="auto"/>
            </w:tcBorders>
            <w:vAlign w:val="center"/>
            <w:hideMark/>
          </w:tcPr>
          <w:p w14:paraId="771F6D81" w14:textId="77777777" w:rsidR="00C968D0" w:rsidRPr="00C968D0" w:rsidRDefault="00C968D0" w:rsidP="003E0728">
            <w:pPr>
              <w:pStyle w:val="Tables"/>
            </w:pPr>
            <w:r w:rsidRPr="00C968D0">
              <w:t>Central Excise Duties </w:t>
            </w:r>
          </w:p>
        </w:tc>
        <w:tc>
          <w:tcPr>
            <w:tcW w:w="1010" w:type="dxa"/>
            <w:tcBorders>
              <w:top w:val="nil"/>
              <w:left w:val="nil"/>
              <w:bottom w:val="single" w:sz="4" w:space="0" w:color="auto"/>
              <w:right w:val="single" w:sz="4" w:space="0" w:color="auto"/>
            </w:tcBorders>
            <w:vAlign w:val="center"/>
            <w:hideMark/>
          </w:tcPr>
          <w:p w14:paraId="0BB8E2AE" w14:textId="77777777" w:rsidR="00C968D0" w:rsidRPr="00C968D0" w:rsidRDefault="00C968D0" w:rsidP="003E0728">
            <w:pPr>
              <w:pStyle w:val="Tables"/>
            </w:pPr>
            <w:r w:rsidRPr="00C968D0">
              <w:t>7·66 </w:t>
            </w:r>
          </w:p>
        </w:tc>
        <w:tc>
          <w:tcPr>
            <w:tcW w:w="1150" w:type="dxa"/>
            <w:tcBorders>
              <w:top w:val="nil"/>
              <w:left w:val="nil"/>
              <w:bottom w:val="single" w:sz="4" w:space="0" w:color="auto"/>
              <w:right w:val="single" w:sz="4" w:space="0" w:color="auto"/>
            </w:tcBorders>
            <w:vAlign w:val="center"/>
            <w:hideMark/>
          </w:tcPr>
          <w:p w14:paraId="4EDCE794" w14:textId="77777777" w:rsidR="00C968D0" w:rsidRPr="00C968D0" w:rsidRDefault="00C968D0" w:rsidP="003E0728">
            <w:pPr>
              <w:pStyle w:val="Tables"/>
            </w:pPr>
            <w:r w:rsidRPr="00C968D0">
              <w:t>38·14 </w:t>
            </w:r>
          </w:p>
        </w:tc>
        <w:tc>
          <w:tcPr>
            <w:tcW w:w="1010" w:type="dxa"/>
            <w:tcBorders>
              <w:top w:val="nil"/>
              <w:left w:val="nil"/>
              <w:bottom w:val="single" w:sz="4" w:space="0" w:color="auto"/>
              <w:right w:val="single" w:sz="4" w:space="0" w:color="auto"/>
            </w:tcBorders>
            <w:vAlign w:val="center"/>
            <w:hideMark/>
          </w:tcPr>
          <w:p w14:paraId="0BAD05B7" w14:textId="77777777" w:rsidR="00C968D0" w:rsidRPr="00C968D0" w:rsidRDefault="00C968D0" w:rsidP="003E0728">
            <w:pPr>
              <w:pStyle w:val="Tables"/>
            </w:pPr>
            <w:r w:rsidRPr="00C968D0">
              <w:t>43·03</w:t>
            </w:r>
          </w:p>
        </w:tc>
        <w:tc>
          <w:tcPr>
            <w:tcW w:w="870" w:type="dxa"/>
            <w:tcBorders>
              <w:top w:val="nil"/>
              <w:left w:val="nil"/>
              <w:bottom w:val="single" w:sz="4" w:space="0" w:color="auto"/>
              <w:right w:val="single" w:sz="4" w:space="0" w:color="auto"/>
            </w:tcBorders>
            <w:shd w:val="clear" w:color="000000" w:fill="FFFFFF"/>
            <w:vAlign w:val="center"/>
            <w:hideMark/>
          </w:tcPr>
          <w:p w14:paraId="07C0F502" w14:textId="276227A8" w:rsidR="00C968D0" w:rsidRPr="00C968D0" w:rsidRDefault="00C968D0" w:rsidP="003E0728">
            <w:pPr>
              <w:pStyle w:val="Tables"/>
            </w:pPr>
            <w:r w:rsidRPr="00C968D0">
              <w:t>100</w:t>
            </w:r>
            <w:r w:rsidR="009D1901">
              <w:t>.0</w:t>
            </w:r>
          </w:p>
        </w:tc>
        <w:tc>
          <w:tcPr>
            <w:tcW w:w="986" w:type="dxa"/>
            <w:tcBorders>
              <w:top w:val="nil"/>
              <w:left w:val="nil"/>
              <w:bottom w:val="single" w:sz="4" w:space="0" w:color="auto"/>
              <w:right w:val="single" w:sz="4" w:space="0" w:color="auto"/>
            </w:tcBorders>
            <w:shd w:val="clear" w:color="000000" w:fill="FFFFFF"/>
            <w:vAlign w:val="center"/>
            <w:hideMark/>
          </w:tcPr>
          <w:p w14:paraId="1083F1B2" w14:textId="77777777" w:rsidR="00C968D0" w:rsidRPr="00C968D0" w:rsidRDefault="00C968D0" w:rsidP="003E0728">
            <w:pPr>
              <w:pStyle w:val="Tables"/>
            </w:pPr>
            <w:r w:rsidRPr="00C968D0">
              <w:t>497.5</w:t>
            </w:r>
          </w:p>
        </w:tc>
        <w:tc>
          <w:tcPr>
            <w:tcW w:w="986" w:type="dxa"/>
            <w:tcBorders>
              <w:top w:val="nil"/>
              <w:left w:val="nil"/>
              <w:bottom w:val="single" w:sz="4" w:space="0" w:color="auto"/>
              <w:right w:val="single" w:sz="4" w:space="0" w:color="auto"/>
            </w:tcBorders>
            <w:shd w:val="clear" w:color="000000" w:fill="FFFFFF"/>
            <w:vAlign w:val="center"/>
            <w:hideMark/>
          </w:tcPr>
          <w:p w14:paraId="30DBF456" w14:textId="77777777" w:rsidR="00C968D0" w:rsidRPr="00C968D0" w:rsidRDefault="00C968D0" w:rsidP="003E0728">
            <w:pPr>
              <w:pStyle w:val="Tables"/>
            </w:pPr>
            <w:r w:rsidRPr="00C968D0">
              <w:t>561.8</w:t>
            </w:r>
          </w:p>
        </w:tc>
        <w:tc>
          <w:tcPr>
            <w:tcW w:w="870" w:type="dxa"/>
            <w:tcBorders>
              <w:top w:val="nil"/>
              <w:left w:val="nil"/>
              <w:bottom w:val="single" w:sz="4" w:space="0" w:color="auto"/>
              <w:right w:val="single" w:sz="4" w:space="0" w:color="auto"/>
            </w:tcBorders>
            <w:shd w:val="clear" w:color="000000" w:fill="FFFFFF"/>
            <w:vAlign w:val="center"/>
            <w:hideMark/>
          </w:tcPr>
          <w:p w14:paraId="01394357" w14:textId="77777777" w:rsidR="00C968D0" w:rsidRPr="00C968D0" w:rsidRDefault="00C968D0" w:rsidP="003E0728">
            <w:pPr>
              <w:pStyle w:val="Tables"/>
            </w:pPr>
            <w:r w:rsidRPr="00C968D0">
              <w:t>8.8</w:t>
            </w:r>
          </w:p>
        </w:tc>
        <w:tc>
          <w:tcPr>
            <w:tcW w:w="870" w:type="dxa"/>
            <w:tcBorders>
              <w:top w:val="nil"/>
              <w:left w:val="nil"/>
              <w:bottom w:val="single" w:sz="4" w:space="0" w:color="auto"/>
              <w:right w:val="single" w:sz="4" w:space="0" w:color="auto"/>
            </w:tcBorders>
            <w:shd w:val="clear" w:color="000000" w:fill="FFFFFF"/>
            <w:vAlign w:val="center"/>
            <w:hideMark/>
          </w:tcPr>
          <w:p w14:paraId="0CD907A6" w14:textId="77777777" w:rsidR="00C968D0" w:rsidRPr="00C968D0" w:rsidRDefault="00C968D0" w:rsidP="003E0728">
            <w:pPr>
              <w:pStyle w:val="Tables"/>
            </w:pPr>
            <w:r w:rsidRPr="00C968D0">
              <w:t>11.4</w:t>
            </w:r>
          </w:p>
        </w:tc>
        <w:tc>
          <w:tcPr>
            <w:tcW w:w="870" w:type="dxa"/>
            <w:tcBorders>
              <w:top w:val="nil"/>
              <w:left w:val="nil"/>
              <w:bottom w:val="single" w:sz="4" w:space="0" w:color="auto"/>
              <w:right w:val="single" w:sz="4" w:space="0" w:color="auto"/>
            </w:tcBorders>
            <w:shd w:val="clear" w:color="000000" w:fill="FFFFFF"/>
            <w:vAlign w:val="center"/>
            <w:hideMark/>
          </w:tcPr>
          <w:p w14:paraId="7D0710C4" w14:textId="77777777" w:rsidR="00C968D0" w:rsidRPr="00C968D0" w:rsidRDefault="00C968D0" w:rsidP="003E0728">
            <w:pPr>
              <w:pStyle w:val="Tables"/>
            </w:pPr>
            <w:r w:rsidRPr="00C968D0">
              <w:t>12.6</w:t>
            </w:r>
          </w:p>
        </w:tc>
      </w:tr>
      <w:tr w:rsidR="00C968D0" w:rsidRPr="00C968D0" w14:paraId="444E624A" w14:textId="77777777" w:rsidTr="00C968D0">
        <w:trPr>
          <w:trHeight w:val="20"/>
          <w:jc w:val="center"/>
        </w:trPr>
        <w:tc>
          <w:tcPr>
            <w:tcW w:w="1647" w:type="dxa"/>
            <w:tcBorders>
              <w:top w:val="nil"/>
              <w:left w:val="single" w:sz="4" w:space="0" w:color="auto"/>
              <w:bottom w:val="single" w:sz="4" w:space="0" w:color="auto"/>
              <w:right w:val="single" w:sz="4" w:space="0" w:color="auto"/>
            </w:tcBorders>
            <w:vAlign w:val="center"/>
            <w:hideMark/>
          </w:tcPr>
          <w:p w14:paraId="15A7429D" w14:textId="77777777" w:rsidR="00C968D0" w:rsidRPr="00C968D0" w:rsidRDefault="00C968D0" w:rsidP="003E0728">
            <w:pPr>
              <w:pStyle w:val="Tables"/>
            </w:pPr>
            <w:r w:rsidRPr="00C968D0">
              <w:t>Taxes on Income* </w:t>
            </w:r>
          </w:p>
        </w:tc>
        <w:tc>
          <w:tcPr>
            <w:tcW w:w="1010" w:type="dxa"/>
            <w:tcBorders>
              <w:top w:val="nil"/>
              <w:left w:val="nil"/>
              <w:bottom w:val="single" w:sz="4" w:space="0" w:color="auto"/>
              <w:right w:val="single" w:sz="4" w:space="0" w:color="auto"/>
            </w:tcBorders>
            <w:vAlign w:val="center"/>
            <w:hideMark/>
          </w:tcPr>
          <w:p w14:paraId="4CB34D9D" w14:textId="77777777" w:rsidR="00C968D0" w:rsidRPr="00C968D0" w:rsidRDefault="00C968D0" w:rsidP="003E0728">
            <w:pPr>
              <w:pStyle w:val="Tables"/>
            </w:pPr>
            <w:r w:rsidRPr="00C968D0">
              <w:t> 14·58 </w:t>
            </w:r>
          </w:p>
        </w:tc>
        <w:tc>
          <w:tcPr>
            <w:tcW w:w="1150" w:type="dxa"/>
            <w:tcBorders>
              <w:top w:val="nil"/>
              <w:left w:val="nil"/>
              <w:bottom w:val="single" w:sz="4" w:space="0" w:color="auto"/>
              <w:right w:val="single" w:sz="4" w:space="0" w:color="auto"/>
            </w:tcBorders>
            <w:vAlign w:val="center"/>
            <w:hideMark/>
          </w:tcPr>
          <w:p w14:paraId="15B54BF1" w14:textId="77777777" w:rsidR="00C968D0" w:rsidRPr="00C968D0" w:rsidRDefault="00C968D0" w:rsidP="003E0728">
            <w:pPr>
              <w:pStyle w:val="Tables"/>
            </w:pPr>
            <w:r w:rsidRPr="00C968D0">
              <w:t> 164·74 </w:t>
            </w:r>
          </w:p>
        </w:tc>
        <w:tc>
          <w:tcPr>
            <w:tcW w:w="1010" w:type="dxa"/>
            <w:tcBorders>
              <w:top w:val="nil"/>
              <w:left w:val="nil"/>
              <w:bottom w:val="single" w:sz="4" w:space="0" w:color="auto"/>
              <w:right w:val="single" w:sz="4" w:space="0" w:color="auto"/>
            </w:tcBorders>
            <w:vAlign w:val="center"/>
            <w:hideMark/>
          </w:tcPr>
          <w:p w14:paraId="672F1019" w14:textId="77777777" w:rsidR="00C968D0" w:rsidRPr="00C968D0" w:rsidRDefault="00C968D0" w:rsidP="003E0728">
            <w:pPr>
              <w:pStyle w:val="Tables"/>
            </w:pPr>
            <w:r w:rsidRPr="00C968D0">
              <w:t xml:space="preserve">130·72 </w:t>
            </w:r>
          </w:p>
        </w:tc>
        <w:tc>
          <w:tcPr>
            <w:tcW w:w="870" w:type="dxa"/>
            <w:tcBorders>
              <w:top w:val="nil"/>
              <w:left w:val="nil"/>
              <w:bottom w:val="single" w:sz="4" w:space="0" w:color="auto"/>
              <w:right w:val="single" w:sz="4" w:space="0" w:color="auto"/>
            </w:tcBorders>
            <w:shd w:val="clear" w:color="000000" w:fill="FFFFFF"/>
            <w:vAlign w:val="center"/>
            <w:hideMark/>
          </w:tcPr>
          <w:p w14:paraId="13898E17" w14:textId="17457AA1" w:rsidR="00C968D0" w:rsidRPr="00C968D0" w:rsidRDefault="00C968D0" w:rsidP="003E0728">
            <w:pPr>
              <w:pStyle w:val="Tables"/>
            </w:pPr>
            <w:r w:rsidRPr="00C968D0">
              <w:t>100</w:t>
            </w:r>
            <w:r w:rsidR="009D1901">
              <w:t>.0</w:t>
            </w:r>
          </w:p>
        </w:tc>
        <w:tc>
          <w:tcPr>
            <w:tcW w:w="986" w:type="dxa"/>
            <w:tcBorders>
              <w:top w:val="nil"/>
              <w:left w:val="nil"/>
              <w:bottom w:val="single" w:sz="4" w:space="0" w:color="auto"/>
              <w:right w:val="single" w:sz="4" w:space="0" w:color="auto"/>
            </w:tcBorders>
            <w:shd w:val="clear" w:color="000000" w:fill="FFFFFF"/>
            <w:vAlign w:val="center"/>
            <w:hideMark/>
          </w:tcPr>
          <w:p w14:paraId="1F1CB743" w14:textId="77777777" w:rsidR="00C968D0" w:rsidRPr="00C968D0" w:rsidRDefault="00C968D0" w:rsidP="003E0728">
            <w:pPr>
              <w:pStyle w:val="Tables"/>
            </w:pPr>
            <w:r w:rsidRPr="00C968D0">
              <w:t>1130</w:t>
            </w:r>
          </w:p>
        </w:tc>
        <w:tc>
          <w:tcPr>
            <w:tcW w:w="986" w:type="dxa"/>
            <w:tcBorders>
              <w:top w:val="nil"/>
              <w:left w:val="nil"/>
              <w:bottom w:val="single" w:sz="4" w:space="0" w:color="auto"/>
              <w:right w:val="single" w:sz="4" w:space="0" w:color="auto"/>
            </w:tcBorders>
            <w:shd w:val="clear" w:color="000000" w:fill="FFFFFF"/>
            <w:vAlign w:val="center"/>
            <w:hideMark/>
          </w:tcPr>
          <w:p w14:paraId="2BAF53F1" w14:textId="77777777" w:rsidR="00C968D0" w:rsidRPr="00C968D0" w:rsidRDefault="00C968D0" w:rsidP="003E0728">
            <w:pPr>
              <w:pStyle w:val="Tables"/>
            </w:pPr>
            <w:r w:rsidRPr="00C968D0">
              <w:t>896.6</w:t>
            </w:r>
          </w:p>
        </w:tc>
        <w:tc>
          <w:tcPr>
            <w:tcW w:w="870" w:type="dxa"/>
            <w:tcBorders>
              <w:top w:val="nil"/>
              <w:left w:val="nil"/>
              <w:bottom w:val="single" w:sz="4" w:space="0" w:color="auto"/>
              <w:right w:val="single" w:sz="4" w:space="0" w:color="auto"/>
            </w:tcBorders>
            <w:shd w:val="clear" w:color="000000" w:fill="FFFFFF"/>
            <w:vAlign w:val="center"/>
            <w:hideMark/>
          </w:tcPr>
          <w:p w14:paraId="00340CC9" w14:textId="77777777" w:rsidR="00C968D0" w:rsidRPr="00C968D0" w:rsidRDefault="00C968D0" w:rsidP="003E0728">
            <w:pPr>
              <w:pStyle w:val="Tables"/>
            </w:pPr>
            <w:r w:rsidRPr="00C968D0">
              <w:t>16.8</w:t>
            </w:r>
          </w:p>
        </w:tc>
        <w:tc>
          <w:tcPr>
            <w:tcW w:w="870" w:type="dxa"/>
            <w:tcBorders>
              <w:top w:val="nil"/>
              <w:left w:val="nil"/>
              <w:bottom w:val="single" w:sz="4" w:space="0" w:color="auto"/>
              <w:right w:val="single" w:sz="4" w:space="0" w:color="auto"/>
            </w:tcBorders>
            <w:shd w:val="clear" w:color="000000" w:fill="FFFFFF"/>
            <w:vAlign w:val="center"/>
            <w:hideMark/>
          </w:tcPr>
          <w:p w14:paraId="67DB3264" w14:textId="77777777" w:rsidR="00C968D0" w:rsidRPr="00C968D0" w:rsidRDefault="00C968D0" w:rsidP="003E0728">
            <w:pPr>
              <w:pStyle w:val="Tables"/>
            </w:pPr>
            <w:r w:rsidRPr="00C968D0">
              <w:t>49.1</w:t>
            </w:r>
          </w:p>
        </w:tc>
        <w:tc>
          <w:tcPr>
            <w:tcW w:w="870" w:type="dxa"/>
            <w:tcBorders>
              <w:top w:val="nil"/>
              <w:left w:val="nil"/>
              <w:bottom w:val="single" w:sz="4" w:space="0" w:color="auto"/>
              <w:right w:val="single" w:sz="4" w:space="0" w:color="auto"/>
            </w:tcBorders>
            <w:shd w:val="clear" w:color="000000" w:fill="FFFFFF"/>
            <w:vAlign w:val="center"/>
            <w:hideMark/>
          </w:tcPr>
          <w:p w14:paraId="5F290915" w14:textId="77777777" w:rsidR="00C968D0" w:rsidRPr="00C968D0" w:rsidRDefault="00C968D0" w:rsidP="003E0728">
            <w:pPr>
              <w:pStyle w:val="Tables"/>
            </w:pPr>
            <w:r w:rsidRPr="00C968D0">
              <w:t>38.1</w:t>
            </w:r>
          </w:p>
        </w:tc>
      </w:tr>
      <w:tr w:rsidR="00C968D0" w:rsidRPr="00C968D0" w14:paraId="5DEA59DB" w14:textId="77777777" w:rsidTr="00C968D0">
        <w:trPr>
          <w:trHeight w:val="20"/>
          <w:jc w:val="center"/>
        </w:trPr>
        <w:tc>
          <w:tcPr>
            <w:tcW w:w="1647" w:type="dxa"/>
            <w:tcBorders>
              <w:top w:val="nil"/>
              <w:left w:val="single" w:sz="4" w:space="0" w:color="auto"/>
              <w:bottom w:val="single" w:sz="4" w:space="0" w:color="auto"/>
              <w:right w:val="single" w:sz="4" w:space="0" w:color="auto"/>
            </w:tcBorders>
            <w:vAlign w:val="center"/>
            <w:hideMark/>
          </w:tcPr>
          <w:p w14:paraId="0E1D8DCC" w14:textId="77777777" w:rsidR="00C968D0" w:rsidRPr="00C968D0" w:rsidRDefault="00C968D0" w:rsidP="003E0728">
            <w:pPr>
              <w:pStyle w:val="Tables"/>
            </w:pPr>
            <w:r w:rsidRPr="00C968D0">
              <w:t>Corporation Tax</w:t>
            </w:r>
          </w:p>
        </w:tc>
        <w:tc>
          <w:tcPr>
            <w:tcW w:w="1010" w:type="dxa"/>
            <w:tcBorders>
              <w:top w:val="nil"/>
              <w:left w:val="nil"/>
              <w:bottom w:val="single" w:sz="4" w:space="0" w:color="auto"/>
              <w:right w:val="single" w:sz="4" w:space="0" w:color="auto"/>
            </w:tcBorders>
            <w:vAlign w:val="center"/>
            <w:hideMark/>
          </w:tcPr>
          <w:p w14:paraId="1ED58794" w14:textId="77777777" w:rsidR="00C968D0" w:rsidRPr="00C968D0" w:rsidRDefault="00C968D0" w:rsidP="003E0728">
            <w:pPr>
              <w:pStyle w:val="Tables"/>
            </w:pPr>
            <w:r w:rsidRPr="00C968D0">
              <w:t>1·88</w:t>
            </w:r>
          </w:p>
        </w:tc>
        <w:tc>
          <w:tcPr>
            <w:tcW w:w="1150" w:type="dxa"/>
            <w:tcBorders>
              <w:top w:val="nil"/>
              <w:left w:val="nil"/>
              <w:bottom w:val="single" w:sz="4" w:space="0" w:color="auto"/>
              <w:right w:val="single" w:sz="4" w:space="0" w:color="auto"/>
            </w:tcBorders>
            <w:vAlign w:val="center"/>
            <w:hideMark/>
          </w:tcPr>
          <w:p w14:paraId="00BF02A6" w14:textId="77777777" w:rsidR="00C968D0" w:rsidRPr="00C968D0" w:rsidRDefault="00C968D0" w:rsidP="003E0728">
            <w:pPr>
              <w:pStyle w:val="Tables"/>
            </w:pPr>
            <w:r w:rsidRPr="00C968D0">
              <w:t>83·65</w:t>
            </w:r>
          </w:p>
        </w:tc>
        <w:tc>
          <w:tcPr>
            <w:tcW w:w="1010" w:type="dxa"/>
            <w:tcBorders>
              <w:top w:val="nil"/>
              <w:left w:val="nil"/>
              <w:bottom w:val="single" w:sz="4" w:space="0" w:color="auto"/>
              <w:right w:val="single" w:sz="4" w:space="0" w:color="auto"/>
            </w:tcBorders>
            <w:vAlign w:val="center"/>
            <w:hideMark/>
          </w:tcPr>
          <w:p w14:paraId="3AD55187" w14:textId="77777777" w:rsidR="00C968D0" w:rsidRPr="00C968D0" w:rsidRDefault="00C968D0" w:rsidP="003E0728">
            <w:pPr>
              <w:pStyle w:val="Tables"/>
            </w:pPr>
            <w:r w:rsidRPr="00C968D0">
              <w:t>68·85 </w:t>
            </w:r>
          </w:p>
        </w:tc>
        <w:tc>
          <w:tcPr>
            <w:tcW w:w="870" w:type="dxa"/>
            <w:tcBorders>
              <w:top w:val="nil"/>
              <w:left w:val="nil"/>
              <w:bottom w:val="single" w:sz="4" w:space="0" w:color="auto"/>
              <w:right w:val="single" w:sz="4" w:space="0" w:color="auto"/>
            </w:tcBorders>
            <w:shd w:val="clear" w:color="000000" w:fill="FFFFFF"/>
            <w:vAlign w:val="center"/>
            <w:hideMark/>
          </w:tcPr>
          <w:p w14:paraId="24A57CDD" w14:textId="05DF4245" w:rsidR="00C968D0" w:rsidRPr="00C968D0" w:rsidRDefault="00C968D0" w:rsidP="003E0728">
            <w:pPr>
              <w:pStyle w:val="Tables"/>
            </w:pPr>
            <w:r w:rsidRPr="00C968D0">
              <w:t>100</w:t>
            </w:r>
            <w:r w:rsidR="009D1901">
              <w:t>.0</w:t>
            </w:r>
          </w:p>
        </w:tc>
        <w:tc>
          <w:tcPr>
            <w:tcW w:w="986" w:type="dxa"/>
            <w:tcBorders>
              <w:top w:val="nil"/>
              <w:left w:val="nil"/>
              <w:bottom w:val="single" w:sz="4" w:space="0" w:color="auto"/>
              <w:right w:val="single" w:sz="4" w:space="0" w:color="auto"/>
            </w:tcBorders>
            <w:shd w:val="clear" w:color="000000" w:fill="FFFFFF"/>
            <w:vAlign w:val="center"/>
            <w:hideMark/>
          </w:tcPr>
          <w:p w14:paraId="7BB400E6" w14:textId="77777777" w:rsidR="00C968D0" w:rsidRPr="00C968D0" w:rsidRDefault="00C968D0" w:rsidP="003E0728">
            <w:pPr>
              <w:pStyle w:val="Tables"/>
            </w:pPr>
            <w:r w:rsidRPr="00C968D0">
              <w:t>4449.3</w:t>
            </w:r>
          </w:p>
        </w:tc>
        <w:tc>
          <w:tcPr>
            <w:tcW w:w="986" w:type="dxa"/>
            <w:tcBorders>
              <w:top w:val="nil"/>
              <w:left w:val="nil"/>
              <w:bottom w:val="single" w:sz="4" w:space="0" w:color="auto"/>
              <w:right w:val="single" w:sz="4" w:space="0" w:color="auto"/>
            </w:tcBorders>
            <w:shd w:val="clear" w:color="000000" w:fill="FFFFFF"/>
            <w:vAlign w:val="center"/>
            <w:hideMark/>
          </w:tcPr>
          <w:p w14:paraId="439376DC" w14:textId="77777777" w:rsidR="00C968D0" w:rsidRPr="00C968D0" w:rsidRDefault="00C968D0" w:rsidP="003E0728">
            <w:pPr>
              <w:pStyle w:val="Tables"/>
            </w:pPr>
            <w:r w:rsidRPr="00C968D0">
              <w:t>3662.2</w:t>
            </w:r>
          </w:p>
        </w:tc>
        <w:tc>
          <w:tcPr>
            <w:tcW w:w="870" w:type="dxa"/>
            <w:tcBorders>
              <w:top w:val="nil"/>
              <w:left w:val="nil"/>
              <w:bottom w:val="single" w:sz="4" w:space="0" w:color="auto"/>
              <w:right w:val="single" w:sz="4" w:space="0" w:color="auto"/>
            </w:tcBorders>
            <w:shd w:val="clear" w:color="000000" w:fill="FFFFFF"/>
            <w:vAlign w:val="center"/>
            <w:hideMark/>
          </w:tcPr>
          <w:p w14:paraId="0B43A0C7" w14:textId="77777777" w:rsidR="00C968D0" w:rsidRPr="00C968D0" w:rsidRDefault="00C968D0" w:rsidP="003E0728">
            <w:pPr>
              <w:pStyle w:val="Tables"/>
            </w:pPr>
            <w:r w:rsidRPr="00C968D0">
              <w:t>2.2</w:t>
            </w:r>
          </w:p>
        </w:tc>
        <w:tc>
          <w:tcPr>
            <w:tcW w:w="870" w:type="dxa"/>
            <w:tcBorders>
              <w:top w:val="nil"/>
              <w:left w:val="nil"/>
              <w:bottom w:val="single" w:sz="4" w:space="0" w:color="auto"/>
              <w:right w:val="single" w:sz="4" w:space="0" w:color="auto"/>
            </w:tcBorders>
            <w:shd w:val="clear" w:color="000000" w:fill="FFFFFF"/>
            <w:vAlign w:val="center"/>
            <w:hideMark/>
          </w:tcPr>
          <w:p w14:paraId="3C7BB761" w14:textId="77777777" w:rsidR="00C968D0" w:rsidRPr="00C968D0" w:rsidRDefault="00C968D0" w:rsidP="003E0728">
            <w:pPr>
              <w:pStyle w:val="Tables"/>
            </w:pPr>
            <w:r w:rsidRPr="00C968D0">
              <w:t>24.9</w:t>
            </w:r>
          </w:p>
        </w:tc>
        <w:tc>
          <w:tcPr>
            <w:tcW w:w="870" w:type="dxa"/>
            <w:tcBorders>
              <w:top w:val="nil"/>
              <w:left w:val="nil"/>
              <w:bottom w:val="single" w:sz="4" w:space="0" w:color="auto"/>
              <w:right w:val="single" w:sz="4" w:space="0" w:color="auto"/>
            </w:tcBorders>
            <w:shd w:val="clear" w:color="000000" w:fill="FFFFFF"/>
            <w:vAlign w:val="center"/>
            <w:hideMark/>
          </w:tcPr>
          <w:p w14:paraId="7136C9D8" w14:textId="77777777" w:rsidR="00C968D0" w:rsidRPr="00C968D0" w:rsidRDefault="00C968D0" w:rsidP="003E0728">
            <w:pPr>
              <w:pStyle w:val="Tables"/>
            </w:pPr>
            <w:r w:rsidRPr="00C968D0">
              <w:t>20.1</w:t>
            </w:r>
          </w:p>
        </w:tc>
      </w:tr>
      <w:tr w:rsidR="00C968D0" w:rsidRPr="00C968D0" w14:paraId="2589420B" w14:textId="77777777" w:rsidTr="00C968D0">
        <w:trPr>
          <w:trHeight w:val="20"/>
          <w:jc w:val="center"/>
        </w:trPr>
        <w:tc>
          <w:tcPr>
            <w:tcW w:w="1647" w:type="dxa"/>
            <w:tcBorders>
              <w:top w:val="nil"/>
              <w:left w:val="single" w:sz="4" w:space="0" w:color="auto"/>
              <w:bottom w:val="single" w:sz="4" w:space="0" w:color="auto"/>
              <w:right w:val="single" w:sz="4" w:space="0" w:color="auto"/>
            </w:tcBorders>
            <w:vAlign w:val="center"/>
            <w:hideMark/>
          </w:tcPr>
          <w:p w14:paraId="0286001A" w14:textId="77777777" w:rsidR="00C968D0" w:rsidRPr="00C968D0" w:rsidRDefault="00C968D0" w:rsidP="003E0728">
            <w:pPr>
              <w:pStyle w:val="Tables"/>
            </w:pPr>
            <w:r w:rsidRPr="00C968D0">
              <w:t>Taxes on Income other than Corporation Tax*</w:t>
            </w:r>
          </w:p>
        </w:tc>
        <w:tc>
          <w:tcPr>
            <w:tcW w:w="1010" w:type="dxa"/>
            <w:tcBorders>
              <w:top w:val="nil"/>
              <w:left w:val="nil"/>
              <w:bottom w:val="single" w:sz="4" w:space="0" w:color="auto"/>
              <w:right w:val="single" w:sz="4" w:space="0" w:color="auto"/>
            </w:tcBorders>
            <w:vAlign w:val="center"/>
            <w:hideMark/>
          </w:tcPr>
          <w:p w14:paraId="69BE9B3E" w14:textId="77777777" w:rsidR="00C968D0" w:rsidRPr="00C968D0" w:rsidRDefault="00C968D0" w:rsidP="003E0728">
            <w:pPr>
              <w:pStyle w:val="Tables"/>
            </w:pPr>
            <w:r w:rsidRPr="00C968D0">
              <w:t>12·70</w:t>
            </w:r>
          </w:p>
        </w:tc>
        <w:tc>
          <w:tcPr>
            <w:tcW w:w="1150" w:type="dxa"/>
            <w:tcBorders>
              <w:top w:val="nil"/>
              <w:left w:val="nil"/>
              <w:bottom w:val="single" w:sz="4" w:space="0" w:color="auto"/>
              <w:right w:val="single" w:sz="4" w:space="0" w:color="auto"/>
            </w:tcBorders>
            <w:vAlign w:val="center"/>
            <w:hideMark/>
          </w:tcPr>
          <w:p w14:paraId="50568366" w14:textId="77777777" w:rsidR="00C968D0" w:rsidRPr="00C968D0" w:rsidRDefault="00C968D0" w:rsidP="003E0728">
            <w:pPr>
              <w:pStyle w:val="Tables"/>
            </w:pPr>
            <w:r w:rsidRPr="00C968D0">
              <w:t>81·09</w:t>
            </w:r>
          </w:p>
        </w:tc>
        <w:tc>
          <w:tcPr>
            <w:tcW w:w="1010" w:type="dxa"/>
            <w:tcBorders>
              <w:top w:val="nil"/>
              <w:left w:val="nil"/>
              <w:bottom w:val="single" w:sz="4" w:space="0" w:color="auto"/>
              <w:right w:val="single" w:sz="4" w:space="0" w:color="auto"/>
            </w:tcBorders>
            <w:vAlign w:val="center"/>
            <w:hideMark/>
          </w:tcPr>
          <w:p w14:paraId="21FBC3C9" w14:textId="77777777" w:rsidR="00C968D0" w:rsidRPr="00C968D0" w:rsidRDefault="00C968D0" w:rsidP="003E0728">
            <w:pPr>
              <w:pStyle w:val="Tables"/>
            </w:pPr>
            <w:r w:rsidRPr="00C968D0">
              <w:t> 61·87</w:t>
            </w:r>
          </w:p>
        </w:tc>
        <w:tc>
          <w:tcPr>
            <w:tcW w:w="870" w:type="dxa"/>
            <w:tcBorders>
              <w:top w:val="nil"/>
              <w:left w:val="nil"/>
              <w:bottom w:val="single" w:sz="4" w:space="0" w:color="auto"/>
              <w:right w:val="single" w:sz="4" w:space="0" w:color="auto"/>
            </w:tcBorders>
            <w:shd w:val="clear" w:color="000000" w:fill="FFFFFF"/>
            <w:vAlign w:val="center"/>
            <w:hideMark/>
          </w:tcPr>
          <w:p w14:paraId="5292C6CB" w14:textId="096BF7EB" w:rsidR="00C968D0" w:rsidRPr="00C968D0" w:rsidRDefault="00C968D0" w:rsidP="003E0728">
            <w:pPr>
              <w:pStyle w:val="Tables"/>
            </w:pPr>
            <w:r w:rsidRPr="00C968D0">
              <w:t>100</w:t>
            </w:r>
            <w:r w:rsidR="009D1901">
              <w:t>.0</w:t>
            </w:r>
          </w:p>
        </w:tc>
        <w:tc>
          <w:tcPr>
            <w:tcW w:w="986" w:type="dxa"/>
            <w:tcBorders>
              <w:top w:val="nil"/>
              <w:left w:val="nil"/>
              <w:bottom w:val="single" w:sz="4" w:space="0" w:color="auto"/>
              <w:right w:val="single" w:sz="4" w:space="0" w:color="auto"/>
            </w:tcBorders>
            <w:shd w:val="clear" w:color="000000" w:fill="FFFFFF"/>
            <w:vAlign w:val="center"/>
            <w:hideMark/>
          </w:tcPr>
          <w:p w14:paraId="63E12C3E" w14:textId="77777777" w:rsidR="00C968D0" w:rsidRPr="00C968D0" w:rsidRDefault="00C968D0" w:rsidP="003E0728">
            <w:pPr>
              <w:pStyle w:val="Tables"/>
            </w:pPr>
            <w:r w:rsidRPr="00C968D0">
              <w:t>635.5</w:t>
            </w:r>
          </w:p>
        </w:tc>
        <w:tc>
          <w:tcPr>
            <w:tcW w:w="986" w:type="dxa"/>
            <w:tcBorders>
              <w:top w:val="nil"/>
              <w:left w:val="nil"/>
              <w:bottom w:val="single" w:sz="4" w:space="0" w:color="auto"/>
              <w:right w:val="single" w:sz="4" w:space="0" w:color="auto"/>
            </w:tcBorders>
            <w:shd w:val="clear" w:color="000000" w:fill="FFFFFF"/>
            <w:vAlign w:val="center"/>
            <w:hideMark/>
          </w:tcPr>
          <w:p w14:paraId="506B1FD6" w14:textId="77777777" w:rsidR="00C968D0" w:rsidRPr="00C968D0" w:rsidRDefault="00C968D0" w:rsidP="003E0728">
            <w:pPr>
              <w:pStyle w:val="Tables"/>
            </w:pPr>
            <w:r w:rsidRPr="00C968D0">
              <w:t>487.2</w:t>
            </w:r>
          </w:p>
        </w:tc>
        <w:tc>
          <w:tcPr>
            <w:tcW w:w="870" w:type="dxa"/>
            <w:tcBorders>
              <w:top w:val="nil"/>
              <w:left w:val="nil"/>
              <w:bottom w:val="single" w:sz="4" w:space="0" w:color="auto"/>
              <w:right w:val="single" w:sz="4" w:space="0" w:color="auto"/>
            </w:tcBorders>
            <w:shd w:val="clear" w:color="000000" w:fill="FFFFFF"/>
            <w:vAlign w:val="center"/>
            <w:hideMark/>
          </w:tcPr>
          <w:p w14:paraId="38B1425D" w14:textId="77777777" w:rsidR="00C968D0" w:rsidRPr="00C968D0" w:rsidRDefault="00C968D0" w:rsidP="003E0728">
            <w:pPr>
              <w:pStyle w:val="Tables"/>
            </w:pPr>
            <w:r w:rsidRPr="00C968D0">
              <w:t>14.6</w:t>
            </w:r>
          </w:p>
        </w:tc>
        <w:tc>
          <w:tcPr>
            <w:tcW w:w="870" w:type="dxa"/>
            <w:tcBorders>
              <w:top w:val="nil"/>
              <w:left w:val="nil"/>
              <w:bottom w:val="single" w:sz="4" w:space="0" w:color="auto"/>
              <w:right w:val="single" w:sz="4" w:space="0" w:color="auto"/>
            </w:tcBorders>
            <w:shd w:val="clear" w:color="000000" w:fill="FFFFFF"/>
            <w:vAlign w:val="center"/>
            <w:hideMark/>
          </w:tcPr>
          <w:p w14:paraId="034BB9AA" w14:textId="77777777" w:rsidR="00C968D0" w:rsidRPr="00C968D0" w:rsidRDefault="00C968D0" w:rsidP="003E0728">
            <w:pPr>
              <w:pStyle w:val="Tables"/>
            </w:pPr>
            <w:r w:rsidRPr="00C968D0">
              <w:t>24.2</w:t>
            </w:r>
          </w:p>
        </w:tc>
        <w:tc>
          <w:tcPr>
            <w:tcW w:w="870" w:type="dxa"/>
            <w:tcBorders>
              <w:top w:val="nil"/>
              <w:left w:val="nil"/>
              <w:bottom w:val="single" w:sz="4" w:space="0" w:color="auto"/>
              <w:right w:val="single" w:sz="4" w:space="0" w:color="auto"/>
            </w:tcBorders>
            <w:shd w:val="clear" w:color="000000" w:fill="FFFFFF"/>
            <w:vAlign w:val="center"/>
            <w:hideMark/>
          </w:tcPr>
          <w:p w14:paraId="0B1E5400" w14:textId="6FB63346" w:rsidR="00C968D0" w:rsidRPr="00C968D0" w:rsidRDefault="00C968D0" w:rsidP="003E0728">
            <w:pPr>
              <w:pStyle w:val="Tables"/>
            </w:pPr>
            <w:r w:rsidRPr="00C968D0">
              <w:t>18</w:t>
            </w:r>
            <w:r w:rsidR="008D3E88">
              <w:t>.0</w:t>
            </w:r>
          </w:p>
        </w:tc>
      </w:tr>
      <w:tr w:rsidR="00C968D0" w:rsidRPr="00C968D0" w14:paraId="7171BB08" w14:textId="77777777" w:rsidTr="00C968D0">
        <w:trPr>
          <w:trHeight w:val="20"/>
          <w:jc w:val="center"/>
        </w:trPr>
        <w:tc>
          <w:tcPr>
            <w:tcW w:w="1647" w:type="dxa"/>
            <w:tcBorders>
              <w:top w:val="nil"/>
              <w:left w:val="single" w:sz="4" w:space="0" w:color="auto"/>
              <w:bottom w:val="single" w:sz="4" w:space="0" w:color="auto"/>
              <w:right w:val="single" w:sz="4" w:space="0" w:color="auto"/>
            </w:tcBorders>
            <w:vAlign w:val="center"/>
            <w:hideMark/>
          </w:tcPr>
          <w:p w14:paraId="1DB779C1" w14:textId="77777777" w:rsidR="00C968D0" w:rsidRPr="00C968D0" w:rsidRDefault="00C968D0" w:rsidP="003E0728">
            <w:pPr>
              <w:pStyle w:val="Tables"/>
            </w:pPr>
            <w:r w:rsidRPr="00C968D0">
              <w:t>Commercial Departments</w:t>
            </w:r>
          </w:p>
        </w:tc>
        <w:tc>
          <w:tcPr>
            <w:tcW w:w="1010" w:type="dxa"/>
            <w:tcBorders>
              <w:top w:val="nil"/>
              <w:left w:val="nil"/>
              <w:bottom w:val="single" w:sz="4" w:space="0" w:color="auto"/>
              <w:right w:val="single" w:sz="4" w:space="0" w:color="auto"/>
            </w:tcBorders>
            <w:vAlign w:val="center"/>
            <w:hideMark/>
          </w:tcPr>
          <w:p w14:paraId="22C69C92" w14:textId="77777777" w:rsidR="00C968D0" w:rsidRPr="00C968D0" w:rsidRDefault="00C968D0" w:rsidP="003E0728">
            <w:pPr>
              <w:pStyle w:val="Tables"/>
            </w:pPr>
            <w:r w:rsidRPr="00C968D0">
              <w:t>3·33</w:t>
            </w:r>
          </w:p>
        </w:tc>
        <w:tc>
          <w:tcPr>
            <w:tcW w:w="1150" w:type="dxa"/>
            <w:tcBorders>
              <w:top w:val="nil"/>
              <w:left w:val="nil"/>
              <w:bottom w:val="single" w:sz="4" w:space="0" w:color="auto"/>
              <w:right w:val="single" w:sz="4" w:space="0" w:color="auto"/>
            </w:tcBorders>
            <w:vAlign w:val="center"/>
            <w:hideMark/>
          </w:tcPr>
          <w:p w14:paraId="387158C1" w14:textId="77777777" w:rsidR="00C968D0" w:rsidRPr="00C968D0" w:rsidRDefault="00C968D0" w:rsidP="003E0728">
            <w:pPr>
              <w:pStyle w:val="Tables"/>
            </w:pPr>
            <w:r w:rsidRPr="00C968D0">
              <w:t>42·23 </w:t>
            </w:r>
          </w:p>
        </w:tc>
        <w:tc>
          <w:tcPr>
            <w:tcW w:w="1010" w:type="dxa"/>
            <w:tcBorders>
              <w:top w:val="nil"/>
              <w:left w:val="nil"/>
              <w:bottom w:val="single" w:sz="4" w:space="0" w:color="auto"/>
              <w:right w:val="single" w:sz="4" w:space="0" w:color="auto"/>
            </w:tcBorders>
            <w:vAlign w:val="center"/>
            <w:hideMark/>
          </w:tcPr>
          <w:p w14:paraId="6F66BFC9" w14:textId="77777777" w:rsidR="00C968D0" w:rsidRPr="00C968D0" w:rsidRDefault="00C968D0" w:rsidP="003E0728">
            <w:pPr>
              <w:pStyle w:val="Tables"/>
            </w:pPr>
            <w:r w:rsidRPr="00C968D0">
              <w:t>10·56</w:t>
            </w:r>
          </w:p>
        </w:tc>
        <w:tc>
          <w:tcPr>
            <w:tcW w:w="870" w:type="dxa"/>
            <w:tcBorders>
              <w:top w:val="nil"/>
              <w:left w:val="nil"/>
              <w:bottom w:val="single" w:sz="4" w:space="0" w:color="auto"/>
              <w:right w:val="single" w:sz="4" w:space="0" w:color="auto"/>
            </w:tcBorders>
            <w:shd w:val="clear" w:color="000000" w:fill="FFFFFF"/>
            <w:vAlign w:val="center"/>
            <w:hideMark/>
          </w:tcPr>
          <w:p w14:paraId="53D8781B" w14:textId="7AB0DBAD" w:rsidR="00C968D0" w:rsidRPr="00C968D0" w:rsidRDefault="00C968D0" w:rsidP="003E0728">
            <w:pPr>
              <w:pStyle w:val="Tables"/>
            </w:pPr>
            <w:r w:rsidRPr="00C968D0">
              <w:t>100</w:t>
            </w:r>
            <w:r w:rsidR="009D1901">
              <w:t>.0</w:t>
            </w:r>
          </w:p>
        </w:tc>
        <w:tc>
          <w:tcPr>
            <w:tcW w:w="986" w:type="dxa"/>
            <w:tcBorders>
              <w:top w:val="nil"/>
              <w:left w:val="nil"/>
              <w:bottom w:val="single" w:sz="4" w:space="0" w:color="auto"/>
              <w:right w:val="single" w:sz="4" w:space="0" w:color="auto"/>
            </w:tcBorders>
            <w:shd w:val="clear" w:color="000000" w:fill="FFFFFF"/>
            <w:vAlign w:val="center"/>
            <w:hideMark/>
          </w:tcPr>
          <w:p w14:paraId="328487D7" w14:textId="77777777" w:rsidR="00C968D0" w:rsidRPr="00C968D0" w:rsidRDefault="00C968D0" w:rsidP="003E0728">
            <w:pPr>
              <w:pStyle w:val="Tables"/>
            </w:pPr>
            <w:r w:rsidRPr="00C968D0">
              <w:t>1268.2</w:t>
            </w:r>
          </w:p>
        </w:tc>
        <w:tc>
          <w:tcPr>
            <w:tcW w:w="986" w:type="dxa"/>
            <w:tcBorders>
              <w:top w:val="nil"/>
              <w:left w:val="nil"/>
              <w:bottom w:val="single" w:sz="4" w:space="0" w:color="auto"/>
              <w:right w:val="single" w:sz="4" w:space="0" w:color="auto"/>
            </w:tcBorders>
            <w:shd w:val="clear" w:color="000000" w:fill="FFFFFF"/>
            <w:vAlign w:val="center"/>
            <w:hideMark/>
          </w:tcPr>
          <w:p w14:paraId="215C0964" w14:textId="77777777" w:rsidR="00C968D0" w:rsidRPr="00C968D0" w:rsidRDefault="00C968D0" w:rsidP="003E0728">
            <w:pPr>
              <w:pStyle w:val="Tables"/>
            </w:pPr>
            <w:r w:rsidRPr="00C968D0">
              <w:t>317.4</w:t>
            </w:r>
          </w:p>
        </w:tc>
        <w:tc>
          <w:tcPr>
            <w:tcW w:w="870" w:type="dxa"/>
            <w:tcBorders>
              <w:top w:val="nil"/>
              <w:left w:val="nil"/>
              <w:bottom w:val="single" w:sz="4" w:space="0" w:color="auto"/>
              <w:right w:val="single" w:sz="4" w:space="0" w:color="auto"/>
            </w:tcBorders>
            <w:shd w:val="clear" w:color="000000" w:fill="FFFFFF"/>
            <w:vAlign w:val="center"/>
            <w:hideMark/>
          </w:tcPr>
          <w:p w14:paraId="62E10357" w14:textId="77777777" w:rsidR="00C968D0" w:rsidRPr="00C968D0" w:rsidRDefault="00C968D0" w:rsidP="003E0728">
            <w:pPr>
              <w:pStyle w:val="Tables"/>
            </w:pPr>
            <w:r w:rsidRPr="00C968D0">
              <w:t>3.9</w:t>
            </w:r>
          </w:p>
        </w:tc>
        <w:tc>
          <w:tcPr>
            <w:tcW w:w="870" w:type="dxa"/>
            <w:tcBorders>
              <w:top w:val="nil"/>
              <w:left w:val="nil"/>
              <w:bottom w:val="single" w:sz="4" w:space="0" w:color="auto"/>
              <w:right w:val="single" w:sz="4" w:space="0" w:color="auto"/>
            </w:tcBorders>
            <w:shd w:val="clear" w:color="000000" w:fill="FFFFFF"/>
            <w:vAlign w:val="center"/>
            <w:hideMark/>
          </w:tcPr>
          <w:p w14:paraId="6D49FB6B" w14:textId="77777777" w:rsidR="00C968D0" w:rsidRPr="00C968D0" w:rsidRDefault="00C968D0" w:rsidP="003E0728">
            <w:pPr>
              <w:pStyle w:val="Tables"/>
            </w:pPr>
            <w:r w:rsidRPr="00C968D0">
              <w:t>12.6</w:t>
            </w:r>
          </w:p>
        </w:tc>
        <w:tc>
          <w:tcPr>
            <w:tcW w:w="870" w:type="dxa"/>
            <w:tcBorders>
              <w:top w:val="nil"/>
              <w:left w:val="nil"/>
              <w:bottom w:val="single" w:sz="4" w:space="0" w:color="auto"/>
              <w:right w:val="single" w:sz="4" w:space="0" w:color="auto"/>
            </w:tcBorders>
            <w:shd w:val="clear" w:color="000000" w:fill="FFFFFF"/>
            <w:vAlign w:val="center"/>
            <w:hideMark/>
          </w:tcPr>
          <w:p w14:paraId="4A3F1768" w14:textId="77777777" w:rsidR="00C968D0" w:rsidRPr="00C968D0" w:rsidRDefault="00C968D0" w:rsidP="003E0728">
            <w:pPr>
              <w:pStyle w:val="Tables"/>
            </w:pPr>
            <w:r w:rsidRPr="00C968D0">
              <w:t>3.1</w:t>
            </w:r>
          </w:p>
        </w:tc>
      </w:tr>
      <w:tr w:rsidR="00C968D0" w:rsidRPr="00C968D0" w14:paraId="4A8C804A" w14:textId="77777777" w:rsidTr="00C968D0">
        <w:trPr>
          <w:trHeight w:val="20"/>
          <w:jc w:val="center"/>
        </w:trPr>
        <w:tc>
          <w:tcPr>
            <w:tcW w:w="1647" w:type="dxa"/>
            <w:tcBorders>
              <w:top w:val="nil"/>
              <w:left w:val="single" w:sz="4" w:space="0" w:color="auto"/>
              <w:bottom w:val="single" w:sz="4" w:space="0" w:color="auto"/>
              <w:right w:val="single" w:sz="4" w:space="0" w:color="auto"/>
            </w:tcBorders>
            <w:vAlign w:val="center"/>
            <w:hideMark/>
          </w:tcPr>
          <w:p w14:paraId="33212256" w14:textId="77777777" w:rsidR="00C968D0" w:rsidRPr="00C968D0" w:rsidRDefault="00C968D0" w:rsidP="003E0728">
            <w:pPr>
              <w:pStyle w:val="Tables"/>
            </w:pPr>
            <w:r w:rsidRPr="00C968D0">
              <w:t>Railways</w:t>
            </w:r>
          </w:p>
        </w:tc>
        <w:tc>
          <w:tcPr>
            <w:tcW w:w="1010" w:type="dxa"/>
            <w:tcBorders>
              <w:top w:val="nil"/>
              <w:left w:val="nil"/>
              <w:bottom w:val="single" w:sz="4" w:space="0" w:color="auto"/>
              <w:right w:val="single" w:sz="4" w:space="0" w:color="auto"/>
            </w:tcBorders>
            <w:vAlign w:val="center"/>
            <w:hideMark/>
          </w:tcPr>
          <w:p w14:paraId="192EFD9C" w14:textId="77777777" w:rsidR="00C968D0" w:rsidRPr="00C968D0" w:rsidRDefault="00C968D0" w:rsidP="003E0728">
            <w:pPr>
              <w:pStyle w:val="Tables"/>
            </w:pPr>
            <w:r w:rsidRPr="00C968D0">
              <w:t>2·76 </w:t>
            </w:r>
          </w:p>
        </w:tc>
        <w:tc>
          <w:tcPr>
            <w:tcW w:w="1150" w:type="dxa"/>
            <w:tcBorders>
              <w:top w:val="nil"/>
              <w:left w:val="nil"/>
              <w:bottom w:val="single" w:sz="4" w:space="0" w:color="auto"/>
              <w:right w:val="single" w:sz="4" w:space="0" w:color="auto"/>
            </w:tcBorders>
            <w:vAlign w:val="center"/>
            <w:hideMark/>
          </w:tcPr>
          <w:p w14:paraId="3AC3FE46" w14:textId="77777777" w:rsidR="00C968D0" w:rsidRPr="00C968D0" w:rsidRDefault="00C968D0" w:rsidP="003E0728">
            <w:pPr>
              <w:pStyle w:val="Tables"/>
            </w:pPr>
            <w:r w:rsidRPr="00C968D0">
              <w:t>32·00</w:t>
            </w:r>
          </w:p>
        </w:tc>
        <w:tc>
          <w:tcPr>
            <w:tcW w:w="1010" w:type="dxa"/>
            <w:tcBorders>
              <w:top w:val="nil"/>
              <w:left w:val="nil"/>
              <w:bottom w:val="single" w:sz="4" w:space="0" w:color="auto"/>
              <w:right w:val="single" w:sz="4" w:space="0" w:color="auto"/>
            </w:tcBorders>
            <w:vAlign w:val="center"/>
            <w:hideMark/>
          </w:tcPr>
          <w:p w14:paraId="0BFE8A8A" w14:textId="77777777" w:rsidR="00C968D0" w:rsidRPr="00C968D0" w:rsidRDefault="00C968D0" w:rsidP="003E0728">
            <w:pPr>
              <w:pStyle w:val="Tables"/>
            </w:pPr>
            <w:r w:rsidRPr="00C968D0">
              <w:t>5·40</w:t>
            </w:r>
          </w:p>
        </w:tc>
        <w:tc>
          <w:tcPr>
            <w:tcW w:w="870" w:type="dxa"/>
            <w:tcBorders>
              <w:top w:val="nil"/>
              <w:left w:val="nil"/>
              <w:bottom w:val="single" w:sz="4" w:space="0" w:color="auto"/>
              <w:right w:val="single" w:sz="4" w:space="0" w:color="auto"/>
            </w:tcBorders>
            <w:shd w:val="clear" w:color="000000" w:fill="FFFFFF"/>
            <w:vAlign w:val="center"/>
            <w:hideMark/>
          </w:tcPr>
          <w:p w14:paraId="3F159212" w14:textId="09762149" w:rsidR="00C968D0" w:rsidRPr="00C968D0" w:rsidRDefault="00C968D0" w:rsidP="003E0728">
            <w:pPr>
              <w:pStyle w:val="Tables"/>
            </w:pPr>
            <w:r w:rsidRPr="00C968D0">
              <w:t>100</w:t>
            </w:r>
            <w:r w:rsidR="009D1901">
              <w:t>.0</w:t>
            </w:r>
          </w:p>
        </w:tc>
        <w:tc>
          <w:tcPr>
            <w:tcW w:w="986" w:type="dxa"/>
            <w:tcBorders>
              <w:top w:val="nil"/>
              <w:left w:val="nil"/>
              <w:bottom w:val="single" w:sz="4" w:space="0" w:color="auto"/>
              <w:right w:val="single" w:sz="4" w:space="0" w:color="auto"/>
            </w:tcBorders>
            <w:shd w:val="clear" w:color="000000" w:fill="FFFFFF"/>
            <w:vAlign w:val="center"/>
            <w:hideMark/>
          </w:tcPr>
          <w:p w14:paraId="39919062" w14:textId="77777777" w:rsidR="00C968D0" w:rsidRPr="00C968D0" w:rsidRDefault="00C968D0" w:rsidP="003E0728">
            <w:pPr>
              <w:pStyle w:val="Tables"/>
            </w:pPr>
            <w:r w:rsidRPr="00C968D0">
              <w:t>1159.4</w:t>
            </w:r>
          </w:p>
        </w:tc>
        <w:tc>
          <w:tcPr>
            <w:tcW w:w="986" w:type="dxa"/>
            <w:tcBorders>
              <w:top w:val="nil"/>
              <w:left w:val="nil"/>
              <w:bottom w:val="single" w:sz="4" w:space="0" w:color="auto"/>
              <w:right w:val="single" w:sz="4" w:space="0" w:color="auto"/>
            </w:tcBorders>
            <w:shd w:val="clear" w:color="000000" w:fill="FFFFFF"/>
            <w:vAlign w:val="center"/>
            <w:hideMark/>
          </w:tcPr>
          <w:p w14:paraId="205CE342" w14:textId="77777777" w:rsidR="00C968D0" w:rsidRPr="00C968D0" w:rsidRDefault="00C968D0" w:rsidP="003E0728">
            <w:pPr>
              <w:pStyle w:val="Tables"/>
            </w:pPr>
            <w:r w:rsidRPr="00C968D0">
              <w:t>191.6</w:t>
            </w:r>
          </w:p>
        </w:tc>
        <w:tc>
          <w:tcPr>
            <w:tcW w:w="870" w:type="dxa"/>
            <w:tcBorders>
              <w:top w:val="nil"/>
              <w:left w:val="nil"/>
              <w:bottom w:val="single" w:sz="4" w:space="0" w:color="auto"/>
              <w:right w:val="single" w:sz="4" w:space="0" w:color="auto"/>
            </w:tcBorders>
            <w:shd w:val="clear" w:color="000000" w:fill="FFFFFF"/>
            <w:vAlign w:val="center"/>
            <w:hideMark/>
          </w:tcPr>
          <w:p w14:paraId="268724C8" w14:textId="77777777" w:rsidR="00C968D0" w:rsidRPr="00C968D0" w:rsidRDefault="00C968D0" w:rsidP="003E0728">
            <w:pPr>
              <w:pStyle w:val="Tables"/>
            </w:pPr>
            <w:r w:rsidRPr="00C968D0">
              <w:t>3.2</w:t>
            </w:r>
          </w:p>
        </w:tc>
        <w:tc>
          <w:tcPr>
            <w:tcW w:w="870" w:type="dxa"/>
            <w:tcBorders>
              <w:top w:val="nil"/>
              <w:left w:val="nil"/>
              <w:bottom w:val="single" w:sz="4" w:space="0" w:color="auto"/>
              <w:right w:val="single" w:sz="4" w:space="0" w:color="auto"/>
            </w:tcBorders>
            <w:shd w:val="clear" w:color="000000" w:fill="FFFFFF"/>
            <w:vAlign w:val="center"/>
            <w:hideMark/>
          </w:tcPr>
          <w:p w14:paraId="299AE346" w14:textId="77777777" w:rsidR="00C968D0" w:rsidRPr="00C968D0" w:rsidRDefault="00C968D0" w:rsidP="003E0728">
            <w:pPr>
              <w:pStyle w:val="Tables"/>
            </w:pPr>
            <w:r w:rsidRPr="00C968D0">
              <w:t>9.6</w:t>
            </w:r>
          </w:p>
        </w:tc>
        <w:tc>
          <w:tcPr>
            <w:tcW w:w="870" w:type="dxa"/>
            <w:tcBorders>
              <w:top w:val="nil"/>
              <w:left w:val="nil"/>
              <w:bottom w:val="single" w:sz="4" w:space="0" w:color="auto"/>
              <w:right w:val="single" w:sz="4" w:space="0" w:color="auto"/>
            </w:tcBorders>
            <w:shd w:val="clear" w:color="000000" w:fill="FFFFFF"/>
            <w:vAlign w:val="center"/>
            <w:hideMark/>
          </w:tcPr>
          <w:p w14:paraId="360DCD5F" w14:textId="77777777" w:rsidR="00C968D0" w:rsidRPr="00C968D0" w:rsidRDefault="00C968D0" w:rsidP="003E0728">
            <w:pPr>
              <w:pStyle w:val="Tables"/>
            </w:pPr>
            <w:r w:rsidRPr="00C968D0">
              <w:t>1.6</w:t>
            </w:r>
          </w:p>
        </w:tc>
      </w:tr>
      <w:tr w:rsidR="00C968D0" w:rsidRPr="00C968D0" w14:paraId="66A3545E" w14:textId="77777777" w:rsidTr="00C968D0">
        <w:trPr>
          <w:trHeight w:val="20"/>
          <w:jc w:val="center"/>
        </w:trPr>
        <w:tc>
          <w:tcPr>
            <w:tcW w:w="1647" w:type="dxa"/>
            <w:tcBorders>
              <w:top w:val="nil"/>
              <w:left w:val="single" w:sz="4" w:space="0" w:color="auto"/>
              <w:bottom w:val="single" w:sz="4" w:space="0" w:color="auto"/>
              <w:right w:val="single" w:sz="4" w:space="0" w:color="auto"/>
            </w:tcBorders>
            <w:vAlign w:val="center"/>
            <w:hideMark/>
          </w:tcPr>
          <w:p w14:paraId="0B227B5D" w14:textId="77777777" w:rsidR="00C968D0" w:rsidRPr="00C968D0" w:rsidRDefault="00C968D0" w:rsidP="003E0728">
            <w:pPr>
              <w:pStyle w:val="Tables"/>
            </w:pPr>
            <w:r w:rsidRPr="00C968D0">
              <w:t> Posts &amp; Telegraphs</w:t>
            </w:r>
          </w:p>
        </w:tc>
        <w:tc>
          <w:tcPr>
            <w:tcW w:w="1010" w:type="dxa"/>
            <w:tcBorders>
              <w:top w:val="nil"/>
              <w:left w:val="nil"/>
              <w:bottom w:val="single" w:sz="4" w:space="0" w:color="auto"/>
              <w:right w:val="single" w:sz="4" w:space="0" w:color="auto"/>
            </w:tcBorders>
            <w:vAlign w:val="center"/>
            <w:hideMark/>
          </w:tcPr>
          <w:p w14:paraId="44E36884" w14:textId="77777777" w:rsidR="00C968D0" w:rsidRPr="00C968D0" w:rsidRDefault="00C968D0" w:rsidP="003E0728">
            <w:pPr>
              <w:pStyle w:val="Tables"/>
            </w:pPr>
            <w:r w:rsidRPr="00C968D0">
              <w:t>0·57</w:t>
            </w:r>
          </w:p>
        </w:tc>
        <w:tc>
          <w:tcPr>
            <w:tcW w:w="1150" w:type="dxa"/>
            <w:tcBorders>
              <w:top w:val="nil"/>
              <w:left w:val="nil"/>
              <w:bottom w:val="single" w:sz="4" w:space="0" w:color="auto"/>
              <w:right w:val="single" w:sz="4" w:space="0" w:color="auto"/>
            </w:tcBorders>
            <w:vAlign w:val="center"/>
            <w:hideMark/>
          </w:tcPr>
          <w:p w14:paraId="632D5F9A" w14:textId="77777777" w:rsidR="00C968D0" w:rsidRPr="00C968D0" w:rsidRDefault="00C968D0" w:rsidP="003E0728">
            <w:pPr>
              <w:pStyle w:val="Tables"/>
            </w:pPr>
            <w:r w:rsidRPr="00C968D0">
              <w:t>10·25</w:t>
            </w:r>
          </w:p>
        </w:tc>
        <w:tc>
          <w:tcPr>
            <w:tcW w:w="1010" w:type="dxa"/>
            <w:tcBorders>
              <w:top w:val="nil"/>
              <w:left w:val="nil"/>
              <w:bottom w:val="single" w:sz="4" w:space="0" w:color="auto"/>
              <w:right w:val="single" w:sz="4" w:space="0" w:color="auto"/>
            </w:tcBorders>
            <w:vAlign w:val="center"/>
            <w:hideMark/>
          </w:tcPr>
          <w:p w14:paraId="5EB97401" w14:textId="77777777" w:rsidR="00C968D0" w:rsidRPr="00C968D0" w:rsidRDefault="00C968D0" w:rsidP="003E0728">
            <w:pPr>
              <w:pStyle w:val="Tables"/>
            </w:pPr>
            <w:r w:rsidRPr="00C968D0">
              <w:t>5·16</w:t>
            </w:r>
          </w:p>
        </w:tc>
        <w:tc>
          <w:tcPr>
            <w:tcW w:w="870" w:type="dxa"/>
            <w:tcBorders>
              <w:top w:val="nil"/>
              <w:left w:val="nil"/>
              <w:bottom w:val="single" w:sz="4" w:space="0" w:color="auto"/>
              <w:right w:val="single" w:sz="4" w:space="0" w:color="auto"/>
            </w:tcBorders>
            <w:shd w:val="clear" w:color="000000" w:fill="FFFFFF"/>
            <w:vAlign w:val="center"/>
            <w:hideMark/>
          </w:tcPr>
          <w:p w14:paraId="0BA43B22" w14:textId="38E15F42" w:rsidR="00C968D0" w:rsidRPr="00C968D0" w:rsidRDefault="00C968D0" w:rsidP="003E0728">
            <w:pPr>
              <w:pStyle w:val="Tables"/>
            </w:pPr>
            <w:r w:rsidRPr="00C968D0">
              <w:t>100</w:t>
            </w:r>
            <w:r w:rsidR="009D1901">
              <w:t>.0</w:t>
            </w:r>
          </w:p>
        </w:tc>
        <w:tc>
          <w:tcPr>
            <w:tcW w:w="986" w:type="dxa"/>
            <w:tcBorders>
              <w:top w:val="nil"/>
              <w:left w:val="nil"/>
              <w:bottom w:val="single" w:sz="4" w:space="0" w:color="auto"/>
              <w:right w:val="single" w:sz="4" w:space="0" w:color="auto"/>
            </w:tcBorders>
            <w:shd w:val="clear" w:color="000000" w:fill="FFFFFF"/>
            <w:vAlign w:val="center"/>
            <w:hideMark/>
          </w:tcPr>
          <w:p w14:paraId="367D48FD" w14:textId="77777777" w:rsidR="00C968D0" w:rsidRPr="00C968D0" w:rsidRDefault="00C968D0" w:rsidP="003E0728">
            <w:pPr>
              <w:pStyle w:val="Tables"/>
            </w:pPr>
            <w:r w:rsidRPr="00C968D0">
              <w:t>1794.7</w:t>
            </w:r>
          </w:p>
        </w:tc>
        <w:tc>
          <w:tcPr>
            <w:tcW w:w="986" w:type="dxa"/>
            <w:tcBorders>
              <w:top w:val="nil"/>
              <w:left w:val="nil"/>
              <w:bottom w:val="single" w:sz="4" w:space="0" w:color="auto"/>
              <w:right w:val="single" w:sz="4" w:space="0" w:color="auto"/>
            </w:tcBorders>
            <w:shd w:val="clear" w:color="000000" w:fill="FFFFFF"/>
            <w:vAlign w:val="center"/>
            <w:hideMark/>
          </w:tcPr>
          <w:p w14:paraId="7F65F03E" w14:textId="77777777" w:rsidR="00C968D0" w:rsidRPr="00C968D0" w:rsidRDefault="00C968D0" w:rsidP="003E0728">
            <w:pPr>
              <w:pStyle w:val="Tables"/>
            </w:pPr>
            <w:r w:rsidRPr="00C968D0">
              <w:t>907</w:t>
            </w:r>
          </w:p>
        </w:tc>
        <w:tc>
          <w:tcPr>
            <w:tcW w:w="870" w:type="dxa"/>
            <w:tcBorders>
              <w:top w:val="nil"/>
              <w:left w:val="nil"/>
              <w:bottom w:val="single" w:sz="4" w:space="0" w:color="auto"/>
              <w:right w:val="single" w:sz="4" w:space="0" w:color="auto"/>
            </w:tcBorders>
            <w:shd w:val="clear" w:color="000000" w:fill="FFFFFF"/>
            <w:vAlign w:val="center"/>
            <w:hideMark/>
          </w:tcPr>
          <w:p w14:paraId="04BE6EAB" w14:textId="77777777" w:rsidR="00C968D0" w:rsidRPr="00C968D0" w:rsidRDefault="00C968D0" w:rsidP="003E0728">
            <w:pPr>
              <w:pStyle w:val="Tables"/>
            </w:pPr>
            <w:r w:rsidRPr="00C968D0">
              <w:t>0.7</w:t>
            </w:r>
          </w:p>
        </w:tc>
        <w:tc>
          <w:tcPr>
            <w:tcW w:w="870" w:type="dxa"/>
            <w:tcBorders>
              <w:top w:val="nil"/>
              <w:left w:val="nil"/>
              <w:bottom w:val="single" w:sz="4" w:space="0" w:color="auto"/>
              <w:right w:val="single" w:sz="4" w:space="0" w:color="auto"/>
            </w:tcBorders>
            <w:shd w:val="clear" w:color="000000" w:fill="FFFFFF"/>
            <w:vAlign w:val="center"/>
            <w:hideMark/>
          </w:tcPr>
          <w:p w14:paraId="18A83837" w14:textId="78910251" w:rsidR="00C968D0" w:rsidRPr="00C968D0" w:rsidRDefault="00C968D0" w:rsidP="003E0728">
            <w:pPr>
              <w:pStyle w:val="Tables"/>
            </w:pPr>
            <w:r w:rsidRPr="00C968D0">
              <w:t>3</w:t>
            </w:r>
            <w:r w:rsidR="008D3E88">
              <w:t>.0</w:t>
            </w:r>
          </w:p>
        </w:tc>
        <w:tc>
          <w:tcPr>
            <w:tcW w:w="870" w:type="dxa"/>
            <w:tcBorders>
              <w:top w:val="nil"/>
              <w:left w:val="nil"/>
              <w:bottom w:val="single" w:sz="4" w:space="0" w:color="auto"/>
              <w:right w:val="single" w:sz="4" w:space="0" w:color="auto"/>
            </w:tcBorders>
            <w:shd w:val="clear" w:color="000000" w:fill="FFFFFF"/>
            <w:vAlign w:val="center"/>
            <w:hideMark/>
          </w:tcPr>
          <w:p w14:paraId="08816243" w14:textId="77777777" w:rsidR="00C968D0" w:rsidRPr="00C968D0" w:rsidRDefault="00C968D0" w:rsidP="003E0728">
            <w:pPr>
              <w:pStyle w:val="Tables"/>
            </w:pPr>
            <w:r w:rsidRPr="00C968D0">
              <w:t>1.5</w:t>
            </w:r>
          </w:p>
        </w:tc>
      </w:tr>
    </w:tbl>
    <w:p w14:paraId="3F570DC0" w14:textId="39EE2B40" w:rsidR="004E121D" w:rsidRDefault="00C968D0" w:rsidP="003E0728">
      <w:pPr>
        <w:pStyle w:val="Sources"/>
      </w:pPr>
      <w:r>
        <w:t>*Excluding share assigned to the Provinces</w:t>
      </w:r>
    </w:p>
    <w:p w14:paraId="2284320B" w14:textId="77777777" w:rsidR="00EE0179" w:rsidRDefault="00EE0179">
      <w:pPr>
        <w:rPr>
          <w:rFonts w:ascii="Times New Roman" w:hAnsi="Times New Roman" w:cs="Times New Roman"/>
          <w:sz w:val="28"/>
          <w:szCs w:val="28"/>
        </w:rPr>
      </w:pPr>
      <w:r>
        <w:rPr>
          <w:rFonts w:ascii="Times New Roman" w:hAnsi="Times New Roman" w:cs="Times New Roman"/>
          <w:sz w:val="28"/>
          <w:szCs w:val="28"/>
        </w:rPr>
        <w:br w:type="page"/>
      </w:r>
    </w:p>
    <w:p w14:paraId="1E740880" w14:textId="0B5A4E8D" w:rsidR="00205A36" w:rsidRPr="00CB0A24" w:rsidRDefault="00205A36" w:rsidP="00CB0A24">
      <w:pPr>
        <w:pStyle w:val="ListParagraph"/>
        <w:numPr>
          <w:ilvl w:val="0"/>
          <w:numId w:val="7"/>
        </w:numPr>
        <w:spacing w:line="380" w:lineRule="exact"/>
        <w:jc w:val="center"/>
        <w:rPr>
          <w:rFonts w:ascii="Times New Roman" w:hAnsi="Times New Roman" w:cs="Times New Roman"/>
          <w:sz w:val="28"/>
          <w:szCs w:val="28"/>
        </w:rPr>
      </w:pPr>
      <w:r w:rsidRPr="00CB0A24">
        <w:rPr>
          <w:rFonts w:ascii="Times New Roman" w:hAnsi="Times New Roman" w:cs="Times New Roman"/>
          <w:sz w:val="28"/>
          <w:szCs w:val="28"/>
        </w:rPr>
        <w:lastRenderedPageBreak/>
        <w:t>Expenditure</w:t>
      </w:r>
    </w:p>
    <w:tbl>
      <w:tblPr>
        <w:tblW w:w="9600" w:type="dxa"/>
        <w:jc w:val="center"/>
        <w:tblLook w:val="04A0" w:firstRow="1" w:lastRow="0" w:firstColumn="1" w:lastColumn="0" w:noHBand="0" w:noVBand="1"/>
      </w:tblPr>
      <w:tblGrid>
        <w:gridCol w:w="2145"/>
        <w:gridCol w:w="870"/>
        <w:gridCol w:w="986"/>
        <w:gridCol w:w="986"/>
        <w:gridCol w:w="870"/>
        <w:gridCol w:w="870"/>
        <w:gridCol w:w="870"/>
        <w:gridCol w:w="870"/>
        <w:gridCol w:w="870"/>
        <w:gridCol w:w="870"/>
      </w:tblGrid>
      <w:tr w:rsidR="00ED2DF2" w:rsidRPr="00ED2DF2" w14:paraId="0E3A6AEF" w14:textId="77777777" w:rsidTr="00ED2DF2">
        <w:trPr>
          <w:trHeight w:val="20"/>
          <w:jc w:val="center"/>
        </w:trPr>
        <w:tc>
          <w:tcPr>
            <w:tcW w:w="19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62D9A97" w14:textId="77777777" w:rsidR="00ED2DF2" w:rsidRPr="00ED2DF2" w:rsidRDefault="00ED2DF2" w:rsidP="003E0728">
            <w:pPr>
              <w:pStyle w:val="Tables"/>
              <w:rPr>
                <w:color w:val="000000"/>
              </w:rPr>
            </w:pPr>
            <w:r w:rsidRPr="00ED2DF2">
              <w:t>Heads of Expenditure</w:t>
            </w:r>
          </w:p>
        </w:tc>
        <w:tc>
          <w:tcPr>
            <w:tcW w:w="2613" w:type="dxa"/>
            <w:gridSpan w:val="3"/>
            <w:tcBorders>
              <w:top w:val="single" w:sz="4" w:space="0" w:color="auto"/>
              <w:left w:val="nil"/>
              <w:bottom w:val="single" w:sz="4" w:space="0" w:color="auto"/>
              <w:right w:val="single" w:sz="4" w:space="0" w:color="auto"/>
            </w:tcBorders>
            <w:shd w:val="clear" w:color="000000" w:fill="FFFFFF"/>
            <w:vAlign w:val="center"/>
            <w:hideMark/>
          </w:tcPr>
          <w:p w14:paraId="1E903D58" w14:textId="77777777" w:rsidR="00ED2DF2" w:rsidRPr="00ED2DF2" w:rsidRDefault="00ED2DF2" w:rsidP="003E0728">
            <w:pPr>
              <w:pStyle w:val="Tables"/>
              <w:rPr>
                <w:color w:val="000000"/>
              </w:rPr>
            </w:pPr>
            <w:r w:rsidRPr="00ED2DF2">
              <w:t>Expenditure (Rs. Crores)</w:t>
            </w:r>
          </w:p>
        </w:tc>
        <w:tc>
          <w:tcPr>
            <w:tcW w:w="2514" w:type="dxa"/>
            <w:gridSpan w:val="3"/>
            <w:tcBorders>
              <w:top w:val="single" w:sz="4" w:space="0" w:color="auto"/>
              <w:left w:val="nil"/>
              <w:bottom w:val="single" w:sz="4" w:space="0" w:color="auto"/>
              <w:right w:val="single" w:sz="4" w:space="0" w:color="auto"/>
            </w:tcBorders>
            <w:shd w:val="clear" w:color="000000" w:fill="FFFFFF"/>
            <w:vAlign w:val="center"/>
            <w:hideMark/>
          </w:tcPr>
          <w:p w14:paraId="1E8E0C12" w14:textId="77777777" w:rsidR="00ED2DF2" w:rsidRPr="00ED2DF2" w:rsidRDefault="00ED2DF2" w:rsidP="003E0728">
            <w:pPr>
              <w:pStyle w:val="Tables"/>
              <w:rPr>
                <w:color w:val="000000"/>
              </w:rPr>
            </w:pPr>
            <w:r w:rsidRPr="00ED2DF2">
              <w:t>Index of Expenditure 1937-38=100</w:t>
            </w:r>
          </w:p>
        </w:tc>
        <w:tc>
          <w:tcPr>
            <w:tcW w:w="2514" w:type="dxa"/>
            <w:gridSpan w:val="3"/>
            <w:tcBorders>
              <w:top w:val="single" w:sz="4" w:space="0" w:color="auto"/>
              <w:left w:val="nil"/>
              <w:bottom w:val="single" w:sz="4" w:space="0" w:color="auto"/>
              <w:right w:val="single" w:sz="4" w:space="0" w:color="auto"/>
            </w:tcBorders>
            <w:shd w:val="clear" w:color="000000" w:fill="FFFFFF"/>
            <w:vAlign w:val="center"/>
            <w:hideMark/>
          </w:tcPr>
          <w:p w14:paraId="4A71E3BB" w14:textId="77777777" w:rsidR="00ED2DF2" w:rsidRPr="00ED2DF2" w:rsidRDefault="00ED2DF2" w:rsidP="003E0728">
            <w:pPr>
              <w:pStyle w:val="Tables"/>
              <w:rPr>
                <w:color w:val="000000"/>
              </w:rPr>
            </w:pPr>
            <w:r w:rsidRPr="00ED2DF2">
              <w:t>Share in total Revenue Expenditure (per cent)</w:t>
            </w:r>
          </w:p>
        </w:tc>
      </w:tr>
      <w:tr w:rsidR="00ED2DF2" w:rsidRPr="00ED2DF2" w14:paraId="7AB4F11F" w14:textId="77777777" w:rsidTr="00ED2DF2">
        <w:trPr>
          <w:trHeight w:val="20"/>
          <w:jc w:val="center"/>
        </w:trPr>
        <w:tc>
          <w:tcPr>
            <w:tcW w:w="1959" w:type="dxa"/>
            <w:vMerge/>
            <w:tcBorders>
              <w:top w:val="single" w:sz="4" w:space="0" w:color="auto"/>
              <w:left w:val="single" w:sz="4" w:space="0" w:color="auto"/>
              <w:bottom w:val="single" w:sz="4" w:space="0" w:color="auto"/>
              <w:right w:val="single" w:sz="4" w:space="0" w:color="auto"/>
            </w:tcBorders>
            <w:vAlign w:val="center"/>
            <w:hideMark/>
          </w:tcPr>
          <w:p w14:paraId="7224F8CF" w14:textId="77777777" w:rsidR="00ED2DF2" w:rsidRPr="00ED2DF2" w:rsidRDefault="00ED2DF2" w:rsidP="003E0728">
            <w:pPr>
              <w:pStyle w:val="Tables"/>
            </w:pPr>
          </w:p>
        </w:tc>
        <w:tc>
          <w:tcPr>
            <w:tcW w:w="837" w:type="dxa"/>
            <w:tcBorders>
              <w:top w:val="nil"/>
              <w:left w:val="nil"/>
              <w:bottom w:val="single" w:sz="4" w:space="0" w:color="auto"/>
              <w:right w:val="single" w:sz="4" w:space="0" w:color="auto"/>
            </w:tcBorders>
            <w:shd w:val="clear" w:color="000000" w:fill="FFFFFF"/>
            <w:vAlign w:val="center"/>
            <w:hideMark/>
          </w:tcPr>
          <w:p w14:paraId="0F6A20ED" w14:textId="77777777" w:rsidR="00ED2DF2" w:rsidRPr="00ED2DF2" w:rsidRDefault="00ED2DF2" w:rsidP="003E0728">
            <w:pPr>
              <w:pStyle w:val="Tables"/>
              <w:rPr>
                <w:color w:val="000000"/>
              </w:rPr>
            </w:pPr>
            <w:r w:rsidRPr="00ED2DF2">
              <w:t>1937-38</w:t>
            </w:r>
          </w:p>
        </w:tc>
        <w:tc>
          <w:tcPr>
            <w:tcW w:w="888" w:type="dxa"/>
            <w:tcBorders>
              <w:top w:val="nil"/>
              <w:left w:val="nil"/>
              <w:bottom w:val="single" w:sz="4" w:space="0" w:color="auto"/>
              <w:right w:val="single" w:sz="4" w:space="0" w:color="auto"/>
            </w:tcBorders>
            <w:shd w:val="clear" w:color="000000" w:fill="FFFFFF"/>
            <w:vAlign w:val="center"/>
            <w:hideMark/>
          </w:tcPr>
          <w:p w14:paraId="757DE429" w14:textId="77777777" w:rsidR="00ED2DF2" w:rsidRPr="00ED2DF2" w:rsidRDefault="00ED2DF2" w:rsidP="003E0728">
            <w:pPr>
              <w:pStyle w:val="Tables"/>
              <w:rPr>
                <w:color w:val="000000"/>
              </w:rPr>
            </w:pPr>
            <w:r w:rsidRPr="00ED2DF2">
              <w:t>1944-45</w:t>
            </w:r>
          </w:p>
        </w:tc>
        <w:tc>
          <w:tcPr>
            <w:tcW w:w="888" w:type="dxa"/>
            <w:tcBorders>
              <w:top w:val="nil"/>
              <w:left w:val="nil"/>
              <w:bottom w:val="single" w:sz="4" w:space="0" w:color="auto"/>
              <w:right w:val="single" w:sz="4" w:space="0" w:color="auto"/>
            </w:tcBorders>
            <w:shd w:val="clear" w:color="000000" w:fill="FFFFFF"/>
            <w:vAlign w:val="center"/>
            <w:hideMark/>
          </w:tcPr>
          <w:p w14:paraId="79A6DE58" w14:textId="77777777" w:rsidR="00ED2DF2" w:rsidRPr="00ED2DF2" w:rsidRDefault="00ED2DF2" w:rsidP="003E0728">
            <w:pPr>
              <w:pStyle w:val="Tables"/>
              <w:rPr>
                <w:color w:val="000000"/>
              </w:rPr>
            </w:pPr>
            <w:r w:rsidRPr="00ED2DF2">
              <w:t>1946-47</w:t>
            </w:r>
          </w:p>
        </w:tc>
        <w:tc>
          <w:tcPr>
            <w:tcW w:w="838" w:type="dxa"/>
            <w:tcBorders>
              <w:top w:val="nil"/>
              <w:left w:val="nil"/>
              <w:bottom w:val="single" w:sz="4" w:space="0" w:color="auto"/>
              <w:right w:val="single" w:sz="4" w:space="0" w:color="auto"/>
            </w:tcBorders>
            <w:shd w:val="clear" w:color="000000" w:fill="FFFFFF"/>
            <w:vAlign w:val="center"/>
            <w:hideMark/>
          </w:tcPr>
          <w:p w14:paraId="11ACD414" w14:textId="77777777" w:rsidR="00ED2DF2" w:rsidRPr="00ED2DF2" w:rsidRDefault="00ED2DF2" w:rsidP="003E0728">
            <w:pPr>
              <w:pStyle w:val="Tables"/>
              <w:rPr>
                <w:color w:val="000000"/>
              </w:rPr>
            </w:pPr>
            <w:r w:rsidRPr="00ED2DF2">
              <w:t>1937-38</w:t>
            </w:r>
          </w:p>
        </w:tc>
        <w:tc>
          <w:tcPr>
            <w:tcW w:w="838" w:type="dxa"/>
            <w:tcBorders>
              <w:top w:val="nil"/>
              <w:left w:val="nil"/>
              <w:bottom w:val="single" w:sz="4" w:space="0" w:color="auto"/>
              <w:right w:val="single" w:sz="4" w:space="0" w:color="auto"/>
            </w:tcBorders>
            <w:shd w:val="clear" w:color="000000" w:fill="FFFFFF"/>
            <w:vAlign w:val="center"/>
            <w:hideMark/>
          </w:tcPr>
          <w:p w14:paraId="2E50AB5B" w14:textId="77777777" w:rsidR="00ED2DF2" w:rsidRPr="00ED2DF2" w:rsidRDefault="00ED2DF2" w:rsidP="003E0728">
            <w:pPr>
              <w:pStyle w:val="Tables"/>
              <w:rPr>
                <w:color w:val="000000"/>
              </w:rPr>
            </w:pPr>
            <w:r w:rsidRPr="00ED2DF2">
              <w:t>1944-45</w:t>
            </w:r>
          </w:p>
        </w:tc>
        <w:tc>
          <w:tcPr>
            <w:tcW w:w="838" w:type="dxa"/>
            <w:tcBorders>
              <w:top w:val="nil"/>
              <w:left w:val="nil"/>
              <w:bottom w:val="single" w:sz="4" w:space="0" w:color="auto"/>
              <w:right w:val="single" w:sz="4" w:space="0" w:color="auto"/>
            </w:tcBorders>
            <w:shd w:val="clear" w:color="000000" w:fill="FFFFFF"/>
            <w:vAlign w:val="center"/>
            <w:hideMark/>
          </w:tcPr>
          <w:p w14:paraId="67CA7C5A" w14:textId="77777777" w:rsidR="00ED2DF2" w:rsidRPr="00ED2DF2" w:rsidRDefault="00ED2DF2" w:rsidP="003E0728">
            <w:pPr>
              <w:pStyle w:val="Tables"/>
              <w:rPr>
                <w:color w:val="000000"/>
              </w:rPr>
            </w:pPr>
            <w:r w:rsidRPr="00ED2DF2">
              <w:t>1946-47</w:t>
            </w:r>
          </w:p>
        </w:tc>
        <w:tc>
          <w:tcPr>
            <w:tcW w:w="838" w:type="dxa"/>
            <w:tcBorders>
              <w:top w:val="nil"/>
              <w:left w:val="nil"/>
              <w:bottom w:val="single" w:sz="4" w:space="0" w:color="auto"/>
              <w:right w:val="single" w:sz="4" w:space="0" w:color="auto"/>
            </w:tcBorders>
            <w:shd w:val="clear" w:color="000000" w:fill="FFFFFF"/>
            <w:vAlign w:val="center"/>
            <w:hideMark/>
          </w:tcPr>
          <w:p w14:paraId="5E116EAC" w14:textId="77777777" w:rsidR="00ED2DF2" w:rsidRPr="00ED2DF2" w:rsidRDefault="00ED2DF2" w:rsidP="003E0728">
            <w:pPr>
              <w:pStyle w:val="Tables"/>
              <w:rPr>
                <w:color w:val="000000"/>
              </w:rPr>
            </w:pPr>
            <w:r w:rsidRPr="00ED2DF2">
              <w:t>1937-38</w:t>
            </w:r>
          </w:p>
        </w:tc>
        <w:tc>
          <w:tcPr>
            <w:tcW w:w="838" w:type="dxa"/>
            <w:tcBorders>
              <w:top w:val="nil"/>
              <w:left w:val="nil"/>
              <w:bottom w:val="single" w:sz="4" w:space="0" w:color="auto"/>
              <w:right w:val="single" w:sz="4" w:space="0" w:color="auto"/>
            </w:tcBorders>
            <w:shd w:val="clear" w:color="000000" w:fill="FFFFFF"/>
            <w:vAlign w:val="center"/>
            <w:hideMark/>
          </w:tcPr>
          <w:p w14:paraId="5DCF9E7D" w14:textId="77777777" w:rsidR="00ED2DF2" w:rsidRPr="00ED2DF2" w:rsidRDefault="00ED2DF2" w:rsidP="003E0728">
            <w:pPr>
              <w:pStyle w:val="Tables"/>
              <w:rPr>
                <w:color w:val="000000"/>
              </w:rPr>
            </w:pPr>
            <w:r w:rsidRPr="00ED2DF2">
              <w:t>1944-45</w:t>
            </w:r>
          </w:p>
        </w:tc>
        <w:tc>
          <w:tcPr>
            <w:tcW w:w="838" w:type="dxa"/>
            <w:tcBorders>
              <w:top w:val="nil"/>
              <w:left w:val="nil"/>
              <w:bottom w:val="single" w:sz="4" w:space="0" w:color="auto"/>
              <w:right w:val="single" w:sz="4" w:space="0" w:color="auto"/>
            </w:tcBorders>
            <w:shd w:val="clear" w:color="000000" w:fill="FFFFFF"/>
            <w:vAlign w:val="center"/>
            <w:hideMark/>
          </w:tcPr>
          <w:p w14:paraId="010011BB" w14:textId="77777777" w:rsidR="00ED2DF2" w:rsidRPr="00ED2DF2" w:rsidRDefault="00ED2DF2" w:rsidP="003E0728">
            <w:pPr>
              <w:pStyle w:val="Tables"/>
              <w:rPr>
                <w:color w:val="000000"/>
              </w:rPr>
            </w:pPr>
            <w:r w:rsidRPr="00ED2DF2">
              <w:t>1946-47</w:t>
            </w:r>
          </w:p>
        </w:tc>
      </w:tr>
      <w:tr w:rsidR="00ED2DF2" w:rsidRPr="00ED2DF2" w14:paraId="7B2E5595" w14:textId="77777777" w:rsidTr="00ED2DF2">
        <w:trPr>
          <w:trHeight w:val="20"/>
          <w:jc w:val="center"/>
        </w:trPr>
        <w:tc>
          <w:tcPr>
            <w:tcW w:w="1959" w:type="dxa"/>
            <w:tcBorders>
              <w:top w:val="nil"/>
              <w:left w:val="single" w:sz="4" w:space="0" w:color="auto"/>
              <w:bottom w:val="single" w:sz="4" w:space="0" w:color="auto"/>
              <w:right w:val="single" w:sz="4" w:space="0" w:color="auto"/>
            </w:tcBorders>
            <w:shd w:val="clear" w:color="000000" w:fill="FFFFFF"/>
            <w:vAlign w:val="center"/>
            <w:hideMark/>
          </w:tcPr>
          <w:p w14:paraId="0A932954" w14:textId="77777777" w:rsidR="00ED2DF2" w:rsidRPr="00ED2DF2" w:rsidRDefault="00ED2DF2" w:rsidP="003E0728">
            <w:pPr>
              <w:pStyle w:val="Tables"/>
              <w:rPr>
                <w:color w:val="000000"/>
              </w:rPr>
            </w:pPr>
            <w:r w:rsidRPr="00ED2DF2">
              <w:t>TOTAL REVENUE EXPENDITURE</w:t>
            </w:r>
          </w:p>
        </w:tc>
        <w:tc>
          <w:tcPr>
            <w:tcW w:w="837" w:type="dxa"/>
            <w:tcBorders>
              <w:top w:val="nil"/>
              <w:left w:val="nil"/>
              <w:bottom w:val="single" w:sz="4" w:space="0" w:color="auto"/>
              <w:right w:val="single" w:sz="4" w:space="0" w:color="auto"/>
            </w:tcBorders>
            <w:shd w:val="clear" w:color="000000" w:fill="FFFFFF"/>
            <w:vAlign w:val="center"/>
            <w:hideMark/>
          </w:tcPr>
          <w:p w14:paraId="4AA52C4B" w14:textId="77777777" w:rsidR="00ED2DF2" w:rsidRPr="00ED2DF2" w:rsidRDefault="00ED2DF2" w:rsidP="003E0728">
            <w:pPr>
              <w:pStyle w:val="Tables"/>
              <w:rPr>
                <w:color w:val="000000"/>
              </w:rPr>
            </w:pPr>
            <w:r w:rsidRPr="00ED2DF2">
              <w:t>86.61</w:t>
            </w:r>
          </w:p>
        </w:tc>
        <w:tc>
          <w:tcPr>
            <w:tcW w:w="888" w:type="dxa"/>
            <w:tcBorders>
              <w:top w:val="nil"/>
              <w:left w:val="nil"/>
              <w:bottom w:val="single" w:sz="4" w:space="0" w:color="auto"/>
              <w:right w:val="single" w:sz="4" w:space="0" w:color="auto"/>
            </w:tcBorders>
            <w:shd w:val="clear" w:color="000000" w:fill="FFFFFF"/>
            <w:vAlign w:val="center"/>
            <w:hideMark/>
          </w:tcPr>
          <w:p w14:paraId="3DA11C9A" w14:textId="77777777" w:rsidR="00ED2DF2" w:rsidRPr="00ED2DF2" w:rsidRDefault="00ED2DF2" w:rsidP="003E0728">
            <w:pPr>
              <w:pStyle w:val="Tables"/>
              <w:rPr>
                <w:color w:val="000000"/>
              </w:rPr>
            </w:pPr>
            <w:r w:rsidRPr="00ED2DF2">
              <w:t>496.26</w:t>
            </w:r>
          </w:p>
        </w:tc>
        <w:tc>
          <w:tcPr>
            <w:tcW w:w="888" w:type="dxa"/>
            <w:tcBorders>
              <w:top w:val="nil"/>
              <w:left w:val="nil"/>
              <w:bottom w:val="single" w:sz="4" w:space="0" w:color="auto"/>
              <w:right w:val="single" w:sz="4" w:space="0" w:color="auto"/>
            </w:tcBorders>
            <w:shd w:val="clear" w:color="000000" w:fill="FFFFFF"/>
            <w:vAlign w:val="center"/>
            <w:hideMark/>
          </w:tcPr>
          <w:p w14:paraId="68D3143D" w14:textId="77777777" w:rsidR="00ED2DF2" w:rsidRPr="00ED2DF2" w:rsidRDefault="00ED2DF2" w:rsidP="003E0728">
            <w:pPr>
              <w:pStyle w:val="Tables"/>
              <w:rPr>
                <w:color w:val="000000"/>
              </w:rPr>
            </w:pPr>
            <w:r w:rsidRPr="00ED2DF2">
              <w:t>343.49</w:t>
            </w:r>
          </w:p>
        </w:tc>
        <w:tc>
          <w:tcPr>
            <w:tcW w:w="838" w:type="dxa"/>
            <w:tcBorders>
              <w:top w:val="nil"/>
              <w:left w:val="nil"/>
              <w:bottom w:val="single" w:sz="4" w:space="0" w:color="auto"/>
              <w:right w:val="single" w:sz="4" w:space="0" w:color="auto"/>
            </w:tcBorders>
            <w:shd w:val="clear" w:color="000000" w:fill="FFFFFF"/>
            <w:vAlign w:val="center"/>
            <w:hideMark/>
          </w:tcPr>
          <w:p w14:paraId="04BC4F44" w14:textId="179C6C44" w:rsidR="00ED2DF2" w:rsidRPr="00ED2DF2" w:rsidRDefault="00ED2DF2" w:rsidP="003E0728">
            <w:pPr>
              <w:pStyle w:val="Tables"/>
              <w:rPr>
                <w:color w:val="000000"/>
              </w:rPr>
            </w:pPr>
            <w:r w:rsidRPr="00ED2DF2">
              <w:t>100</w:t>
            </w:r>
            <w:r w:rsidR="008D3E88">
              <w:t>.0</w:t>
            </w:r>
          </w:p>
        </w:tc>
        <w:tc>
          <w:tcPr>
            <w:tcW w:w="838" w:type="dxa"/>
            <w:tcBorders>
              <w:top w:val="nil"/>
              <w:left w:val="nil"/>
              <w:bottom w:val="single" w:sz="4" w:space="0" w:color="auto"/>
              <w:right w:val="single" w:sz="4" w:space="0" w:color="auto"/>
            </w:tcBorders>
            <w:shd w:val="clear" w:color="000000" w:fill="FFFFFF"/>
            <w:vAlign w:val="center"/>
            <w:hideMark/>
          </w:tcPr>
          <w:p w14:paraId="473994C8" w14:textId="74785779" w:rsidR="00ED2DF2" w:rsidRPr="00ED2DF2" w:rsidRDefault="00ED2DF2" w:rsidP="003E0728">
            <w:pPr>
              <w:pStyle w:val="Tables"/>
              <w:rPr>
                <w:color w:val="000000"/>
              </w:rPr>
            </w:pPr>
            <w:r w:rsidRPr="00ED2DF2">
              <w:t>673</w:t>
            </w:r>
            <w:r w:rsidR="008D3E88">
              <w:t>0.</w:t>
            </w:r>
          </w:p>
        </w:tc>
        <w:tc>
          <w:tcPr>
            <w:tcW w:w="838" w:type="dxa"/>
            <w:tcBorders>
              <w:top w:val="nil"/>
              <w:left w:val="nil"/>
              <w:bottom w:val="single" w:sz="4" w:space="0" w:color="auto"/>
              <w:right w:val="single" w:sz="4" w:space="0" w:color="auto"/>
            </w:tcBorders>
            <w:shd w:val="clear" w:color="000000" w:fill="FFFFFF"/>
            <w:vAlign w:val="center"/>
            <w:hideMark/>
          </w:tcPr>
          <w:p w14:paraId="070D9586" w14:textId="77777777" w:rsidR="00ED2DF2" w:rsidRPr="00ED2DF2" w:rsidRDefault="00ED2DF2" w:rsidP="003E0728">
            <w:pPr>
              <w:pStyle w:val="Tables"/>
              <w:rPr>
                <w:color w:val="000000"/>
              </w:rPr>
            </w:pPr>
            <w:r w:rsidRPr="00ED2DF2">
              <w:t>385.6</w:t>
            </w:r>
          </w:p>
        </w:tc>
        <w:tc>
          <w:tcPr>
            <w:tcW w:w="838" w:type="dxa"/>
            <w:tcBorders>
              <w:top w:val="nil"/>
              <w:left w:val="nil"/>
              <w:bottom w:val="single" w:sz="4" w:space="0" w:color="auto"/>
              <w:right w:val="single" w:sz="4" w:space="0" w:color="auto"/>
            </w:tcBorders>
            <w:shd w:val="clear" w:color="000000" w:fill="FFFFFF"/>
            <w:vAlign w:val="center"/>
            <w:hideMark/>
          </w:tcPr>
          <w:p w14:paraId="2F2DF97E" w14:textId="4434ACF6" w:rsidR="00ED2DF2" w:rsidRPr="00ED2DF2" w:rsidRDefault="00ED2DF2" w:rsidP="003E0728">
            <w:pPr>
              <w:pStyle w:val="Tables"/>
              <w:rPr>
                <w:color w:val="000000"/>
              </w:rPr>
            </w:pPr>
            <w:r w:rsidRPr="00ED2DF2">
              <w:t>100</w:t>
            </w:r>
            <w:r w:rsidR="008D3E88">
              <w:t>.0</w:t>
            </w:r>
          </w:p>
        </w:tc>
        <w:tc>
          <w:tcPr>
            <w:tcW w:w="838" w:type="dxa"/>
            <w:tcBorders>
              <w:top w:val="nil"/>
              <w:left w:val="nil"/>
              <w:bottom w:val="single" w:sz="4" w:space="0" w:color="auto"/>
              <w:right w:val="single" w:sz="4" w:space="0" w:color="auto"/>
            </w:tcBorders>
            <w:shd w:val="clear" w:color="000000" w:fill="FFFFFF"/>
            <w:vAlign w:val="center"/>
            <w:hideMark/>
          </w:tcPr>
          <w:p w14:paraId="11C91903" w14:textId="1FE1FE3B" w:rsidR="00ED2DF2" w:rsidRPr="00ED2DF2" w:rsidRDefault="00ED2DF2" w:rsidP="003E0728">
            <w:pPr>
              <w:pStyle w:val="Tables"/>
              <w:rPr>
                <w:color w:val="000000"/>
              </w:rPr>
            </w:pPr>
            <w:r w:rsidRPr="00ED2DF2">
              <w:t>100</w:t>
            </w:r>
            <w:r w:rsidR="008D3E88">
              <w:t>.0</w:t>
            </w:r>
          </w:p>
        </w:tc>
        <w:tc>
          <w:tcPr>
            <w:tcW w:w="838" w:type="dxa"/>
            <w:tcBorders>
              <w:top w:val="nil"/>
              <w:left w:val="nil"/>
              <w:bottom w:val="single" w:sz="4" w:space="0" w:color="auto"/>
              <w:right w:val="single" w:sz="4" w:space="0" w:color="auto"/>
            </w:tcBorders>
            <w:shd w:val="clear" w:color="000000" w:fill="FFFFFF"/>
            <w:vAlign w:val="center"/>
            <w:hideMark/>
          </w:tcPr>
          <w:p w14:paraId="6AD15171" w14:textId="0C5D73CE" w:rsidR="00ED2DF2" w:rsidRPr="00ED2DF2" w:rsidRDefault="00ED2DF2" w:rsidP="003E0728">
            <w:pPr>
              <w:pStyle w:val="Tables"/>
              <w:rPr>
                <w:color w:val="000000"/>
              </w:rPr>
            </w:pPr>
            <w:r w:rsidRPr="00ED2DF2">
              <w:t>100</w:t>
            </w:r>
            <w:r w:rsidR="008D3E88">
              <w:t>.0</w:t>
            </w:r>
          </w:p>
        </w:tc>
      </w:tr>
      <w:tr w:rsidR="00ED2DF2" w:rsidRPr="00ED2DF2" w14:paraId="7AF64EE2" w14:textId="77777777" w:rsidTr="00ED2DF2">
        <w:trPr>
          <w:trHeight w:val="20"/>
          <w:jc w:val="center"/>
        </w:trPr>
        <w:tc>
          <w:tcPr>
            <w:tcW w:w="1959" w:type="dxa"/>
            <w:tcBorders>
              <w:top w:val="nil"/>
              <w:left w:val="single" w:sz="4" w:space="0" w:color="auto"/>
              <w:bottom w:val="single" w:sz="4" w:space="0" w:color="auto"/>
              <w:right w:val="single" w:sz="4" w:space="0" w:color="auto"/>
            </w:tcBorders>
            <w:shd w:val="clear" w:color="000000" w:fill="FFFFFF"/>
            <w:vAlign w:val="center"/>
            <w:hideMark/>
          </w:tcPr>
          <w:p w14:paraId="3B9626F2" w14:textId="77777777" w:rsidR="00ED2DF2" w:rsidRPr="00ED2DF2" w:rsidRDefault="00ED2DF2" w:rsidP="003E0728">
            <w:pPr>
              <w:pStyle w:val="Tables"/>
              <w:rPr>
                <w:color w:val="000000"/>
              </w:rPr>
            </w:pPr>
            <w:r w:rsidRPr="00ED2DF2">
              <w:t>Defence (net)</w:t>
            </w:r>
          </w:p>
        </w:tc>
        <w:tc>
          <w:tcPr>
            <w:tcW w:w="837" w:type="dxa"/>
            <w:tcBorders>
              <w:top w:val="nil"/>
              <w:left w:val="nil"/>
              <w:bottom w:val="single" w:sz="4" w:space="0" w:color="auto"/>
              <w:right w:val="single" w:sz="4" w:space="0" w:color="auto"/>
            </w:tcBorders>
            <w:shd w:val="clear" w:color="000000" w:fill="FFFFFF"/>
            <w:vAlign w:val="center"/>
            <w:hideMark/>
          </w:tcPr>
          <w:p w14:paraId="0A60E876" w14:textId="77777777" w:rsidR="00ED2DF2" w:rsidRPr="00ED2DF2" w:rsidRDefault="00ED2DF2" w:rsidP="003E0728">
            <w:pPr>
              <w:pStyle w:val="Tables"/>
              <w:rPr>
                <w:color w:val="000000"/>
              </w:rPr>
            </w:pPr>
            <w:r w:rsidRPr="00ED2DF2">
              <w:t>47.35</w:t>
            </w:r>
          </w:p>
        </w:tc>
        <w:tc>
          <w:tcPr>
            <w:tcW w:w="888" w:type="dxa"/>
            <w:tcBorders>
              <w:top w:val="nil"/>
              <w:left w:val="nil"/>
              <w:bottom w:val="single" w:sz="4" w:space="0" w:color="auto"/>
              <w:right w:val="single" w:sz="4" w:space="0" w:color="auto"/>
            </w:tcBorders>
            <w:shd w:val="clear" w:color="000000" w:fill="FFFFFF"/>
            <w:vAlign w:val="center"/>
            <w:hideMark/>
          </w:tcPr>
          <w:p w14:paraId="42C2A27A" w14:textId="77777777" w:rsidR="00ED2DF2" w:rsidRPr="00ED2DF2" w:rsidRDefault="00ED2DF2" w:rsidP="003E0728">
            <w:pPr>
              <w:pStyle w:val="Tables"/>
              <w:rPr>
                <w:color w:val="000000"/>
              </w:rPr>
            </w:pPr>
            <w:r w:rsidRPr="00ED2DF2">
              <w:t>395.49</w:t>
            </w:r>
          </w:p>
        </w:tc>
        <w:tc>
          <w:tcPr>
            <w:tcW w:w="888" w:type="dxa"/>
            <w:tcBorders>
              <w:top w:val="nil"/>
              <w:left w:val="nil"/>
              <w:bottom w:val="single" w:sz="4" w:space="0" w:color="auto"/>
              <w:right w:val="single" w:sz="4" w:space="0" w:color="auto"/>
            </w:tcBorders>
            <w:shd w:val="clear" w:color="000000" w:fill="FFFFFF"/>
            <w:vAlign w:val="center"/>
            <w:hideMark/>
          </w:tcPr>
          <w:p w14:paraId="3FDFF138" w14:textId="77777777" w:rsidR="00ED2DF2" w:rsidRPr="00ED2DF2" w:rsidRDefault="00ED2DF2" w:rsidP="003E0728">
            <w:pPr>
              <w:pStyle w:val="Tables"/>
              <w:rPr>
                <w:color w:val="000000"/>
              </w:rPr>
            </w:pPr>
            <w:r w:rsidRPr="00ED2DF2">
              <w:t>207.37</w:t>
            </w:r>
          </w:p>
        </w:tc>
        <w:tc>
          <w:tcPr>
            <w:tcW w:w="838" w:type="dxa"/>
            <w:tcBorders>
              <w:top w:val="nil"/>
              <w:left w:val="nil"/>
              <w:bottom w:val="single" w:sz="4" w:space="0" w:color="auto"/>
              <w:right w:val="single" w:sz="4" w:space="0" w:color="auto"/>
            </w:tcBorders>
            <w:shd w:val="clear" w:color="000000" w:fill="FFFFFF"/>
            <w:vAlign w:val="center"/>
            <w:hideMark/>
          </w:tcPr>
          <w:p w14:paraId="0D35D574" w14:textId="07AD91C5" w:rsidR="00ED2DF2" w:rsidRPr="00ED2DF2" w:rsidRDefault="00ED2DF2" w:rsidP="003E0728">
            <w:pPr>
              <w:pStyle w:val="Tables"/>
              <w:rPr>
                <w:color w:val="000000"/>
              </w:rPr>
            </w:pPr>
            <w:r w:rsidRPr="00ED2DF2">
              <w:t>100</w:t>
            </w:r>
            <w:r w:rsidR="008D3E88">
              <w:t>.0</w:t>
            </w:r>
          </w:p>
        </w:tc>
        <w:tc>
          <w:tcPr>
            <w:tcW w:w="838" w:type="dxa"/>
            <w:tcBorders>
              <w:top w:val="nil"/>
              <w:left w:val="nil"/>
              <w:bottom w:val="single" w:sz="4" w:space="0" w:color="auto"/>
              <w:right w:val="single" w:sz="4" w:space="0" w:color="auto"/>
            </w:tcBorders>
            <w:shd w:val="clear" w:color="000000" w:fill="FFFFFF"/>
            <w:vAlign w:val="center"/>
            <w:hideMark/>
          </w:tcPr>
          <w:p w14:paraId="654A6A07" w14:textId="77777777" w:rsidR="00ED2DF2" w:rsidRPr="00ED2DF2" w:rsidRDefault="00ED2DF2" w:rsidP="003E0728">
            <w:pPr>
              <w:pStyle w:val="Tables"/>
              <w:rPr>
                <w:color w:val="000000"/>
              </w:rPr>
            </w:pPr>
            <w:r w:rsidRPr="00ED2DF2">
              <w:t>832.2</w:t>
            </w:r>
          </w:p>
        </w:tc>
        <w:tc>
          <w:tcPr>
            <w:tcW w:w="838" w:type="dxa"/>
            <w:tcBorders>
              <w:top w:val="nil"/>
              <w:left w:val="nil"/>
              <w:bottom w:val="single" w:sz="4" w:space="0" w:color="auto"/>
              <w:right w:val="single" w:sz="4" w:space="0" w:color="auto"/>
            </w:tcBorders>
            <w:shd w:val="clear" w:color="000000" w:fill="FFFFFF"/>
            <w:vAlign w:val="center"/>
            <w:hideMark/>
          </w:tcPr>
          <w:p w14:paraId="72D272CB" w14:textId="77777777" w:rsidR="00ED2DF2" w:rsidRPr="00ED2DF2" w:rsidRDefault="00ED2DF2" w:rsidP="003E0728">
            <w:pPr>
              <w:pStyle w:val="Tables"/>
              <w:rPr>
                <w:color w:val="000000"/>
              </w:rPr>
            </w:pPr>
            <w:r w:rsidRPr="00ED2DF2">
              <w:t>433</w:t>
            </w:r>
          </w:p>
        </w:tc>
        <w:tc>
          <w:tcPr>
            <w:tcW w:w="838" w:type="dxa"/>
            <w:tcBorders>
              <w:top w:val="nil"/>
              <w:left w:val="nil"/>
              <w:bottom w:val="single" w:sz="4" w:space="0" w:color="auto"/>
              <w:right w:val="single" w:sz="4" w:space="0" w:color="auto"/>
            </w:tcBorders>
            <w:shd w:val="clear" w:color="000000" w:fill="FFFFFF"/>
            <w:vAlign w:val="center"/>
            <w:hideMark/>
          </w:tcPr>
          <w:p w14:paraId="0E8AD74D" w14:textId="77777777" w:rsidR="00ED2DF2" w:rsidRPr="00ED2DF2" w:rsidRDefault="00ED2DF2" w:rsidP="003E0728">
            <w:pPr>
              <w:pStyle w:val="Tables"/>
              <w:rPr>
                <w:color w:val="000000"/>
              </w:rPr>
            </w:pPr>
            <w:r w:rsidRPr="00ED2DF2">
              <w:t>54.7</w:t>
            </w:r>
          </w:p>
        </w:tc>
        <w:tc>
          <w:tcPr>
            <w:tcW w:w="838" w:type="dxa"/>
            <w:tcBorders>
              <w:top w:val="nil"/>
              <w:left w:val="nil"/>
              <w:bottom w:val="single" w:sz="4" w:space="0" w:color="auto"/>
              <w:right w:val="single" w:sz="4" w:space="0" w:color="auto"/>
            </w:tcBorders>
            <w:shd w:val="clear" w:color="000000" w:fill="FFFFFF"/>
            <w:vAlign w:val="center"/>
            <w:hideMark/>
          </w:tcPr>
          <w:p w14:paraId="7F725AB1" w14:textId="77777777" w:rsidR="00ED2DF2" w:rsidRPr="00ED2DF2" w:rsidRDefault="00ED2DF2" w:rsidP="003E0728">
            <w:pPr>
              <w:pStyle w:val="Tables"/>
              <w:rPr>
                <w:color w:val="000000"/>
              </w:rPr>
            </w:pPr>
            <w:r w:rsidRPr="00ED2DF2">
              <w:t>79.7</w:t>
            </w:r>
          </w:p>
        </w:tc>
        <w:tc>
          <w:tcPr>
            <w:tcW w:w="838" w:type="dxa"/>
            <w:tcBorders>
              <w:top w:val="nil"/>
              <w:left w:val="nil"/>
              <w:bottom w:val="single" w:sz="4" w:space="0" w:color="auto"/>
              <w:right w:val="single" w:sz="4" w:space="0" w:color="auto"/>
            </w:tcBorders>
            <w:shd w:val="clear" w:color="000000" w:fill="FFFFFF"/>
            <w:vAlign w:val="center"/>
            <w:hideMark/>
          </w:tcPr>
          <w:p w14:paraId="610E4191" w14:textId="77777777" w:rsidR="00ED2DF2" w:rsidRPr="00ED2DF2" w:rsidRDefault="00ED2DF2" w:rsidP="003E0728">
            <w:pPr>
              <w:pStyle w:val="Tables"/>
              <w:rPr>
                <w:color w:val="000000"/>
              </w:rPr>
            </w:pPr>
            <w:r w:rsidRPr="00ED2DF2">
              <w:t>60.4</w:t>
            </w:r>
          </w:p>
        </w:tc>
      </w:tr>
      <w:tr w:rsidR="00ED2DF2" w:rsidRPr="00ED2DF2" w14:paraId="286AA4C0" w14:textId="77777777" w:rsidTr="00ED2DF2">
        <w:trPr>
          <w:trHeight w:val="20"/>
          <w:jc w:val="center"/>
        </w:trPr>
        <w:tc>
          <w:tcPr>
            <w:tcW w:w="1959" w:type="dxa"/>
            <w:tcBorders>
              <w:top w:val="nil"/>
              <w:left w:val="single" w:sz="4" w:space="0" w:color="auto"/>
              <w:bottom w:val="single" w:sz="4" w:space="0" w:color="auto"/>
              <w:right w:val="single" w:sz="4" w:space="0" w:color="auto"/>
            </w:tcBorders>
            <w:shd w:val="clear" w:color="000000" w:fill="FFFFFF"/>
            <w:vAlign w:val="center"/>
            <w:hideMark/>
          </w:tcPr>
          <w:p w14:paraId="563D33EE" w14:textId="77777777" w:rsidR="00ED2DF2" w:rsidRPr="00ED2DF2" w:rsidRDefault="00ED2DF2" w:rsidP="003E0728">
            <w:pPr>
              <w:pStyle w:val="Tables"/>
              <w:rPr>
                <w:color w:val="000000"/>
              </w:rPr>
            </w:pPr>
            <w:r w:rsidRPr="00ED2DF2">
              <w:t>Civil Expenditure</w:t>
            </w:r>
          </w:p>
        </w:tc>
        <w:tc>
          <w:tcPr>
            <w:tcW w:w="837" w:type="dxa"/>
            <w:tcBorders>
              <w:top w:val="nil"/>
              <w:left w:val="nil"/>
              <w:bottom w:val="single" w:sz="4" w:space="0" w:color="auto"/>
              <w:right w:val="single" w:sz="4" w:space="0" w:color="auto"/>
            </w:tcBorders>
            <w:shd w:val="clear" w:color="000000" w:fill="FFFFFF"/>
            <w:vAlign w:val="center"/>
            <w:hideMark/>
          </w:tcPr>
          <w:p w14:paraId="04FE06CF" w14:textId="77777777" w:rsidR="00ED2DF2" w:rsidRPr="00ED2DF2" w:rsidRDefault="00ED2DF2" w:rsidP="003E0728">
            <w:pPr>
              <w:pStyle w:val="Tables"/>
              <w:rPr>
                <w:color w:val="000000"/>
              </w:rPr>
            </w:pPr>
            <w:r w:rsidRPr="00ED2DF2">
              <w:t>39.26</w:t>
            </w:r>
          </w:p>
        </w:tc>
        <w:tc>
          <w:tcPr>
            <w:tcW w:w="888" w:type="dxa"/>
            <w:tcBorders>
              <w:top w:val="nil"/>
              <w:left w:val="nil"/>
              <w:bottom w:val="single" w:sz="4" w:space="0" w:color="auto"/>
              <w:right w:val="single" w:sz="4" w:space="0" w:color="auto"/>
            </w:tcBorders>
            <w:shd w:val="clear" w:color="000000" w:fill="FFFFFF"/>
            <w:vAlign w:val="center"/>
            <w:hideMark/>
          </w:tcPr>
          <w:p w14:paraId="2057E268" w14:textId="77777777" w:rsidR="00ED2DF2" w:rsidRPr="00ED2DF2" w:rsidRDefault="00ED2DF2" w:rsidP="003E0728">
            <w:pPr>
              <w:pStyle w:val="Tables"/>
              <w:rPr>
                <w:color w:val="000000"/>
              </w:rPr>
            </w:pPr>
            <w:r w:rsidRPr="00ED2DF2">
              <w:t>100.76</w:t>
            </w:r>
          </w:p>
        </w:tc>
        <w:tc>
          <w:tcPr>
            <w:tcW w:w="888" w:type="dxa"/>
            <w:tcBorders>
              <w:top w:val="nil"/>
              <w:left w:val="nil"/>
              <w:bottom w:val="single" w:sz="4" w:space="0" w:color="auto"/>
              <w:right w:val="single" w:sz="4" w:space="0" w:color="auto"/>
            </w:tcBorders>
            <w:shd w:val="clear" w:color="000000" w:fill="FFFFFF"/>
            <w:vAlign w:val="center"/>
            <w:hideMark/>
          </w:tcPr>
          <w:p w14:paraId="669573E4" w14:textId="77777777" w:rsidR="00ED2DF2" w:rsidRPr="00ED2DF2" w:rsidRDefault="00ED2DF2" w:rsidP="003E0728">
            <w:pPr>
              <w:pStyle w:val="Tables"/>
              <w:rPr>
                <w:color w:val="000000"/>
              </w:rPr>
            </w:pPr>
            <w:r w:rsidRPr="00ED2DF2">
              <w:t>136.12</w:t>
            </w:r>
          </w:p>
        </w:tc>
        <w:tc>
          <w:tcPr>
            <w:tcW w:w="838" w:type="dxa"/>
            <w:tcBorders>
              <w:top w:val="nil"/>
              <w:left w:val="nil"/>
              <w:bottom w:val="single" w:sz="4" w:space="0" w:color="auto"/>
              <w:right w:val="single" w:sz="4" w:space="0" w:color="auto"/>
            </w:tcBorders>
            <w:shd w:val="clear" w:color="000000" w:fill="FFFFFF"/>
            <w:vAlign w:val="center"/>
            <w:hideMark/>
          </w:tcPr>
          <w:p w14:paraId="0E8BCFF1" w14:textId="43AEF7CC" w:rsidR="00ED2DF2" w:rsidRPr="00ED2DF2" w:rsidRDefault="00ED2DF2" w:rsidP="003E0728">
            <w:pPr>
              <w:pStyle w:val="Tables"/>
              <w:rPr>
                <w:color w:val="000000"/>
              </w:rPr>
            </w:pPr>
            <w:r w:rsidRPr="00ED2DF2">
              <w:t>100</w:t>
            </w:r>
            <w:r w:rsidR="008D3E88">
              <w:t>.0</w:t>
            </w:r>
          </w:p>
        </w:tc>
        <w:tc>
          <w:tcPr>
            <w:tcW w:w="838" w:type="dxa"/>
            <w:tcBorders>
              <w:top w:val="nil"/>
              <w:left w:val="nil"/>
              <w:bottom w:val="single" w:sz="4" w:space="0" w:color="auto"/>
              <w:right w:val="single" w:sz="4" w:space="0" w:color="auto"/>
            </w:tcBorders>
            <w:shd w:val="clear" w:color="000000" w:fill="FFFFFF"/>
            <w:vAlign w:val="center"/>
            <w:hideMark/>
          </w:tcPr>
          <w:p w14:paraId="24B5096C" w14:textId="77777777" w:rsidR="00ED2DF2" w:rsidRPr="00ED2DF2" w:rsidRDefault="00ED2DF2" w:rsidP="003E0728">
            <w:pPr>
              <w:pStyle w:val="Tables"/>
              <w:rPr>
                <w:color w:val="000000"/>
              </w:rPr>
            </w:pPr>
            <w:r w:rsidRPr="00ED2DF2">
              <w:t>235.5</w:t>
            </w:r>
          </w:p>
        </w:tc>
        <w:tc>
          <w:tcPr>
            <w:tcW w:w="838" w:type="dxa"/>
            <w:tcBorders>
              <w:top w:val="nil"/>
              <w:left w:val="nil"/>
              <w:bottom w:val="single" w:sz="4" w:space="0" w:color="auto"/>
              <w:right w:val="single" w:sz="4" w:space="0" w:color="auto"/>
            </w:tcBorders>
            <w:shd w:val="clear" w:color="000000" w:fill="FFFFFF"/>
            <w:vAlign w:val="center"/>
            <w:hideMark/>
          </w:tcPr>
          <w:p w14:paraId="503748E7" w14:textId="77777777" w:rsidR="00ED2DF2" w:rsidRPr="00ED2DF2" w:rsidRDefault="00ED2DF2" w:rsidP="003E0728">
            <w:pPr>
              <w:pStyle w:val="Tables"/>
              <w:rPr>
                <w:color w:val="000000"/>
              </w:rPr>
            </w:pPr>
            <w:r w:rsidRPr="00ED2DF2">
              <w:t>316.7</w:t>
            </w:r>
          </w:p>
        </w:tc>
        <w:tc>
          <w:tcPr>
            <w:tcW w:w="838" w:type="dxa"/>
            <w:tcBorders>
              <w:top w:val="nil"/>
              <w:left w:val="nil"/>
              <w:bottom w:val="single" w:sz="4" w:space="0" w:color="auto"/>
              <w:right w:val="single" w:sz="4" w:space="0" w:color="auto"/>
            </w:tcBorders>
            <w:shd w:val="clear" w:color="000000" w:fill="FFFFFF"/>
            <w:vAlign w:val="center"/>
            <w:hideMark/>
          </w:tcPr>
          <w:p w14:paraId="73F4A97F" w14:textId="77777777" w:rsidR="00ED2DF2" w:rsidRPr="00ED2DF2" w:rsidRDefault="00ED2DF2" w:rsidP="003E0728">
            <w:pPr>
              <w:pStyle w:val="Tables"/>
              <w:rPr>
                <w:color w:val="000000"/>
              </w:rPr>
            </w:pPr>
            <w:r w:rsidRPr="00ED2DF2">
              <w:t>45.3</w:t>
            </w:r>
          </w:p>
        </w:tc>
        <w:tc>
          <w:tcPr>
            <w:tcW w:w="838" w:type="dxa"/>
            <w:tcBorders>
              <w:top w:val="nil"/>
              <w:left w:val="nil"/>
              <w:bottom w:val="single" w:sz="4" w:space="0" w:color="auto"/>
              <w:right w:val="single" w:sz="4" w:space="0" w:color="auto"/>
            </w:tcBorders>
            <w:shd w:val="clear" w:color="000000" w:fill="FFFFFF"/>
            <w:vAlign w:val="center"/>
            <w:hideMark/>
          </w:tcPr>
          <w:p w14:paraId="0C175657" w14:textId="77777777" w:rsidR="00ED2DF2" w:rsidRPr="00ED2DF2" w:rsidRDefault="00ED2DF2" w:rsidP="003E0728">
            <w:pPr>
              <w:pStyle w:val="Tables"/>
              <w:rPr>
                <w:color w:val="000000"/>
              </w:rPr>
            </w:pPr>
            <w:r w:rsidRPr="00ED2DF2">
              <w:t>26.3</w:t>
            </w:r>
          </w:p>
        </w:tc>
        <w:tc>
          <w:tcPr>
            <w:tcW w:w="838" w:type="dxa"/>
            <w:tcBorders>
              <w:top w:val="nil"/>
              <w:left w:val="nil"/>
              <w:bottom w:val="single" w:sz="4" w:space="0" w:color="auto"/>
              <w:right w:val="single" w:sz="4" w:space="0" w:color="auto"/>
            </w:tcBorders>
            <w:shd w:val="clear" w:color="000000" w:fill="FFFFFF"/>
            <w:vAlign w:val="center"/>
            <w:hideMark/>
          </w:tcPr>
          <w:p w14:paraId="7657FBFA" w14:textId="77777777" w:rsidR="00ED2DF2" w:rsidRPr="00ED2DF2" w:rsidRDefault="00ED2DF2" w:rsidP="003E0728">
            <w:pPr>
              <w:pStyle w:val="Tables"/>
              <w:rPr>
                <w:color w:val="000000"/>
              </w:rPr>
            </w:pPr>
            <w:r w:rsidRPr="00ED2DF2">
              <w:t>39.6</w:t>
            </w:r>
          </w:p>
        </w:tc>
      </w:tr>
      <w:tr w:rsidR="00ED2DF2" w:rsidRPr="00ED2DF2" w14:paraId="59C29CC2" w14:textId="77777777" w:rsidTr="00ED2DF2">
        <w:trPr>
          <w:trHeight w:val="20"/>
          <w:jc w:val="center"/>
        </w:trPr>
        <w:tc>
          <w:tcPr>
            <w:tcW w:w="1959" w:type="dxa"/>
            <w:tcBorders>
              <w:top w:val="nil"/>
              <w:left w:val="single" w:sz="4" w:space="0" w:color="auto"/>
              <w:bottom w:val="single" w:sz="4" w:space="0" w:color="auto"/>
              <w:right w:val="single" w:sz="4" w:space="0" w:color="auto"/>
            </w:tcBorders>
            <w:shd w:val="clear" w:color="000000" w:fill="FFFFFF"/>
            <w:vAlign w:val="center"/>
            <w:hideMark/>
          </w:tcPr>
          <w:p w14:paraId="1E3F2834" w14:textId="77777777" w:rsidR="00ED2DF2" w:rsidRPr="00ED2DF2" w:rsidRDefault="00ED2DF2" w:rsidP="003E0728">
            <w:pPr>
              <w:pStyle w:val="Tables"/>
              <w:rPr>
                <w:color w:val="000000"/>
              </w:rPr>
            </w:pPr>
            <w:r w:rsidRPr="00ED2DF2">
              <w:t>    Civil Administration</w:t>
            </w:r>
          </w:p>
        </w:tc>
        <w:tc>
          <w:tcPr>
            <w:tcW w:w="837" w:type="dxa"/>
            <w:tcBorders>
              <w:top w:val="nil"/>
              <w:left w:val="nil"/>
              <w:bottom w:val="single" w:sz="4" w:space="0" w:color="auto"/>
              <w:right w:val="single" w:sz="4" w:space="0" w:color="auto"/>
            </w:tcBorders>
            <w:shd w:val="clear" w:color="000000" w:fill="FFFFFF"/>
            <w:vAlign w:val="center"/>
            <w:hideMark/>
          </w:tcPr>
          <w:p w14:paraId="77F60D2F" w14:textId="77777777" w:rsidR="00ED2DF2" w:rsidRPr="00ED2DF2" w:rsidRDefault="00ED2DF2" w:rsidP="003E0728">
            <w:pPr>
              <w:pStyle w:val="Tables"/>
              <w:rPr>
                <w:color w:val="000000"/>
              </w:rPr>
            </w:pPr>
            <w:r w:rsidRPr="00ED2DF2">
              <w:t>10.44</w:t>
            </w:r>
          </w:p>
        </w:tc>
        <w:tc>
          <w:tcPr>
            <w:tcW w:w="888" w:type="dxa"/>
            <w:tcBorders>
              <w:top w:val="nil"/>
              <w:left w:val="nil"/>
              <w:bottom w:val="single" w:sz="4" w:space="0" w:color="auto"/>
              <w:right w:val="single" w:sz="4" w:space="0" w:color="auto"/>
            </w:tcBorders>
            <w:shd w:val="clear" w:color="000000" w:fill="FFFFFF"/>
            <w:vAlign w:val="center"/>
            <w:hideMark/>
          </w:tcPr>
          <w:p w14:paraId="3564AA0D" w14:textId="77777777" w:rsidR="00ED2DF2" w:rsidRPr="00ED2DF2" w:rsidRDefault="00ED2DF2" w:rsidP="003E0728">
            <w:pPr>
              <w:pStyle w:val="Tables"/>
              <w:rPr>
                <w:color w:val="000000"/>
              </w:rPr>
            </w:pPr>
            <w:r w:rsidRPr="00ED2DF2">
              <w:t>24.02</w:t>
            </w:r>
          </w:p>
        </w:tc>
        <w:tc>
          <w:tcPr>
            <w:tcW w:w="888" w:type="dxa"/>
            <w:tcBorders>
              <w:top w:val="nil"/>
              <w:left w:val="nil"/>
              <w:bottom w:val="single" w:sz="4" w:space="0" w:color="auto"/>
              <w:right w:val="single" w:sz="4" w:space="0" w:color="auto"/>
            </w:tcBorders>
            <w:shd w:val="clear" w:color="000000" w:fill="FFFFFF"/>
            <w:vAlign w:val="center"/>
            <w:hideMark/>
          </w:tcPr>
          <w:p w14:paraId="71DC96CD" w14:textId="77777777" w:rsidR="00ED2DF2" w:rsidRPr="00ED2DF2" w:rsidRDefault="00ED2DF2" w:rsidP="003E0728">
            <w:pPr>
              <w:pStyle w:val="Tables"/>
              <w:rPr>
                <w:color w:val="000000"/>
              </w:rPr>
            </w:pPr>
            <w:r w:rsidRPr="00ED2DF2">
              <w:t>39.68</w:t>
            </w:r>
          </w:p>
        </w:tc>
        <w:tc>
          <w:tcPr>
            <w:tcW w:w="838" w:type="dxa"/>
            <w:tcBorders>
              <w:top w:val="nil"/>
              <w:left w:val="nil"/>
              <w:bottom w:val="single" w:sz="4" w:space="0" w:color="auto"/>
              <w:right w:val="single" w:sz="4" w:space="0" w:color="auto"/>
            </w:tcBorders>
            <w:shd w:val="clear" w:color="000000" w:fill="FFFFFF"/>
            <w:vAlign w:val="center"/>
            <w:hideMark/>
          </w:tcPr>
          <w:p w14:paraId="36922DC2" w14:textId="2BC51581" w:rsidR="00ED2DF2" w:rsidRPr="00ED2DF2" w:rsidRDefault="00ED2DF2" w:rsidP="003E0728">
            <w:pPr>
              <w:pStyle w:val="Tables"/>
              <w:rPr>
                <w:color w:val="000000"/>
              </w:rPr>
            </w:pPr>
            <w:r w:rsidRPr="00ED2DF2">
              <w:t>100</w:t>
            </w:r>
            <w:r w:rsidR="008D3E88">
              <w:t>.0</w:t>
            </w:r>
          </w:p>
        </w:tc>
        <w:tc>
          <w:tcPr>
            <w:tcW w:w="838" w:type="dxa"/>
            <w:tcBorders>
              <w:top w:val="nil"/>
              <w:left w:val="nil"/>
              <w:bottom w:val="single" w:sz="4" w:space="0" w:color="auto"/>
              <w:right w:val="single" w:sz="4" w:space="0" w:color="auto"/>
            </w:tcBorders>
            <w:shd w:val="clear" w:color="000000" w:fill="FFFFFF"/>
            <w:vAlign w:val="center"/>
            <w:hideMark/>
          </w:tcPr>
          <w:p w14:paraId="20F24BE9" w14:textId="77777777" w:rsidR="00ED2DF2" w:rsidRPr="00ED2DF2" w:rsidRDefault="00ED2DF2" w:rsidP="003E0728">
            <w:pPr>
              <w:pStyle w:val="Tables"/>
              <w:rPr>
                <w:color w:val="000000"/>
              </w:rPr>
            </w:pPr>
            <w:r w:rsidRPr="00ED2DF2">
              <w:t>230.1</w:t>
            </w:r>
          </w:p>
        </w:tc>
        <w:tc>
          <w:tcPr>
            <w:tcW w:w="838" w:type="dxa"/>
            <w:tcBorders>
              <w:top w:val="nil"/>
              <w:left w:val="nil"/>
              <w:bottom w:val="single" w:sz="4" w:space="0" w:color="auto"/>
              <w:right w:val="single" w:sz="4" w:space="0" w:color="auto"/>
            </w:tcBorders>
            <w:shd w:val="clear" w:color="000000" w:fill="FFFFFF"/>
            <w:vAlign w:val="center"/>
            <w:hideMark/>
          </w:tcPr>
          <w:p w14:paraId="0A56FAB8" w14:textId="77777777" w:rsidR="00ED2DF2" w:rsidRPr="00ED2DF2" w:rsidRDefault="00ED2DF2" w:rsidP="003E0728">
            <w:pPr>
              <w:pStyle w:val="Tables"/>
              <w:rPr>
                <w:color w:val="000000"/>
              </w:rPr>
            </w:pPr>
            <w:r w:rsidRPr="00ED2DF2">
              <w:t>380.1</w:t>
            </w:r>
          </w:p>
        </w:tc>
        <w:tc>
          <w:tcPr>
            <w:tcW w:w="838" w:type="dxa"/>
            <w:tcBorders>
              <w:top w:val="nil"/>
              <w:left w:val="nil"/>
              <w:bottom w:val="single" w:sz="4" w:space="0" w:color="auto"/>
              <w:right w:val="single" w:sz="4" w:space="0" w:color="auto"/>
            </w:tcBorders>
            <w:shd w:val="clear" w:color="000000" w:fill="FFFFFF"/>
            <w:vAlign w:val="center"/>
            <w:hideMark/>
          </w:tcPr>
          <w:p w14:paraId="45DD2CDA" w14:textId="77777777" w:rsidR="00ED2DF2" w:rsidRPr="00ED2DF2" w:rsidRDefault="00ED2DF2" w:rsidP="003E0728">
            <w:pPr>
              <w:pStyle w:val="Tables"/>
              <w:rPr>
                <w:color w:val="000000"/>
              </w:rPr>
            </w:pPr>
            <w:r w:rsidRPr="00ED2DF2">
              <w:t>12.1</w:t>
            </w:r>
          </w:p>
        </w:tc>
        <w:tc>
          <w:tcPr>
            <w:tcW w:w="838" w:type="dxa"/>
            <w:tcBorders>
              <w:top w:val="nil"/>
              <w:left w:val="nil"/>
              <w:bottom w:val="single" w:sz="4" w:space="0" w:color="auto"/>
              <w:right w:val="single" w:sz="4" w:space="0" w:color="auto"/>
            </w:tcBorders>
            <w:shd w:val="clear" w:color="000000" w:fill="FFFFFF"/>
            <w:vAlign w:val="center"/>
            <w:hideMark/>
          </w:tcPr>
          <w:p w14:paraId="510E7006" w14:textId="77777777" w:rsidR="00ED2DF2" w:rsidRPr="00ED2DF2" w:rsidRDefault="00ED2DF2" w:rsidP="003E0728">
            <w:pPr>
              <w:pStyle w:val="Tables"/>
              <w:rPr>
                <w:color w:val="000000"/>
              </w:rPr>
            </w:pPr>
            <w:r w:rsidRPr="00ED2DF2">
              <w:t>4.8</w:t>
            </w:r>
          </w:p>
        </w:tc>
        <w:tc>
          <w:tcPr>
            <w:tcW w:w="838" w:type="dxa"/>
            <w:tcBorders>
              <w:top w:val="nil"/>
              <w:left w:val="nil"/>
              <w:bottom w:val="single" w:sz="4" w:space="0" w:color="auto"/>
              <w:right w:val="single" w:sz="4" w:space="0" w:color="auto"/>
            </w:tcBorders>
            <w:shd w:val="clear" w:color="000000" w:fill="FFFFFF"/>
            <w:vAlign w:val="center"/>
            <w:hideMark/>
          </w:tcPr>
          <w:p w14:paraId="31EC854D" w14:textId="77777777" w:rsidR="00ED2DF2" w:rsidRPr="00ED2DF2" w:rsidRDefault="00ED2DF2" w:rsidP="003E0728">
            <w:pPr>
              <w:pStyle w:val="Tables"/>
              <w:rPr>
                <w:color w:val="000000"/>
              </w:rPr>
            </w:pPr>
            <w:r w:rsidRPr="00ED2DF2">
              <w:t>11.6</w:t>
            </w:r>
          </w:p>
        </w:tc>
      </w:tr>
      <w:tr w:rsidR="00ED2DF2" w:rsidRPr="00ED2DF2" w14:paraId="2FF0717A" w14:textId="77777777" w:rsidTr="00ED2DF2">
        <w:trPr>
          <w:trHeight w:val="20"/>
          <w:jc w:val="center"/>
        </w:trPr>
        <w:tc>
          <w:tcPr>
            <w:tcW w:w="1959" w:type="dxa"/>
            <w:tcBorders>
              <w:top w:val="nil"/>
              <w:left w:val="single" w:sz="4" w:space="0" w:color="auto"/>
              <w:bottom w:val="single" w:sz="4" w:space="0" w:color="auto"/>
              <w:right w:val="single" w:sz="4" w:space="0" w:color="auto"/>
            </w:tcBorders>
            <w:noWrap/>
            <w:vAlign w:val="bottom"/>
            <w:hideMark/>
          </w:tcPr>
          <w:p w14:paraId="1A04AAC0" w14:textId="77777777" w:rsidR="00ED2DF2" w:rsidRPr="00ED2DF2" w:rsidRDefault="00ED2DF2" w:rsidP="003E0728">
            <w:pPr>
              <w:pStyle w:val="Tables"/>
              <w:rPr>
                <w:color w:val="000000"/>
              </w:rPr>
            </w:pPr>
            <w:bookmarkStart w:id="4" w:name="RANGE!A7"/>
            <w:r w:rsidRPr="00ED2DF2">
              <w:t>    Debt Services*</w:t>
            </w:r>
            <w:bookmarkEnd w:id="4"/>
          </w:p>
        </w:tc>
        <w:tc>
          <w:tcPr>
            <w:tcW w:w="837" w:type="dxa"/>
            <w:tcBorders>
              <w:top w:val="nil"/>
              <w:left w:val="nil"/>
              <w:bottom w:val="single" w:sz="4" w:space="0" w:color="auto"/>
              <w:right w:val="single" w:sz="4" w:space="0" w:color="auto"/>
            </w:tcBorders>
            <w:shd w:val="clear" w:color="000000" w:fill="FFFFFF"/>
            <w:vAlign w:val="center"/>
            <w:hideMark/>
          </w:tcPr>
          <w:p w14:paraId="40174D49" w14:textId="77777777" w:rsidR="00ED2DF2" w:rsidRPr="00ED2DF2" w:rsidRDefault="00ED2DF2" w:rsidP="003E0728">
            <w:pPr>
              <w:pStyle w:val="Tables"/>
              <w:rPr>
                <w:color w:val="000000"/>
              </w:rPr>
            </w:pPr>
            <w:r w:rsidRPr="00ED2DF2">
              <w:t>21.04</w:t>
            </w:r>
          </w:p>
        </w:tc>
        <w:tc>
          <w:tcPr>
            <w:tcW w:w="888" w:type="dxa"/>
            <w:tcBorders>
              <w:top w:val="nil"/>
              <w:left w:val="nil"/>
              <w:bottom w:val="single" w:sz="4" w:space="0" w:color="auto"/>
              <w:right w:val="single" w:sz="4" w:space="0" w:color="auto"/>
            </w:tcBorders>
            <w:shd w:val="clear" w:color="000000" w:fill="FFFFFF"/>
            <w:vAlign w:val="center"/>
            <w:hideMark/>
          </w:tcPr>
          <w:p w14:paraId="58FCB293" w14:textId="77777777" w:rsidR="00ED2DF2" w:rsidRPr="00ED2DF2" w:rsidRDefault="00ED2DF2" w:rsidP="003E0728">
            <w:pPr>
              <w:pStyle w:val="Tables"/>
              <w:rPr>
                <w:color w:val="000000"/>
              </w:rPr>
            </w:pPr>
            <w:r w:rsidRPr="00ED2DF2">
              <w:t>25.75</w:t>
            </w:r>
          </w:p>
        </w:tc>
        <w:tc>
          <w:tcPr>
            <w:tcW w:w="888" w:type="dxa"/>
            <w:tcBorders>
              <w:top w:val="nil"/>
              <w:left w:val="nil"/>
              <w:bottom w:val="single" w:sz="4" w:space="0" w:color="auto"/>
              <w:right w:val="single" w:sz="4" w:space="0" w:color="auto"/>
            </w:tcBorders>
            <w:shd w:val="clear" w:color="000000" w:fill="FFFFFF"/>
            <w:vAlign w:val="center"/>
            <w:hideMark/>
          </w:tcPr>
          <w:p w14:paraId="715B8F0F" w14:textId="77777777" w:rsidR="00ED2DF2" w:rsidRPr="00ED2DF2" w:rsidRDefault="00ED2DF2" w:rsidP="003E0728">
            <w:pPr>
              <w:pStyle w:val="Tables"/>
              <w:rPr>
                <w:color w:val="000000"/>
              </w:rPr>
            </w:pPr>
            <w:r w:rsidRPr="00ED2DF2">
              <w:t>45.06</w:t>
            </w:r>
          </w:p>
        </w:tc>
        <w:tc>
          <w:tcPr>
            <w:tcW w:w="838" w:type="dxa"/>
            <w:tcBorders>
              <w:top w:val="nil"/>
              <w:left w:val="nil"/>
              <w:bottom w:val="single" w:sz="4" w:space="0" w:color="auto"/>
              <w:right w:val="single" w:sz="4" w:space="0" w:color="auto"/>
            </w:tcBorders>
            <w:shd w:val="clear" w:color="000000" w:fill="FFFFFF"/>
            <w:vAlign w:val="center"/>
            <w:hideMark/>
          </w:tcPr>
          <w:p w14:paraId="608C3499" w14:textId="32E2AFC7" w:rsidR="00ED2DF2" w:rsidRPr="00ED2DF2" w:rsidRDefault="00ED2DF2" w:rsidP="003E0728">
            <w:pPr>
              <w:pStyle w:val="Tables"/>
              <w:rPr>
                <w:color w:val="000000"/>
              </w:rPr>
            </w:pPr>
            <w:r w:rsidRPr="00ED2DF2">
              <w:t>100</w:t>
            </w:r>
            <w:r w:rsidR="008D3E88">
              <w:t>.0</w:t>
            </w:r>
          </w:p>
        </w:tc>
        <w:tc>
          <w:tcPr>
            <w:tcW w:w="838" w:type="dxa"/>
            <w:tcBorders>
              <w:top w:val="nil"/>
              <w:left w:val="nil"/>
              <w:bottom w:val="single" w:sz="4" w:space="0" w:color="auto"/>
              <w:right w:val="single" w:sz="4" w:space="0" w:color="auto"/>
            </w:tcBorders>
            <w:shd w:val="clear" w:color="000000" w:fill="FFFFFF"/>
            <w:vAlign w:val="center"/>
            <w:hideMark/>
          </w:tcPr>
          <w:p w14:paraId="7DCABF0C" w14:textId="77777777" w:rsidR="00ED2DF2" w:rsidRPr="00ED2DF2" w:rsidRDefault="00ED2DF2" w:rsidP="003E0728">
            <w:pPr>
              <w:pStyle w:val="Tables"/>
              <w:rPr>
                <w:color w:val="000000"/>
              </w:rPr>
            </w:pPr>
            <w:r w:rsidRPr="00ED2DF2">
              <w:t>182.1</w:t>
            </w:r>
          </w:p>
        </w:tc>
        <w:tc>
          <w:tcPr>
            <w:tcW w:w="838" w:type="dxa"/>
            <w:tcBorders>
              <w:top w:val="nil"/>
              <w:left w:val="nil"/>
              <w:bottom w:val="single" w:sz="4" w:space="0" w:color="auto"/>
              <w:right w:val="single" w:sz="4" w:space="0" w:color="auto"/>
            </w:tcBorders>
            <w:shd w:val="clear" w:color="000000" w:fill="FFFFFF"/>
            <w:vAlign w:val="center"/>
            <w:hideMark/>
          </w:tcPr>
          <w:p w14:paraId="66103E05" w14:textId="77777777" w:rsidR="00ED2DF2" w:rsidRPr="00ED2DF2" w:rsidRDefault="00ED2DF2" w:rsidP="003E0728">
            <w:pPr>
              <w:pStyle w:val="Tables"/>
              <w:rPr>
                <w:color w:val="000000"/>
              </w:rPr>
            </w:pPr>
            <w:r w:rsidRPr="00ED2DF2">
              <w:t>211.2</w:t>
            </w:r>
          </w:p>
        </w:tc>
        <w:tc>
          <w:tcPr>
            <w:tcW w:w="838" w:type="dxa"/>
            <w:tcBorders>
              <w:top w:val="nil"/>
              <w:left w:val="nil"/>
              <w:bottom w:val="single" w:sz="4" w:space="0" w:color="auto"/>
              <w:right w:val="single" w:sz="4" w:space="0" w:color="auto"/>
            </w:tcBorders>
            <w:shd w:val="clear" w:color="000000" w:fill="FFFFFF"/>
            <w:vAlign w:val="center"/>
            <w:hideMark/>
          </w:tcPr>
          <w:p w14:paraId="18284007" w14:textId="77777777" w:rsidR="00ED2DF2" w:rsidRPr="00ED2DF2" w:rsidRDefault="00ED2DF2" w:rsidP="003E0728">
            <w:pPr>
              <w:pStyle w:val="Tables"/>
              <w:rPr>
                <w:color w:val="000000"/>
              </w:rPr>
            </w:pPr>
            <w:r w:rsidRPr="00ED2DF2">
              <w:t>24.3</w:t>
            </w:r>
          </w:p>
        </w:tc>
        <w:tc>
          <w:tcPr>
            <w:tcW w:w="838" w:type="dxa"/>
            <w:tcBorders>
              <w:top w:val="nil"/>
              <w:left w:val="nil"/>
              <w:bottom w:val="single" w:sz="4" w:space="0" w:color="auto"/>
              <w:right w:val="single" w:sz="4" w:space="0" w:color="auto"/>
            </w:tcBorders>
            <w:shd w:val="clear" w:color="000000" w:fill="FFFFFF"/>
            <w:vAlign w:val="center"/>
            <w:hideMark/>
          </w:tcPr>
          <w:p w14:paraId="5B2D09D5" w14:textId="77777777" w:rsidR="00ED2DF2" w:rsidRPr="00ED2DF2" w:rsidRDefault="00ED2DF2" w:rsidP="003E0728">
            <w:pPr>
              <w:pStyle w:val="Tables"/>
              <w:rPr>
                <w:color w:val="000000"/>
              </w:rPr>
            </w:pPr>
            <w:r w:rsidRPr="00ED2DF2">
              <w:t>5.2</w:t>
            </w:r>
          </w:p>
        </w:tc>
        <w:tc>
          <w:tcPr>
            <w:tcW w:w="838" w:type="dxa"/>
            <w:tcBorders>
              <w:top w:val="nil"/>
              <w:left w:val="nil"/>
              <w:bottom w:val="single" w:sz="4" w:space="0" w:color="auto"/>
              <w:right w:val="single" w:sz="4" w:space="0" w:color="auto"/>
            </w:tcBorders>
            <w:shd w:val="clear" w:color="000000" w:fill="FFFFFF"/>
            <w:vAlign w:val="center"/>
            <w:hideMark/>
          </w:tcPr>
          <w:p w14:paraId="69DF208B" w14:textId="77777777" w:rsidR="00ED2DF2" w:rsidRPr="00ED2DF2" w:rsidRDefault="00ED2DF2" w:rsidP="003E0728">
            <w:pPr>
              <w:pStyle w:val="Tables"/>
              <w:rPr>
                <w:color w:val="000000"/>
              </w:rPr>
            </w:pPr>
            <w:r w:rsidRPr="00ED2DF2">
              <w:t>13.1</w:t>
            </w:r>
          </w:p>
        </w:tc>
      </w:tr>
    </w:tbl>
    <w:p w14:paraId="18615CEF" w14:textId="707AC1B9" w:rsidR="00ED2DF2" w:rsidRPr="00ED2DF2" w:rsidRDefault="00ED2DF2" w:rsidP="003E0728">
      <w:pPr>
        <w:pStyle w:val="Sources"/>
      </w:pPr>
      <w:r w:rsidRPr="00ED2DF2">
        <w:t>*Excluding Interest transferred to railways</w:t>
      </w:r>
    </w:p>
    <w:p w14:paraId="38A81BB0" w14:textId="77777777" w:rsidR="00ED2DF2" w:rsidRPr="00ED2DF2" w:rsidRDefault="00ED2DF2" w:rsidP="00ED2DF2">
      <w:pPr>
        <w:pStyle w:val="ListParagraph"/>
        <w:spacing w:after="0" w:line="380" w:lineRule="exact"/>
        <w:ind w:left="556"/>
        <w:jc w:val="both"/>
        <w:rPr>
          <w:rFonts w:ascii="Times New Roman" w:hAnsi="Times New Roman" w:cs="Times New Roman"/>
          <w:sz w:val="28"/>
          <w:szCs w:val="28"/>
        </w:rPr>
      </w:pPr>
    </w:p>
    <w:p w14:paraId="41566D5C" w14:textId="16FB102C" w:rsidR="002E03D9" w:rsidRPr="000A6E2D" w:rsidRDefault="002E03D9" w:rsidP="00EE0179">
      <w:pPr>
        <w:pStyle w:val="ListParagraph"/>
        <w:numPr>
          <w:ilvl w:val="0"/>
          <w:numId w:val="29"/>
        </w:numPr>
        <w:spacing w:after="0" w:line="520" w:lineRule="exact"/>
        <w:ind w:left="0" w:firstLine="556"/>
        <w:jc w:val="both"/>
        <w:rPr>
          <w:rFonts w:ascii="Times New Roman" w:hAnsi="Times New Roman" w:cs="Times New Roman"/>
          <w:sz w:val="28"/>
          <w:szCs w:val="28"/>
        </w:rPr>
      </w:pPr>
      <w:r w:rsidRPr="00ED2DF2">
        <w:rPr>
          <w:rFonts w:ascii="Times New Roman" w:hAnsi="Times New Roman" w:cs="Times New Roman"/>
          <w:i/>
          <w:iCs/>
          <w:sz w:val="28"/>
          <w:szCs w:val="28"/>
        </w:rPr>
        <w:t>Central Revenues.—</w:t>
      </w:r>
      <w:r w:rsidRPr="000A6E2D">
        <w:rPr>
          <w:rFonts w:ascii="Times New Roman" w:hAnsi="Times New Roman" w:cs="Times New Roman"/>
          <w:sz w:val="28"/>
          <w:szCs w:val="28"/>
        </w:rPr>
        <w:t>The indices of yield of individual revenue heads as well as their percentage shares of total revenue show that the elasticity of Central revenues under the impact of war was primarily due to the phenomenal expansion of taxes on income including corporation tax and the war time excess profits tax, as well as the remarkable increase in receipts from commercial departments—Railways and Posts and Telegraphs. There was also the comparatively more moderate, but by itself considerable, increase in receipts from excise duties, which became much more broad-based during this period. Customs revenue declined during the war years owing to the fall in imports. In 1946-47 Central revenues were maintained at or around the high levels reached in 1944-45 and 1945-46, but their composition underwent significant alterations. Customs revenue in 1946-47 was more than double that in 1944-45; the yield from excise duties maintained its upward course; taxes on income and corporation tax declined with the removal of excess profits tax; and the net contribution of Railways and Posts and Telegraphs to Central revenues fell steeply, particularly the receipts from railways.</w:t>
      </w:r>
    </w:p>
    <w:p w14:paraId="2BAE4148" w14:textId="77777777" w:rsidR="002E03D9" w:rsidRPr="000A6E2D" w:rsidRDefault="002E03D9" w:rsidP="00EE0179">
      <w:pPr>
        <w:pStyle w:val="ListParagraph"/>
        <w:numPr>
          <w:ilvl w:val="0"/>
          <w:numId w:val="29"/>
        </w:numPr>
        <w:spacing w:after="0" w:line="520" w:lineRule="exact"/>
        <w:ind w:left="0" w:firstLine="556"/>
        <w:jc w:val="both"/>
        <w:rPr>
          <w:rFonts w:ascii="Times New Roman" w:hAnsi="Times New Roman" w:cs="Times New Roman"/>
          <w:sz w:val="28"/>
          <w:szCs w:val="28"/>
        </w:rPr>
      </w:pPr>
      <w:r w:rsidRPr="000A6E2D">
        <w:rPr>
          <w:rFonts w:ascii="Times New Roman" w:hAnsi="Times New Roman" w:cs="Times New Roman"/>
          <w:sz w:val="28"/>
          <w:szCs w:val="28"/>
        </w:rPr>
        <w:lastRenderedPageBreak/>
        <w:t>Important changes in the proportion of total revenues represented by the main heads of Central revenues, during the period, may be noted: customs lost its old position as the mainstay, except in times of war, of Central revenues, and its share dropped from about one-half of the total to a bare one-eighth by 1944-45 and recovered to a little above one-quarter in 1946-47. Central excise duties steadily gained ground and by 1946-47 were half as high as customs. Taxes on income took the pre-war place of customs in relation to the total Central revenues, becoming one-half of the total revenues at the end of the war, and still remained about two-fifths of the total in 1946-47.</w:t>
      </w:r>
    </w:p>
    <w:p w14:paraId="570B3F59" w14:textId="77777777" w:rsidR="002E03D9" w:rsidRPr="000A6E2D" w:rsidRDefault="002E03D9" w:rsidP="00EE0179">
      <w:pPr>
        <w:pStyle w:val="ListParagraph"/>
        <w:numPr>
          <w:ilvl w:val="0"/>
          <w:numId w:val="29"/>
        </w:numPr>
        <w:spacing w:after="0" w:line="520" w:lineRule="exact"/>
        <w:ind w:left="0" w:firstLine="556"/>
        <w:jc w:val="both"/>
        <w:rPr>
          <w:rFonts w:ascii="Times New Roman" w:hAnsi="Times New Roman" w:cs="Times New Roman"/>
          <w:sz w:val="28"/>
          <w:szCs w:val="28"/>
        </w:rPr>
      </w:pPr>
      <w:r w:rsidRPr="00ED2DF2">
        <w:rPr>
          <w:rFonts w:ascii="Times New Roman" w:hAnsi="Times New Roman" w:cs="Times New Roman"/>
          <w:i/>
          <w:iCs/>
          <w:sz w:val="28"/>
          <w:szCs w:val="28"/>
        </w:rPr>
        <w:t>Central Expenditure.</w:t>
      </w:r>
      <w:r w:rsidRPr="000A6E2D">
        <w:rPr>
          <w:rFonts w:ascii="Times New Roman" w:hAnsi="Times New Roman" w:cs="Times New Roman"/>
          <w:sz w:val="28"/>
          <w:szCs w:val="28"/>
        </w:rPr>
        <w:t>—The figures relating to expenditure show a greater relative increase than in revenue up to 1944-45 due to the war, which resulted in heavy deficits amounting in all to Rs. 481·5 crores for the years 1939-40 to 1944-45. The annual revenue deficit was the largest in 1943-44, at Rs. 189·9 crores; it was Rs. 160·6 crores in 1944-45 and Rs. 123·4 crores in 1945-46. By 1946-47, with revenues remaining steady around the 1944-45 and 1945-46 levels, a near balance between revenue and expenditure was attained owing to the marked reduction in defence expenditure, though expenditure on civil administration and debt services rose. Even in 1946-47, there would have been a deficit of Rs. 29·3 crores but for the transfer to revenue of Rs. 28·7 crores from the War Risks Insurance Fund.</w:t>
      </w:r>
    </w:p>
    <w:p w14:paraId="6A95A8CE" w14:textId="55904023" w:rsidR="00EE0179" w:rsidRPr="00FD7F04" w:rsidRDefault="002E03D9" w:rsidP="00FD7F04">
      <w:pPr>
        <w:pStyle w:val="ListParagraph"/>
        <w:numPr>
          <w:ilvl w:val="0"/>
          <w:numId w:val="29"/>
        </w:numPr>
        <w:spacing w:after="0" w:line="520" w:lineRule="exact"/>
        <w:ind w:left="0" w:firstLine="556"/>
        <w:jc w:val="both"/>
        <w:rPr>
          <w:rFonts w:ascii="Times New Roman" w:hAnsi="Times New Roman" w:cs="Times New Roman"/>
          <w:sz w:val="28"/>
          <w:szCs w:val="28"/>
        </w:rPr>
      </w:pPr>
      <w:r w:rsidRPr="00ED2DF2">
        <w:rPr>
          <w:rFonts w:ascii="Times New Roman" w:hAnsi="Times New Roman" w:cs="Times New Roman"/>
          <w:i/>
          <w:iCs/>
          <w:sz w:val="28"/>
          <w:szCs w:val="28"/>
        </w:rPr>
        <w:t>Provincial Finances: Transfer of resources to States.</w:t>
      </w:r>
      <w:r w:rsidRPr="000A6E2D">
        <w:rPr>
          <w:rFonts w:ascii="Times New Roman" w:hAnsi="Times New Roman" w:cs="Times New Roman"/>
          <w:sz w:val="28"/>
          <w:szCs w:val="28"/>
        </w:rPr>
        <w:t xml:space="preserve"> —While the Centre incurred heavy deficits in the war period, most of the</w:t>
      </w:r>
      <w:r w:rsidR="00ED2DF2">
        <w:rPr>
          <w:rFonts w:ascii="Times New Roman" w:hAnsi="Times New Roman" w:cs="Times New Roman"/>
          <w:sz w:val="28"/>
          <w:szCs w:val="28"/>
        </w:rPr>
        <w:t xml:space="preserve"> </w:t>
      </w:r>
      <w:r w:rsidR="00B32D8A" w:rsidRPr="00ED2DF2">
        <w:rPr>
          <w:rFonts w:ascii="Times New Roman" w:hAnsi="Times New Roman" w:cs="Times New Roman"/>
          <w:sz w:val="28"/>
          <w:szCs w:val="28"/>
        </w:rPr>
        <w:t>provinces</w:t>
      </w:r>
      <w:r w:rsidR="00BF41C9" w:rsidRPr="00ED2DF2">
        <w:rPr>
          <w:rFonts w:ascii="Times New Roman" w:hAnsi="Times New Roman" w:cs="Times New Roman"/>
          <w:sz w:val="28"/>
          <w:szCs w:val="28"/>
        </w:rPr>
        <w:t xml:space="preserve"> had surpluses and built up reserves. This comfortable position was due largely to the buoyancy of revenues, with only mode- rate increases in expenditure. Larger receipts through share of income-tax reinforced provincial revenues, total income-tax receipts of the Provinces from the Centre being Rs. 132</w:t>
      </w:r>
      <w:r w:rsidR="00566A45">
        <w:rPr>
          <w:rFonts w:ascii="Times New Roman" w:hAnsi="Times New Roman" w:cs="Times New Roman"/>
          <w:sz w:val="28"/>
          <w:szCs w:val="28"/>
        </w:rPr>
        <w:t>.</w:t>
      </w:r>
      <w:r w:rsidR="00BF41C9" w:rsidRPr="00ED2DF2">
        <w:rPr>
          <w:rFonts w:ascii="Times New Roman" w:hAnsi="Times New Roman" w:cs="Times New Roman"/>
          <w:sz w:val="28"/>
          <w:szCs w:val="28"/>
        </w:rPr>
        <w:t>7 crores in the period 1937-38 to 1946-47. As against only Rs. 1</w:t>
      </w:r>
      <w:r w:rsidR="00566A45">
        <w:rPr>
          <w:rFonts w:ascii="Times New Roman" w:hAnsi="Times New Roman" w:cs="Times New Roman"/>
          <w:sz w:val="28"/>
          <w:szCs w:val="28"/>
        </w:rPr>
        <w:t>.</w:t>
      </w:r>
      <w:r w:rsidR="00BF41C9" w:rsidRPr="00ED2DF2">
        <w:rPr>
          <w:rFonts w:ascii="Times New Roman" w:hAnsi="Times New Roman" w:cs="Times New Roman"/>
          <w:sz w:val="28"/>
          <w:szCs w:val="28"/>
        </w:rPr>
        <w:t xml:space="preserve">25 crores in 1937-38, the provincial share of income-tax in </w:t>
      </w:r>
      <w:r w:rsidR="00BF41C9" w:rsidRPr="00ED2DF2">
        <w:rPr>
          <w:rFonts w:ascii="Times New Roman" w:hAnsi="Times New Roman" w:cs="Times New Roman"/>
          <w:sz w:val="28"/>
          <w:szCs w:val="28"/>
        </w:rPr>
        <w:lastRenderedPageBreak/>
        <w:t>1946-47 amounted to nearly Rs. 30 crores. Though income-tax receipts in 1946-47 were less than in 1944-45 and 1945-46, the provincial share itself was somewhat larger due to the amalgamation of Central surcharges with basic rates in 1946-47. With the decline in the yield from the jute export duty in war years, the Provinces' share was reduced from Rs. 2</w:t>
      </w:r>
      <w:r w:rsidR="00B32D8A">
        <w:rPr>
          <w:rFonts w:ascii="Times New Roman" w:hAnsi="Times New Roman" w:cs="Times New Roman"/>
          <w:sz w:val="28"/>
          <w:szCs w:val="28"/>
        </w:rPr>
        <w:t>.</w:t>
      </w:r>
      <w:r w:rsidR="00BF41C9" w:rsidRPr="00ED2DF2">
        <w:rPr>
          <w:rFonts w:ascii="Times New Roman" w:hAnsi="Times New Roman" w:cs="Times New Roman"/>
          <w:sz w:val="28"/>
          <w:szCs w:val="28"/>
        </w:rPr>
        <w:t>65 crores in 1937-38 to Rs. 1</w:t>
      </w:r>
      <w:r w:rsidR="00B32D8A">
        <w:rPr>
          <w:rFonts w:ascii="Times New Roman" w:hAnsi="Times New Roman" w:cs="Times New Roman"/>
          <w:sz w:val="28"/>
          <w:szCs w:val="28"/>
        </w:rPr>
        <w:t>.</w:t>
      </w:r>
      <w:r w:rsidR="00BF41C9" w:rsidRPr="00ED2DF2">
        <w:rPr>
          <w:rFonts w:ascii="Times New Roman" w:hAnsi="Times New Roman" w:cs="Times New Roman"/>
          <w:sz w:val="28"/>
          <w:szCs w:val="28"/>
        </w:rPr>
        <w:t>38 crores in 1943-44 but increased to Rs. 2</w:t>
      </w:r>
      <w:r w:rsidR="00B32D8A">
        <w:rPr>
          <w:rFonts w:ascii="Times New Roman" w:hAnsi="Times New Roman" w:cs="Times New Roman"/>
          <w:sz w:val="28"/>
          <w:szCs w:val="28"/>
        </w:rPr>
        <w:t>.</w:t>
      </w:r>
      <w:r w:rsidR="00BF41C9" w:rsidRPr="00ED2DF2">
        <w:rPr>
          <w:rFonts w:ascii="Times New Roman" w:hAnsi="Times New Roman" w:cs="Times New Roman"/>
          <w:sz w:val="28"/>
          <w:szCs w:val="28"/>
        </w:rPr>
        <w:t>87 crores in 1946-47; total provincial receipts from this head for the period amounted to Rs. 20</w:t>
      </w:r>
      <w:r w:rsidR="00B32D8A">
        <w:rPr>
          <w:rFonts w:ascii="Times New Roman" w:hAnsi="Times New Roman" w:cs="Times New Roman"/>
          <w:sz w:val="28"/>
          <w:szCs w:val="28"/>
        </w:rPr>
        <w:t>.</w:t>
      </w:r>
      <w:r w:rsidR="00BF41C9" w:rsidRPr="00ED2DF2">
        <w:rPr>
          <w:rFonts w:ascii="Times New Roman" w:hAnsi="Times New Roman" w:cs="Times New Roman"/>
          <w:sz w:val="28"/>
          <w:szCs w:val="28"/>
        </w:rPr>
        <w:t>2 crores. Subventions to certain Provinces under the Niemeyer award amounted to Rs. 25</w:t>
      </w:r>
      <w:r w:rsidR="00B32D8A">
        <w:rPr>
          <w:rFonts w:ascii="Times New Roman" w:hAnsi="Times New Roman" w:cs="Times New Roman"/>
          <w:sz w:val="28"/>
          <w:szCs w:val="28"/>
        </w:rPr>
        <w:t>.</w:t>
      </w:r>
      <w:r w:rsidR="00BF41C9" w:rsidRPr="00ED2DF2">
        <w:rPr>
          <w:rFonts w:ascii="Times New Roman" w:hAnsi="Times New Roman" w:cs="Times New Roman"/>
          <w:sz w:val="28"/>
          <w:szCs w:val="28"/>
        </w:rPr>
        <w:t>8 crores. Thus, in this ten-year period, through devolution of income-tax and jute duty and subventions under section 142 of the Government of India Act, the Provinces received a total sum of Rs. 178</w:t>
      </w:r>
      <w:r w:rsidR="00B32D8A">
        <w:rPr>
          <w:rFonts w:ascii="Times New Roman" w:hAnsi="Times New Roman" w:cs="Times New Roman"/>
          <w:sz w:val="28"/>
          <w:szCs w:val="28"/>
        </w:rPr>
        <w:t>.</w:t>
      </w:r>
      <w:r w:rsidR="00BF41C9" w:rsidRPr="00ED2DF2">
        <w:rPr>
          <w:rFonts w:ascii="Times New Roman" w:hAnsi="Times New Roman" w:cs="Times New Roman"/>
          <w:sz w:val="28"/>
          <w:szCs w:val="28"/>
        </w:rPr>
        <w:t>7 crores, which formed 12</w:t>
      </w:r>
      <w:r w:rsidR="00B32D8A">
        <w:rPr>
          <w:rFonts w:ascii="Times New Roman" w:hAnsi="Times New Roman" w:cs="Times New Roman"/>
          <w:sz w:val="28"/>
          <w:szCs w:val="28"/>
        </w:rPr>
        <w:t>.</w:t>
      </w:r>
      <w:r w:rsidR="00BF41C9" w:rsidRPr="00ED2DF2">
        <w:rPr>
          <w:rFonts w:ascii="Times New Roman" w:hAnsi="Times New Roman" w:cs="Times New Roman"/>
          <w:sz w:val="28"/>
          <w:szCs w:val="28"/>
        </w:rPr>
        <w:t>3 per cent of total provincial revenues for the period. The percentage of receipts under these three heads to the total revenue of each Province in the ten-year period as a whole was as follows:-</w:t>
      </w:r>
    </w:p>
    <w:tbl>
      <w:tblPr>
        <w:tblW w:w="6374" w:type="dxa"/>
        <w:jc w:val="center"/>
        <w:tblLook w:val="04A0" w:firstRow="1" w:lastRow="0" w:firstColumn="1" w:lastColumn="0" w:noHBand="0" w:noVBand="1"/>
      </w:tblPr>
      <w:tblGrid>
        <w:gridCol w:w="3964"/>
        <w:gridCol w:w="2410"/>
      </w:tblGrid>
      <w:tr w:rsidR="00ED2DF2" w:rsidRPr="00ED2DF2" w14:paraId="69A28C70" w14:textId="77777777" w:rsidTr="00ED2DF2">
        <w:trPr>
          <w:trHeight w:val="15"/>
          <w:jc w:val="center"/>
        </w:trPr>
        <w:tc>
          <w:tcPr>
            <w:tcW w:w="3964" w:type="dxa"/>
            <w:tcBorders>
              <w:top w:val="single" w:sz="4" w:space="0" w:color="auto"/>
              <w:left w:val="single" w:sz="4" w:space="0" w:color="auto"/>
              <w:bottom w:val="single" w:sz="4" w:space="0" w:color="auto"/>
              <w:right w:val="single" w:sz="4" w:space="0" w:color="auto"/>
            </w:tcBorders>
            <w:noWrap/>
            <w:vAlign w:val="bottom"/>
            <w:hideMark/>
          </w:tcPr>
          <w:p w14:paraId="511512AF" w14:textId="7ADA94C0" w:rsidR="00ED2DF2" w:rsidRPr="00ED2DF2" w:rsidRDefault="00CB0A24" w:rsidP="003E0728">
            <w:pPr>
              <w:pStyle w:val="Tables"/>
            </w:pPr>
            <w:r>
              <w:br w:type="page"/>
            </w:r>
            <w:r w:rsidR="00ED2DF2" w:rsidRPr="00ED2DF2">
              <w:t> </w:t>
            </w:r>
          </w:p>
        </w:tc>
        <w:tc>
          <w:tcPr>
            <w:tcW w:w="2410" w:type="dxa"/>
            <w:tcBorders>
              <w:top w:val="single" w:sz="4" w:space="0" w:color="auto"/>
              <w:left w:val="nil"/>
              <w:bottom w:val="single" w:sz="4" w:space="0" w:color="auto"/>
              <w:right w:val="single" w:sz="4" w:space="0" w:color="auto"/>
            </w:tcBorders>
            <w:noWrap/>
            <w:vAlign w:val="bottom"/>
            <w:hideMark/>
          </w:tcPr>
          <w:p w14:paraId="307A9493" w14:textId="77777777" w:rsidR="00ED2DF2" w:rsidRPr="00ED2DF2" w:rsidRDefault="00ED2DF2" w:rsidP="003E0728">
            <w:pPr>
              <w:pStyle w:val="Tables"/>
            </w:pPr>
            <w:r w:rsidRPr="00ED2DF2">
              <w:t>Per cent</w:t>
            </w:r>
          </w:p>
        </w:tc>
      </w:tr>
      <w:tr w:rsidR="00ED2DF2" w:rsidRPr="00ED2DF2" w14:paraId="4DE132B2" w14:textId="77777777" w:rsidTr="00ED2DF2">
        <w:trPr>
          <w:trHeight w:val="15"/>
          <w:jc w:val="center"/>
        </w:trPr>
        <w:tc>
          <w:tcPr>
            <w:tcW w:w="3964" w:type="dxa"/>
            <w:tcBorders>
              <w:top w:val="nil"/>
              <w:left w:val="single" w:sz="4" w:space="0" w:color="auto"/>
              <w:bottom w:val="single" w:sz="4" w:space="0" w:color="auto"/>
              <w:right w:val="single" w:sz="4" w:space="0" w:color="auto"/>
            </w:tcBorders>
            <w:noWrap/>
            <w:vAlign w:val="bottom"/>
            <w:hideMark/>
          </w:tcPr>
          <w:p w14:paraId="1BF29801" w14:textId="77777777" w:rsidR="00ED2DF2" w:rsidRPr="00ED2DF2" w:rsidRDefault="00ED2DF2" w:rsidP="003E0728">
            <w:pPr>
              <w:pStyle w:val="Tables"/>
            </w:pPr>
            <w:r w:rsidRPr="00ED2DF2">
              <w:t>North-West Frontier Province</w:t>
            </w:r>
          </w:p>
        </w:tc>
        <w:tc>
          <w:tcPr>
            <w:tcW w:w="2410" w:type="dxa"/>
            <w:tcBorders>
              <w:top w:val="nil"/>
              <w:left w:val="nil"/>
              <w:bottom w:val="single" w:sz="4" w:space="0" w:color="auto"/>
              <w:right w:val="single" w:sz="4" w:space="0" w:color="auto"/>
            </w:tcBorders>
            <w:noWrap/>
            <w:vAlign w:val="bottom"/>
            <w:hideMark/>
          </w:tcPr>
          <w:p w14:paraId="44BE26BE" w14:textId="77777777" w:rsidR="00ED2DF2" w:rsidRPr="00ED2DF2" w:rsidRDefault="00ED2DF2" w:rsidP="003E0728">
            <w:pPr>
              <w:pStyle w:val="Tables"/>
            </w:pPr>
            <w:r w:rsidRPr="00ED2DF2">
              <w:t>48.0</w:t>
            </w:r>
          </w:p>
        </w:tc>
      </w:tr>
      <w:tr w:rsidR="00ED2DF2" w:rsidRPr="00ED2DF2" w14:paraId="4059182D" w14:textId="77777777" w:rsidTr="00ED2DF2">
        <w:trPr>
          <w:trHeight w:val="15"/>
          <w:jc w:val="center"/>
        </w:trPr>
        <w:tc>
          <w:tcPr>
            <w:tcW w:w="3964" w:type="dxa"/>
            <w:tcBorders>
              <w:top w:val="nil"/>
              <w:left w:val="single" w:sz="4" w:space="0" w:color="auto"/>
              <w:bottom w:val="single" w:sz="4" w:space="0" w:color="auto"/>
              <w:right w:val="single" w:sz="4" w:space="0" w:color="auto"/>
            </w:tcBorders>
            <w:noWrap/>
            <w:vAlign w:val="bottom"/>
            <w:hideMark/>
          </w:tcPr>
          <w:p w14:paraId="5362B12D" w14:textId="77777777" w:rsidR="00ED2DF2" w:rsidRPr="00ED2DF2" w:rsidRDefault="00ED2DF2" w:rsidP="003E0728">
            <w:pPr>
              <w:pStyle w:val="Tables"/>
            </w:pPr>
            <w:r w:rsidRPr="00ED2DF2">
              <w:t>Orissa</w:t>
            </w:r>
          </w:p>
        </w:tc>
        <w:tc>
          <w:tcPr>
            <w:tcW w:w="2410" w:type="dxa"/>
            <w:tcBorders>
              <w:top w:val="nil"/>
              <w:left w:val="nil"/>
              <w:bottom w:val="single" w:sz="4" w:space="0" w:color="auto"/>
              <w:right w:val="single" w:sz="4" w:space="0" w:color="auto"/>
            </w:tcBorders>
            <w:noWrap/>
            <w:vAlign w:val="bottom"/>
            <w:hideMark/>
          </w:tcPr>
          <w:p w14:paraId="0C33F560" w14:textId="77777777" w:rsidR="00ED2DF2" w:rsidRPr="00ED2DF2" w:rsidRDefault="00ED2DF2" w:rsidP="003E0728">
            <w:pPr>
              <w:pStyle w:val="Tables"/>
            </w:pPr>
            <w:r w:rsidRPr="00ED2DF2">
              <w:t>27.0</w:t>
            </w:r>
          </w:p>
        </w:tc>
      </w:tr>
      <w:tr w:rsidR="00ED2DF2" w:rsidRPr="00ED2DF2" w14:paraId="4D9E7296" w14:textId="77777777" w:rsidTr="00ED2DF2">
        <w:trPr>
          <w:trHeight w:val="15"/>
          <w:jc w:val="center"/>
        </w:trPr>
        <w:tc>
          <w:tcPr>
            <w:tcW w:w="3964" w:type="dxa"/>
            <w:tcBorders>
              <w:top w:val="nil"/>
              <w:left w:val="single" w:sz="4" w:space="0" w:color="auto"/>
              <w:bottom w:val="single" w:sz="4" w:space="0" w:color="auto"/>
              <w:right w:val="single" w:sz="4" w:space="0" w:color="auto"/>
            </w:tcBorders>
            <w:noWrap/>
            <w:vAlign w:val="bottom"/>
            <w:hideMark/>
          </w:tcPr>
          <w:p w14:paraId="350147F2" w14:textId="77777777" w:rsidR="00ED2DF2" w:rsidRPr="00ED2DF2" w:rsidRDefault="00ED2DF2" w:rsidP="003E0728">
            <w:pPr>
              <w:pStyle w:val="Tables"/>
            </w:pPr>
            <w:r w:rsidRPr="00ED2DF2">
              <w:t>Bengal</w:t>
            </w:r>
          </w:p>
        </w:tc>
        <w:tc>
          <w:tcPr>
            <w:tcW w:w="2410" w:type="dxa"/>
            <w:tcBorders>
              <w:top w:val="nil"/>
              <w:left w:val="nil"/>
              <w:bottom w:val="single" w:sz="4" w:space="0" w:color="auto"/>
              <w:right w:val="single" w:sz="4" w:space="0" w:color="auto"/>
            </w:tcBorders>
            <w:noWrap/>
            <w:vAlign w:val="bottom"/>
            <w:hideMark/>
          </w:tcPr>
          <w:p w14:paraId="0D31E157" w14:textId="77777777" w:rsidR="00ED2DF2" w:rsidRPr="00ED2DF2" w:rsidRDefault="00ED2DF2" w:rsidP="003E0728">
            <w:pPr>
              <w:pStyle w:val="Tables"/>
            </w:pPr>
            <w:r w:rsidRPr="00ED2DF2">
              <w:t>18.9</w:t>
            </w:r>
          </w:p>
        </w:tc>
      </w:tr>
      <w:tr w:rsidR="00ED2DF2" w:rsidRPr="00ED2DF2" w14:paraId="7B25B1BB" w14:textId="77777777" w:rsidTr="00ED2DF2">
        <w:trPr>
          <w:trHeight w:val="15"/>
          <w:jc w:val="center"/>
        </w:trPr>
        <w:tc>
          <w:tcPr>
            <w:tcW w:w="3964" w:type="dxa"/>
            <w:tcBorders>
              <w:top w:val="nil"/>
              <w:left w:val="single" w:sz="4" w:space="0" w:color="auto"/>
              <w:bottom w:val="single" w:sz="4" w:space="0" w:color="auto"/>
              <w:right w:val="single" w:sz="4" w:space="0" w:color="auto"/>
            </w:tcBorders>
            <w:noWrap/>
            <w:vAlign w:val="bottom"/>
            <w:hideMark/>
          </w:tcPr>
          <w:p w14:paraId="529ED63C" w14:textId="77777777" w:rsidR="00ED2DF2" w:rsidRPr="00ED2DF2" w:rsidRDefault="00ED2DF2" w:rsidP="003E0728">
            <w:pPr>
              <w:pStyle w:val="Tables"/>
            </w:pPr>
            <w:r w:rsidRPr="00ED2DF2">
              <w:t>Bihar</w:t>
            </w:r>
          </w:p>
        </w:tc>
        <w:tc>
          <w:tcPr>
            <w:tcW w:w="2410" w:type="dxa"/>
            <w:tcBorders>
              <w:top w:val="nil"/>
              <w:left w:val="nil"/>
              <w:bottom w:val="single" w:sz="4" w:space="0" w:color="auto"/>
              <w:right w:val="single" w:sz="4" w:space="0" w:color="auto"/>
            </w:tcBorders>
            <w:noWrap/>
            <w:vAlign w:val="bottom"/>
            <w:hideMark/>
          </w:tcPr>
          <w:p w14:paraId="328D8B4C" w14:textId="77777777" w:rsidR="00ED2DF2" w:rsidRPr="00ED2DF2" w:rsidRDefault="00ED2DF2" w:rsidP="003E0728">
            <w:pPr>
              <w:pStyle w:val="Tables"/>
            </w:pPr>
            <w:r w:rsidRPr="00ED2DF2">
              <w:t>16.7</w:t>
            </w:r>
          </w:p>
        </w:tc>
      </w:tr>
      <w:tr w:rsidR="00ED2DF2" w:rsidRPr="00ED2DF2" w14:paraId="184ED4CD" w14:textId="77777777" w:rsidTr="00ED2DF2">
        <w:trPr>
          <w:trHeight w:val="15"/>
          <w:jc w:val="center"/>
        </w:trPr>
        <w:tc>
          <w:tcPr>
            <w:tcW w:w="3964" w:type="dxa"/>
            <w:tcBorders>
              <w:top w:val="nil"/>
              <w:left w:val="single" w:sz="4" w:space="0" w:color="auto"/>
              <w:bottom w:val="single" w:sz="4" w:space="0" w:color="auto"/>
              <w:right w:val="single" w:sz="4" w:space="0" w:color="auto"/>
            </w:tcBorders>
            <w:noWrap/>
            <w:vAlign w:val="bottom"/>
            <w:hideMark/>
          </w:tcPr>
          <w:p w14:paraId="70204BF1" w14:textId="77777777" w:rsidR="00ED2DF2" w:rsidRPr="00ED2DF2" w:rsidRDefault="00ED2DF2" w:rsidP="003E0728">
            <w:pPr>
              <w:pStyle w:val="Tables"/>
            </w:pPr>
            <w:r w:rsidRPr="00ED2DF2">
              <w:t>Assam</w:t>
            </w:r>
          </w:p>
        </w:tc>
        <w:tc>
          <w:tcPr>
            <w:tcW w:w="2410" w:type="dxa"/>
            <w:tcBorders>
              <w:top w:val="nil"/>
              <w:left w:val="nil"/>
              <w:bottom w:val="single" w:sz="4" w:space="0" w:color="auto"/>
              <w:right w:val="single" w:sz="4" w:space="0" w:color="auto"/>
            </w:tcBorders>
            <w:noWrap/>
            <w:vAlign w:val="bottom"/>
            <w:hideMark/>
          </w:tcPr>
          <w:p w14:paraId="220E43E1" w14:textId="77777777" w:rsidR="00ED2DF2" w:rsidRPr="00ED2DF2" w:rsidRDefault="00ED2DF2" w:rsidP="003E0728">
            <w:pPr>
              <w:pStyle w:val="Tables"/>
            </w:pPr>
            <w:r w:rsidRPr="00ED2DF2">
              <w:t>15.6</w:t>
            </w:r>
          </w:p>
        </w:tc>
      </w:tr>
      <w:tr w:rsidR="00ED2DF2" w:rsidRPr="00ED2DF2" w14:paraId="30B4B0F6" w14:textId="77777777" w:rsidTr="00ED2DF2">
        <w:trPr>
          <w:trHeight w:val="15"/>
          <w:jc w:val="center"/>
        </w:trPr>
        <w:tc>
          <w:tcPr>
            <w:tcW w:w="3964" w:type="dxa"/>
            <w:tcBorders>
              <w:top w:val="nil"/>
              <w:left w:val="single" w:sz="4" w:space="0" w:color="auto"/>
              <w:bottom w:val="single" w:sz="4" w:space="0" w:color="auto"/>
              <w:right w:val="single" w:sz="4" w:space="0" w:color="auto"/>
            </w:tcBorders>
            <w:noWrap/>
            <w:vAlign w:val="bottom"/>
            <w:hideMark/>
          </w:tcPr>
          <w:p w14:paraId="23466995" w14:textId="77777777" w:rsidR="00ED2DF2" w:rsidRPr="00ED2DF2" w:rsidRDefault="00ED2DF2" w:rsidP="003E0728">
            <w:pPr>
              <w:pStyle w:val="Tables"/>
            </w:pPr>
            <w:r w:rsidRPr="00ED2DF2">
              <w:t>Sind</w:t>
            </w:r>
          </w:p>
        </w:tc>
        <w:tc>
          <w:tcPr>
            <w:tcW w:w="2410" w:type="dxa"/>
            <w:tcBorders>
              <w:top w:val="nil"/>
              <w:left w:val="nil"/>
              <w:bottom w:val="single" w:sz="4" w:space="0" w:color="auto"/>
              <w:right w:val="single" w:sz="4" w:space="0" w:color="auto"/>
            </w:tcBorders>
            <w:noWrap/>
            <w:vAlign w:val="bottom"/>
            <w:hideMark/>
          </w:tcPr>
          <w:p w14:paraId="5F4D39F1" w14:textId="77777777" w:rsidR="00ED2DF2" w:rsidRPr="00ED2DF2" w:rsidRDefault="00ED2DF2" w:rsidP="003E0728">
            <w:pPr>
              <w:pStyle w:val="Tables"/>
            </w:pPr>
            <w:r w:rsidRPr="00ED2DF2">
              <w:t>15.2</w:t>
            </w:r>
          </w:p>
        </w:tc>
      </w:tr>
      <w:tr w:rsidR="00ED2DF2" w:rsidRPr="00ED2DF2" w14:paraId="7FFDD5EB" w14:textId="77777777" w:rsidTr="00ED2DF2">
        <w:trPr>
          <w:trHeight w:val="15"/>
          <w:jc w:val="center"/>
        </w:trPr>
        <w:tc>
          <w:tcPr>
            <w:tcW w:w="3964" w:type="dxa"/>
            <w:tcBorders>
              <w:top w:val="nil"/>
              <w:left w:val="single" w:sz="4" w:space="0" w:color="auto"/>
              <w:bottom w:val="single" w:sz="4" w:space="0" w:color="auto"/>
              <w:right w:val="single" w:sz="4" w:space="0" w:color="auto"/>
            </w:tcBorders>
            <w:noWrap/>
            <w:vAlign w:val="bottom"/>
            <w:hideMark/>
          </w:tcPr>
          <w:p w14:paraId="1EF5A21D" w14:textId="77777777" w:rsidR="00ED2DF2" w:rsidRPr="00ED2DF2" w:rsidRDefault="00ED2DF2" w:rsidP="003E0728">
            <w:pPr>
              <w:pStyle w:val="Tables"/>
            </w:pPr>
            <w:r w:rsidRPr="00ED2DF2">
              <w:t>Bombay</w:t>
            </w:r>
          </w:p>
        </w:tc>
        <w:tc>
          <w:tcPr>
            <w:tcW w:w="2410" w:type="dxa"/>
            <w:tcBorders>
              <w:top w:val="nil"/>
              <w:left w:val="nil"/>
              <w:bottom w:val="single" w:sz="4" w:space="0" w:color="auto"/>
              <w:right w:val="single" w:sz="4" w:space="0" w:color="auto"/>
            </w:tcBorders>
            <w:noWrap/>
            <w:vAlign w:val="bottom"/>
            <w:hideMark/>
          </w:tcPr>
          <w:p w14:paraId="5058F6B8" w14:textId="77777777" w:rsidR="00ED2DF2" w:rsidRPr="00ED2DF2" w:rsidRDefault="00ED2DF2" w:rsidP="003E0728">
            <w:pPr>
              <w:pStyle w:val="Tables"/>
            </w:pPr>
            <w:r w:rsidRPr="00ED2DF2">
              <w:t>11.7</w:t>
            </w:r>
          </w:p>
        </w:tc>
      </w:tr>
      <w:tr w:rsidR="00ED2DF2" w:rsidRPr="00ED2DF2" w14:paraId="4D6EE76F" w14:textId="77777777" w:rsidTr="00ED2DF2">
        <w:trPr>
          <w:trHeight w:val="15"/>
          <w:jc w:val="center"/>
        </w:trPr>
        <w:tc>
          <w:tcPr>
            <w:tcW w:w="3964" w:type="dxa"/>
            <w:tcBorders>
              <w:top w:val="nil"/>
              <w:left w:val="single" w:sz="4" w:space="0" w:color="auto"/>
              <w:bottom w:val="single" w:sz="4" w:space="0" w:color="auto"/>
              <w:right w:val="single" w:sz="4" w:space="0" w:color="auto"/>
            </w:tcBorders>
            <w:noWrap/>
            <w:vAlign w:val="bottom"/>
            <w:hideMark/>
          </w:tcPr>
          <w:p w14:paraId="480499D9" w14:textId="77777777" w:rsidR="00ED2DF2" w:rsidRPr="00ED2DF2" w:rsidRDefault="00ED2DF2" w:rsidP="003E0728">
            <w:pPr>
              <w:pStyle w:val="Tables"/>
            </w:pPr>
            <w:r w:rsidRPr="00ED2DF2">
              <w:t>United Provinces</w:t>
            </w:r>
          </w:p>
        </w:tc>
        <w:tc>
          <w:tcPr>
            <w:tcW w:w="2410" w:type="dxa"/>
            <w:tcBorders>
              <w:top w:val="nil"/>
              <w:left w:val="nil"/>
              <w:bottom w:val="single" w:sz="4" w:space="0" w:color="auto"/>
              <w:right w:val="single" w:sz="4" w:space="0" w:color="auto"/>
            </w:tcBorders>
            <w:noWrap/>
            <w:vAlign w:val="bottom"/>
            <w:hideMark/>
          </w:tcPr>
          <w:p w14:paraId="738EEEDF" w14:textId="77777777" w:rsidR="00ED2DF2" w:rsidRPr="00ED2DF2" w:rsidRDefault="00ED2DF2" w:rsidP="003E0728">
            <w:pPr>
              <w:pStyle w:val="Tables"/>
            </w:pPr>
            <w:r w:rsidRPr="00ED2DF2">
              <w:t>10.3</w:t>
            </w:r>
          </w:p>
        </w:tc>
      </w:tr>
      <w:tr w:rsidR="00ED2DF2" w:rsidRPr="00ED2DF2" w14:paraId="1BEA6E4A" w14:textId="77777777" w:rsidTr="00ED2DF2">
        <w:trPr>
          <w:trHeight w:val="15"/>
          <w:jc w:val="center"/>
        </w:trPr>
        <w:tc>
          <w:tcPr>
            <w:tcW w:w="3964" w:type="dxa"/>
            <w:tcBorders>
              <w:top w:val="nil"/>
              <w:left w:val="single" w:sz="4" w:space="0" w:color="auto"/>
              <w:bottom w:val="single" w:sz="4" w:space="0" w:color="auto"/>
              <w:right w:val="single" w:sz="4" w:space="0" w:color="auto"/>
            </w:tcBorders>
            <w:noWrap/>
            <w:vAlign w:val="bottom"/>
            <w:hideMark/>
          </w:tcPr>
          <w:p w14:paraId="32B16212" w14:textId="77777777" w:rsidR="00ED2DF2" w:rsidRPr="00ED2DF2" w:rsidRDefault="00ED2DF2" w:rsidP="003E0728">
            <w:pPr>
              <w:pStyle w:val="Tables"/>
            </w:pPr>
            <w:r w:rsidRPr="00ED2DF2">
              <w:t>Central Provinces</w:t>
            </w:r>
          </w:p>
        </w:tc>
        <w:tc>
          <w:tcPr>
            <w:tcW w:w="2410" w:type="dxa"/>
            <w:tcBorders>
              <w:top w:val="nil"/>
              <w:left w:val="nil"/>
              <w:bottom w:val="single" w:sz="4" w:space="0" w:color="auto"/>
              <w:right w:val="single" w:sz="4" w:space="0" w:color="auto"/>
            </w:tcBorders>
            <w:noWrap/>
            <w:vAlign w:val="bottom"/>
            <w:hideMark/>
          </w:tcPr>
          <w:p w14:paraId="5A0C10B9" w14:textId="77777777" w:rsidR="00ED2DF2" w:rsidRPr="00ED2DF2" w:rsidRDefault="00ED2DF2" w:rsidP="003E0728">
            <w:pPr>
              <w:pStyle w:val="Tables"/>
            </w:pPr>
            <w:r w:rsidRPr="00ED2DF2">
              <w:t>9.2</w:t>
            </w:r>
          </w:p>
        </w:tc>
      </w:tr>
      <w:tr w:rsidR="00ED2DF2" w:rsidRPr="00ED2DF2" w14:paraId="20BD8940" w14:textId="77777777" w:rsidTr="00ED2DF2">
        <w:trPr>
          <w:trHeight w:val="15"/>
          <w:jc w:val="center"/>
        </w:trPr>
        <w:tc>
          <w:tcPr>
            <w:tcW w:w="3964" w:type="dxa"/>
            <w:tcBorders>
              <w:top w:val="nil"/>
              <w:left w:val="single" w:sz="4" w:space="0" w:color="auto"/>
              <w:bottom w:val="single" w:sz="4" w:space="0" w:color="auto"/>
              <w:right w:val="single" w:sz="4" w:space="0" w:color="auto"/>
            </w:tcBorders>
            <w:noWrap/>
            <w:vAlign w:val="bottom"/>
            <w:hideMark/>
          </w:tcPr>
          <w:p w14:paraId="0B95C1A3" w14:textId="77777777" w:rsidR="00ED2DF2" w:rsidRPr="00ED2DF2" w:rsidRDefault="00ED2DF2" w:rsidP="003E0728">
            <w:pPr>
              <w:pStyle w:val="Tables"/>
            </w:pPr>
            <w:r w:rsidRPr="00ED2DF2">
              <w:t>Madras</w:t>
            </w:r>
          </w:p>
        </w:tc>
        <w:tc>
          <w:tcPr>
            <w:tcW w:w="2410" w:type="dxa"/>
            <w:tcBorders>
              <w:top w:val="nil"/>
              <w:left w:val="nil"/>
              <w:bottom w:val="single" w:sz="4" w:space="0" w:color="auto"/>
              <w:right w:val="single" w:sz="4" w:space="0" w:color="auto"/>
            </w:tcBorders>
            <w:noWrap/>
            <w:vAlign w:val="bottom"/>
            <w:hideMark/>
          </w:tcPr>
          <w:p w14:paraId="0B3238E6" w14:textId="77777777" w:rsidR="00ED2DF2" w:rsidRPr="00ED2DF2" w:rsidRDefault="00ED2DF2" w:rsidP="003E0728">
            <w:pPr>
              <w:pStyle w:val="Tables"/>
            </w:pPr>
            <w:r w:rsidRPr="00ED2DF2">
              <w:t>6.7</w:t>
            </w:r>
          </w:p>
        </w:tc>
      </w:tr>
      <w:tr w:rsidR="00ED2DF2" w:rsidRPr="00ED2DF2" w14:paraId="79950B95" w14:textId="77777777" w:rsidTr="00ED2DF2">
        <w:trPr>
          <w:trHeight w:val="15"/>
          <w:jc w:val="center"/>
        </w:trPr>
        <w:tc>
          <w:tcPr>
            <w:tcW w:w="3964" w:type="dxa"/>
            <w:tcBorders>
              <w:top w:val="nil"/>
              <w:left w:val="single" w:sz="4" w:space="0" w:color="auto"/>
              <w:bottom w:val="single" w:sz="4" w:space="0" w:color="auto"/>
              <w:right w:val="single" w:sz="4" w:space="0" w:color="auto"/>
            </w:tcBorders>
            <w:noWrap/>
            <w:vAlign w:val="bottom"/>
            <w:hideMark/>
          </w:tcPr>
          <w:p w14:paraId="224730D9" w14:textId="77777777" w:rsidR="00ED2DF2" w:rsidRPr="00ED2DF2" w:rsidRDefault="00ED2DF2" w:rsidP="003E0728">
            <w:pPr>
              <w:pStyle w:val="Tables"/>
            </w:pPr>
            <w:r w:rsidRPr="00ED2DF2">
              <w:t>Punjab</w:t>
            </w:r>
          </w:p>
        </w:tc>
        <w:tc>
          <w:tcPr>
            <w:tcW w:w="2410" w:type="dxa"/>
            <w:tcBorders>
              <w:top w:val="nil"/>
              <w:left w:val="nil"/>
              <w:bottom w:val="single" w:sz="4" w:space="0" w:color="auto"/>
              <w:right w:val="single" w:sz="4" w:space="0" w:color="auto"/>
            </w:tcBorders>
            <w:noWrap/>
            <w:vAlign w:val="bottom"/>
            <w:hideMark/>
          </w:tcPr>
          <w:p w14:paraId="2029AB15" w14:textId="77777777" w:rsidR="00ED2DF2" w:rsidRPr="00ED2DF2" w:rsidRDefault="00ED2DF2" w:rsidP="003E0728">
            <w:pPr>
              <w:pStyle w:val="Tables"/>
            </w:pPr>
            <w:r w:rsidRPr="00ED2DF2">
              <w:t>5.4</w:t>
            </w:r>
          </w:p>
        </w:tc>
      </w:tr>
    </w:tbl>
    <w:p w14:paraId="6C26360B" w14:textId="148E8CF1" w:rsidR="00BF41C9" w:rsidRPr="000A6E2D" w:rsidRDefault="00BF41C9" w:rsidP="00EE0179">
      <w:pPr>
        <w:spacing w:after="0" w:line="520" w:lineRule="exact"/>
        <w:jc w:val="both"/>
        <w:rPr>
          <w:rFonts w:ascii="Times New Roman" w:hAnsi="Times New Roman" w:cs="Times New Roman"/>
          <w:sz w:val="28"/>
          <w:szCs w:val="28"/>
        </w:rPr>
      </w:pPr>
      <w:r w:rsidRPr="000A6E2D">
        <w:rPr>
          <w:rFonts w:ascii="Times New Roman" w:hAnsi="Times New Roman" w:cs="Times New Roman"/>
          <w:sz w:val="28"/>
          <w:szCs w:val="28"/>
        </w:rPr>
        <w:t>This transfer of revenues formed 8</w:t>
      </w:r>
      <w:r w:rsidR="00B32D8A">
        <w:rPr>
          <w:rFonts w:ascii="Times New Roman" w:hAnsi="Times New Roman" w:cs="Times New Roman"/>
          <w:sz w:val="28"/>
          <w:szCs w:val="28"/>
        </w:rPr>
        <w:t>.</w:t>
      </w:r>
      <w:r w:rsidRPr="000A6E2D">
        <w:rPr>
          <w:rFonts w:ascii="Times New Roman" w:hAnsi="Times New Roman" w:cs="Times New Roman"/>
          <w:sz w:val="28"/>
          <w:szCs w:val="28"/>
        </w:rPr>
        <w:t>3 per cent of the revenues of the Centre on an average during the 10-year period.</w:t>
      </w:r>
    </w:p>
    <w:p w14:paraId="10F433CB" w14:textId="41CE4E74" w:rsidR="00BF41C9" w:rsidRDefault="00BF41C9" w:rsidP="00EE0179">
      <w:pPr>
        <w:pStyle w:val="ListParagraph"/>
        <w:numPr>
          <w:ilvl w:val="0"/>
          <w:numId w:val="29"/>
        </w:numPr>
        <w:spacing w:after="0" w:line="520" w:lineRule="exact"/>
        <w:ind w:left="0" w:firstLine="556"/>
        <w:jc w:val="both"/>
        <w:rPr>
          <w:rFonts w:ascii="Times New Roman" w:hAnsi="Times New Roman" w:cs="Times New Roman"/>
          <w:sz w:val="28"/>
          <w:szCs w:val="28"/>
        </w:rPr>
      </w:pPr>
      <w:r w:rsidRPr="00ED2DF2">
        <w:rPr>
          <w:rFonts w:ascii="Times New Roman" w:hAnsi="Times New Roman" w:cs="Times New Roman"/>
          <w:i/>
          <w:iCs/>
          <w:sz w:val="28"/>
          <w:szCs w:val="28"/>
        </w:rPr>
        <w:t>Provincial Revenues. -</w:t>
      </w:r>
      <w:r w:rsidRPr="000A6E2D">
        <w:rPr>
          <w:rFonts w:ascii="Times New Roman" w:hAnsi="Times New Roman" w:cs="Times New Roman"/>
          <w:sz w:val="28"/>
          <w:szCs w:val="28"/>
        </w:rPr>
        <w:t xml:space="preserve"> The following table giving the combined results for all Provinces for three selected years viz. 1937-38, 1944-45 and 1946-47 shows at a glance the growth of important heads of revenue as well as their share of the aggregate revenue.</w:t>
      </w:r>
    </w:p>
    <w:p w14:paraId="6B89BEFE" w14:textId="77777777" w:rsidR="0076234B" w:rsidRDefault="0076234B" w:rsidP="00EE0179">
      <w:pPr>
        <w:spacing w:line="520" w:lineRule="exact"/>
        <w:rPr>
          <w:rFonts w:ascii="Times New Roman" w:hAnsi="Times New Roman" w:cs="Times New Roman"/>
          <w:sz w:val="28"/>
          <w:szCs w:val="28"/>
        </w:rPr>
      </w:pPr>
      <w:r>
        <w:rPr>
          <w:rFonts w:ascii="Times New Roman" w:hAnsi="Times New Roman" w:cs="Times New Roman"/>
          <w:sz w:val="28"/>
          <w:szCs w:val="28"/>
        </w:rPr>
        <w:br w:type="page"/>
      </w:r>
    </w:p>
    <w:p w14:paraId="568625A8" w14:textId="0F633234" w:rsidR="00ED2DF2" w:rsidRDefault="00ED2DF2" w:rsidP="00ED2DF2">
      <w:pPr>
        <w:spacing w:after="0" w:line="380" w:lineRule="exact"/>
        <w:jc w:val="center"/>
        <w:rPr>
          <w:rFonts w:ascii="Times New Roman" w:hAnsi="Times New Roman" w:cs="Times New Roman"/>
          <w:sz w:val="28"/>
          <w:szCs w:val="28"/>
        </w:rPr>
      </w:pPr>
      <w:r>
        <w:rPr>
          <w:rFonts w:ascii="Times New Roman" w:hAnsi="Times New Roman" w:cs="Times New Roman"/>
          <w:sz w:val="28"/>
          <w:szCs w:val="28"/>
        </w:rPr>
        <w:lastRenderedPageBreak/>
        <w:t>PROVINCIAL REVENUE</w:t>
      </w:r>
    </w:p>
    <w:p w14:paraId="14022C55" w14:textId="2E7CBC47" w:rsidR="00ED2DF2" w:rsidRDefault="00ED2DF2" w:rsidP="00ED2DF2">
      <w:pPr>
        <w:spacing w:after="0" w:line="380" w:lineRule="exact"/>
        <w:jc w:val="center"/>
        <w:rPr>
          <w:rFonts w:ascii="Times New Roman" w:hAnsi="Times New Roman" w:cs="Times New Roman"/>
          <w:sz w:val="28"/>
          <w:szCs w:val="28"/>
        </w:rPr>
      </w:pPr>
      <w:r>
        <w:rPr>
          <w:rFonts w:ascii="Times New Roman" w:hAnsi="Times New Roman" w:cs="Times New Roman"/>
          <w:sz w:val="28"/>
          <w:szCs w:val="28"/>
        </w:rPr>
        <w:t>1937-38 TO 1946-47</w:t>
      </w:r>
    </w:p>
    <w:p w14:paraId="450A226A" w14:textId="77777777" w:rsidR="00CB0A24" w:rsidRDefault="00CB0A24" w:rsidP="00ED2DF2">
      <w:pPr>
        <w:spacing w:after="0" w:line="380" w:lineRule="exact"/>
        <w:jc w:val="center"/>
        <w:rPr>
          <w:rFonts w:ascii="Times New Roman" w:hAnsi="Times New Roman" w:cs="Times New Roman"/>
          <w:sz w:val="28"/>
          <w:szCs w:val="28"/>
        </w:rPr>
      </w:pPr>
    </w:p>
    <w:tbl>
      <w:tblPr>
        <w:tblW w:w="10049" w:type="dxa"/>
        <w:jc w:val="center"/>
        <w:tblLook w:val="04A0" w:firstRow="1" w:lastRow="0" w:firstColumn="1" w:lastColumn="0" w:noHBand="0" w:noVBand="1"/>
      </w:tblPr>
      <w:tblGrid>
        <w:gridCol w:w="2514"/>
        <w:gridCol w:w="870"/>
        <w:gridCol w:w="1033"/>
        <w:gridCol w:w="1157"/>
        <w:gridCol w:w="870"/>
        <w:gridCol w:w="870"/>
        <w:gridCol w:w="870"/>
        <w:gridCol w:w="870"/>
        <w:gridCol w:w="870"/>
        <w:gridCol w:w="870"/>
      </w:tblGrid>
      <w:tr w:rsidR="00ED2DF2" w:rsidRPr="00ED2DF2" w14:paraId="1E31EE3C" w14:textId="77777777" w:rsidTr="00E23521">
        <w:trPr>
          <w:trHeight w:val="397"/>
          <w:jc w:val="center"/>
        </w:trPr>
        <w:tc>
          <w:tcPr>
            <w:tcW w:w="2514" w:type="dxa"/>
            <w:tcBorders>
              <w:top w:val="single" w:sz="4" w:space="0" w:color="auto"/>
              <w:left w:val="single" w:sz="4" w:space="0" w:color="auto"/>
              <w:bottom w:val="single" w:sz="4" w:space="0" w:color="auto"/>
              <w:right w:val="single" w:sz="4" w:space="0" w:color="auto"/>
            </w:tcBorders>
            <w:noWrap/>
            <w:vAlign w:val="bottom"/>
            <w:hideMark/>
          </w:tcPr>
          <w:p w14:paraId="00BABA05" w14:textId="77777777" w:rsidR="00ED2DF2" w:rsidRPr="00ED2DF2" w:rsidRDefault="00ED2DF2" w:rsidP="003E0728">
            <w:pPr>
              <w:pStyle w:val="Tables"/>
            </w:pPr>
            <w:r w:rsidRPr="00ED2DF2">
              <w:t> </w:t>
            </w:r>
          </w:p>
        </w:tc>
        <w:tc>
          <w:tcPr>
            <w:tcW w:w="2785" w:type="dxa"/>
            <w:gridSpan w:val="3"/>
            <w:tcBorders>
              <w:top w:val="single" w:sz="4" w:space="0" w:color="auto"/>
              <w:left w:val="nil"/>
              <w:bottom w:val="single" w:sz="4" w:space="0" w:color="auto"/>
              <w:right w:val="single" w:sz="4" w:space="0" w:color="auto"/>
            </w:tcBorders>
            <w:noWrap/>
            <w:vAlign w:val="bottom"/>
            <w:hideMark/>
          </w:tcPr>
          <w:p w14:paraId="167EFAF4" w14:textId="77777777" w:rsidR="00ED2DF2" w:rsidRPr="00ED2DF2" w:rsidRDefault="00ED2DF2" w:rsidP="003E0728">
            <w:pPr>
              <w:pStyle w:val="Tables"/>
            </w:pPr>
            <w:r w:rsidRPr="00ED2DF2">
              <w:t>Yield (Rupees crores)</w:t>
            </w:r>
          </w:p>
        </w:tc>
        <w:tc>
          <w:tcPr>
            <w:tcW w:w="2375" w:type="dxa"/>
            <w:gridSpan w:val="3"/>
            <w:tcBorders>
              <w:top w:val="single" w:sz="4" w:space="0" w:color="auto"/>
              <w:left w:val="nil"/>
              <w:bottom w:val="single" w:sz="4" w:space="0" w:color="auto"/>
              <w:right w:val="single" w:sz="4" w:space="0" w:color="auto"/>
            </w:tcBorders>
            <w:noWrap/>
            <w:vAlign w:val="bottom"/>
            <w:hideMark/>
          </w:tcPr>
          <w:p w14:paraId="206E31C5" w14:textId="77777777" w:rsidR="00ED2DF2" w:rsidRPr="00ED2DF2" w:rsidRDefault="00ED2DF2" w:rsidP="003E0728">
            <w:pPr>
              <w:pStyle w:val="Tables"/>
            </w:pPr>
            <w:r w:rsidRPr="00ED2DF2">
              <w:t>Index of yield (1937-38=100)</w:t>
            </w:r>
          </w:p>
        </w:tc>
        <w:tc>
          <w:tcPr>
            <w:tcW w:w="2375" w:type="dxa"/>
            <w:gridSpan w:val="3"/>
            <w:tcBorders>
              <w:top w:val="single" w:sz="4" w:space="0" w:color="auto"/>
              <w:left w:val="nil"/>
              <w:bottom w:val="single" w:sz="4" w:space="0" w:color="auto"/>
              <w:right w:val="single" w:sz="4" w:space="0" w:color="auto"/>
            </w:tcBorders>
            <w:noWrap/>
            <w:vAlign w:val="bottom"/>
            <w:hideMark/>
          </w:tcPr>
          <w:p w14:paraId="3E780A5A" w14:textId="77777777" w:rsidR="00ED2DF2" w:rsidRPr="00ED2DF2" w:rsidRDefault="00ED2DF2" w:rsidP="003E0728">
            <w:pPr>
              <w:pStyle w:val="Tables"/>
            </w:pPr>
            <w:r w:rsidRPr="00ED2DF2">
              <w:t>Share in total Revenue (per cent)</w:t>
            </w:r>
          </w:p>
        </w:tc>
      </w:tr>
      <w:tr w:rsidR="00ED2DF2" w:rsidRPr="00ED2DF2" w14:paraId="3BA10653" w14:textId="77777777" w:rsidTr="00E23521">
        <w:trPr>
          <w:trHeight w:val="397"/>
          <w:jc w:val="center"/>
        </w:trPr>
        <w:tc>
          <w:tcPr>
            <w:tcW w:w="2514" w:type="dxa"/>
            <w:tcBorders>
              <w:top w:val="nil"/>
              <w:left w:val="single" w:sz="4" w:space="0" w:color="auto"/>
              <w:bottom w:val="single" w:sz="4" w:space="0" w:color="auto"/>
              <w:right w:val="single" w:sz="4" w:space="0" w:color="auto"/>
            </w:tcBorders>
            <w:noWrap/>
            <w:vAlign w:val="bottom"/>
            <w:hideMark/>
          </w:tcPr>
          <w:p w14:paraId="7C8D332F" w14:textId="77777777" w:rsidR="00ED2DF2" w:rsidRPr="00ED2DF2" w:rsidRDefault="00ED2DF2" w:rsidP="003E0728">
            <w:pPr>
              <w:pStyle w:val="Tables"/>
            </w:pPr>
            <w:r w:rsidRPr="00ED2DF2">
              <w:t> </w:t>
            </w:r>
          </w:p>
        </w:tc>
        <w:tc>
          <w:tcPr>
            <w:tcW w:w="791" w:type="dxa"/>
            <w:tcBorders>
              <w:top w:val="nil"/>
              <w:left w:val="nil"/>
              <w:bottom w:val="single" w:sz="4" w:space="0" w:color="auto"/>
              <w:right w:val="single" w:sz="4" w:space="0" w:color="auto"/>
            </w:tcBorders>
            <w:noWrap/>
            <w:vAlign w:val="bottom"/>
            <w:hideMark/>
          </w:tcPr>
          <w:p w14:paraId="4FF1858A" w14:textId="77777777" w:rsidR="00ED2DF2" w:rsidRPr="00ED2DF2" w:rsidRDefault="00ED2DF2" w:rsidP="003E0728">
            <w:pPr>
              <w:pStyle w:val="Tables"/>
            </w:pPr>
            <w:r w:rsidRPr="00ED2DF2">
              <w:t>1937-38</w:t>
            </w:r>
          </w:p>
        </w:tc>
        <w:tc>
          <w:tcPr>
            <w:tcW w:w="940" w:type="dxa"/>
            <w:tcBorders>
              <w:top w:val="nil"/>
              <w:left w:val="nil"/>
              <w:bottom w:val="single" w:sz="4" w:space="0" w:color="auto"/>
              <w:right w:val="single" w:sz="4" w:space="0" w:color="auto"/>
            </w:tcBorders>
            <w:noWrap/>
            <w:vAlign w:val="bottom"/>
            <w:hideMark/>
          </w:tcPr>
          <w:p w14:paraId="7F9CD586" w14:textId="77777777" w:rsidR="00ED2DF2" w:rsidRPr="00ED2DF2" w:rsidRDefault="00ED2DF2" w:rsidP="003E0728">
            <w:pPr>
              <w:pStyle w:val="Tables"/>
            </w:pPr>
            <w:r w:rsidRPr="00ED2DF2">
              <w:t>1944-45</w:t>
            </w:r>
          </w:p>
        </w:tc>
        <w:tc>
          <w:tcPr>
            <w:tcW w:w="1053" w:type="dxa"/>
            <w:tcBorders>
              <w:top w:val="nil"/>
              <w:left w:val="nil"/>
              <w:bottom w:val="single" w:sz="4" w:space="0" w:color="auto"/>
              <w:right w:val="single" w:sz="4" w:space="0" w:color="auto"/>
            </w:tcBorders>
            <w:noWrap/>
            <w:vAlign w:val="bottom"/>
            <w:hideMark/>
          </w:tcPr>
          <w:p w14:paraId="3EB86014" w14:textId="77777777" w:rsidR="00ED2DF2" w:rsidRPr="00ED2DF2" w:rsidRDefault="00ED2DF2" w:rsidP="003E0728">
            <w:pPr>
              <w:pStyle w:val="Tables"/>
            </w:pPr>
            <w:r w:rsidRPr="00ED2DF2">
              <w:t>1946-47</w:t>
            </w:r>
          </w:p>
        </w:tc>
        <w:tc>
          <w:tcPr>
            <w:tcW w:w="791" w:type="dxa"/>
            <w:tcBorders>
              <w:top w:val="nil"/>
              <w:left w:val="nil"/>
              <w:bottom w:val="single" w:sz="4" w:space="0" w:color="auto"/>
              <w:right w:val="single" w:sz="4" w:space="0" w:color="auto"/>
            </w:tcBorders>
            <w:noWrap/>
            <w:vAlign w:val="bottom"/>
            <w:hideMark/>
          </w:tcPr>
          <w:p w14:paraId="424AB668" w14:textId="77777777" w:rsidR="00ED2DF2" w:rsidRPr="00ED2DF2" w:rsidRDefault="00ED2DF2" w:rsidP="003E0728">
            <w:pPr>
              <w:pStyle w:val="Tables"/>
            </w:pPr>
            <w:r w:rsidRPr="00ED2DF2">
              <w:t>1937-38</w:t>
            </w:r>
          </w:p>
        </w:tc>
        <w:tc>
          <w:tcPr>
            <w:tcW w:w="791" w:type="dxa"/>
            <w:tcBorders>
              <w:top w:val="nil"/>
              <w:left w:val="nil"/>
              <w:bottom w:val="single" w:sz="4" w:space="0" w:color="auto"/>
              <w:right w:val="single" w:sz="4" w:space="0" w:color="auto"/>
            </w:tcBorders>
            <w:noWrap/>
            <w:vAlign w:val="bottom"/>
            <w:hideMark/>
          </w:tcPr>
          <w:p w14:paraId="47449723" w14:textId="77777777" w:rsidR="00ED2DF2" w:rsidRPr="00ED2DF2" w:rsidRDefault="00ED2DF2" w:rsidP="003E0728">
            <w:pPr>
              <w:pStyle w:val="Tables"/>
            </w:pPr>
            <w:r w:rsidRPr="00ED2DF2">
              <w:t>1944-45</w:t>
            </w:r>
          </w:p>
        </w:tc>
        <w:tc>
          <w:tcPr>
            <w:tcW w:w="791" w:type="dxa"/>
            <w:tcBorders>
              <w:top w:val="nil"/>
              <w:left w:val="nil"/>
              <w:bottom w:val="single" w:sz="4" w:space="0" w:color="auto"/>
              <w:right w:val="single" w:sz="4" w:space="0" w:color="auto"/>
            </w:tcBorders>
            <w:noWrap/>
            <w:vAlign w:val="bottom"/>
            <w:hideMark/>
          </w:tcPr>
          <w:p w14:paraId="2D66EE03" w14:textId="77777777" w:rsidR="00ED2DF2" w:rsidRPr="00ED2DF2" w:rsidRDefault="00ED2DF2" w:rsidP="003E0728">
            <w:pPr>
              <w:pStyle w:val="Tables"/>
            </w:pPr>
            <w:r w:rsidRPr="00ED2DF2">
              <w:t>1946-47</w:t>
            </w:r>
          </w:p>
        </w:tc>
        <w:tc>
          <w:tcPr>
            <w:tcW w:w="791" w:type="dxa"/>
            <w:tcBorders>
              <w:top w:val="nil"/>
              <w:left w:val="nil"/>
              <w:bottom w:val="single" w:sz="4" w:space="0" w:color="auto"/>
              <w:right w:val="single" w:sz="4" w:space="0" w:color="auto"/>
            </w:tcBorders>
            <w:noWrap/>
            <w:vAlign w:val="bottom"/>
            <w:hideMark/>
          </w:tcPr>
          <w:p w14:paraId="60C5A9D4" w14:textId="77777777" w:rsidR="00ED2DF2" w:rsidRPr="00ED2DF2" w:rsidRDefault="00ED2DF2" w:rsidP="003E0728">
            <w:pPr>
              <w:pStyle w:val="Tables"/>
            </w:pPr>
            <w:r w:rsidRPr="00ED2DF2">
              <w:t>1937-38</w:t>
            </w:r>
          </w:p>
        </w:tc>
        <w:tc>
          <w:tcPr>
            <w:tcW w:w="791" w:type="dxa"/>
            <w:tcBorders>
              <w:top w:val="nil"/>
              <w:left w:val="nil"/>
              <w:bottom w:val="single" w:sz="4" w:space="0" w:color="auto"/>
              <w:right w:val="single" w:sz="4" w:space="0" w:color="auto"/>
            </w:tcBorders>
            <w:noWrap/>
            <w:vAlign w:val="bottom"/>
            <w:hideMark/>
          </w:tcPr>
          <w:p w14:paraId="1A110176" w14:textId="77777777" w:rsidR="00ED2DF2" w:rsidRPr="00ED2DF2" w:rsidRDefault="00ED2DF2" w:rsidP="003E0728">
            <w:pPr>
              <w:pStyle w:val="Tables"/>
            </w:pPr>
            <w:r w:rsidRPr="00ED2DF2">
              <w:t>1944-45</w:t>
            </w:r>
          </w:p>
        </w:tc>
        <w:tc>
          <w:tcPr>
            <w:tcW w:w="791" w:type="dxa"/>
            <w:tcBorders>
              <w:top w:val="nil"/>
              <w:left w:val="nil"/>
              <w:bottom w:val="single" w:sz="4" w:space="0" w:color="auto"/>
              <w:right w:val="single" w:sz="4" w:space="0" w:color="auto"/>
            </w:tcBorders>
            <w:noWrap/>
            <w:vAlign w:val="bottom"/>
            <w:hideMark/>
          </w:tcPr>
          <w:p w14:paraId="1971BE5F" w14:textId="77777777" w:rsidR="00ED2DF2" w:rsidRPr="00ED2DF2" w:rsidRDefault="00ED2DF2" w:rsidP="003E0728">
            <w:pPr>
              <w:pStyle w:val="Tables"/>
            </w:pPr>
            <w:r w:rsidRPr="00ED2DF2">
              <w:t>1946-47</w:t>
            </w:r>
          </w:p>
        </w:tc>
      </w:tr>
      <w:tr w:rsidR="00ED2DF2" w:rsidRPr="00ED2DF2" w14:paraId="73D0B77C" w14:textId="77777777" w:rsidTr="00E23521">
        <w:trPr>
          <w:trHeight w:val="397"/>
          <w:jc w:val="center"/>
        </w:trPr>
        <w:tc>
          <w:tcPr>
            <w:tcW w:w="2514" w:type="dxa"/>
            <w:tcBorders>
              <w:top w:val="nil"/>
              <w:left w:val="single" w:sz="4" w:space="0" w:color="auto"/>
              <w:bottom w:val="single" w:sz="4" w:space="0" w:color="auto"/>
              <w:right w:val="single" w:sz="4" w:space="0" w:color="auto"/>
            </w:tcBorders>
            <w:noWrap/>
            <w:vAlign w:val="bottom"/>
            <w:hideMark/>
          </w:tcPr>
          <w:p w14:paraId="2B7C6064" w14:textId="77777777" w:rsidR="00ED2DF2" w:rsidRPr="00ED2DF2" w:rsidRDefault="00ED2DF2" w:rsidP="003E0728">
            <w:pPr>
              <w:pStyle w:val="Tables"/>
            </w:pPr>
            <w:r w:rsidRPr="00ED2DF2">
              <w:t>TOTAL REVENUE (a)</w:t>
            </w:r>
          </w:p>
        </w:tc>
        <w:tc>
          <w:tcPr>
            <w:tcW w:w="791" w:type="dxa"/>
            <w:tcBorders>
              <w:top w:val="nil"/>
              <w:left w:val="nil"/>
              <w:bottom w:val="single" w:sz="4" w:space="0" w:color="auto"/>
              <w:right w:val="single" w:sz="4" w:space="0" w:color="auto"/>
            </w:tcBorders>
            <w:noWrap/>
            <w:vAlign w:val="bottom"/>
            <w:hideMark/>
          </w:tcPr>
          <w:p w14:paraId="5D8AA5AE" w14:textId="77777777" w:rsidR="00ED2DF2" w:rsidRPr="00ED2DF2" w:rsidRDefault="00ED2DF2" w:rsidP="003E0728">
            <w:pPr>
              <w:pStyle w:val="Tables"/>
            </w:pPr>
            <w:r w:rsidRPr="00ED2DF2">
              <w:t>85.67</w:t>
            </w:r>
          </w:p>
        </w:tc>
        <w:tc>
          <w:tcPr>
            <w:tcW w:w="940" w:type="dxa"/>
            <w:tcBorders>
              <w:top w:val="nil"/>
              <w:left w:val="nil"/>
              <w:bottom w:val="single" w:sz="4" w:space="0" w:color="auto"/>
              <w:right w:val="single" w:sz="4" w:space="0" w:color="auto"/>
            </w:tcBorders>
            <w:noWrap/>
            <w:vAlign w:val="bottom"/>
            <w:hideMark/>
          </w:tcPr>
          <w:p w14:paraId="2B02FDBF" w14:textId="77777777" w:rsidR="00ED2DF2" w:rsidRPr="00ED2DF2" w:rsidRDefault="00ED2DF2" w:rsidP="003E0728">
            <w:pPr>
              <w:pStyle w:val="Tables"/>
            </w:pPr>
            <w:r w:rsidRPr="00ED2DF2">
              <w:t>213.79</w:t>
            </w:r>
          </w:p>
        </w:tc>
        <w:tc>
          <w:tcPr>
            <w:tcW w:w="1053" w:type="dxa"/>
            <w:tcBorders>
              <w:top w:val="nil"/>
              <w:left w:val="nil"/>
              <w:bottom w:val="single" w:sz="4" w:space="0" w:color="auto"/>
              <w:right w:val="single" w:sz="4" w:space="0" w:color="auto"/>
            </w:tcBorders>
            <w:noWrap/>
            <w:vAlign w:val="bottom"/>
            <w:hideMark/>
          </w:tcPr>
          <w:p w14:paraId="2CCD53B1" w14:textId="77777777" w:rsidR="00ED2DF2" w:rsidRPr="00ED2DF2" w:rsidRDefault="00ED2DF2" w:rsidP="003E0728">
            <w:pPr>
              <w:pStyle w:val="Tables"/>
            </w:pPr>
            <w:r w:rsidRPr="00ED2DF2">
              <w:t>246.26</w:t>
            </w:r>
          </w:p>
        </w:tc>
        <w:tc>
          <w:tcPr>
            <w:tcW w:w="791" w:type="dxa"/>
            <w:tcBorders>
              <w:top w:val="nil"/>
              <w:left w:val="nil"/>
              <w:bottom w:val="single" w:sz="4" w:space="0" w:color="auto"/>
              <w:right w:val="single" w:sz="4" w:space="0" w:color="auto"/>
            </w:tcBorders>
            <w:noWrap/>
            <w:vAlign w:val="bottom"/>
            <w:hideMark/>
          </w:tcPr>
          <w:p w14:paraId="5C1075D4" w14:textId="77777777" w:rsidR="00ED2DF2" w:rsidRPr="00ED2DF2" w:rsidRDefault="00ED2DF2" w:rsidP="003E0728">
            <w:pPr>
              <w:pStyle w:val="Tables"/>
            </w:pPr>
            <w:r w:rsidRPr="00ED2DF2">
              <w:t>100</w:t>
            </w:r>
          </w:p>
        </w:tc>
        <w:tc>
          <w:tcPr>
            <w:tcW w:w="791" w:type="dxa"/>
            <w:tcBorders>
              <w:top w:val="nil"/>
              <w:left w:val="nil"/>
              <w:bottom w:val="single" w:sz="4" w:space="0" w:color="auto"/>
              <w:right w:val="single" w:sz="4" w:space="0" w:color="auto"/>
            </w:tcBorders>
            <w:noWrap/>
            <w:vAlign w:val="bottom"/>
            <w:hideMark/>
          </w:tcPr>
          <w:p w14:paraId="7E853F9F" w14:textId="77777777" w:rsidR="00ED2DF2" w:rsidRPr="00ED2DF2" w:rsidRDefault="00ED2DF2" w:rsidP="003E0728">
            <w:pPr>
              <w:pStyle w:val="Tables"/>
            </w:pPr>
            <w:r w:rsidRPr="00ED2DF2">
              <w:t>250</w:t>
            </w:r>
          </w:p>
        </w:tc>
        <w:tc>
          <w:tcPr>
            <w:tcW w:w="791" w:type="dxa"/>
            <w:tcBorders>
              <w:top w:val="nil"/>
              <w:left w:val="nil"/>
              <w:bottom w:val="single" w:sz="4" w:space="0" w:color="auto"/>
              <w:right w:val="single" w:sz="4" w:space="0" w:color="auto"/>
            </w:tcBorders>
            <w:noWrap/>
            <w:vAlign w:val="bottom"/>
            <w:hideMark/>
          </w:tcPr>
          <w:p w14:paraId="58E6AF65" w14:textId="5757EAB8" w:rsidR="00ED2DF2" w:rsidRPr="00ED2DF2" w:rsidRDefault="00ED2DF2" w:rsidP="003E0728">
            <w:pPr>
              <w:pStyle w:val="Tables"/>
            </w:pPr>
            <w:r w:rsidRPr="00ED2DF2">
              <w:t>2</w:t>
            </w:r>
            <w:r w:rsidR="00C11113">
              <w:t>3</w:t>
            </w:r>
            <w:r w:rsidRPr="00ED2DF2">
              <w:t>7</w:t>
            </w:r>
          </w:p>
        </w:tc>
        <w:tc>
          <w:tcPr>
            <w:tcW w:w="791" w:type="dxa"/>
            <w:tcBorders>
              <w:top w:val="nil"/>
              <w:left w:val="nil"/>
              <w:bottom w:val="single" w:sz="4" w:space="0" w:color="auto"/>
              <w:right w:val="single" w:sz="4" w:space="0" w:color="auto"/>
            </w:tcBorders>
            <w:noWrap/>
            <w:vAlign w:val="bottom"/>
            <w:hideMark/>
          </w:tcPr>
          <w:p w14:paraId="24E3A09E" w14:textId="2549F41A" w:rsidR="00ED2DF2" w:rsidRPr="00ED2DF2" w:rsidRDefault="00ED2DF2" w:rsidP="003E0728">
            <w:pPr>
              <w:pStyle w:val="Tables"/>
            </w:pPr>
            <w:r w:rsidRPr="00ED2DF2">
              <w:t>100</w:t>
            </w:r>
            <w:r w:rsidR="00C11113">
              <w:t>.0</w:t>
            </w:r>
          </w:p>
        </w:tc>
        <w:tc>
          <w:tcPr>
            <w:tcW w:w="791" w:type="dxa"/>
            <w:tcBorders>
              <w:top w:val="nil"/>
              <w:left w:val="nil"/>
              <w:bottom w:val="single" w:sz="4" w:space="0" w:color="auto"/>
              <w:right w:val="single" w:sz="4" w:space="0" w:color="auto"/>
            </w:tcBorders>
            <w:noWrap/>
            <w:vAlign w:val="bottom"/>
            <w:hideMark/>
          </w:tcPr>
          <w:p w14:paraId="4B958897" w14:textId="530A5AC2" w:rsidR="00ED2DF2" w:rsidRPr="00ED2DF2" w:rsidRDefault="00ED2DF2" w:rsidP="003E0728">
            <w:pPr>
              <w:pStyle w:val="Tables"/>
            </w:pPr>
            <w:r w:rsidRPr="00ED2DF2">
              <w:t>100</w:t>
            </w:r>
            <w:r w:rsidR="00C11113">
              <w:t>.0</w:t>
            </w:r>
          </w:p>
        </w:tc>
        <w:tc>
          <w:tcPr>
            <w:tcW w:w="791" w:type="dxa"/>
            <w:tcBorders>
              <w:top w:val="nil"/>
              <w:left w:val="nil"/>
              <w:bottom w:val="single" w:sz="4" w:space="0" w:color="auto"/>
              <w:right w:val="single" w:sz="4" w:space="0" w:color="auto"/>
            </w:tcBorders>
            <w:noWrap/>
            <w:vAlign w:val="bottom"/>
            <w:hideMark/>
          </w:tcPr>
          <w:p w14:paraId="42A5F5BA" w14:textId="32865D39" w:rsidR="00ED2DF2" w:rsidRPr="00ED2DF2" w:rsidRDefault="00ED2DF2" w:rsidP="003E0728">
            <w:pPr>
              <w:pStyle w:val="Tables"/>
            </w:pPr>
            <w:r w:rsidRPr="00ED2DF2">
              <w:t>100</w:t>
            </w:r>
            <w:r w:rsidR="00C11113">
              <w:t>.0</w:t>
            </w:r>
          </w:p>
        </w:tc>
      </w:tr>
      <w:tr w:rsidR="00ED2DF2" w:rsidRPr="00ED2DF2" w14:paraId="1FF1A8A1" w14:textId="77777777" w:rsidTr="00E23521">
        <w:trPr>
          <w:trHeight w:val="397"/>
          <w:jc w:val="center"/>
        </w:trPr>
        <w:tc>
          <w:tcPr>
            <w:tcW w:w="2514" w:type="dxa"/>
            <w:tcBorders>
              <w:top w:val="nil"/>
              <w:left w:val="single" w:sz="4" w:space="0" w:color="auto"/>
              <w:bottom w:val="single" w:sz="4" w:space="0" w:color="auto"/>
              <w:right w:val="single" w:sz="4" w:space="0" w:color="auto"/>
            </w:tcBorders>
            <w:noWrap/>
            <w:vAlign w:val="bottom"/>
            <w:hideMark/>
          </w:tcPr>
          <w:p w14:paraId="291C04DD" w14:textId="77777777" w:rsidR="00ED2DF2" w:rsidRPr="00ED2DF2" w:rsidRDefault="00ED2DF2" w:rsidP="003E0728">
            <w:pPr>
              <w:pStyle w:val="Tables"/>
            </w:pPr>
            <w:r w:rsidRPr="00ED2DF2">
              <w:t>Land Revenue</w:t>
            </w:r>
          </w:p>
        </w:tc>
        <w:tc>
          <w:tcPr>
            <w:tcW w:w="791" w:type="dxa"/>
            <w:tcBorders>
              <w:top w:val="nil"/>
              <w:left w:val="nil"/>
              <w:bottom w:val="single" w:sz="4" w:space="0" w:color="auto"/>
              <w:right w:val="single" w:sz="4" w:space="0" w:color="auto"/>
            </w:tcBorders>
            <w:noWrap/>
            <w:vAlign w:val="bottom"/>
            <w:hideMark/>
          </w:tcPr>
          <w:p w14:paraId="32F34CA8" w14:textId="77777777" w:rsidR="00ED2DF2" w:rsidRPr="00ED2DF2" w:rsidRDefault="00ED2DF2" w:rsidP="003E0728">
            <w:pPr>
              <w:pStyle w:val="Tables"/>
            </w:pPr>
            <w:r w:rsidRPr="00ED2DF2">
              <w:t>26.36</w:t>
            </w:r>
          </w:p>
        </w:tc>
        <w:tc>
          <w:tcPr>
            <w:tcW w:w="940" w:type="dxa"/>
            <w:tcBorders>
              <w:top w:val="nil"/>
              <w:left w:val="nil"/>
              <w:bottom w:val="single" w:sz="4" w:space="0" w:color="auto"/>
              <w:right w:val="single" w:sz="4" w:space="0" w:color="auto"/>
            </w:tcBorders>
            <w:noWrap/>
            <w:vAlign w:val="bottom"/>
            <w:hideMark/>
          </w:tcPr>
          <w:p w14:paraId="3AD08F9D" w14:textId="77777777" w:rsidR="00ED2DF2" w:rsidRPr="00ED2DF2" w:rsidRDefault="00ED2DF2" w:rsidP="003E0728">
            <w:pPr>
              <w:pStyle w:val="Tables"/>
            </w:pPr>
            <w:r w:rsidRPr="00ED2DF2">
              <w:t>31.25</w:t>
            </w:r>
          </w:p>
        </w:tc>
        <w:tc>
          <w:tcPr>
            <w:tcW w:w="1053" w:type="dxa"/>
            <w:tcBorders>
              <w:top w:val="nil"/>
              <w:left w:val="nil"/>
              <w:bottom w:val="single" w:sz="4" w:space="0" w:color="auto"/>
              <w:right w:val="single" w:sz="4" w:space="0" w:color="auto"/>
            </w:tcBorders>
            <w:noWrap/>
            <w:vAlign w:val="bottom"/>
            <w:hideMark/>
          </w:tcPr>
          <w:p w14:paraId="6E2257EB" w14:textId="77777777" w:rsidR="00ED2DF2" w:rsidRPr="00ED2DF2" w:rsidRDefault="00ED2DF2" w:rsidP="003E0728">
            <w:pPr>
              <w:pStyle w:val="Tables"/>
            </w:pPr>
            <w:r w:rsidRPr="00ED2DF2">
              <w:t>30.96</w:t>
            </w:r>
          </w:p>
        </w:tc>
        <w:tc>
          <w:tcPr>
            <w:tcW w:w="791" w:type="dxa"/>
            <w:tcBorders>
              <w:top w:val="nil"/>
              <w:left w:val="nil"/>
              <w:bottom w:val="single" w:sz="4" w:space="0" w:color="auto"/>
              <w:right w:val="single" w:sz="4" w:space="0" w:color="auto"/>
            </w:tcBorders>
            <w:noWrap/>
            <w:vAlign w:val="bottom"/>
            <w:hideMark/>
          </w:tcPr>
          <w:p w14:paraId="3693C310" w14:textId="77777777" w:rsidR="00ED2DF2" w:rsidRPr="00ED2DF2" w:rsidRDefault="00ED2DF2" w:rsidP="003E0728">
            <w:pPr>
              <w:pStyle w:val="Tables"/>
            </w:pPr>
            <w:r w:rsidRPr="00ED2DF2">
              <w:t>100</w:t>
            </w:r>
          </w:p>
        </w:tc>
        <w:tc>
          <w:tcPr>
            <w:tcW w:w="791" w:type="dxa"/>
            <w:tcBorders>
              <w:top w:val="nil"/>
              <w:left w:val="nil"/>
              <w:bottom w:val="single" w:sz="4" w:space="0" w:color="auto"/>
              <w:right w:val="single" w:sz="4" w:space="0" w:color="auto"/>
            </w:tcBorders>
            <w:noWrap/>
            <w:vAlign w:val="bottom"/>
            <w:hideMark/>
          </w:tcPr>
          <w:p w14:paraId="5DAF1DD8" w14:textId="77777777" w:rsidR="00ED2DF2" w:rsidRPr="00ED2DF2" w:rsidRDefault="00ED2DF2" w:rsidP="003E0728">
            <w:pPr>
              <w:pStyle w:val="Tables"/>
            </w:pPr>
            <w:r w:rsidRPr="00ED2DF2">
              <w:t>119</w:t>
            </w:r>
          </w:p>
        </w:tc>
        <w:tc>
          <w:tcPr>
            <w:tcW w:w="791" w:type="dxa"/>
            <w:tcBorders>
              <w:top w:val="nil"/>
              <w:left w:val="nil"/>
              <w:bottom w:val="single" w:sz="4" w:space="0" w:color="auto"/>
              <w:right w:val="single" w:sz="4" w:space="0" w:color="auto"/>
            </w:tcBorders>
            <w:noWrap/>
            <w:vAlign w:val="bottom"/>
            <w:hideMark/>
          </w:tcPr>
          <w:p w14:paraId="2218C9ED" w14:textId="77777777" w:rsidR="00ED2DF2" w:rsidRPr="00ED2DF2" w:rsidRDefault="00ED2DF2" w:rsidP="003E0728">
            <w:pPr>
              <w:pStyle w:val="Tables"/>
            </w:pPr>
            <w:r w:rsidRPr="00ED2DF2">
              <w:t>118</w:t>
            </w:r>
          </w:p>
        </w:tc>
        <w:tc>
          <w:tcPr>
            <w:tcW w:w="791" w:type="dxa"/>
            <w:tcBorders>
              <w:top w:val="nil"/>
              <w:left w:val="nil"/>
              <w:bottom w:val="single" w:sz="4" w:space="0" w:color="auto"/>
              <w:right w:val="single" w:sz="4" w:space="0" w:color="auto"/>
            </w:tcBorders>
            <w:noWrap/>
            <w:vAlign w:val="bottom"/>
            <w:hideMark/>
          </w:tcPr>
          <w:p w14:paraId="2C075680" w14:textId="77777777" w:rsidR="00ED2DF2" w:rsidRPr="00ED2DF2" w:rsidRDefault="00ED2DF2" w:rsidP="003E0728">
            <w:pPr>
              <w:pStyle w:val="Tables"/>
            </w:pPr>
            <w:r w:rsidRPr="00ED2DF2">
              <w:t>30.3</w:t>
            </w:r>
          </w:p>
        </w:tc>
        <w:tc>
          <w:tcPr>
            <w:tcW w:w="791" w:type="dxa"/>
            <w:tcBorders>
              <w:top w:val="nil"/>
              <w:left w:val="nil"/>
              <w:bottom w:val="single" w:sz="4" w:space="0" w:color="auto"/>
              <w:right w:val="single" w:sz="4" w:space="0" w:color="auto"/>
            </w:tcBorders>
            <w:noWrap/>
            <w:vAlign w:val="bottom"/>
            <w:hideMark/>
          </w:tcPr>
          <w:p w14:paraId="308E3854" w14:textId="77777777" w:rsidR="00ED2DF2" w:rsidRPr="00ED2DF2" w:rsidRDefault="00ED2DF2" w:rsidP="003E0728">
            <w:pPr>
              <w:pStyle w:val="Tables"/>
            </w:pPr>
            <w:r w:rsidRPr="00ED2DF2">
              <w:t>14.6</w:t>
            </w:r>
          </w:p>
        </w:tc>
        <w:tc>
          <w:tcPr>
            <w:tcW w:w="791" w:type="dxa"/>
            <w:tcBorders>
              <w:top w:val="nil"/>
              <w:left w:val="nil"/>
              <w:bottom w:val="single" w:sz="4" w:space="0" w:color="auto"/>
              <w:right w:val="single" w:sz="4" w:space="0" w:color="auto"/>
            </w:tcBorders>
            <w:noWrap/>
            <w:vAlign w:val="bottom"/>
            <w:hideMark/>
          </w:tcPr>
          <w:p w14:paraId="5B13C176" w14:textId="77777777" w:rsidR="00ED2DF2" w:rsidRPr="00ED2DF2" w:rsidRDefault="00ED2DF2" w:rsidP="003E0728">
            <w:pPr>
              <w:pStyle w:val="Tables"/>
            </w:pPr>
            <w:r w:rsidRPr="00ED2DF2">
              <w:t>12.6</w:t>
            </w:r>
          </w:p>
        </w:tc>
      </w:tr>
      <w:tr w:rsidR="00ED2DF2" w:rsidRPr="00ED2DF2" w14:paraId="365A4BDE" w14:textId="77777777" w:rsidTr="00E23521">
        <w:trPr>
          <w:trHeight w:val="397"/>
          <w:jc w:val="center"/>
        </w:trPr>
        <w:tc>
          <w:tcPr>
            <w:tcW w:w="2514" w:type="dxa"/>
            <w:tcBorders>
              <w:top w:val="nil"/>
              <w:left w:val="single" w:sz="4" w:space="0" w:color="auto"/>
              <w:bottom w:val="single" w:sz="4" w:space="0" w:color="auto"/>
              <w:right w:val="single" w:sz="4" w:space="0" w:color="auto"/>
            </w:tcBorders>
            <w:noWrap/>
            <w:vAlign w:val="bottom"/>
            <w:hideMark/>
          </w:tcPr>
          <w:p w14:paraId="14DEFD63" w14:textId="77777777" w:rsidR="00ED2DF2" w:rsidRPr="00ED2DF2" w:rsidRDefault="00ED2DF2" w:rsidP="003E0728">
            <w:pPr>
              <w:pStyle w:val="Tables"/>
            </w:pPr>
            <w:r w:rsidRPr="00ED2DF2">
              <w:t>Provincial Excise</w:t>
            </w:r>
          </w:p>
        </w:tc>
        <w:tc>
          <w:tcPr>
            <w:tcW w:w="791" w:type="dxa"/>
            <w:tcBorders>
              <w:top w:val="nil"/>
              <w:left w:val="nil"/>
              <w:bottom w:val="single" w:sz="4" w:space="0" w:color="auto"/>
              <w:right w:val="single" w:sz="4" w:space="0" w:color="auto"/>
            </w:tcBorders>
            <w:noWrap/>
            <w:vAlign w:val="bottom"/>
            <w:hideMark/>
          </w:tcPr>
          <w:p w14:paraId="49AB6AB9" w14:textId="77777777" w:rsidR="00ED2DF2" w:rsidRPr="00ED2DF2" w:rsidRDefault="00ED2DF2" w:rsidP="003E0728">
            <w:pPr>
              <w:pStyle w:val="Tables"/>
            </w:pPr>
            <w:r w:rsidRPr="00ED2DF2">
              <w:t>14.36</w:t>
            </w:r>
          </w:p>
        </w:tc>
        <w:tc>
          <w:tcPr>
            <w:tcW w:w="940" w:type="dxa"/>
            <w:tcBorders>
              <w:top w:val="nil"/>
              <w:left w:val="nil"/>
              <w:bottom w:val="single" w:sz="4" w:space="0" w:color="auto"/>
              <w:right w:val="single" w:sz="4" w:space="0" w:color="auto"/>
            </w:tcBorders>
            <w:noWrap/>
            <w:vAlign w:val="bottom"/>
            <w:hideMark/>
          </w:tcPr>
          <w:p w14:paraId="502A180B" w14:textId="77777777" w:rsidR="00ED2DF2" w:rsidRPr="00ED2DF2" w:rsidRDefault="00ED2DF2" w:rsidP="003E0728">
            <w:pPr>
              <w:pStyle w:val="Tables"/>
            </w:pPr>
            <w:r w:rsidRPr="00ED2DF2">
              <w:t>44.88</w:t>
            </w:r>
          </w:p>
        </w:tc>
        <w:tc>
          <w:tcPr>
            <w:tcW w:w="1053" w:type="dxa"/>
            <w:tcBorders>
              <w:top w:val="nil"/>
              <w:left w:val="nil"/>
              <w:bottom w:val="single" w:sz="4" w:space="0" w:color="auto"/>
              <w:right w:val="single" w:sz="4" w:space="0" w:color="auto"/>
            </w:tcBorders>
            <w:noWrap/>
            <w:vAlign w:val="bottom"/>
            <w:hideMark/>
          </w:tcPr>
          <w:p w14:paraId="79E939DB" w14:textId="425566EC" w:rsidR="00ED2DF2" w:rsidRPr="00ED2DF2" w:rsidRDefault="00ED2DF2" w:rsidP="003E0728">
            <w:pPr>
              <w:pStyle w:val="Tables"/>
            </w:pPr>
            <w:r w:rsidRPr="00ED2DF2">
              <w:t>52</w:t>
            </w:r>
            <w:r w:rsidR="00C11113">
              <w:t>.00</w:t>
            </w:r>
          </w:p>
        </w:tc>
        <w:tc>
          <w:tcPr>
            <w:tcW w:w="791" w:type="dxa"/>
            <w:tcBorders>
              <w:top w:val="nil"/>
              <w:left w:val="nil"/>
              <w:bottom w:val="single" w:sz="4" w:space="0" w:color="auto"/>
              <w:right w:val="single" w:sz="4" w:space="0" w:color="auto"/>
            </w:tcBorders>
            <w:noWrap/>
            <w:vAlign w:val="bottom"/>
            <w:hideMark/>
          </w:tcPr>
          <w:p w14:paraId="035D7AED" w14:textId="77777777" w:rsidR="00ED2DF2" w:rsidRPr="00ED2DF2" w:rsidRDefault="00ED2DF2" w:rsidP="003E0728">
            <w:pPr>
              <w:pStyle w:val="Tables"/>
            </w:pPr>
            <w:r w:rsidRPr="00ED2DF2">
              <w:t>100</w:t>
            </w:r>
          </w:p>
        </w:tc>
        <w:tc>
          <w:tcPr>
            <w:tcW w:w="791" w:type="dxa"/>
            <w:tcBorders>
              <w:top w:val="nil"/>
              <w:left w:val="nil"/>
              <w:bottom w:val="single" w:sz="4" w:space="0" w:color="auto"/>
              <w:right w:val="single" w:sz="4" w:space="0" w:color="auto"/>
            </w:tcBorders>
            <w:noWrap/>
            <w:vAlign w:val="bottom"/>
            <w:hideMark/>
          </w:tcPr>
          <w:p w14:paraId="34418D05" w14:textId="77777777" w:rsidR="00ED2DF2" w:rsidRPr="00ED2DF2" w:rsidRDefault="00ED2DF2" w:rsidP="003E0728">
            <w:pPr>
              <w:pStyle w:val="Tables"/>
            </w:pPr>
            <w:r w:rsidRPr="00ED2DF2">
              <w:t>313</w:t>
            </w:r>
          </w:p>
        </w:tc>
        <w:tc>
          <w:tcPr>
            <w:tcW w:w="791" w:type="dxa"/>
            <w:tcBorders>
              <w:top w:val="nil"/>
              <w:left w:val="nil"/>
              <w:bottom w:val="single" w:sz="4" w:space="0" w:color="auto"/>
              <w:right w:val="single" w:sz="4" w:space="0" w:color="auto"/>
            </w:tcBorders>
            <w:noWrap/>
            <w:vAlign w:val="bottom"/>
            <w:hideMark/>
          </w:tcPr>
          <w:p w14:paraId="51CBD820" w14:textId="77777777" w:rsidR="00ED2DF2" w:rsidRPr="00ED2DF2" w:rsidRDefault="00ED2DF2" w:rsidP="003E0728">
            <w:pPr>
              <w:pStyle w:val="Tables"/>
            </w:pPr>
            <w:r w:rsidRPr="00ED2DF2">
              <w:t>362</w:t>
            </w:r>
          </w:p>
        </w:tc>
        <w:tc>
          <w:tcPr>
            <w:tcW w:w="791" w:type="dxa"/>
            <w:tcBorders>
              <w:top w:val="nil"/>
              <w:left w:val="nil"/>
              <w:bottom w:val="single" w:sz="4" w:space="0" w:color="auto"/>
              <w:right w:val="single" w:sz="4" w:space="0" w:color="auto"/>
            </w:tcBorders>
            <w:noWrap/>
            <w:vAlign w:val="bottom"/>
            <w:hideMark/>
          </w:tcPr>
          <w:p w14:paraId="142F1F44" w14:textId="77777777" w:rsidR="00ED2DF2" w:rsidRPr="00ED2DF2" w:rsidRDefault="00ED2DF2" w:rsidP="003E0728">
            <w:pPr>
              <w:pStyle w:val="Tables"/>
            </w:pPr>
            <w:r w:rsidRPr="00ED2DF2">
              <w:t>16.8</w:t>
            </w:r>
          </w:p>
        </w:tc>
        <w:tc>
          <w:tcPr>
            <w:tcW w:w="791" w:type="dxa"/>
            <w:tcBorders>
              <w:top w:val="nil"/>
              <w:left w:val="nil"/>
              <w:bottom w:val="single" w:sz="4" w:space="0" w:color="auto"/>
              <w:right w:val="single" w:sz="4" w:space="0" w:color="auto"/>
            </w:tcBorders>
            <w:noWrap/>
            <w:vAlign w:val="bottom"/>
            <w:hideMark/>
          </w:tcPr>
          <w:p w14:paraId="6ECF2CCC" w14:textId="77777777" w:rsidR="00ED2DF2" w:rsidRPr="00ED2DF2" w:rsidRDefault="00ED2DF2" w:rsidP="003E0728">
            <w:pPr>
              <w:pStyle w:val="Tables"/>
            </w:pPr>
            <w:r w:rsidRPr="00ED2DF2">
              <w:t>21</w:t>
            </w:r>
          </w:p>
        </w:tc>
        <w:tc>
          <w:tcPr>
            <w:tcW w:w="791" w:type="dxa"/>
            <w:tcBorders>
              <w:top w:val="nil"/>
              <w:left w:val="nil"/>
              <w:bottom w:val="single" w:sz="4" w:space="0" w:color="auto"/>
              <w:right w:val="single" w:sz="4" w:space="0" w:color="auto"/>
            </w:tcBorders>
            <w:noWrap/>
            <w:vAlign w:val="bottom"/>
            <w:hideMark/>
          </w:tcPr>
          <w:p w14:paraId="1CF677B0" w14:textId="77777777" w:rsidR="00ED2DF2" w:rsidRPr="00ED2DF2" w:rsidRDefault="00ED2DF2" w:rsidP="003E0728">
            <w:pPr>
              <w:pStyle w:val="Tables"/>
            </w:pPr>
            <w:r w:rsidRPr="00ED2DF2">
              <w:t>21.1</w:t>
            </w:r>
          </w:p>
        </w:tc>
      </w:tr>
      <w:tr w:rsidR="00ED2DF2" w:rsidRPr="00ED2DF2" w14:paraId="55BA19E2" w14:textId="77777777" w:rsidTr="00E23521">
        <w:trPr>
          <w:trHeight w:val="397"/>
          <w:jc w:val="center"/>
        </w:trPr>
        <w:tc>
          <w:tcPr>
            <w:tcW w:w="2514" w:type="dxa"/>
            <w:tcBorders>
              <w:top w:val="nil"/>
              <w:left w:val="single" w:sz="4" w:space="0" w:color="auto"/>
              <w:bottom w:val="single" w:sz="4" w:space="0" w:color="auto"/>
              <w:right w:val="single" w:sz="4" w:space="0" w:color="auto"/>
            </w:tcBorders>
            <w:noWrap/>
            <w:vAlign w:val="bottom"/>
            <w:hideMark/>
          </w:tcPr>
          <w:p w14:paraId="411D4E94" w14:textId="77777777" w:rsidR="00ED2DF2" w:rsidRPr="00ED2DF2" w:rsidRDefault="00ED2DF2" w:rsidP="003E0728">
            <w:pPr>
              <w:pStyle w:val="Tables"/>
            </w:pPr>
            <w:r w:rsidRPr="00ED2DF2">
              <w:t>Stamps</w:t>
            </w:r>
          </w:p>
        </w:tc>
        <w:tc>
          <w:tcPr>
            <w:tcW w:w="791" w:type="dxa"/>
            <w:tcBorders>
              <w:top w:val="nil"/>
              <w:left w:val="nil"/>
              <w:bottom w:val="single" w:sz="4" w:space="0" w:color="auto"/>
              <w:right w:val="single" w:sz="4" w:space="0" w:color="auto"/>
            </w:tcBorders>
            <w:noWrap/>
            <w:vAlign w:val="bottom"/>
            <w:hideMark/>
          </w:tcPr>
          <w:p w14:paraId="1C5C4FD2" w14:textId="77777777" w:rsidR="00ED2DF2" w:rsidRPr="00ED2DF2" w:rsidRDefault="00ED2DF2" w:rsidP="003E0728">
            <w:pPr>
              <w:pStyle w:val="Tables"/>
            </w:pPr>
            <w:r w:rsidRPr="00ED2DF2">
              <w:t>10.69</w:t>
            </w:r>
          </w:p>
        </w:tc>
        <w:tc>
          <w:tcPr>
            <w:tcW w:w="940" w:type="dxa"/>
            <w:tcBorders>
              <w:top w:val="nil"/>
              <w:left w:val="nil"/>
              <w:bottom w:val="single" w:sz="4" w:space="0" w:color="auto"/>
              <w:right w:val="single" w:sz="4" w:space="0" w:color="auto"/>
            </w:tcBorders>
            <w:noWrap/>
            <w:vAlign w:val="bottom"/>
            <w:hideMark/>
          </w:tcPr>
          <w:p w14:paraId="1C6EECC7" w14:textId="77777777" w:rsidR="00ED2DF2" w:rsidRPr="00ED2DF2" w:rsidRDefault="00ED2DF2" w:rsidP="003E0728">
            <w:pPr>
              <w:pStyle w:val="Tables"/>
            </w:pPr>
            <w:r w:rsidRPr="00ED2DF2">
              <w:t>15.62</w:t>
            </w:r>
          </w:p>
        </w:tc>
        <w:tc>
          <w:tcPr>
            <w:tcW w:w="1053" w:type="dxa"/>
            <w:tcBorders>
              <w:top w:val="nil"/>
              <w:left w:val="nil"/>
              <w:bottom w:val="single" w:sz="4" w:space="0" w:color="auto"/>
              <w:right w:val="single" w:sz="4" w:space="0" w:color="auto"/>
            </w:tcBorders>
            <w:noWrap/>
            <w:vAlign w:val="bottom"/>
            <w:hideMark/>
          </w:tcPr>
          <w:p w14:paraId="667E5EB0" w14:textId="77777777" w:rsidR="00ED2DF2" w:rsidRPr="00ED2DF2" w:rsidRDefault="00ED2DF2" w:rsidP="003E0728">
            <w:pPr>
              <w:pStyle w:val="Tables"/>
            </w:pPr>
            <w:r w:rsidRPr="00ED2DF2">
              <w:t>19.56</w:t>
            </w:r>
          </w:p>
        </w:tc>
        <w:tc>
          <w:tcPr>
            <w:tcW w:w="791" w:type="dxa"/>
            <w:tcBorders>
              <w:top w:val="nil"/>
              <w:left w:val="nil"/>
              <w:bottom w:val="single" w:sz="4" w:space="0" w:color="auto"/>
              <w:right w:val="single" w:sz="4" w:space="0" w:color="auto"/>
            </w:tcBorders>
            <w:noWrap/>
            <w:vAlign w:val="bottom"/>
            <w:hideMark/>
          </w:tcPr>
          <w:p w14:paraId="19038252" w14:textId="77777777" w:rsidR="00ED2DF2" w:rsidRPr="00ED2DF2" w:rsidRDefault="00ED2DF2" w:rsidP="003E0728">
            <w:pPr>
              <w:pStyle w:val="Tables"/>
            </w:pPr>
            <w:r w:rsidRPr="00ED2DF2">
              <w:t>100</w:t>
            </w:r>
          </w:p>
        </w:tc>
        <w:tc>
          <w:tcPr>
            <w:tcW w:w="791" w:type="dxa"/>
            <w:tcBorders>
              <w:top w:val="nil"/>
              <w:left w:val="nil"/>
              <w:bottom w:val="single" w:sz="4" w:space="0" w:color="auto"/>
              <w:right w:val="single" w:sz="4" w:space="0" w:color="auto"/>
            </w:tcBorders>
            <w:noWrap/>
            <w:vAlign w:val="bottom"/>
            <w:hideMark/>
          </w:tcPr>
          <w:p w14:paraId="36AB4B59" w14:textId="77777777" w:rsidR="00ED2DF2" w:rsidRPr="00ED2DF2" w:rsidRDefault="00ED2DF2" w:rsidP="003E0728">
            <w:pPr>
              <w:pStyle w:val="Tables"/>
            </w:pPr>
            <w:r w:rsidRPr="00ED2DF2">
              <w:t>146</w:t>
            </w:r>
          </w:p>
        </w:tc>
        <w:tc>
          <w:tcPr>
            <w:tcW w:w="791" w:type="dxa"/>
            <w:tcBorders>
              <w:top w:val="nil"/>
              <w:left w:val="nil"/>
              <w:bottom w:val="single" w:sz="4" w:space="0" w:color="auto"/>
              <w:right w:val="single" w:sz="4" w:space="0" w:color="auto"/>
            </w:tcBorders>
            <w:noWrap/>
            <w:vAlign w:val="bottom"/>
            <w:hideMark/>
          </w:tcPr>
          <w:p w14:paraId="64765AB7" w14:textId="09EC29A8" w:rsidR="00ED2DF2" w:rsidRPr="00ED2DF2" w:rsidRDefault="00ED2DF2" w:rsidP="003E0728">
            <w:pPr>
              <w:pStyle w:val="Tables"/>
            </w:pPr>
            <w:r w:rsidRPr="00ED2DF2">
              <w:t>1</w:t>
            </w:r>
            <w:r w:rsidR="00C11113">
              <w:t>3</w:t>
            </w:r>
            <w:r w:rsidRPr="00ED2DF2">
              <w:t>3</w:t>
            </w:r>
          </w:p>
        </w:tc>
        <w:tc>
          <w:tcPr>
            <w:tcW w:w="791" w:type="dxa"/>
            <w:tcBorders>
              <w:top w:val="nil"/>
              <w:left w:val="nil"/>
              <w:bottom w:val="single" w:sz="4" w:space="0" w:color="auto"/>
              <w:right w:val="single" w:sz="4" w:space="0" w:color="auto"/>
            </w:tcBorders>
            <w:noWrap/>
            <w:vAlign w:val="bottom"/>
            <w:hideMark/>
          </w:tcPr>
          <w:p w14:paraId="2B82FFF7" w14:textId="77777777" w:rsidR="00ED2DF2" w:rsidRPr="00ED2DF2" w:rsidRDefault="00ED2DF2" w:rsidP="003E0728">
            <w:pPr>
              <w:pStyle w:val="Tables"/>
            </w:pPr>
            <w:r w:rsidRPr="00ED2DF2">
              <w:t>12.5</w:t>
            </w:r>
          </w:p>
        </w:tc>
        <w:tc>
          <w:tcPr>
            <w:tcW w:w="791" w:type="dxa"/>
            <w:tcBorders>
              <w:top w:val="nil"/>
              <w:left w:val="nil"/>
              <w:bottom w:val="single" w:sz="4" w:space="0" w:color="auto"/>
              <w:right w:val="single" w:sz="4" w:space="0" w:color="auto"/>
            </w:tcBorders>
            <w:noWrap/>
            <w:vAlign w:val="bottom"/>
            <w:hideMark/>
          </w:tcPr>
          <w:p w14:paraId="5BA26645" w14:textId="77777777" w:rsidR="00ED2DF2" w:rsidRPr="00ED2DF2" w:rsidRDefault="00ED2DF2" w:rsidP="003E0728">
            <w:pPr>
              <w:pStyle w:val="Tables"/>
            </w:pPr>
            <w:r w:rsidRPr="00ED2DF2">
              <w:t>7.3</w:t>
            </w:r>
          </w:p>
        </w:tc>
        <w:tc>
          <w:tcPr>
            <w:tcW w:w="791" w:type="dxa"/>
            <w:tcBorders>
              <w:top w:val="nil"/>
              <w:left w:val="nil"/>
              <w:bottom w:val="single" w:sz="4" w:space="0" w:color="auto"/>
              <w:right w:val="single" w:sz="4" w:space="0" w:color="auto"/>
            </w:tcBorders>
            <w:noWrap/>
            <w:vAlign w:val="bottom"/>
            <w:hideMark/>
          </w:tcPr>
          <w:p w14:paraId="003A401C" w14:textId="77777777" w:rsidR="00ED2DF2" w:rsidRPr="00ED2DF2" w:rsidRDefault="00ED2DF2" w:rsidP="003E0728">
            <w:pPr>
              <w:pStyle w:val="Tables"/>
            </w:pPr>
            <w:r w:rsidRPr="00ED2DF2">
              <w:t>7.9</w:t>
            </w:r>
          </w:p>
        </w:tc>
      </w:tr>
      <w:tr w:rsidR="00ED2DF2" w:rsidRPr="00ED2DF2" w14:paraId="55F3FEC4" w14:textId="77777777" w:rsidTr="00E23521">
        <w:trPr>
          <w:trHeight w:val="397"/>
          <w:jc w:val="center"/>
        </w:trPr>
        <w:tc>
          <w:tcPr>
            <w:tcW w:w="2514" w:type="dxa"/>
            <w:tcBorders>
              <w:top w:val="nil"/>
              <w:left w:val="single" w:sz="4" w:space="0" w:color="auto"/>
              <w:bottom w:val="single" w:sz="4" w:space="0" w:color="auto"/>
              <w:right w:val="single" w:sz="4" w:space="0" w:color="auto"/>
            </w:tcBorders>
            <w:noWrap/>
            <w:vAlign w:val="bottom"/>
            <w:hideMark/>
          </w:tcPr>
          <w:p w14:paraId="5F7FD748" w14:textId="77777777" w:rsidR="00ED2DF2" w:rsidRPr="00ED2DF2" w:rsidRDefault="00ED2DF2" w:rsidP="003E0728">
            <w:pPr>
              <w:pStyle w:val="Tables"/>
            </w:pPr>
            <w:r w:rsidRPr="00ED2DF2">
              <w:t>Registration</w:t>
            </w:r>
          </w:p>
        </w:tc>
        <w:tc>
          <w:tcPr>
            <w:tcW w:w="791" w:type="dxa"/>
            <w:tcBorders>
              <w:top w:val="nil"/>
              <w:left w:val="nil"/>
              <w:bottom w:val="single" w:sz="4" w:space="0" w:color="auto"/>
              <w:right w:val="single" w:sz="4" w:space="0" w:color="auto"/>
            </w:tcBorders>
            <w:noWrap/>
            <w:vAlign w:val="bottom"/>
            <w:hideMark/>
          </w:tcPr>
          <w:p w14:paraId="4672C7C3" w14:textId="77777777" w:rsidR="00ED2DF2" w:rsidRPr="00ED2DF2" w:rsidRDefault="00ED2DF2" w:rsidP="003E0728">
            <w:pPr>
              <w:pStyle w:val="Tables"/>
            </w:pPr>
            <w:r w:rsidRPr="00ED2DF2">
              <w:t>1.15</w:t>
            </w:r>
          </w:p>
        </w:tc>
        <w:tc>
          <w:tcPr>
            <w:tcW w:w="940" w:type="dxa"/>
            <w:tcBorders>
              <w:top w:val="nil"/>
              <w:left w:val="nil"/>
              <w:bottom w:val="single" w:sz="4" w:space="0" w:color="auto"/>
              <w:right w:val="single" w:sz="4" w:space="0" w:color="auto"/>
            </w:tcBorders>
            <w:noWrap/>
            <w:vAlign w:val="bottom"/>
            <w:hideMark/>
          </w:tcPr>
          <w:p w14:paraId="3C665F2E" w14:textId="77777777" w:rsidR="00ED2DF2" w:rsidRPr="00ED2DF2" w:rsidRDefault="00ED2DF2" w:rsidP="003E0728">
            <w:pPr>
              <w:pStyle w:val="Tables"/>
            </w:pPr>
            <w:r w:rsidRPr="00ED2DF2">
              <w:t>2.45</w:t>
            </w:r>
          </w:p>
        </w:tc>
        <w:tc>
          <w:tcPr>
            <w:tcW w:w="1053" w:type="dxa"/>
            <w:tcBorders>
              <w:top w:val="nil"/>
              <w:left w:val="nil"/>
              <w:bottom w:val="single" w:sz="4" w:space="0" w:color="auto"/>
              <w:right w:val="single" w:sz="4" w:space="0" w:color="auto"/>
            </w:tcBorders>
            <w:noWrap/>
            <w:vAlign w:val="bottom"/>
            <w:hideMark/>
          </w:tcPr>
          <w:p w14:paraId="3E5E2B4C" w14:textId="77777777" w:rsidR="00ED2DF2" w:rsidRPr="00ED2DF2" w:rsidRDefault="00ED2DF2" w:rsidP="003E0728">
            <w:pPr>
              <w:pStyle w:val="Tables"/>
            </w:pPr>
            <w:r w:rsidRPr="00ED2DF2">
              <w:t>3.02</w:t>
            </w:r>
          </w:p>
        </w:tc>
        <w:tc>
          <w:tcPr>
            <w:tcW w:w="791" w:type="dxa"/>
            <w:tcBorders>
              <w:top w:val="nil"/>
              <w:left w:val="nil"/>
              <w:bottom w:val="single" w:sz="4" w:space="0" w:color="auto"/>
              <w:right w:val="single" w:sz="4" w:space="0" w:color="auto"/>
            </w:tcBorders>
            <w:noWrap/>
            <w:vAlign w:val="bottom"/>
            <w:hideMark/>
          </w:tcPr>
          <w:p w14:paraId="3DAFD64E" w14:textId="77777777" w:rsidR="00ED2DF2" w:rsidRPr="00ED2DF2" w:rsidRDefault="00ED2DF2" w:rsidP="003E0728">
            <w:pPr>
              <w:pStyle w:val="Tables"/>
            </w:pPr>
            <w:r w:rsidRPr="00ED2DF2">
              <w:t>100</w:t>
            </w:r>
          </w:p>
        </w:tc>
        <w:tc>
          <w:tcPr>
            <w:tcW w:w="791" w:type="dxa"/>
            <w:tcBorders>
              <w:top w:val="nil"/>
              <w:left w:val="nil"/>
              <w:bottom w:val="single" w:sz="4" w:space="0" w:color="auto"/>
              <w:right w:val="single" w:sz="4" w:space="0" w:color="auto"/>
            </w:tcBorders>
            <w:noWrap/>
            <w:vAlign w:val="bottom"/>
            <w:hideMark/>
          </w:tcPr>
          <w:p w14:paraId="1DBD440E" w14:textId="77777777" w:rsidR="00ED2DF2" w:rsidRPr="00ED2DF2" w:rsidRDefault="00ED2DF2" w:rsidP="003E0728">
            <w:pPr>
              <w:pStyle w:val="Tables"/>
            </w:pPr>
            <w:r w:rsidRPr="00ED2DF2">
              <w:t>213</w:t>
            </w:r>
          </w:p>
        </w:tc>
        <w:tc>
          <w:tcPr>
            <w:tcW w:w="791" w:type="dxa"/>
            <w:tcBorders>
              <w:top w:val="nil"/>
              <w:left w:val="nil"/>
              <w:bottom w:val="single" w:sz="4" w:space="0" w:color="auto"/>
              <w:right w:val="single" w:sz="4" w:space="0" w:color="auto"/>
            </w:tcBorders>
            <w:noWrap/>
            <w:vAlign w:val="bottom"/>
            <w:hideMark/>
          </w:tcPr>
          <w:p w14:paraId="00E89F23" w14:textId="77777777" w:rsidR="00ED2DF2" w:rsidRPr="00ED2DF2" w:rsidRDefault="00ED2DF2" w:rsidP="003E0728">
            <w:pPr>
              <w:pStyle w:val="Tables"/>
            </w:pPr>
            <w:r w:rsidRPr="00ED2DF2">
              <w:t>263</w:t>
            </w:r>
          </w:p>
        </w:tc>
        <w:tc>
          <w:tcPr>
            <w:tcW w:w="791" w:type="dxa"/>
            <w:tcBorders>
              <w:top w:val="nil"/>
              <w:left w:val="nil"/>
              <w:bottom w:val="single" w:sz="4" w:space="0" w:color="auto"/>
              <w:right w:val="single" w:sz="4" w:space="0" w:color="auto"/>
            </w:tcBorders>
            <w:noWrap/>
            <w:vAlign w:val="bottom"/>
            <w:hideMark/>
          </w:tcPr>
          <w:p w14:paraId="772DB137" w14:textId="77777777" w:rsidR="00ED2DF2" w:rsidRPr="00ED2DF2" w:rsidRDefault="00ED2DF2" w:rsidP="003E0728">
            <w:pPr>
              <w:pStyle w:val="Tables"/>
            </w:pPr>
            <w:r w:rsidRPr="00ED2DF2">
              <w:t>1.3</w:t>
            </w:r>
          </w:p>
        </w:tc>
        <w:tc>
          <w:tcPr>
            <w:tcW w:w="791" w:type="dxa"/>
            <w:tcBorders>
              <w:top w:val="nil"/>
              <w:left w:val="nil"/>
              <w:bottom w:val="single" w:sz="4" w:space="0" w:color="auto"/>
              <w:right w:val="single" w:sz="4" w:space="0" w:color="auto"/>
            </w:tcBorders>
            <w:noWrap/>
            <w:vAlign w:val="bottom"/>
            <w:hideMark/>
          </w:tcPr>
          <w:p w14:paraId="2EF49154" w14:textId="77777777" w:rsidR="00ED2DF2" w:rsidRPr="00ED2DF2" w:rsidRDefault="00ED2DF2" w:rsidP="003E0728">
            <w:pPr>
              <w:pStyle w:val="Tables"/>
            </w:pPr>
            <w:r w:rsidRPr="00ED2DF2">
              <w:t>1.1</w:t>
            </w:r>
          </w:p>
        </w:tc>
        <w:tc>
          <w:tcPr>
            <w:tcW w:w="791" w:type="dxa"/>
            <w:tcBorders>
              <w:top w:val="nil"/>
              <w:left w:val="nil"/>
              <w:bottom w:val="single" w:sz="4" w:space="0" w:color="auto"/>
              <w:right w:val="single" w:sz="4" w:space="0" w:color="auto"/>
            </w:tcBorders>
            <w:noWrap/>
            <w:vAlign w:val="bottom"/>
            <w:hideMark/>
          </w:tcPr>
          <w:p w14:paraId="77781CC1" w14:textId="77777777" w:rsidR="00ED2DF2" w:rsidRPr="00ED2DF2" w:rsidRDefault="00ED2DF2" w:rsidP="003E0728">
            <w:pPr>
              <w:pStyle w:val="Tables"/>
            </w:pPr>
            <w:r w:rsidRPr="00ED2DF2">
              <w:t>1.2</w:t>
            </w:r>
          </w:p>
        </w:tc>
      </w:tr>
      <w:tr w:rsidR="00ED2DF2" w:rsidRPr="00ED2DF2" w14:paraId="5A07ADC9" w14:textId="77777777" w:rsidTr="00E23521">
        <w:trPr>
          <w:trHeight w:val="397"/>
          <w:jc w:val="center"/>
        </w:trPr>
        <w:tc>
          <w:tcPr>
            <w:tcW w:w="2514" w:type="dxa"/>
            <w:tcBorders>
              <w:top w:val="nil"/>
              <w:left w:val="single" w:sz="4" w:space="0" w:color="auto"/>
              <w:bottom w:val="single" w:sz="4" w:space="0" w:color="auto"/>
              <w:right w:val="single" w:sz="4" w:space="0" w:color="auto"/>
            </w:tcBorders>
            <w:noWrap/>
            <w:vAlign w:val="bottom"/>
            <w:hideMark/>
          </w:tcPr>
          <w:p w14:paraId="0C81795A" w14:textId="77777777" w:rsidR="00ED2DF2" w:rsidRPr="00ED2DF2" w:rsidRDefault="00ED2DF2" w:rsidP="003E0728">
            <w:pPr>
              <w:pStyle w:val="Tables"/>
            </w:pPr>
            <w:r w:rsidRPr="00ED2DF2">
              <w:t>Sales Tax</w:t>
            </w:r>
          </w:p>
        </w:tc>
        <w:tc>
          <w:tcPr>
            <w:tcW w:w="791" w:type="dxa"/>
            <w:tcBorders>
              <w:top w:val="nil"/>
              <w:left w:val="nil"/>
              <w:bottom w:val="single" w:sz="4" w:space="0" w:color="auto"/>
              <w:right w:val="single" w:sz="4" w:space="0" w:color="auto"/>
            </w:tcBorders>
            <w:noWrap/>
            <w:vAlign w:val="bottom"/>
            <w:hideMark/>
          </w:tcPr>
          <w:p w14:paraId="5E19247F" w14:textId="77777777" w:rsidR="00ED2DF2" w:rsidRPr="00ED2DF2" w:rsidRDefault="00ED2DF2" w:rsidP="003E0728">
            <w:pPr>
              <w:pStyle w:val="Tables"/>
            </w:pPr>
            <w:r w:rsidRPr="00ED2DF2">
              <w:t>...</w:t>
            </w:r>
          </w:p>
        </w:tc>
        <w:tc>
          <w:tcPr>
            <w:tcW w:w="940" w:type="dxa"/>
            <w:tcBorders>
              <w:top w:val="nil"/>
              <w:left w:val="nil"/>
              <w:bottom w:val="single" w:sz="4" w:space="0" w:color="auto"/>
              <w:right w:val="single" w:sz="4" w:space="0" w:color="auto"/>
            </w:tcBorders>
            <w:noWrap/>
            <w:vAlign w:val="bottom"/>
            <w:hideMark/>
          </w:tcPr>
          <w:p w14:paraId="0599FBD3" w14:textId="2BC20A5A" w:rsidR="00ED2DF2" w:rsidRPr="00ED2DF2" w:rsidRDefault="00ED2DF2" w:rsidP="003E0728">
            <w:pPr>
              <w:pStyle w:val="Tables"/>
            </w:pPr>
            <w:r w:rsidRPr="00ED2DF2">
              <w:t>6.6</w:t>
            </w:r>
            <w:r w:rsidR="00C11113">
              <w:t>0</w:t>
            </w:r>
          </w:p>
        </w:tc>
        <w:tc>
          <w:tcPr>
            <w:tcW w:w="1053" w:type="dxa"/>
            <w:tcBorders>
              <w:top w:val="nil"/>
              <w:left w:val="nil"/>
              <w:bottom w:val="single" w:sz="4" w:space="0" w:color="auto"/>
              <w:right w:val="single" w:sz="4" w:space="0" w:color="auto"/>
            </w:tcBorders>
            <w:noWrap/>
            <w:vAlign w:val="bottom"/>
            <w:hideMark/>
          </w:tcPr>
          <w:p w14:paraId="7F5E7F67" w14:textId="5D48FFCD" w:rsidR="00ED2DF2" w:rsidRPr="00ED2DF2" w:rsidRDefault="00ED2DF2" w:rsidP="003E0728">
            <w:pPr>
              <w:pStyle w:val="Tables"/>
            </w:pPr>
            <w:r w:rsidRPr="00ED2DF2">
              <w:t>9.7</w:t>
            </w:r>
            <w:r w:rsidR="00C11113">
              <w:t>1</w:t>
            </w:r>
          </w:p>
        </w:tc>
        <w:tc>
          <w:tcPr>
            <w:tcW w:w="791" w:type="dxa"/>
            <w:tcBorders>
              <w:top w:val="nil"/>
              <w:left w:val="nil"/>
              <w:bottom w:val="single" w:sz="4" w:space="0" w:color="auto"/>
              <w:right w:val="single" w:sz="4" w:space="0" w:color="auto"/>
            </w:tcBorders>
            <w:noWrap/>
            <w:vAlign w:val="bottom"/>
            <w:hideMark/>
          </w:tcPr>
          <w:p w14:paraId="674A83A2" w14:textId="77777777" w:rsidR="00ED2DF2" w:rsidRPr="00ED2DF2" w:rsidRDefault="00ED2DF2" w:rsidP="003E0728">
            <w:pPr>
              <w:pStyle w:val="Tables"/>
            </w:pPr>
            <w:r w:rsidRPr="00ED2DF2">
              <w:t>...</w:t>
            </w:r>
          </w:p>
        </w:tc>
        <w:tc>
          <w:tcPr>
            <w:tcW w:w="791" w:type="dxa"/>
            <w:tcBorders>
              <w:top w:val="nil"/>
              <w:left w:val="nil"/>
              <w:bottom w:val="single" w:sz="4" w:space="0" w:color="auto"/>
              <w:right w:val="single" w:sz="4" w:space="0" w:color="auto"/>
            </w:tcBorders>
            <w:noWrap/>
            <w:vAlign w:val="bottom"/>
            <w:hideMark/>
          </w:tcPr>
          <w:p w14:paraId="30A8C960" w14:textId="77777777" w:rsidR="00ED2DF2" w:rsidRPr="00ED2DF2" w:rsidRDefault="00ED2DF2" w:rsidP="003E0728">
            <w:pPr>
              <w:pStyle w:val="Tables"/>
            </w:pPr>
            <w:r w:rsidRPr="00ED2DF2">
              <w:t>...</w:t>
            </w:r>
          </w:p>
        </w:tc>
        <w:tc>
          <w:tcPr>
            <w:tcW w:w="791" w:type="dxa"/>
            <w:tcBorders>
              <w:top w:val="nil"/>
              <w:left w:val="nil"/>
              <w:bottom w:val="single" w:sz="4" w:space="0" w:color="auto"/>
              <w:right w:val="single" w:sz="4" w:space="0" w:color="auto"/>
            </w:tcBorders>
            <w:noWrap/>
            <w:vAlign w:val="bottom"/>
            <w:hideMark/>
          </w:tcPr>
          <w:p w14:paraId="56423473" w14:textId="77777777" w:rsidR="00ED2DF2" w:rsidRPr="00ED2DF2" w:rsidRDefault="00ED2DF2" w:rsidP="003E0728">
            <w:pPr>
              <w:pStyle w:val="Tables"/>
            </w:pPr>
            <w:r w:rsidRPr="00ED2DF2">
              <w:t>...</w:t>
            </w:r>
          </w:p>
        </w:tc>
        <w:tc>
          <w:tcPr>
            <w:tcW w:w="791" w:type="dxa"/>
            <w:tcBorders>
              <w:top w:val="nil"/>
              <w:left w:val="nil"/>
              <w:bottom w:val="single" w:sz="4" w:space="0" w:color="auto"/>
              <w:right w:val="single" w:sz="4" w:space="0" w:color="auto"/>
            </w:tcBorders>
            <w:noWrap/>
            <w:vAlign w:val="bottom"/>
            <w:hideMark/>
          </w:tcPr>
          <w:p w14:paraId="44E3120B" w14:textId="77777777" w:rsidR="00ED2DF2" w:rsidRPr="00ED2DF2" w:rsidRDefault="00ED2DF2" w:rsidP="003E0728">
            <w:pPr>
              <w:pStyle w:val="Tables"/>
            </w:pPr>
            <w:r w:rsidRPr="00ED2DF2">
              <w:t>...</w:t>
            </w:r>
          </w:p>
        </w:tc>
        <w:tc>
          <w:tcPr>
            <w:tcW w:w="791" w:type="dxa"/>
            <w:tcBorders>
              <w:top w:val="nil"/>
              <w:left w:val="nil"/>
              <w:bottom w:val="single" w:sz="4" w:space="0" w:color="auto"/>
              <w:right w:val="single" w:sz="4" w:space="0" w:color="auto"/>
            </w:tcBorders>
            <w:noWrap/>
            <w:vAlign w:val="bottom"/>
            <w:hideMark/>
          </w:tcPr>
          <w:p w14:paraId="563809E9" w14:textId="77777777" w:rsidR="00ED2DF2" w:rsidRPr="00ED2DF2" w:rsidRDefault="00ED2DF2" w:rsidP="003E0728">
            <w:pPr>
              <w:pStyle w:val="Tables"/>
            </w:pPr>
            <w:r w:rsidRPr="00ED2DF2">
              <w:t>3.1</w:t>
            </w:r>
          </w:p>
        </w:tc>
        <w:tc>
          <w:tcPr>
            <w:tcW w:w="791" w:type="dxa"/>
            <w:tcBorders>
              <w:top w:val="nil"/>
              <w:left w:val="nil"/>
              <w:bottom w:val="single" w:sz="4" w:space="0" w:color="auto"/>
              <w:right w:val="single" w:sz="4" w:space="0" w:color="auto"/>
            </w:tcBorders>
            <w:noWrap/>
            <w:vAlign w:val="bottom"/>
            <w:hideMark/>
          </w:tcPr>
          <w:p w14:paraId="3EE10849" w14:textId="77777777" w:rsidR="00ED2DF2" w:rsidRPr="00ED2DF2" w:rsidRDefault="00ED2DF2" w:rsidP="003E0728">
            <w:pPr>
              <w:pStyle w:val="Tables"/>
            </w:pPr>
            <w:r w:rsidRPr="00ED2DF2">
              <w:t>3.9</w:t>
            </w:r>
          </w:p>
        </w:tc>
      </w:tr>
      <w:tr w:rsidR="00ED2DF2" w:rsidRPr="00ED2DF2" w14:paraId="24DB0E4C" w14:textId="77777777" w:rsidTr="00E23521">
        <w:trPr>
          <w:trHeight w:val="397"/>
          <w:jc w:val="center"/>
        </w:trPr>
        <w:tc>
          <w:tcPr>
            <w:tcW w:w="2514" w:type="dxa"/>
            <w:tcBorders>
              <w:top w:val="nil"/>
              <w:left w:val="single" w:sz="4" w:space="0" w:color="auto"/>
              <w:bottom w:val="single" w:sz="4" w:space="0" w:color="auto"/>
              <w:right w:val="single" w:sz="4" w:space="0" w:color="auto"/>
            </w:tcBorders>
            <w:noWrap/>
            <w:vAlign w:val="bottom"/>
            <w:hideMark/>
          </w:tcPr>
          <w:p w14:paraId="73A2ECFB" w14:textId="77777777" w:rsidR="00ED2DF2" w:rsidRPr="00ED2DF2" w:rsidRDefault="00ED2DF2" w:rsidP="003E0728">
            <w:pPr>
              <w:pStyle w:val="Tables"/>
            </w:pPr>
            <w:r w:rsidRPr="00ED2DF2">
              <w:t>Forests</w:t>
            </w:r>
          </w:p>
        </w:tc>
        <w:tc>
          <w:tcPr>
            <w:tcW w:w="791" w:type="dxa"/>
            <w:tcBorders>
              <w:top w:val="nil"/>
              <w:left w:val="nil"/>
              <w:bottom w:val="single" w:sz="4" w:space="0" w:color="auto"/>
              <w:right w:val="single" w:sz="4" w:space="0" w:color="auto"/>
            </w:tcBorders>
            <w:noWrap/>
            <w:vAlign w:val="bottom"/>
            <w:hideMark/>
          </w:tcPr>
          <w:p w14:paraId="4C6A47C7" w14:textId="77777777" w:rsidR="00ED2DF2" w:rsidRPr="00ED2DF2" w:rsidRDefault="00ED2DF2" w:rsidP="003E0728">
            <w:pPr>
              <w:pStyle w:val="Tables"/>
            </w:pPr>
            <w:r w:rsidRPr="00ED2DF2">
              <w:t>2.81</w:t>
            </w:r>
          </w:p>
        </w:tc>
        <w:tc>
          <w:tcPr>
            <w:tcW w:w="940" w:type="dxa"/>
            <w:tcBorders>
              <w:top w:val="nil"/>
              <w:left w:val="nil"/>
              <w:bottom w:val="single" w:sz="4" w:space="0" w:color="auto"/>
              <w:right w:val="single" w:sz="4" w:space="0" w:color="auto"/>
            </w:tcBorders>
            <w:noWrap/>
            <w:vAlign w:val="bottom"/>
            <w:hideMark/>
          </w:tcPr>
          <w:p w14:paraId="24507B08" w14:textId="77777777" w:rsidR="00ED2DF2" w:rsidRPr="00ED2DF2" w:rsidRDefault="00ED2DF2" w:rsidP="003E0728">
            <w:pPr>
              <w:pStyle w:val="Tables"/>
            </w:pPr>
            <w:r w:rsidRPr="00ED2DF2">
              <w:t>12.33</w:t>
            </w:r>
          </w:p>
        </w:tc>
        <w:tc>
          <w:tcPr>
            <w:tcW w:w="1053" w:type="dxa"/>
            <w:tcBorders>
              <w:top w:val="nil"/>
              <w:left w:val="nil"/>
              <w:bottom w:val="single" w:sz="4" w:space="0" w:color="auto"/>
              <w:right w:val="single" w:sz="4" w:space="0" w:color="auto"/>
            </w:tcBorders>
            <w:noWrap/>
            <w:vAlign w:val="bottom"/>
            <w:hideMark/>
          </w:tcPr>
          <w:p w14:paraId="3E8C9E4D" w14:textId="77777777" w:rsidR="00ED2DF2" w:rsidRPr="00ED2DF2" w:rsidRDefault="00ED2DF2" w:rsidP="003E0728">
            <w:pPr>
              <w:pStyle w:val="Tables"/>
            </w:pPr>
            <w:r w:rsidRPr="00ED2DF2">
              <w:t>11.32</w:t>
            </w:r>
          </w:p>
        </w:tc>
        <w:tc>
          <w:tcPr>
            <w:tcW w:w="791" w:type="dxa"/>
            <w:tcBorders>
              <w:top w:val="nil"/>
              <w:left w:val="nil"/>
              <w:bottom w:val="single" w:sz="4" w:space="0" w:color="auto"/>
              <w:right w:val="single" w:sz="4" w:space="0" w:color="auto"/>
            </w:tcBorders>
            <w:noWrap/>
            <w:vAlign w:val="bottom"/>
            <w:hideMark/>
          </w:tcPr>
          <w:p w14:paraId="33A1B2E2" w14:textId="77777777" w:rsidR="00ED2DF2" w:rsidRPr="00ED2DF2" w:rsidRDefault="00ED2DF2" w:rsidP="003E0728">
            <w:pPr>
              <w:pStyle w:val="Tables"/>
            </w:pPr>
            <w:r w:rsidRPr="00ED2DF2">
              <w:t>100</w:t>
            </w:r>
          </w:p>
        </w:tc>
        <w:tc>
          <w:tcPr>
            <w:tcW w:w="791" w:type="dxa"/>
            <w:tcBorders>
              <w:top w:val="nil"/>
              <w:left w:val="nil"/>
              <w:bottom w:val="single" w:sz="4" w:space="0" w:color="auto"/>
              <w:right w:val="single" w:sz="4" w:space="0" w:color="auto"/>
            </w:tcBorders>
            <w:noWrap/>
            <w:vAlign w:val="bottom"/>
            <w:hideMark/>
          </w:tcPr>
          <w:p w14:paraId="5D5869CE" w14:textId="77777777" w:rsidR="00ED2DF2" w:rsidRPr="00ED2DF2" w:rsidRDefault="00ED2DF2" w:rsidP="003E0728">
            <w:pPr>
              <w:pStyle w:val="Tables"/>
            </w:pPr>
            <w:r w:rsidRPr="00ED2DF2">
              <w:t>439</w:t>
            </w:r>
          </w:p>
        </w:tc>
        <w:tc>
          <w:tcPr>
            <w:tcW w:w="791" w:type="dxa"/>
            <w:tcBorders>
              <w:top w:val="nil"/>
              <w:left w:val="nil"/>
              <w:bottom w:val="single" w:sz="4" w:space="0" w:color="auto"/>
              <w:right w:val="single" w:sz="4" w:space="0" w:color="auto"/>
            </w:tcBorders>
            <w:noWrap/>
            <w:vAlign w:val="bottom"/>
            <w:hideMark/>
          </w:tcPr>
          <w:p w14:paraId="23DFFEA5" w14:textId="77777777" w:rsidR="00ED2DF2" w:rsidRPr="00ED2DF2" w:rsidRDefault="00ED2DF2" w:rsidP="003E0728">
            <w:pPr>
              <w:pStyle w:val="Tables"/>
            </w:pPr>
            <w:r w:rsidRPr="00ED2DF2">
              <w:t>403</w:t>
            </w:r>
          </w:p>
        </w:tc>
        <w:tc>
          <w:tcPr>
            <w:tcW w:w="791" w:type="dxa"/>
            <w:tcBorders>
              <w:top w:val="nil"/>
              <w:left w:val="nil"/>
              <w:bottom w:val="single" w:sz="4" w:space="0" w:color="auto"/>
              <w:right w:val="single" w:sz="4" w:space="0" w:color="auto"/>
            </w:tcBorders>
            <w:noWrap/>
            <w:vAlign w:val="bottom"/>
            <w:hideMark/>
          </w:tcPr>
          <w:p w14:paraId="6338CE9D" w14:textId="77777777" w:rsidR="00ED2DF2" w:rsidRPr="00ED2DF2" w:rsidRDefault="00ED2DF2" w:rsidP="003E0728">
            <w:pPr>
              <w:pStyle w:val="Tables"/>
            </w:pPr>
            <w:r w:rsidRPr="00ED2DF2">
              <w:t>3.3</w:t>
            </w:r>
          </w:p>
        </w:tc>
        <w:tc>
          <w:tcPr>
            <w:tcW w:w="791" w:type="dxa"/>
            <w:tcBorders>
              <w:top w:val="nil"/>
              <w:left w:val="nil"/>
              <w:bottom w:val="single" w:sz="4" w:space="0" w:color="auto"/>
              <w:right w:val="single" w:sz="4" w:space="0" w:color="auto"/>
            </w:tcBorders>
            <w:noWrap/>
            <w:vAlign w:val="bottom"/>
            <w:hideMark/>
          </w:tcPr>
          <w:p w14:paraId="155B529A" w14:textId="77777777" w:rsidR="00ED2DF2" w:rsidRPr="00ED2DF2" w:rsidRDefault="00ED2DF2" w:rsidP="003E0728">
            <w:pPr>
              <w:pStyle w:val="Tables"/>
            </w:pPr>
            <w:r w:rsidRPr="00ED2DF2">
              <w:t>5.8</w:t>
            </w:r>
          </w:p>
        </w:tc>
        <w:tc>
          <w:tcPr>
            <w:tcW w:w="791" w:type="dxa"/>
            <w:tcBorders>
              <w:top w:val="nil"/>
              <w:left w:val="nil"/>
              <w:bottom w:val="single" w:sz="4" w:space="0" w:color="auto"/>
              <w:right w:val="single" w:sz="4" w:space="0" w:color="auto"/>
            </w:tcBorders>
            <w:noWrap/>
            <w:vAlign w:val="bottom"/>
            <w:hideMark/>
          </w:tcPr>
          <w:p w14:paraId="6B7C9132" w14:textId="77777777" w:rsidR="00ED2DF2" w:rsidRPr="00ED2DF2" w:rsidRDefault="00ED2DF2" w:rsidP="003E0728">
            <w:pPr>
              <w:pStyle w:val="Tables"/>
            </w:pPr>
            <w:r w:rsidRPr="00ED2DF2">
              <w:t>4.6</w:t>
            </w:r>
          </w:p>
        </w:tc>
      </w:tr>
      <w:tr w:rsidR="00ED2DF2" w:rsidRPr="00ED2DF2" w14:paraId="597C1520" w14:textId="77777777" w:rsidTr="00E23521">
        <w:trPr>
          <w:trHeight w:val="397"/>
          <w:jc w:val="center"/>
        </w:trPr>
        <w:tc>
          <w:tcPr>
            <w:tcW w:w="2514" w:type="dxa"/>
            <w:tcBorders>
              <w:top w:val="nil"/>
              <w:left w:val="single" w:sz="4" w:space="0" w:color="auto"/>
              <w:bottom w:val="single" w:sz="4" w:space="0" w:color="auto"/>
              <w:right w:val="single" w:sz="4" w:space="0" w:color="auto"/>
            </w:tcBorders>
            <w:noWrap/>
            <w:vAlign w:val="bottom"/>
            <w:hideMark/>
          </w:tcPr>
          <w:p w14:paraId="02C03914" w14:textId="77777777" w:rsidR="00ED2DF2" w:rsidRPr="00ED2DF2" w:rsidRDefault="00ED2DF2" w:rsidP="003E0728">
            <w:pPr>
              <w:pStyle w:val="Tables"/>
            </w:pPr>
            <w:r w:rsidRPr="00ED2DF2">
              <w:t>Irrigation</w:t>
            </w:r>
          </w:p>
        </w:tc>
        <w:tc>
          <w:tcPr>
            <w:tcW w:w="791" w:type="dxa"/>
            <w:tcBorders>
              <w:top w:val="nil"/>
              <w:left w:val="nil"/>
              <w:bottom w:val="single" w:sz="4" w:space="0" w:color="auto"/>
              <w:right w:val="single" w:sz="4" w:space="0" w:color="auto"/>
            </w:tcBorders>
            <w:noWrap/>
            <w:vAlign w:val="bottom"/>
            <w:hideMark/>
          </w:tcPr>
          <w:p w14:paraId="235A61F9" w14:textId="77777777" w:rsidR="00ED2DF2" w:rsidRPr="00ED2DF2" w:rsidRDefault="00ED2DF2" w:rsidP="003E0728">
            <w:pPr>
              <w:pStyle w:val="Tables"/>
            </w:pPr>
            <w:r w:rsidRPr="00ED2DF2">
              <w:t>9.32</w:t>
            </w:r>
          </w:p>
        </w:tc>
        <w:tc>
          <w:tcPr>
            <w:tcW w:w="940" w:type="dxa"/>
            <w:tcBorders>
              <w:top w:val="nil"/>
              <w:left w:val="nil"/>
              <w:bottom w:val="single" w:sz="4" w:space="0" w:color="auto"/>
              <w:right w:val="single" w:sz="4" w:space="0" w:color="auto"/>
            </w:tcBorders>
            <w:noWrap/>
            <w:vAlign w:val="bottom"/>
            <w:hideMark/>
          </w:tcPr>
          <w:p w14:paraId="5D6D5FA7" w14:textId="77777777" w:rsidR="00ED2DF2" w:rsidRPr="00ED2DF2" w:rsidRDefault="00ED2DF2" w:rsidP="003E0728">
            <w:pPr>
              <w:pStyle w:val="Tables"/>
            </w:pPr>
            <w:r w:rsidRPr="00ED2DF2">
              <w:t>13.89</w:t>
            </w:r>
          </w:p>
        </w:tc>
        <w:tc>
          <w:tcPr>
            <w:tcW w:w="1053" w:type="dxa"/>
            <w:tcBorders>
              <w:top w:val="nil"/>
              <w:left w:val="nil"/>
              <w:bottom w:val="single" w:sz="4" w:space="0" w:color="auto"/>
              <w:right w:val="single" w:sz="4" w:space="0" w:color="auto"/>
            </w:tcBorders>
            <w:noWrap/>
            <w:vAlign w:val="bottom"/>
            <w:hideMark/>
          </w:tcPr>
          <w:p w14:paraId="47FB847A" w14:textId="77777777" w:rsidR="00ED2DF2" w:rsidRPr="00ED2DF2" w:rsidRDefault="00ED2DF2" w:rsidP="003E0728">
            <w:pPr>
              <w:pStyle w:val="Tables"/>
            </w:pPr>
            <w:r w:rsidRPr="00ED2DF2">
              <w:t>13.15</w:t>
            </w:r>
          </w:p>
        </w:tc>
        <w:tc>
          <w:tcPr>
            <w:tcW w:w="791" w:type="dxa"/>
            <w:tcBorders>
              <w:top w:val="nil"/>
              <w:left w:val="nil"/>
              <w:bottom w:val="single" w:sz="4" w:space="0" w:color="auto"/>
              <w:right w:val="single" w:sz="4" w:space="0" w:color="auto"/>
            </w:tcBorders>
            <w:noWrap/>
            <w:vAlign w:val="bottom"/>
            <w:hideMark/>
          </w:tcPr>
          <w:p w14:paraId="17160AFF" w14:textId="77777777" w:rsidR="00ED2DF2" w:rsidRPr="00ED2DF2" w:rsidRDefault="00ED2DF2" w:rsidP="003E0728">
            <w:pPr>
              <w:pStyle w:val="Tables"/>
            </w:pPr>
            <w:r w:rsidRPr="00ED2DF2">
              <w:t>100</w:t>
            </w:r>
          </w:p>
        </w:tc>
        <w:tc>
          <w:tcPr>
            <w:tcW w:w="791" w:type="dxa"/>
            <w:tcBorders>
              <w:top w:val="nil"/>
              <w:left w:val="nil"/>
              <w:bottom w:val="single" w:sz="4" w:space="0" w:color="auto"/>
              <w:right w:val="single" w:sz="4" w:space="0" w:color="auto"/>
            </w:tcBorders>
            <w:noWrap/>
            <w:vAlign w:val="bottom"/>
            <w:hideMark/>
          </w:tcPr>
          <w:p w14:paraId="43B0A7D6" w14:textId="77777777" w:rsidR="00ED2DF2" w:rsidRPr="00ED2DF2" w:rsidRDefault="00ED2DF2" w:rsidP="003E0728">
            <w:pPr>
              <w:pStyle w:val="Tables"/>
            </w:pPr>
            <w:r w:rsidRPr="00ED2DF2">
              <w:t>149</w:t>
            </w:r>
          </w:p>
        </w:tc>
        <w:tc>
          <w:tcPr>
            <w:tcW w:w="791" w:type="dxa"/>
            <w:tcBorders>
              <w:top w:val="nil"/>
              <w:left w:val="nil"/>
              <w:bottom w:val="single" w:sz="4" w:space="0" w:color="auto"/>
              <w:right w:val="single" w:sz="4" w:space="0" w:color="auto"/>
            </w:tcBorders>
            <w:noWrap/>
            <w:vAlign w:val="bottom"/>
            <w:hideMark/>
          </w:tcPr>
          <w:p w14:paraId="6B23965B" w14:textId="77777777" w:rsidR="00ED2DF2" w:rsidRPr="00ED2DF2" w:rsidRDefault="00ED2DF2" w:rsidP="003E0728">
            <w:pPr>
              <w:pStyle w:val="Tables"/>
            </w:pPr>
            <w:r w:rsidRPr="00ED2DF2">
              <w:t>141</w:t>
            </w:r>
          </w:p>
        </w:tc>
        <w:tc>
          <w:tcPr>
            <w:tcW w:w="791" w:type="dxa"/>
            <w:tcBorders>
              <w:top w:val="nil"/>
              <w:left w:val="nil"/>
              <w:bottom w:val="single" w:sz="4" w:space="0" w:color="auto"/>
              <w:right w:val="single" w:sz="4" w:space="0" w:color="auto"/>
            </w:tcBorders>
            <w:noWrap/>
            <w:vAlign w:val="bottom"/>
            <w:hideMark/>
          </w:tcPr>
          <w:p w14:paraId="4F4C0430" w14:textId="77777777" w:rsidR="00ED2DF2" w:rsidRPr="00ED2DF2" w:rsidRDefault="00ED2DF2" w:rsidP="003E0728">
            <w:pPr>
              <w:pStyle w:val="Tables"/>
            </w:pPr>
            <w:r w:rsidRPr="00ED2DF2">
              <w:t>10.9</w:t>
            </w:r>
          </w:p>
        </w:tc>
        <w:tc>
          <w:tcPr>
            <w:tcW w:w="791" w:type="dxa"/>
            <w:tcBorders>
              <w:top w:val="nil"/>
              <w:left w:val="nil"/>
              <w:bottom w:val="single" w:sz="4" w:space="0" w:color="auto"/>
              <w:right w:val="single" w:sz="4" w:space="0" w:color="auto"/>
            </w:tcBorders>
            <w:noWrap/>
            <w:vAlign w:val="bottom"/>
            <w:hideMark/>
          </w:tcPr>
          <w:p w14:paraId="32498B44" w14:textId="77777777" w:rsidR="00ED2DF2" w:rsidRPr="00ED2DF2" w:rsidRDefault="00ED2DF2" w:rsidP="003E0728">
            <w:pPr>
              <w:pStyle w:val="Tables"/>
            </w:pPr>
            <w:r w:rsidRPr="00ED2DF2">
              <w:t>6.5</w:t>
            </w:r>
          </w:p>
        </w:tc>
        <w:tc>
          <w:tcPr>
            <w:tcW w:w="791" w:type="dxa"/>
            <w:tcBorders>
              <w:top w:val="nil"/>
              <w:left w:val="nil"/>
              <w:bottom w:val="single" w:sz="4" w:space="0" w:color="auto"/>
              <w:right w:val="single" w:sz="4" w:space="0" w:color="auto"/>
            </w:tcBorders>
            <w:noWrap/>
            <w:vAlign w:val="bottom"/>
            <w:hideMark/>
          </w:tcPr>
          <w:p w14:paraId="4A7083C6" w14:textId="77777777" w:rsidR="00ED2DF2" w:rsidRPr="00ED2DF2" w:rsidRDefault="00ED2DF2" w:rsidP="003E0728">
            <w:pPr>
              <w:pStyle w:val="Tables"/>
            </w:pPr>
            <w:r w:rsidRPr="00ED2DF2">
              <w:t>5.3</w:t>
            </w:r>
          </w:p>
        </w:tc>
      </w:tr>
      <w:tr w:rsidR="00ED2DF2" w:rsidRPr="00ED2DF2" w14:paraId="61736489" w14:textId="77777777" w:rsidTr="00E23521">
        <w:trPr>
          <w:trHeight w:val="397"/>
          <w:jc w:val="center"/>
        </w:trPr>
        <w:tc>
          <w:tcPr>
            <w:tcW w:w="2514" w:type="dxa"/>
            <w:tcBorders>
              <w:top w:val="nil"/>
              <w:left w:val="single" w:sz="4" w:space="0" w:color="auto"/>
              <w:bottom w:val="single" w:sz="4" w:space="0" w:color="auto"/>
              <w:right w:val="single" w:sz="4" w:space="0" w:color="auto"/>
            </w:tcBorders>
            <w:noWrap/>
            <w:vAlign w:val="bottom"/>
            <w:hideMark/>
          </w:tcPr>
          <w:p w14:paraId="0843506F" w14:textId="77777777" w:rsidR="00ED2DF2" w:rsidRPr="00ED2DF2" w:rsidRDefault="00ED2DF2" w:rsidP="003E0728">
            <w:pPr>
              <w:pStyle w:val="Tables"/>
            </w:pPr>
            <w:r w:rsidRPr="00ED2DF2">
              <w:t>Devolution of Revenue and Grants from the Centre</w:t>
            </w:r>
          </w:p>
        </w:tc>
        <w:tc>
          <w:tcPr>
            <w:tcW w:w="791" w:type="dxa"/>
            <w:tcBorders>
              <w:top w:val="nil"/>
              <w:left w:val="nil"/>
              <w:bottom w:val="single" w:sz="4" w:space="0" w:color="auto"/>
              <w:right w:val="single" w:sz="4" w:space="0" w:color="auto"/>
            </w:tcBorders>
            <w:noWrap/>
            <w:vAlign w:val="bottom"/>
            <w:hideMark/>
          </w:tcPr>
          <w:p w14:paraId="197163B4" w14:textId="77777777" w:rsidR="00ED2DF2" w:rsidRPr="00ED2DF2" w:rsidRDefault="00ED2DF2" w:rsidP="003E0728">
            <w:pPr>
              <w:pStyle w:val="Tables"/>
            </w:pPr>
            <w:r w:rsidRPr="00ED2DF2">
              <w:t>7.02</w:t>
            </w:r>
          </w:p>
        </w:tc>
        <w:tc>
          <w:tcPr>
            <w:tcW w:w="940" w:type="dxa"/>
            <w:tcBorders>
              <w:top w:val="nil"/>
              <w:left w:val="nil"/>
              <w:bottom w:val="single" w:sz="4" w:space="0" w:color="auto"/>
              <w:right w:val="single" w:sz="4" w:space="0" w:color="auto"/>
            </w:tcBorders>
            <w:noWrap/>
            <w:vAlign w:val="bottom"/>
            <w:hideMark/>
          </w:tcPr>
          <w:p w14:paraId="2E0ABEC4" w14:textId="77777777" w:rsidR="00ED2DF2" w:rsidRPr="00ED2DF2" w:rsidRDefault="00ED2DF2" w:rsidP="003E0728">
            <w:pPr>
              <w:pStyle w:val="Tables"/>
            </w:pPr>
            <w:r w:rsidRPr="00ED2DF2">
              <w:t>36.74</w:t>
            </w:r>
          </w:p>
        </w:tc>
        <w:tc>
          <w:tcPr>
            <w:tcW w:w="1053" w:type="dxa"/>
            <w:tcBorders>
              <w:top w:val="nil"/>
              <w:left w:val="nil"/>
              <w:bottom w:val="single" w:sz="4" w:space="0" w:color="auto"/>
              <w:right w:val="single" w:sz="4" w:space="0" w:color="auto"/>
            </w:tcBorders>
            <w:noWrap/>
            <w:vAlign w:val="bottom"/>
            <w:hideMark/>
          </w:tcPr>
          <w:p w14:paraId="6D453EE4" w14:textId="548A36A9" w:rsidR="00ED2DF2" w:rsidRPr="00ED2DF2" w:rsidRDefault="00ED2DF2" w:rsidP="003E0728">
            <w:pPr>
              <w:pStyle w:val="Tables"/>
            </w:pPr>
            <w:r w:rsidRPr="00ED2DF2">
              <w:t>48.3</w:t>
            </w:r>
            <w:r w:rsidR="00C11113">
              <w:t>0</w:t>
            </w:r>
          </w:p>
        </w:tc>
        <w:tc>
          <w:tcPr>
            <w:tcW w:w="791" w:type="dxa"/>
            <w:tcBorders>
              <w:top w:val="nil"/>
              <w:left w:val="nil"/>
              <w:bottom w:val="single" w:sz="4" w:space="0" w:color="auto"/>
              <w:right w:val="single" w:sz="4" w:space="0" w:color="auto"/>
            </w:tcBorders>
            <w:noWrap/>
            <w:vAlign w:val="bottom"/>
            <w:hideMark/>
          </w:tcPr>
          <w:p w14:paraId="148A9AEE" w14:textId="77777777" w:rsidR="00ED2DF2" w:rsidRPr="00ED2DF2" w:rsidRDefault="00ED2DF2" w:rsidP="003E0728">
            <w:pPr>
              <w:pStyle w:val="Tables"/>
            </w:pPr>
            <w:r w:rsidRPr="00ED2DF2">
              <w:t>100</w:t>
            </w:r>
          </w:p>
        </w:tc>
        <w:tc>
          <w:tcPr>
            <w:tcW w:w="791" w:type="dxa"/>
            <w:tcBorders>
              <w:top w:val="nil"/>
              <w:left w:val="nil"/>
              <w:bottom w:val="single" w:sz="4" w:space="0" w:color="auto"/>
              <w:right w:val="single" w:sz="4" w:space="0" w:color="auto"/>
            </w:tcBorders>
            <w:noWrap/>
            <w:vAlign w:val="bottom"/>
            <w:hideMark/>
          </w:tcPr>
          <w:p w14:paraId="246657BB" w14:textId="77777777" w:rsidR="00ED2DF2" w:rsidRPr="00ED2DF2" w:rsidRDefault="00ED2DF2" w:rsidP="003E0728">
            <w:pPr>
              <w:pStyle w:val="Tables"/>
            </w:pPr>
            <w:r w:rsidRPr="00ED2DF2">
              <w:t>523</w:t>
            </w:r>
          </w:p>
        </w:tc>
        <w:tc>
          <w:tcPr>
            <w:tcW w:w="791" w:type="dxa"/>
            <w:tcBorders>
              <w:top w:val="nil"/>
              <w:left w:val="nil"/>
              <w:bottom w:val="single" w:sz="4" w:space="0" w:color="auto"/>
              <w:right w:val="single" w:sz="4" w:space="0" w:color="auto"/>
            </w:tcBorders>
            <w:noWrap/>
            <w:vAlign w:val="bottom"/>
            <w:hideMark/>
          </w:tcPr>
          <w:p w14:paraId="05406E6A" w14:textId="52A8BFD6" w:rsidR="00ED2DF2" w:rsidRPr="00ED2DF2" w:rsidRDefault="00ED2DF2" w:rsidP="003E0728">
            <w:pPr>
              <w:pStyle w:val="Tables"/>
            </w:pPr>
            <w:r w:rsidRPr="00ED2DF2">
              <w:t>68</w:t>
            </w:r>
            <w:r w:rsidR="00C11113">
              <w:t>3</w:t>
            </w:r>
          </w:p>
        </w:tc>
        <w:tc>
          <w:tcPr>
            <w:tcW w:w="791" w:type="dxa"/>
            <w:tcBorders>
              <w:top w:val="nil"/>
              <w:left w:val="nil"/>
              <w:bottom w:val="single" w:sz="4" w:space="0" w:color="auto"/>
              <w:right w:val="single" w:sz="4" w:space="0" w:color="auto"/>
            </w:tcBorders>
            <w:noWrap/>
            <w:vAlign w:val="bottom"/>
            <w:hideMark/>
          </w:tcPr>
          <w:p w14:paraId="13D884F1" w14:textId="77777777" w:rsidR="00ED2DF2" w:rsidRPr="00ED2DF2" w:rsidRDefault="00ED2DF2" w:rsidP="003E0728">
            <w:pPr>
              <w:pStyle w:val="Tables"/>
            </w:pPr>
            <w:r w:rsidRPr="00ED2DF2">
              <w:t>8.2</w:t>
            </w:r>
          </w:p>
        </w:tc>
        <w:tc>
          <w:tcPr>
            <w:tcW w:w="791" w:type="dxa"/>
            <w:tcBorders>
              <w:top w:val="nil"/>
              <w:left w:val="nil"/>
              <w:bottom w:val="single" w:sz="4" w:space="0" w:color="auto"/>
              <w:right w:val="single" w:sz="4" w:space="0" w:color="auto"/>
            </w:tcBorders>
            <w:noWrap/>
            <w:vAlign w:val="bottom"/>
            <w:hideMark/>
          </w:tcPr>
          <w:p w14:paraId="7470E05F" w14:textId="77777777" w:rsidR="00ED2DF2" w:rsidRPr="00ED2DF2" w:rsidRDefault="00ED2DF2" w:rsidP="003E0728">
            <w:pPr>
              <w:pStyle w:val="Tables"/>
            </w:pPr>
            <w:r w:rsidRPr="00ED2DF2">
              <w:t>17.2</w:t>
            </w:r>
          </w:p>
        </w:tc>
        <w:tc>
          <w:tcPr>
            <w:tcW w:w="791" w:type="dxa"/>
            <w:tcBorders>
              <w:top w:val="nil"/>
              <w:left w:val="nil"/>
              <w:bottom w:val="single" w:sz="4" w:space="0" w:color="auto"/>
              <w:right w:val="single" w:sz="4" w:space="0" w:color="auto"/>
            </w:tcBorders>
            <w:noWrap/>
            <w:vAlign w:val="bottom"/>
            <w:hideMark/>
          </w:tcPr>
          <w:p w14:paraId="295CA003" w14:textId="77777777" w:rsidR="00ED2DF2" w:rsidRPr="00ED2DF2" w:rsidRDefault="00ED2DF2" w:rsidP="003E0728">
            <w:pPr>
              <w:pStyle w:val="Tables"/>
            </w:pPr>
            <w:r w:rsidRPr="00ED2DF2">
              <w:t>19.6</w:t>
            </w:r>
          </w:p>
        </w:tc>
      </w:tr>
      <w:tr w:rsidR="00ED2DF2" w:rsidRPr="00ED2DF2" w14:paraId="5FFCC84A" w14:textId="77777777" w:rsidTr="00E23521">
        <w:trPr>
          <w:trHeight w:val="397"/>
          <w:jc w:val="center"/>
        </w:trPr>
        <w:tc>
          <w:tcPr>
            <w:tcW w:w="2514" w:type="dxa"/>
            <w:tcBorders>
              <w:top w:val="nil"/>
              <w:left w:val="single" w:sz="4" w:space="0" w:color="auto"/>
              <w:bottom w:val="single" w:sz="4" w:space="0" w:color="auto"/>
              <w:right w:val="single" w:sz="4" w:space="0" w:color="auto"/>
            </w:tcBorders>
            <w:noWrap/>
            <w:vAlign w:val="bottom"/>
            <w:hideMark/>
          </w:tcPr>
          <w:p w14:paraId="22E4C69F" w14:textId="77777777" w:rsidR="00ED2DF2" w:rsidRPr="00ED2DF2" w:rsidRDefault="00ED2DF2" w:rsidP="003E0728">
            <w:pPr>
              <w:pStyle w:val="Tables"/>
            </w:pPr>
            <w:r w:rsidRPr="00ED2DF2">
              <w:t>Income-tax Share assigned to Provinces</w:t>
            </w:r>
          </w:p>
        </w:tc>
        <w:tc>
          <w:tcPr>
            <w:tcW w:w="791" w:type="dxa"/>
            <w:tcBorders>
              <w:top w:val="nil"/>
              <w:left w:val="nil"/>
              <w:bottom w:val="single" w:sz="4" w:space="0" w:color="auto"/>
              <w:right w:val="single" w:sz="4" w:space="0" w:color="auto"/>
            </w:tcBorders>
            <w:noWrap/>
            <w:vAlign w:val="bottom"/>
            <w:hideMark/>
          </w:tcPr>
          <w:p w14:paraId="3DA475FD" w14:textId="77777777" w:rsidR="00ED2DF2" w:rsidRPr="00ED2DF2" w:rsidRDefault="00ED2DF2" w:rsidP="003E0728">
            <w:pPr>
              <w:pStyle w:val="Tables"/>
            </w:pPr>
            <w:r w:rsidRPr="00ED2DF2">
              <w:t>1.25</w:t>
            </w:r>
          </w:p>
        </w:tc>
        <w:tc>
          <w:tcPr>
            <w:tcW w:w="940" w:type="dxa"/>
            <w:tcBorders>
              <w:top w:val="nil"/>
              <w:left w:val="nil"/>
              <w:bottom w:val="single" w:sz="4" w:space="0" w:color="auto"/>
              <w:right w:val="single" w:sz="4" w:space="0" w:color="auto"/>
            </w:tcBorders>
            <w:noWrap/>
            <w:vAlign w:val="bottom"/>
            <w:hideMark/>
          </w:tcPr>
          <w:p w14:paraId="694F3589" w14:textId="77777777" w:rsidR="00ED2DF2" w:rsidRPr="00ED2DF2" w:rsidRDefault="00ED2DF2" w:rsidP="003E0728">
            <w:pPr>
              <w:pStyle w:val="Tables"/>
            </w:pPr>
            <w:r w:rsidRPr="00ED2DF2">
              <w:t>26.55</w:t>
            </w:r>
          </w:p>
        </w:tc>
        <w:tc>
          <w:tcPr>
            <w:tcW w:w="1053" w:type="dxa"/>
            <w:tcBorders>
              <w:top w:val="nil"/>
              <w:left w:val="nil"/>
              <w:bottom w:val="single" w:sz="4" w:space="0" w:color="auto"/>
              <w:right w:val="single" w:sz="4" w:space="0" w:color="auto"/>
            </w:tcBorders>
            <w:noWrap/>
            <w:vAlign w:val="bottom"/>
            <w:hideMark/>
          </w:tcPr>
          <w:p w14:paraId="1EC5C5AD" w14:textId="77777777" w:rsidR="00ED2DF2" w:rsidRPr="00ED2DF2" w:rsidRDefault="00ED2DF2" w:rsidP="003E0728">
            <w:pPr>
              <w:pStyle w:val="Tables"/>
            </w:pPr>
            <w:r w:rsidRPr="00ED2DF2">
              <w:t>29.87</w:t>
            </w:r>
          </w:p>
        </w:tc>
        <w:tc>
          <w:tcPr>
            <w:tcW w:w="791" w:type="dxa"/>
            <w:tcBorders>
              <w:top w:val="nil"/>
              <w:left w:val="nil"/>
              <w:bottom w:val="single" w:sz="4" w:space="0" w:color="auto"/>
              <w:right w:val="single" w:sz="4" w:space="0" w:color="auto"/>
            </w:tcBorders>
            <w:noWrap/>
            <w:vAlign w:val="bottom"/>
            <w:hideMark/>
          </w:tcPr>
          <w:p w14:paraId="243D4FD2" w14:textId="77777777" w:rsidR="00ED2DF2" w:rsidRPr="00ED2DF2" w:rsidRDefault="00ED2DF2" w:rsidP="003E0728">
            <w:pPr>
              <w:pStyle w:val="Tables"/>
            </w:pPr>
            <w:r w:rsidRPr="00ED2DF2">
              <w:t>100</w:t>
            </w:r>
          </w:p>
        </w:tc>
        <w:tc>
          <w:tcPr>
            <w:tcW w:w="791" w:type="dxa"/>
            <w:tcBorders>
              <w:top w:val="nil"/>
              <w:left w:val="nil"/>
              <w:bottom w:val="single" w:sz="4" w:space="0" w:color="auto"/>
              <w:right w:val="single" w:sz="4" w:space="0" w:color="auto"/>
            </w:tcBorders>
            <w:noWrap/>
            <w:vAlign w:val="bottom"/>
            <w:hideMark/>
          </w:tcPr>
          <w:p w14:paraId="5F2BFA30" w14:textId="77777777" w:rsidR="00ED2DF2" w:rsidRPr="00ED2DF2" w:rsidRDefault="00ED2DF2" w:rsidP="003E0728">
            <w:pPr>
              <w:pStyle w:val="Tables"/>
            </w:pPr>
            <w:r w:rsidRPr="00ED2DF2">
              <w:t>2124</w:t>
            </w:r>
          </w:p>
        </w:tc>
        <w:tc>
          <w:tcPr>
            <w:tcW w:w="791" w:type="dxa"/>
            <w:tcBorders>
              <w:top w:val="nil"/>
              <w:left w:val="nil"/>
              <w:bottom w:val="single" w:sz="4" w:space="0" w:color="auto"/>
              <w:right w:val="single" w:sz="4" w:space="0" w:color="auto"/>
            </w:tcBorders>
            <w:noWrap/>
            <w:vAlign w:val="bottom"/>
            <w:hideMark/>
          </w:tcPr>
          <w:p w14:paraId="3529E78B" w14:textId="77777777" w:rsidR="00ED2DF2" w:rsidRPr="00ED2DF2" w:rsidRDefault="00ED2DF2" w:rsidP="003E0728">
            <w:pPr>
              <w:pStyle w:val="Tables"/>
            </w:pPr>
            <w:r w:rsidRPr="00ED2DF2">
              <w:t>2390</w:t>
            </w:r>
          </w:p>
        </w:tc>
        <w:tc>
          <w:tcPr>
            <w:tcW w:w="791" w:type="dxa"/>
            <w:tcBorders>
              <w:top w:val="nil"/>
              <w:left w:val="nil"/>
              <w:bottom w:val="single" w:sz="4" w:space="0" w:color="auto"/>
              <w:right w:val="single" w:sz="4" w:space="0" w:color="auto"/>
            </w:tcBorders>
            <w:noWrap/>
            <w:vAlign w:val="bottom"/>
            <w:hideMark/>
          </w:tcPr>
          <w:p w14:paraId="23A48CC0" w14:textId="77777777" w:rsidR="00ED2DF2" w:rsidRPr="00ED2DF2" w:rsidRDefault="00ED2DF2" w:rsidP="003E0728">
            <w:pPr>
              <w:pStyle w:val="Tables"/>
            </w:pPr>
            <w:r w:rsidRPr="00ED2DF2">
              <w:t>1.5</w:t>
            </w:r>
          </w:p>
        </w:tc>
        <w:tc>
          <w:tcPr>
            <w:tcW w:w="791" w:type="dxa"/>
            <w:tcBorders>
              <w:top w:val="nil"/>
              <w:left w:val="nil"/>
              <w:bottom w:val="single" w:sz="4" w:space="0" w:color="auto"/>
              <w:right w:val="single" w:sz="4" w:space="0" w:color="auto"/>
            </w:tcBorders>
            <w:noWrap/>
            <w:vAlign w:val="bottom"/>
            <w:hideMark/>
          </w:tcPr>
          <w:p w14:paraId="7AB85FA3" w14:textId="77777777" w:rsidR="00ED2DF2" w:rsidRPr="00ED2DF2" w:rsidRDefault="00ED2DF2" w:rsidP="003E0728">
            <w:pPr>
              <w:pStyle w:val="Tables"/>
            </w:pPr>
            <w:r w:rsidRPr="00ED2DF2">
              <w:t>12.4</w:t>
            </w:r>
          </w:p>
        </w:tc>
        <w:tc>
          <w:tcPr>
            <w:tcW w:w="791" w:type="dxa"/>
            <w:tcBorders>
              <w:top w:val="nil"/>
              <w:left w:val="nil"/>
              <w:bottom w:val="single" w:sz="4" w:space="0" w:color="auto"/>
              <w:right w:val="single" w:sz="4" w:space="0" w:color="auto"/>
            </w:tcBorders>
            <w:noWrap/>
            <w:vAlign w:val="bottom"/>
            <w:hideMark/>
          </w:tcPr>
          <w:p w14:paraId="0E39F1C5" w14:textId="77777777" w:rsidR="00ED2DF2" w:rsidRPr="00ED2DF2" w:rsidRDefault="00ED2DF2" w:rsidP="003E0728">
            <w:pPr>
              <w:pStyle w:val="Tables"/>
            </w:pPr>
            <w:r w:rsidRPr="00ED2DF2">
              <w:t>13.1</w:t>
            </w:r>
          </w:p>
        </w:tc>
      </w:tr>
      <w:tr w:rsidR="00ED2DF2" w:rsidRPr="00ED2DF2" w14:paraId="654F8141" w14:textId="77777777" w:rsidTr="00E23521">
        <w:trPr>
          <w:trHeight w:val="397"/>
          <w:jc w:val="center"/>
        </w:trPr>
        <w:tc>
          <w:tcPr>
            <w:tcW w:w="2514" w:type="dxa"/>
            <w:tcBorders>
              <w:top w:val="nil"/>
              <w:left w:val="single" w:sz="4" w:space="0" w:color="auto"/>
              <w:bottom w:val="single" w:sz="4" w:space="0" w:color="auto"/>
              <w:right w:val="single" w:sz="4" w:space="0" w:color="auto"/>
            </w:tcBorders>
            <w:noWrap/>
            <w:vAlign w:val="bottom"/>
            <w:hideMark/>
          </w:tcPr>
          <w:p w14:paraId="7F9CA1C9" w14:textId="77777777" w:rsidR="00ED2DF2" w:rsidRPr="00ED2DF2" w:rsidRDefault="00ED2DF2" w:rsidP="003E0728">
            <w:pPr>
              <w:pStyle w:val="Tables"/>
            </w:pPr>
            <w:r w:rsidRPr="00ED2DF2">
              <w:t>Share of Jute Duty assigned to Provinces</w:t>
            </w:r>
          </w:p>
        </w:tc>
        <w:tc>
          <w:tcPr>
            <w:tcW w:w="791" w:type="dxa"/>
            <w:tcBorders>
              <w:top w:val="nil"/>
              <w:left w:val="nil"/>
              <w:bottom w:val="single" w:sz="4" w:space="0" w:color="auto"/>
              <w:right w:val="single" w:sz="4" w:space="0" w:color="auto"/>
            </w:tcBorders>
            <w:noWrap/>
            <w:vAlign w:val="bottom"/>
            <w:hideMark/>
          </w:tcPr>
          <w:p w14:paraId="36F7933B" w14:textId="77777777" w:rsidR="00ED2DF2" w:rsidRPr="00ED2DF2" w:rsidRDefault="00ED2DF2" w:rsidP="003E0728">
            <w:pPr>
              <w:pStyle w:val="Tables"/>
            </w:pPr>
            <w:r w:rsidRPr="00ED2DF2">
              <w:t>2.65</w:t>
            </w:r>
          </w:p>
        </w:tc>
        <w:tc>
          <w:tcPr>
            <w:tcW w:w="940" w:type="dxa"/>
            <w:tcBorders>
              <w:top w:val="nil"/>
              <w:left w:val="nil"/>
              <w:bottom w:val="single" w:sz="4" w:space="0" w:color="auto"/>
              <w:right w:val="single" w:sz="4" w:space="0" w:color="auto"/>
            </w:tcBorders>
            <w:noWrap/>
            <w:vAlign w:val="bottom"/>
            <w:hideMark/>
          </w:tcPr>
          <w:p w14:paraId="52D817F9" w14:textId="77777777" w:rsidR="00ED2DF2" w:rsidRPr="00ED2DF2" w:rsidRDefault="00ED2DF2" w:rsidP="003E0728">
            <w:pPr>
              <w:pStyle w:val="Tables"/>
            </w:pPr>
            <w:r w:rsidRPr="00ED2DF2">
              <w:t>1.49</w:t>
            </w:r>
          </w:p>
        </w:tc>
        <w:tc>
          <w:tcPr>
            <w:tcW w:w="1053" w:type="dxa"/>
            <w:tcBorders>
              <w:top w:val="nil"/>
              <w:left w:val="nil"/>
              <w:bottom w:val="single" w:sz="4" w:space="0" w:color="auto"/>
              <w:right w:val="single" w:sz="4" w:space="0" w:color="auto"/>
            </w:tcBorders>
            <w:noWrap/>
            <w:vAlign w:val="bottom"/>
            <w:hideMark/>
          </w:tcPr>
          <w:p w14:paraId="471C879E" w14:textId="77777777" w:rsidR="00ED2DF2" w:rsidRPr="00ED2DF2" w:rsidRDefault="00ED2DF2" w:rsidP="003E0728">
            <w:pPr>
              <w:pStyle w:val="Tables"/>
            </w:pPr>
            <w:r w:rsidRPr="00ED2DF2">
              <w:t>2.87</w:t>
            </w:r>
          </w:p>
        </w:tc>
        <w:tc>
          <w:tcPr>
            <w:tcW w:w="791" w:type="dxa"/>
            <w:tcBorders>
              <w:top w:val="nil"/>
              <w:left w:val="nil"/>
              <w:bottom w:val="single" w:sz="4" w:space="0" w:color="auto"/>
              <w:right w:val="single" w:sz="4" w:space="0" w:color="auto"/>
            </w:tcBorders>
            <w:noWrap/>
            <w:vAlign w:val="bottom"/>
            <w:hideMark/>
          </w:tcPr>
          <w:p w14:paraId="2C8BA246" w14:textId="77777777" w:rsidR="00ED2DF2" w:rsidRPr="00ED2DF2" w:rsidRDefault="00ED2DF2" w:rsidP="003E0728">
            <w:pPr>
              <w:pStyle w:val="Tables"/>
            </w:pPr>
            <w:r w:rsidRPr="00ED2DF2">
              <w:t>100</w:t>
            </w:r>
          </w:p>
        </w:tc>
        <w:tc>
          <w:tcPr>
            <w:tcW w:w="791" w:type="dxa"/>
            <w:tcBorders>
              <w:top w:val="nil"/>
              <w:left w:val="nil"/>
              <w:bottom w:val="single" w:sz="4" w:space="0" w:color="auto"/>
              <w:right w:val="single" w:sz="4" w:space="0" w:color="auto"/>
            </w:tcBorders>
            <w:noWrap/>
            <w:vAlign w:val="bottom"/>
            <w:hideMark/>
          </w:tcPr>
          <w:p w14:paraId="03DD2429" w14:textId="77777777" w:rsidR="00ED2DF2" w:rsidRPr="00ED2DF2" w:rsidRDefault="00ED2DF2" w:rsidP="003E0728">
            <w:pPr>
              <w:pStyle w:val="Tables"/>
            </w:pPr>
            <w:r w:rsidRPr="00ED2DF2">
              <w:t>56</w:t>
            </w:r>
          </w:p>
        </w:tc>
        <w:tc>
          <w:tcPr>
            <w:tcW w:w="791" w:type="dxa"/>
            <w:tcBorders>
              <w:top w:val="nil"/>
              <w:left w:val="nil"/>
              <w:bottom w:val="single" w:sz="4" w:space="0" w:color="auto"/>
              <w:right w:val="single" w:sz="4" w:space="0" w:color="auto"/>
            </w:tcBorders>
            <w:noWrap/>
            <w:vAlign w:val="bottom"/>
            <w:hideMark/>
          </w:tcPr>
          <w:p w14:paraId="55C0EC5F" w14:textId="77777777" w:rsidR="00ED2DF2" w:rsidRPr="00ED2DF2" w:rsidRDefault="00ED2DF2" w:rsidP="003E0728">
            <w:pPr>
              <w:pStyle w:val="Tables"/>
            </w:pPr>
            <w:r w:rsidRPr="00ED2DF2">
              <w:t>108</w:t>
            </w:r>
          </w:p>
        </w:tc>
        <w:tc>
          <w:tcPr>
            <w:tcW w:w="791" w:type="dxa"/>
            <w:tcBorders>
              <w:top w:val="nil"/>
              <w:left w:val="nil"/>
              <w:bottom w:val="single" w:sz="4" w:space="0" w:color="auto"/>
              <w:right w:val="single" w:sz="4" w:space="0" w:color="auto"/>
            </w:tcBorders>
            <w:noWrap/>
            <w:vAlign w:val="bottom"/>
            <w:hideMark/>
          </w:tcPr>
          <w:p w14:paraId="6538CA2E" w14:textId="77777777" w:rsidR="00ED2DF2" w:rsidRPr="00ED2DF2" w:rsidRDefault="00ED2DF2" w:rsidP="003E0728">
            <w:pPr>
              <w:pStyle w:val="Tables"/>
            </w:pPr>
            <w:r w:rsidRPr="00ED2DF2">
              <w:t>3.1</w:t>
            </w:r>
          </w:p>
        </w:tc>
        <w:tc>
          <w:tcPr>
            <w:tcW w:w="791" w:type="dxa"/>
            <w:tcBorders>
              <w:top w:val="nil"/>
              <w:left w:val="nil"/>
              <w:bottom w:val="single" w:sz="4" w:space="0" w:color="auto"/>
              <w:right w:val="single" w:sz="4" w:space="0" w:color="auto"/>
            </w:tcBorders>
            <w:noWrap/>
            <w:vAlign w:val="bottom"/>
            <w:hideMark/>
          </w:tcPr>
          <w:p w14:paraId="4EB14677" w14:textId="77777777" w:rsidR="00ED2DF2" w:rsidRPr="00ED2DF2" w:rsidRDefault="00ED2DF2" w:rsidP="003E0728">
            <w:pPr>
              <w:pStyle w:val="Tables"/>
            </w:pPr>
            <w:r w:rsidRPr="00ED2DF2">
              <w:t>0.7</w:t>
            </w:r>
          </w:p>
        </w:tc>
        <w:tc>
          <w:tcPr>
            <w:tcW w:w="791" w:type="dxa"/>
            <w:tcBorders>
              <w:top w:val="nil"/>
              <w:left w:val="nil"/>
              <w:bottom w:val="single" w:sz="4" w:space="0" w:color="auto"/>
              <w:right w:val="single" w:sz="4" w:space="0" w:color="auto"/>
            </w:tcBorders>
            <w:noWrap/>
            <w:vAlign w:val="bottom"/>
            <w:hideMark/>
          </w:tcPr>
          <w:p w14:paraId="01E91176" w14:textId="77777777" w:rsidR="00ED2DF2" w:rsidRPr="00ED2DF2" w:rsidRDefault="00ED2DF2" w:rsidP="003E0728">
            <w:pPr>
              <w:pStyle w:val="Tables"/>
            </w:pPr>
            <w:r w:rsidRPr="00ED2DF2">
              <w:t>1.2</w:t>
            </w:r>
          </w:p>
        </w:tc>
      </w:tr>
      <w:tr w:rsidR="00ED2DF2" w:rsidRPr="00ED2DF2" w14:paraId="1BBAF13F" w14:textId="77777777" w:rsidTr="00E23521">
        <w:trPr>
          <w:trHeight w:val="397"/>
          <w:jc w:val="center"/>
        </w:trPr>
        <w:tc>
          <w:tcPr>
            <w:tcW w:w="2514" w:type="dxa"/>
            <w:tcBorders>
              <w:top w:val="nil"/>
              <w:left w:val="single" w:sz="4" w:space="0" w:color="auto"/>
              <w:bottom w:val="single" w:sz="4" w:space="0" w:color="auto"/>
              <w:right w:val="single" w:sz="4" w:space="0" w:color="auto"/>
            </w:tcBorders>
            <w:noWrap/>
            <w:vAlign w:val="bottom"/>
            <w:hideMark/>
          </w:tcPr>
          <w:p w14:paraId="361E8CF5" w14:textId="77777777" w:rsidR="00ED2DF2" w:rsidRPr="00ED2DF2" w:rsidRDefault="00ED2DF2" w:rsidP="003E0728">
            <w:pPr>
              <w:pStyle w:val="Tables"/>
            </w:pPr>
            <w:r w:rsidRPr="00ED2DF2">
              <w:t>Grants-in-aid from Centre</w:t>
            </w:r>
          </w:p>
        </w:tc>
        <w:tc>
          <w:tcPr>
            <w:tcW w:w="791" w:type="dxa"/>
            <w:tcBorders>
              <w:top w:val="nil"/>
              <w:left w:val="nil"/>
              <w:bottom w:val="single" w:sz="4" w:space="0" w:color="auto"/>
              <w:right w:val="single" w:sz="4" w:space="0" w:color="auto"/>
            </w:tcBorders>
            <w:noWrap/>
            <w:vAlign w:val="bottom"/>
            <w:hideMark/>
          </w:tcPr>
          <w:p w14:paraId="4D126487" w14:textId="77777777" w:rsidR="00ED2DF2" w:rsidRPr="00ED2DF2" w:rsidRDefault="00ED2DF2" w:rsidP="003E0728">
            <w:pPr>
              <w:pStyle w:val="Tables"/>
            </w:pPr>
            <w:r w:rsidRPr="00ED2DF2">
              <w:t>3.12</w:t>
            </w:r>
          </w:p>
        </w:tc>
        <w:tc>
          <w:tcPr>
            <w:tcW w:w="940" w:type="dxa"/>
            <w:tcBorders>
              <w:top w:val="nil"/>
              <w:left w:val="nil"/>
              <w:bottom w:val="single" w:sz="4" w:space="0" w:color="auto"/>
              <w:right w:val="single" w:sz="4" w:space="0" w:color="auto"/>
            </w:tcBorders>
            <w:noWrap/>
            <w:vAlign w:val="bottom"/>
            <w:hideMark/>
          </w:tcPr>
          <w:p w14:paraId="55A75A7F" w14:textId="77777777" w:rsidR="00ED2DF2" w:rsidRPr="00ED2DF2" w:rsidRDefault="00ED2DF2" w:rsidP="003E0728">
            <w:pPr>
              <w:pStyle w:val="Tables"/>
            </w:pPr>
            <w:r w:rsidRPr="00ED2DF2">
              <w:t>8.70(b)</w:t>
            </w:r>
          </w:p>
        </w:tc>
        <w:tc>
          <w:tcPr>
            <w:tcW w:w="1053" w:type="dxa"/>
            <w:tcBorders>
              <w:top w:val="nil"/>
              <w:left w:val="nil"/>
              <w:bottom w:val="single" w:sz="4" w:space="0" w:color="auto"/>
              <w:right w:val="single" w:sz="4" w:space="0" w:color="auto"/>
            </w:tcBorders>
            <w:noWrap/>
            <w:vAlign w:val="bottom"/>
            <w:hideMark/>
          </w:tcPr>
          <w:p w14:paraId="1047909B" w14:textId="77777777" w:rsidR="00ED2DF2" w:rsidRPr="00ED2DF2" w:rsidRDefault="00ED2DF2" w:rsidP="003E0728">
            <w:pPr>
              <w:pStyle w:val="Tables"/>
            </w:pPr>
            <w:r w:rsidRPr="00ED2DF2">
              <w:t>15.56(c)</w:t>
            </w:r>
          </w:p>
        </w:tc>
        <w:tc>
          <w:tcPr>
            <w:tcW w:w="791" w:type="dxa"/>
            <w:tcBorders>
              <w:top w:val="nil"/>
              <w:left w:val="nil"/>
              <w:bottom w:val="single" w:sz="4" w:space="0" w:color="auto"/>
              <w:right w:val="single" w:sz="4" w:space="0" w:color="auto"/>
            </w:tcBorders>
            <w:noWrap/>
            <w:vAlign w:val="bottom"/>
            <w:hideMark/>
          </w:tcPr>
          <w:p w14:paraId="24835550" w14:textId="77777777" w:rsidR="00ED2DF2" w:rsidRPr="00ED2DF2" w:rsidRDefault="00ED2DF2" w:rsidP="003E0728">
            <w:pPr>
              <w:pStyle w:val="Tables"/>
            </w:pPr>
            <w:r w:rsidRPr="00ED2DF2">
              <w:t>100</w:t>
            </w:r>
          </w:p>
        </w:tc>
        <w:tc>
          <w:tcPr>
            <w:tcW w:w="791" w:type="dxa"/>
            <w:tcBorders>
              <w:top w:val="nil"/>
              <w:left w:val="nil"/>
              <w:bottom w:val="single" w:sz="4" w:space="0" w:color="auto"/>
              <w:right w:val="single" w:sz="4" w:space="0" w:color="auto"/>
            </w:tcBorders>
            <w:noWrap/>
            <w:vAlign w:val="bottom"/>
            <w:hideMark/>
          </w:tcPr>
          <w:p w14:paraId="5D6CB115" w14:textId="77777777" w:rsidR="00ED2DF2" w:rsidRPr="00ED2DF2" w:rsidRDefault="00ED2DF2" w:rsidP="003E0728">
            <w:pPr>
              <w:pStyle w:val="Tables"/>
            </w:pPr>
            <w:r w:rsidRPr="00ED2DF2">
              <w:t>276</w:t>
            </w:r>
          </w:p>
        </w:tc>
        <w:tc>
          <w:tcPr>
            <w:tcW w:w="791" w:type="dxa"/>
            <w:tcBorders>
              <w:top w:val="nil"/>
              <w:left w:val="nil"/>
              <w:bottom w:val="single" w:sz="4" w:space="0" w:color="auto"/>
              <w:right w:val="single" w:sz="4" w:space="0" w:color="auto"/>
            </w:tcBorders>
            <w:noWrap/>
            <w:vAlign w:val="bottom"/>
            <w:hideMark/>
          </w:tcPr>
          <w:p w14:paraId="2DD2565C" w14:textId="77777777" w:rsidR="00ED2DF2" w:rsidRPr="00ED2DF2" w:rsidRDefault="00ED2DF2" w:rsidP="003E0728">
            <w:pPr>
              <w:pStyle w:val="Tables"/>
            </w:pPr>
            <w:r w:rsidRPr="00ED2DF2">
              <w:t>495</w:t>
            </w:r>
          </w:p>
        </w:tc>
        <w:tc>
          <w:tcPr>
            <w:tcW w:w="791" w:type="dxa"/>
            <w:tcBorders>
              <w:top w:val="nil"/>
              <w:left w:val="nil"/>
              <w:bottom w:val="single" w:sz="4" w:space="0" w:color="auto"/>
              <w:right w:val="single" w:sz="4" w:space="0" w:color="auto"/>
            </w:tcBorders>
            <w:noWrap/>
            <w:vAlign w:val="bottom"/>
            <w:hideMark/>
          </w:tcPr>
          <w:p w14:paraId="7947D831" w14:textId="17E09599" w:rsidR="00ED2DF2" w:rsidRPr="00ED2DF2" w:rsidRDefault="00ED2DF2" w:rsidP="003E0728">
            <w:pPr>
              <w:pStyle w:val="Tables"/>
            </w:pPr>
            <w:r w:rsidRPr="00ED2DF2">
              <w:t>3.</w:t>
            </w:r>
            <w:r w:rsidR="00E21768">
              <w:t>6</w:t>
            </w:r>
          </w:p>
        </w:tc>
        <w:tc>
          <w:tcPr>
            <w:tcW w:w="791" w:type="dxa"/>
            <w:tcBorders>
              <w:top w:val="nil"/>
              <w:left w:val="nil"/>
              <w:bottom w:val="single" w:sz="4" w:space="0" w:color="auto"/>
              <w:right w:val="single" w:sz="4" w:space="0" w:color="auto"/>
            </w:tcBorders>
            <w:noWrap/>
            <w:vAlign w:val="bottom"/>
            <w:hideMark/>
          </w:tcPr>
          <w:p w14:paraId="543DC8A9" w14:textId="77777777" w:rsidR="00ED2DF2" w:rsidRPr="00ED2DF2" w:rsidRDefault="00ED2DF2" w:rsidP="003E0728">
            <w:pPr>
              <w:pStyle w:val="Tables"/>
            </w:pPr>
            <w:r w:rsidRPr="00ED2DF2">
              <w:t>4.1</w:t>
            </w:r>
          </w:p>
        </w:tc>
        <w:tc>
          <w:tcPr>
            <w:tcW w:w="791" w:type="dxa"/>
            <w:tcBorders>
              <w:top w:val="nil"/>
              <w:left w:val="nil"/>
              <w:bottom w:val="single" w:sz="4" w:space="0" w:color="auto"/>
              <w:right w:val="single" w:sz="4" w:space="0" w:color="auto"/>
            </w:tcBorders>
            <w:noWrap/>
            <w:vAlign w:val="bottom"/>
            <w:hideMark/>
          </w:tcPr>
          <w:p w14:paraId="6147D4C8" w14:textId="77777777" w:rsidR="00ED2DF2" w:rsidRPr="00ED2DF2" w:rsidRDefault="00ED2DF2" w:rsidP="003E0728">
            <w:pPr>
              <w:pStyle w:val="Tables"/>
            </w:pPr>
            <w:r w:rsidRPr="00ED2DF2">
              <w:t>6.3</w:t>
            </w:r>
          </w:p>
        </w:tc>
      </w:tr>
    </w:tbl>
    <w:p w14:paraId="0D3E6F08" w14:textId="531C5611" w:rsidR="002E03D9" w:rsidRPr="000A6E2D" w:rsidRDefault="00562732" w:rsidP="003E0728">
      <w:pPr>
        <w:pStyle w:val="Sources"/>
      </w:pPr>
      <w:r w:rsidRPr="000A6E2D">
        <w:t>(a) Excluding transfers from Revenue Reserve Funds.</w:t>
      </w:r>
      <w:r w:rsidRPr="000A6E2D">
        <w:br/>
        <w:t>(b) Including Rs. 7 crores received by Bengal as special grant for famine relief.</w:t>
      </w:r>
      <w:r w:rsidRPr="000A6E2D">
        <w:br/>
        <w:t>(c) Including subventions from the Central Government for post-war development of Rs. 13.86 crores.</w:t>
      </w:r>
    </w:p>
    <w:p w14:paraId="4C500CC7" w14:textId="77777777" w:rsidR="002E03D9" w:rsidRPr="000A6E2D" w:rsidRDefault="002E03D9" w:rsidP="000A6E2D">
      <w:pPr>
        <w:spacing w:after="0" w:line="380" w:lineRule="exact"/>
        <w:jc w:val="both"/>
        <w:rPr>
          <w:rFonts w:ascii="Times New Roman" w:hAnsi="Times New Roman" w:cs="Times New Roman"/>
          <w:sz w:val="28"/>
          <w:szCs w:val="28"/>
        </w:rPr>
      </w:pPr>
    </w:p>
    <w:p w14:paraId="3DF431BE" w14:textId="19E5F93E" w:rsidR="00562732" w:rsidRPr="000A6E2D" w:rsidRDefault="00562732" w:rsidP="00EE0179">
      <w:pPr>
        <w:pStyle w:val="ListParagraph"/>
        <w:numPr>
          <w:ilvl w:val="0"/>
          <w:numId w:val="29"/>
        </w:numPr>
        <w:spacing w:after="0" w:line="520" w:lineRule="exact"/>
        <w:ind w:left="0" w:firstLine="556"/>
        <w:jc w:val="both"/>
        <w:rPr>
          <w:rFonts w:ascii="Times New Roman" w:hAnsi="Times New Roman" w:cs="Times New Roman"/>
          <w:sz w:val="28"/>
          <w:szCs w:val="28"/>
        </w:rPr>
      </w:pPr>
      <w:r w:rsidRPr="000A6E2D">
        <w:rPr>
          <w:rFonts w:ascii="Times New Roman" w:hAnsi="Times New Roman" w:cs="Times New Roman"/>
          <w:sz w:val="28"/>
          <w:szCs w:val="28"/>
        </w:rPr>
        <w:t>Between 1937-38 and 1946-47, while total provincial revenue increased from Rs. 85</w:t>
      </w:r>
      <w:r w:rsidR="00BE7F3A">
        <w:rPr>
          <w:rFonts w:ascii="Times New Roman" w:hAnsi="Times New Roman" w:cs="Times New Roman"/>
          <w:sz w:val="28"/>
          <w:szCs w:val="28"/>
        </w:rPr>
        <w:t>.</w:t>
      </w:r>
      <w:r w:rsidRPr="000A6E2D">
        <w:rPr>
          <w:rFonts w:ascii="Times New Roman" w:hAnsi="Times New Roman" w:cs="Times New Roman"/>
          <w:sz w:val="28"/>
          <w:szCs w:val="28"/>
        </w:rPr>
        <w:t>7 crores to Rs. 246-3 crores, central assistance under income-tax, share of jute duty and subventions went up from Rs. 7 crores to Rs. 34</w:t>
      </w:r>
      <w:r w:rsidR="00233B4A">
        <w:rPr>
          <w:rFonts w:ascii="Times New Roman" w:hAnsi="Times New Roman" w:cs="Times New Roman"/>
          <w:sz w:val="28"/>
          <w:szCs w:val="28"/>
        </w:rPr>
        <w:t>.</w:t>
      </w:r>
      <w:r w:rsidRPr="000A6E2D">
        <w:rPr>
          <w:rFonts w:ascii="Times New Roman" w:hAnsi="Times New Roman" w:cs="Times New Roman"/>
          <w:sz w:val="28"/>
          <w:szCs w:val="28"/>
        </w:rPr>
        <w:t>4 crores. In 1945-46, a policy of liberal assistance to Provinces for post-war development schemes was initiated and central assistance on this account actually began to flow from 1946-47; in that year, central grants for Grow More Food and post- war development schemes were Rs. 3</w:t>
      </w:r>
      <w:r w:rsidR="00233B4A">
        <w:rPr>
          <w:rFonts w:ascii="Times New Roman" w:hAnsi="Times New Roman" w:cs="Times New Roman"/>
          <w:sz w:val="28"/>
          <w:szCs w:val="28"/>
        </w:rPr>
        <w:t>.</w:t>
      </w:r>
      <w:r w:rsidRPr="000A6E2D">
        <w:rPr>
          <w:rFonts w:ascii="Times New Roman" w:hAnsi="Times New Roman" w:cs="Times New Roman"/>
          <w:sz w:val="28"/>
          <w:szCs w:val="28"/>
        </w:rPr>
        <w:t>24 crores and Rs. 13</w:t>
      </w:r>
      <w:r w:rsidR="00233B4A">
        <w:rPr>
          <w:rFonts w:ascii="Times New Roman" w:hAnsi="Times New Roman" w:cs="Times New Roman"/>
          <w:sz w:val="28"/>
          <w:szCs w:val="28"/>
        </w:rPr>
        <w:t>.</w:t>
      </w:r>
      <w:r w:rsidRPr="000A6E2D">
        <w:rPr>
          <w:rFonts w:ascii="Times New Roman" w:hAnsi="Times New Roman" w:cs="Times New Roman"/>
          <w:sz w:val="28"/>
          <w:szCs w:val="28"/>
        </w:rPr>
        <w:t xml:space="preserve">9 crores, respectively; both were debited to the capital </w:t>
      </w:r>
      <w:r w:rsidRPr="000A6E2D">
        <w:rPr>
          <w:rFonts w:ascii="Times New Roman" w:hAnsi="Times New Roman" w:cs="Times New Roman"/>
          <w:sz w:val="28"/>
          <w:szCs w:val="28"/>
        </w:rPr>
        <w:lastRenderedPageBreak/>
        <w:t>account of the Centre. Much the largest part of these post-war development grants has, however, been taken to revenue by the Provinces. In addition, in the years 1943-44, 1944-45 and 1945-46, special assistance of Rs.</w:t>
      </w:r>
      <w:r w:rsidR="00233B4A">
        <w:rPr>
          <w:rFonts w:ascii="Times New Roman" w:hAnsi="Times New Roman" w:cs="Times New Roman"/>
          <w:sz w:val="28"/>
          <w:szCs w:val="28"/>
        </w:rPr>
        <w:t xml:space="preserve"> </w:t>
      </w:r>
      <w:r w:rsidRPr="000A6E2D">
        <w:rPr>
          <w:rFonts w:ascii="Times New Roman" w:hAnsi="Times New Roman" w:cs="Times New Roman"/>
          <w:sz w:val="28"/>
          <w:szCs w:val="28"/>
        </w:rPr>
        <w:t>3 crores, Rs. 7 crores and Rs. 8 crores, respectively was given by the Centre to Bengal to meet part of the expenditure in connection with the famine. Thus, central assistance was an important contributory factor in the increase in provincial revenues.</w:t>
      </w:r>
    </w:p>
    <w:p w14:paraId="3784E2B6" w14:textId="1F7EE67F" w:rsidR="00562732" w:rsidRPr="000A6E2D" w:rsidRDefault="00562732" w:rsidP="00EE0179">
      <w:pPr>
        <w:pStyle w:val="ListParagraph"/>
        <w:numPr>
          <w:ilvl w:val="0"/>
          <w:numId w:val="29"/>
        </w:numPr>
        <w:spacing w:after="0" w:line="520" w:lineRule="exact"/>
        <w:ind w:left="0" w:firstLine="556"/>
        <w:jc w:val="both"/>
        <w:rPr>
          <w:rFonts w:ascii="Times New Roman" w:hAnsi="Times New Roman" w:cs="Times New Roman"/>
          <w:sz w:val="28"/>
          <w:szCs w:val="28"/>
        </w:rPr>
      </w:pPr>
      <w:r w:rsidRPr="000A6E2D">
        <w:rPr>
          <w:rFonts w:ascii="Times New Roman" w:hAnsi="Times New Roman" w:cs="Times New Roman"/>
          <w:sz w:val="28"/>
          <w:szCs w:val="28"/>
        </w:rPr>
        <w:t>The elasticity of certain provincial heads of revenue, such as excise, and the Provinces' action, in response to the Central Government's advice, in imposing additional taxation also played their part in the improvement of provincial finances. The rates of existing taxes were raised and new sources of revenue, like the general sales tax, entertainments tax and agricultural income-tax were tapped where they were not already in use. Of the main provincial heads, excise and forests showed the largest increase, while land revenue and irrigation did not expand significantly; excise became the largest single head of provincial revenue, contributing over one-fifth, while land revenue dropped during the ten years from about one-third of total provincial revenues in 1937-38 to only one-eighth in 1946-47.</w:t>
      </w:r>
    </w:p>
    <w:p w14:paraId="7FFA27E5" w14:textId="77777777" w:rsidR="00562732" w:rsidRPr="000A6E2D" w:rsidRDefault="00562732" w:rsidP="00EE0179">
      <w:pPr>
        <w:pStyle w:val="ListParagraph"/>
        <w:numPr>
          <w:ilvl w:val="0"/>
          <w:numId w:val="29"/>
        </w:numPr>
        <w:spacing w:after="0" w:line="520" w:lineRule="exact"/>
        <w:ind w:left="0" w:firstLine="556"/>
        <w:jc w:val="both"/>
        <w:rPr>
          <w:rFonts w:ascii="Times New Roman" w:hAnsi="Times New Roman" w:cs="Times New Roman"/>
          <w:sz w:val="28"/>
          <w:szCs w:val="28"/>
        </w:rPr>
      </w:pPr>
      <w:r w:rsidRPr="000A6E2D">
        <w:rPr>
          <w:rFonts w:ascii="Times New Roman" w:hAnsi="Times New Roman" w:cs="Times New Roman"/>
          <w:sz w:val="28"/>
          <w:szCs w:val="28"/>
        </w:rPr>
        <w:t>At this stage we may take a summary glance at the relative position of the principal heads of revenue of the Central and State Governments as part of the total revenues as well as the tax revenues of the Centre and States taken together. The table below, which gives the figures for 1937-38, 1944-45 and 1946-47, shows the basic changes in the pattern of total revenue as well as tax revenue.</w:t>
      </w:r>
    </w:p>
    <w:p w14:paraId="3FF5E68D" w14:textId="344E238C" w:rsidR="00E2135C" w:rsidRPr="00CB0A24" w:rsidRDefault="002E03D9" w:rsidP="00CB0A24">
      <w:pPr>
        <w:spacing w:after="0" w:line="380" w:lineRule="exact"/>
        <w:jc w:val="center"/>
        <w:rPr>
          <w:rFonts w:ascii="Times New Roman" w:hAnsi="Times New Roman" w:cs="Times New Roman"/>
          <w:sz w:val="28"/>
          <w:szCs w:val="28"/>
        </w:rPr>
      </w:pPr>
      <w:r w:rsidRPr="000A6E2D">
        <w:rPr>
          <w:rFonts w:ascii="Times New Roman" w:hAnsi="Times New Roman" w:cs="Times New Roman"/>
          <w:sz w:val="28"/>
          <w:szCs w:val="28"/>
        </w:rPr>
        <w:br w:type="page"/>
      </w:r>
      <w:r w:rsidR="00E2135C" w:rsidRPr="00CB0A24">
        <w:rPr>
          <w:rFonts w:ascii="Times New Roman" w:hAnsi="Times New Roman" w:cs="Times New Roman"/>
          <w:sz w:val="28"/>
          <w:szCs w:val="28"/>
        </w:rPr>
        <w:lastRenderedPageBreak/>
        <w:t>PRINCIPAL HEADS OF REVENUE</w:t>
      </w:r>
      <w:r w:rsidR="00E2135C" w:rsidRPr="00CB0A24">
        <w:rPr>
          <w:rFonts w:ascii="Times New Roman" w:hAnsi="Times New Roman" w:cs="Times New Roman"/>
          <w:sz w:val="28"/>
          <w:szCs w:val="28"/>
        </w:rPr>
        <w:br/>
        <w:t>(Central and Provincial)</w:t>
      </w:r>
    </w:p>
    <w:p w14:paraId="579A7880" w14:textId="77777777" w:rsidR="00E2135C" w:rsidRPr="00CB0A24" w:rsidRDefault="00E2135C" w:rsidP="00CB0A24">
      <w:pPr>
        <w:spacing w:after="0" w:line="380" w:lineRule="exact"/>
        <w:jc w:val="center"/>
        <w:rPr>
          <w:rFonts w:ascii="Times New Roman" w:hAnsi="Times New Roman" w:cs="Times New Roman"/>
          <w:sz w:val="28"/>
          <w:szCs w:val="28"/>
        </w:rPr>
      </w:pPr>
      <w:r w:rsidRPr="00CB0A24">
        <w:rPr>
          <w:rFonts w:ascii="Times New Roman" w:hAnsi="Times New Roman" w:cs="Times New Roman"/>
          <w:sz w:val="28"/>
          <w:szCs w:val="28"/>
        </w:rPr>
        <w:t>A.—Total Revenue</w:t>
      </w:r>
    </w:p>
    <w:p w14:paraId="04DDBEC1" w14:textId="0D0F208A" w:rsidR="004579C0" w:rsidRPr="000A6E2D" w:rsidRDefault="004579C0" w:rsidP="000A6E2D">
      <w:pPr>
        <w:spacing w:after="0" w:line="380" w:lineRule="exact"/>
        <w:jc w:val="both"/>
        <w:rPr>
          <w:rFonts w:ascii="Times New Roman" w:hAnsi="Times New Roman" w:cs="Times New Roman"/>
          <w:sz w:val="28"/>
          <w:szCs w:val="28"/>
        </w:rPr>
      </w:pPr>
    </w:p>
    <w:tbl>
      <w:tblPr>
        <w:tblStyle w:val="TableGrid"/>
        <w:tblW w:w="0" w:type="auto"/>
        <w:jc w:val="center"/>
        <w:tblLook w:val="04A0" w:firstRow="1" w:lastRow="0" w:firstColumn="1" w:lastColumn="0" w:noHBand="0" w:noVBand="1"/>
      </w:tblPr>
      <w:tblGrid>
        <w:gridCol w:w="2238"/>
        <w:gridCol w:w="1315"/>
        <w:gridCol w:w="1101"/>
        <w:gridCol w:w="1315"/>
        <w:gridCol w:w="1101"/>
        <w:gridCol w:w="1315"/>
        <w:gridCol w:w="1101"/>
      </w:tblGrid>
      <w:tr w:rsidR="00693C6C" w:rsidRPr="000A6E2D" w14:paraId="12CC2C33" w14:textId="77777777" w:rsidTr="00E23521">
        <w:trPr>
          <w:trHeight w:val="397"/>
          <w:jc w:val="center"/>
        </w:trPr>
        <w:tc>
          <w:tcPr>
            <w:tcW w:w="0" w:type="auto"/>
            <w:vMerge w:val="restart"/>
          </w:tcPr>
          <w:p w14:paraId="00689680" w14:textId="77777777" w:rsidR="00693C6C" w:rsidRPr="000A6E2D" w:rsidRDefault="00693C6C" w:rsidP="003E0728">
            <w:pPr>
              <w:pStyle w:val="Tables"/>
            </w:pPr>
          </w:p>
        </w:tc>
        <w:tc>
          <w:tcPr>
            <w:tcW w:w="0" w:type="auto"/>
            <w:gridSpan w:val="2"/>
          </w:tcPr>
          <w:p w14:paraId="2325B5B6" w14:textId="2C2775F3" w:rsidR="00693C6C" w:rsidRPr="000A6E2D" w:rsidRDefault="00693C6C" w:rsidP="003E0728">
            <w:pPr>
              <w:pStyle w:val="Tables"/>
            </w:pPr>
            <w:r w:rsidRPr="000A6E2D">
              <w:t>1937-38</w:t>
            </w:r>
          </w:p>
        </w:tc>
        <w:tc>
          <w:tcPr>
            <w:tcW w:w="0" w:type="auto"/>
            <w:gridSpan w:val="2"/>
          </w:tcPr>
          <w:p w14:paraId="66BD92A2" w14:textId="2AEF5D2A" w:rsidR="00693C6C" w:rsidRPr="000A6E2D" w:rsidRDefault="00693C6C" w:rsidP="003E0728">
            <w:pPr>
              <w:pStyle w:val="Tables"/>
            </w:pPr>
            <w:r w:rsidRPr="000A6E2D">
              <w:t>1944-45</w:t>
            </w:r>
          </w:p>
        </w:tc>
        <w:tc>
          <w:tcPr>
            <w:tcW w:w="0" w:type="auto"/>
            <w:gridSpan w:val="2"/>
          </w:tcPr>
          <w:p w14:paraId="0986C8A6" w14:textId="2A9FD37D" w:rsidR="00693C6C" w:rsidRPr="00CB0A24" w:rsidRDefault="00CB0A24" w:rsidP="003E0728">
            <w:pPr>
              <w:pStyle w:val="Tables"/>
            </w:pPr>
            <w:r w:rsidRPr="00CB0A24">
              <w:t>1946-47</w:t>
            </w:r>
          </w:p>
        </w:tc>
      </w:tr>
      <w:tr w:rsidR="00693C6C" w:rsidRPr="000A6E2D" w14:paraId="57757BC1" w14:textId="77777777" w:rsidTr="00E23521">
        <w:trPr>
          <w:trHeight w:val="397"/>
          <w:jc w:val="center"/>
        </w:trPr>
        <w:tc>
          <w:tcPr>
            <w:tcW w:w="0" w:type="auto"/>
            <w:vMerge/>
            <w:hideMark/>
          </w:tcPr>
          <w:p w14:paraId="5D1FD733" w14:textId="77777777" w:rsidR="00693C6C" w:rsidRPr="000A6E2D" w:rsidRDefault="00693C6C" w:rsidP="003E0728">
            <w:pPr>
              <w:pStyle w:val="Tables"/>
            </w:pPr>
          </w:p>
        </w:tc>
        <w:tc>
          <w:tcPr>
            <w:tcW w:w="0" w:type="auto"/>
            <w:hideMark/>
          </w:tcPr>
          <w:p w14:paraId="298FB53E" w14:textId="77777777" w:rsidR="00693C6C" w:rsidRPr="000A6E2D" w:rsidRDefault="00693C6C" w:rsidP="003E0728">
            <w:pPr>
              <w:pStyle w:val="Tables"/>
            </w:pPr>
            <w:r w:rsidRPr="000A6E2D">
              <w:t>Rs. crores</w:t>
            </w:r>
          </w:p>
        </w:tc>
        <w:tc>
          <w:tcPr>
            <w:tcW w:w="0" w:type="auto"/>
            <w:hideMark/>
          </w:tcPr>
          <w:p w14:paraId="0928CCB7" w14:textId="77777777" w:rsidR="00693C6C" w:rsidRPr="000A6E2D" w:rsidRDefault="00693C6C" w:rsidP="003E0728">
            <w:pPr>
              <w:pStyle w:val="Tables"/>
            </w:pPr>
            <w:r w:rsidRPr="000A6E2D">
              <w:t>Per cent</w:t>
            </w:r>
          </w:p>
        </w:tc>
        <w:tc>
          <w:tcPr>
            <w:tcW w:w="0" w:type="auto"/>
            <w:hideMark/>
          </w:tcPr>
          <w:p w14:paraId="7D423D00" w14:textId="77777777" w:rsidR="00693C6C" w:rsidRPr="000A6E2D" w:rsidRDefault="00693C6C" w:rsidP="003E0728">
            <w:pPr>
              <w:pStyle w:val="Tables"/>
            </w:pPr>
            <w:r w:rsidRPr="000A6E2D">
              <w:t>Rs. crores</w:t>
            </w:r>
          </w:p>
        </w:tc>
        <w:tc>
          <w:tcPr>
            <w:tcW w:w="0" w:type="auto"/>
            <w:hideMark/>
          </w:tcPr>
          <w:p w14:paraId="712B35DD" w14:textId="77777777" w:rsidR="00693C6C" w:rsidRPr="000A6E2D" w:rsidRDefault="00693C6C" w:rsidP="003E0728">
            <w:pPr>
              <w:pStyle w:val="Tables"/>
            </w:pPr>
            <w:r w:rsidRPr="000A6E2D">
              <w:t>Per cent</w:t>
            </w:r>
          </w:p>
        </w:tc>
        <w:tc>
          <w:tcPr>
            <w:tcW w:w="0" w:type="auto"/>
            <w:hideMark/>
          </w:tcPr>
          <w:p w14:paraId="21BE4BB5" w14:textId="77777777" w:rsidR="00693C6C" w:rsidRPr="000A6E2D" w:rsidRDefault="00693C6C" w:rsidP="003E0728">
            <w:pPr>
              <w:pStyle w:val="Tables"/>
            </w:pPr>
            <w:r w:rsidRPr="000A6E2D">
              <w:t>Rs. crores</w:t>
            </w:r>
          </w:p>
        </w:tc>
        <w:tc>
          <w:tcPr>
            <w:tcW w:w="0" w:type="auto"/>
            <w:hideMark/>
          </w:tcPr>
          <w:p w14:paraId="1C6B324D" w14:textId="77777777" w:rsidR="00693C6C" w:rsidRPr="000A6E2D" w:rsidRDefault="00693C6C" w:rsidP="003E0728">
            <w:pPr>
              <w:pStyle w:val="Tables"/>
            </w:pPr>
            <w:r w:rsidRPr="000A6E2D">
              <w:t>Per cent</w:t>
            </w:r>
          </w:p>
        </w:tc>
      </w:tr>
      <w:tr w:rsidR="00E2135C" w:rsidRPr="000A6E2D" w14:paraId="2C7C1EF6" w14:textId="77777777" w:rsidTr="00E23521">
        <w:trPr>
          <w:trHeight w:val="397"/>
          <w:jc w:val="center"/>
        </w:trPr>
        <w:tc>
          <w:tcPr>
            <w:tcW w:w="0" w:type="auto"/>
            <w:hideMark/>
          </w:tcPr>
          <w:p w14:paraId="51197567" w14:textId="77777777" w:rsidR="00E2135C" w:rsidRPr="000A6E2D" w:rsidRDefault="00E2135C" w:rsidP="003E0728">
            <w:pPr>
              <w:pStyle w:val="Tables"/>
            </w:pPr>
            <w:r w:rsidRPr="000A6E2D">
              <w:t>Total Revenue</w:t>
            </w:r>
          </w:p>
        </w:tc>
        <w:tc>
          <w:tcPr>
            <w:tcW w:w="0" w:type="auto"/>
            <w:hideMark/>
          </w:tcPr>
          <w:p w14:paraId="58B9C589" w14:textId="77777777" w:rsidR="00E2135C" w:rsidRPr="000A6E2D" w:rsidRDefault="00E2135C" w:rsidP="003E0728">
            <w:pPr>
              <w:pStyle w:val="Tables"/>
            </w:pPr>
            <w:r w:rsidRPr="000A6E2D">
              <w:t>164.18</w:t>
            </w:r>
          </w:p>
        </w:tc>
        <w:tc>
          <w:tcPr>
            <w:tcW w:w="0" w:type="auto"/>
            <w:hideMark/>
          </w:tcPr>
          <w:p w14:paraId="69DBFFCB" w14:textId="77777777" w:rsidR="00E2135C" w:rsidRPr="000A6E2D" w:rsidRDefault="00E2135C" w:rsidP="003E0728">
            <w:pPr>
              <w:pStyle w:val="Tables"/>
            </w:pPr>
            <w:r w:rsidRPr="000A6E2D">
              <w:t>100</w:t>
            </w:r>
          </w:p>
        </w:tc>
        <w:tc>
          <w:tcPr>
            <w:tcW w:w="0" w:type="auto"/>
            <w:hideMark/>
          </w:tcPr>
          <w:p w14:paraId="37F10595" w14:textId="77777777" w:rsidR="00E2135C" w:rsidRPr="000A6E2D" w:rsidRDefault="00E2135C" w:rsidP="003E0728">
            <w:pPr>
              <w:pStyle w:val="Tables"/>
            </w:pPr>
            <w:r w:rsidRPr="000A6E2D">
              <w:t>537.03</w:t>
            </w:r>
          </w:p>
        </w:tc>
        <w:tc>
          <w:tcPr>
            <w:tcW w:w="0" w:type="auto"/>
            <w:hideMark/>
          </w:tcPr>
          <w:p w14:paraId="3470021E" w14:textId="77777777" w:rsidR="00E2135C" w:rsidRPr="000A6E2D" w:rsidRDefault="00E2135C" w:rsidP="003E0728">
            <w:pPr>
              <w:pStyle w:val="Tables"/>
            </w:pPr>
            <w:r w:rsidRPr="000A6E2D">
              <w:t>100</w:t>
            </w:r>
          </w:p>
        </w:tc>
        <w:tc>
          <w:tcPr>
            <w:tcW w:w="0" w:type="auto"/>
            <w:hideMark/>
          </w:tcPr>
          <w:p w14:paraId="480DFC55" w14:textId="77777777" w:rsidR="00E2135C" w:rsidRPr="000A6E2D" w:rsidRDefault="00E2135C" w:rsidP="003E0728">
            <w:pPr>
              <w:pStyle w:val="Tables"/>
            </w:pPr>
            <w:r w:rsidRPr="000A6E2D">
              <w:t>567.67</w:t>
            </w:r>
          </w:p>
        </w:tc>
        <w:tc>
          <w:tcPr>
            <w:tcW w:w="0" w:type="auto"/>
            <w:hideMark/>
          </w:tcPr>
          <w:p w14:paraId="5B963500" w14:textId="77777777" w:rsidR="00E2135C" w:rsidRPr="000A6E2D" w:rsidRDefault="00E2135C" w:rsidP="003E0728">
            <w:pPr>
              <w:pStyle w:val="Tables"/>
            </w:pPr>
            <w:r w:rsidRPr="000A6E2D">
              <w:t>100</w:t>
            </w:r>
          </w:p>
        </w:tc>
      </w:tr>
      <w:tr w:rsidR="00E2135C" w:rsidRPr="000A6E2D" w14:paraId="38716C85" w14:textId="77777777" w:rsidTr="00E23521">
        <w:trPr>
          <w:trHeight w:val="397"/>
          <w:jc w:val="center"/>
        </w:trPr>
        <w:tc>
          <w:tcPr>
            <w:tcW w:w="0" w:type="auto"/>
            <w:hideMark/>
          </w:tcPr>
          <w:p w14:paraId="30BC94AA" w14:textId="77777777" w:rsidR="00E2135C" w:rsidRPr="000A6E2D" w:rsidRDefault="00E2135C" w:rsidP="003E0728">
            <w:pPr>
              <w:pStyle w:val="Tables"/>
            </w:pPr>
            <w:r w:rsidRPr="000A6E2D">
              <w:t>Taxes on Income*</w:t>
            </w:r>
          </w:p>
        </w:tc>
        <w:tc>
          <w:tcPr>
            <w:tcW w:w="0" w:type="auto"/>
            <w:hideMark/>
          </w:tcPr>
          <w:p w14:paraId="4DA01AAB" w14:textId="77777777" w:rsidR="00E2135C" w:rsidRPr="000A6E2D" w:rsidRDefault="00E2135C" w:rsidP="003E0728">
            <w:pPr>
              <w:pStyle w:val="Tables"/>
            </w:pPr>
            <w:r w:rsidRPr="000A6E2D">
              <w:t>15.83</w:t>
            </w:r>
          </w:p>
        </w:tc>
        <w:tc>
          <w:tcPr>
            <w:tcW w:w="0" w:type="auto"/>
            <w:hideMark/>
          </w:tcPr>
          <w:p w14:paraId="122BF4F4" w14:textId="77777777" w:rsidR="00E2135C" w:rsidRPr="000A6E2D" w:rsidRDefault="00E2135C" w:rsidP="003E0728">
            <w:pPr>
              <w:pStyle w:val="Tables"/>
            </w:pPr>
            <w:r w:rsidRPr="000A6E2D">
              <w:t>9.6</w:t>
            </w:r>
          </w:p>
        </w:tc>
        <w:tc>
          <w:tcPr>
            <w:tcW w:w="0" w:type="auto"/>
            <w:hideMark/>
          </w:tcPr>
          <w:p w14:paraId="3B60FE85" w14:textId="77777777" w:rsidR="00E2135C" w:rsidRPr="000A6E2D" w:rsidRDefault="00E2135C" w:rsidP="003E0728">
            <w:pPr>
              <w:pStyle w:val="Tables"/>
            </w:pPr>
            <w:r w:rsidRPr="000A6E2D">
              <w:t>192.21</w:t>
            </w:r>
          </w:p>
        </w:tc>
        <w:tc>
          <w:tcPr>
            <w:tcW w:w="0" w:type="auto"/>
            <w:hideMark/>
          </w:tcPr>
          <w:p w14:paraId="131111E8" w14:textId="77777777" w:rsidR="00E2135C" w:rsidRPr="000A6E2D" w:rsidRDefault="00E2135C" w:rsidP="003E0728">
            <w:pPr>
              <w:pStyle w:val="Tables"/>
            </w:pPr>
            <w:r w:rsidRPr="000A6E2D">
              <w:t>35.8</w:t>
            </w:r>
          </w:p>
        </w:tc>
        <w:tc>
          <w:tcPr>
            <w:tcW w:w="0" w:type="auto"/>
            <w:hideMark/>
          </w:tcPr>
          <w:p w14:paraId="10E89FBD" w14:textId="77777777" w:rsidR="00E2135C" w:rsidRPr="000A6E2D" w:rsidRDefault="00E2135C" w:rsidP="003E0728">
            <w:pPr>
              <w:pStyle w:val="Tables"/>
            </w:pPr>
            <w:r w:rsidRPr="000A6E2D">
              <w:t>162.05</w:t>
            </w:r>
          </w:p>
        </w:tc>
        <w:tc>
          <w:tcPr>
            <w:tcW w:w="0" w:type="auto"/>
            <w:hideMark/>
          </w:tcPr>
          <w:p w14:paraId="4744E0D0" w14:textId="77777777" w:rsidR="00E2135C" w:rsidRPr="000A6E2D" w:rsidRDefault="00E2135C" w:rsidP="003E0728">
            <w:pPr>
              <w:pStyle w:val="Tables"/>
            </w:pPr>
            <w:r w:rsidRPr="000A6E2D">
              <w:t>28.6</w:t>
            </w:r>
          </w:p>
        </w:tc>
      </w:tr>
      <w:tr w:rsidR="00E2135C" w:rsidRPr="000A6E2D" w14:paraId="65D3905D" w14:textId="77777777" w:rsidTr="00E23521">
        <w:trPr>
          <w:trHeight w:val="397"/>
          <w:jc w:val="center"/>
        </w:trPr>
        <w:tc>
          <w:tcPr>
            <w:tcW w:w="0" w:type="auto"/>
            <w:hideMark/>
          </w:tcPr>
          <w:p w14:paraId="725D05CD" w14:textId="77777777" w:rsidR="00E2135C" w:rsidRPr="000A6E2D" w:rsidRDefault="00E2135C" w:rsidP="003E0728">
            <w:pPr>
              <w:pStyle w:val="Tables"/>
            </w:pPr>
            <w:r w:rsidRPr="000A6E2D">
              <w:t>Customs</w:t>
            </w:r>
          </w:p>
        </w:tc>
        <w:tc>
          <w:tcPr>
            <w:tcW w:w="0" w:type="auto"/>
            <w:hideMark/>
          </w:tcPr>
          <w:p w14:paraId="75B4815B" w14:textId="77777777" w:rsidR="00E2135C" w:rsidRPr="000A6E2D" w:rsidRDefault="00E2135C" w:rsidP="003E0728">
            <w:pPr>
              <w:pStyle w:val="Tables"/>
            </w:pPr>
            <w:r w:rsidRPr="000A6E2D">
              <w:t>45.76</w:t>
            </w:r>
          </w:p>
        </w:tc>
        <w:tc>
          <w:tcPr>
            <w:tcW w:w="0" w:type="auto"/>
            <w:hideMark/>
          </w:tcPr>
          <w:p w14:paraId="28D371E0" w14:textId="77777777" w:rsidR="00E2135C" w:rsidRPr="000A6E2D" w:rsidRDefault="00E2135C" w:rsidP="003E0728">
            <w:pPr>
              <w:pStyle w:val="Tables"/>
            </w:pPr>
            <w:r w:rsidRPr="000A6E2D">
              <w:t>27.9</w:t>
            </w:r>
          </w:p>
        </w:tc>
        <w:tc>
          <w:tcPr>
            <w:tcW w:w="0" w:type="auto"/>
            <w:hideMark/>
          </w:tcPr>
          <w:p w14:paraId="52C474EB" w14:textId="77777777" w:rsidR="00E2135C" w:rsidRPr="000A6E2D" w:rsidRDefault="00E2135C" w:rsidP="003E0728">
            <w:pPr>
              <w:pStyle w:val="Tables"/>
            </w:pPr>
            <w:r w:rsidRPr="000A6E2D">
              <w:t>41.26</w:t>
            </w:r>
          </w:p>
        </w:tc>
        <w:tc>
          <w:tcPr>
            <w:tcW w:w="0" w:type="auto"/>
            <w:hideMark/>
          </w:tcPr>
          <w:p w14:paraId="55C62D57" w14:textId="77777777" w:rsidR="00E2135C" w:rsidRPr="000A6E2D" w:rsidRDefault="00E2135C" w:rsidP="003E0728">
            <w:pPr>
              <w:pStyle w:val="Tables"/>
            </w:pPr>
            <w:r w:rsidRPr="000A6E2D">
              <w:t>7.7</w:t>
            </w:r>
          </w:p>
        </w:tc>
        <w:tc>
          <w:tcPr>
            <w:tcW w:w="0" w:type="auto"/>
            <w:hideMark/>
          </w:tcPr>
          <w:p w14:paraId="2EC657DF" w14:textId="77777777" w:rsidR="00E2135C" w:rsidRPr="000A6E2D" w:rsidRDefault="00E2135C" w:rsidP="003E0728">
            <w:pPr>
              <w:pStyle w:val="Tables"/>
            </w:pPr>
            <w:r w:rsidRPr="000A6E2D">
              <w:t>92.09</w:t>
            </w:r>
          </w:p>
        </w:tc>
        <w:tc>
          <w:tcPr>
            <w:tcW w:w="0" w:type="auto"/>
            <w:hideMark/>
          </w:tcPr>
          <w:p w14:paraId="0A25C3C2" w14:textId="77777777" w:rsidR="00E2135C" w:rsidRPr="000A6E2D" w:rsidRDefault="00E2135C" w:rsidP="003E0728">
            <w:pPr>
              <w:pStyle w:val="Tables"/>
            </w:pPr>
            <w:r w:rsidRPr="000A6E2D">
              <w:t>16.2</w:t>
            </w:r>
          </w:p>
        </w:tc>
      </w:tr>
      <w:tr w:rsidR="00E2135C" w:rsidRPr="000A6E2D" w14:paraId="65404D65" w14:textId="77777777" w:rsidTr="00E23521">
        <w:trPr>
          <w:trHeight w:val="397"/>
          <w:jc w:val="center"/>
        </w:trPr>
        <w:tc>
          <w:tcPr>
            <w:tcW w:w="0" w:type="auto"/>
            <w:hideMark/>
          </w:tcPr>
          <w:p w14:paraId="0056240B" w14:textId="77777777" w:rsidR="00E2135C" w:rsidRPr="000A6E2D" w:rsidRDefault="00E2135C" w:rsidP="003E0728">
            <w:pPr>
              <w:pStyle w:val="Tables"/>
            </w:pPr>
            <w:r w:rsidRPr="000A6E2D">
              <w:t>Central Excises</w:t>
            </w:r>
          </w:p>
        </w:tc>
        <w:tc>
          <w:tcPr>
            <w:tcW w:w="0" w:type="auto"/>
            <w:hideMark/>
          </w:tcPr>
          <w:p w14:paraId="03B16ED3" w14:textId="77777777" w:rsidR="00E2135C" w:rsidRPr="000A6E2D" w:rsidRDefault="00E2135C" w:rsidP="003E0728">
            <w:pPr>
              <w:pStyle w:val="Tables"/>
            </w:pPr>
            <w:r w:rsidRPr="000A6E2D">
              <w:t>7.66</w:t>
            </w:r>
          </w:p>
        </w:tc>
        <w:tc>
          <w:tcPr>
            <w:tcW w:w="0" w:type="auto"/>
            <w:hideMark/>
          </w:tcPr>
          <w:p w14:paraId="48F54A4D" w14:textId="77777777" w:rsidR="00E2135C" w:rsidRPr="000A6E2D" w:rsidRDefault="00E2135C" w:rsidP="003E0728">
            <w:pPr>
              <w:pStyle w:val="Tables"/>
            </w:pPr>
            <w:r w:rsidRPr="000A6E2D">
              <w:t>4.7</w:t>
            </w:r>
          </w:p>
        </w:tc>
        <w:tc>
          <w:tcPr>
            <w:tcW w:w="0" w:type="auto"/>
            <w:hideMark/>
          </w:tcPr>
          <w:p w14:paraId="05305649" w14:textId="77777777" w:rsidR="00E2135C" w:rsidRPr="000A6E2D" w:rsidRDefault="00E2135C" w:rsidP="003E0728">
            <w:pPr>
              <w:pStyle w:val="Tables"/>
            </w:pPr>
            <w:r w:rsidRPr="000A6E2D">
              <w:t>38.14</w:t>
            </w:r>
          </w:p>
        </w:tc>
        <w:tc>
          <w:tcPr>
            <w:tcW w:w="0" w:type="auto"/>
            <w:hideMark/>
          </w:tcPr>
          <w:p w14:paraId="2A6AE7D7" w14:textId="77777777" w:rsidR="00E2135C" w:rsidRPr="000A6E2D" w:rsidRDefault="00E2135C" w:rsidP="003E0728">
            <w:pPr>
              <w:pStyle w:val="Tables"/>
            </w:pPr>
            <w:r w:rsidRPr="000A6E2D">
              <w:t>7.1</w:t>
            </w:r>
          </w:p>
        </w:tc>
        <w:tc>
          <w:tcPr>
            <w:tcW w:w="0" w:type="auto"/>
            <w:hideMark/>
          </w:tcPr>
          <w:p w14:paraId="624CFB38" w14:textId="77777777" w:rsidR="00E2135C" w:rsidRPr="000A6E2D" w:rsidRDefault="00E2135C" w:rsidP="003E0728">
            <w:pPr>
              <w:pStyle w:val="Tables"/>
            </w:pPr>
            <w:r w:rsidRPr="000A6E2D">
              <w:t>43.03</w:t>
            </w:r>
          </w:p>
        </w:tc>
        <w:tc>
          <w:tcPr>
            <w:tcW w:w="0" w:type="auto"/>
            <w:hideMark/>
          </w:tcPr>
          <w:p w14:paraId="3E4E8490" w14:textId="77777777" w:rsidR="00E2135C" w:rsidRPr="000A6E2D" w:rsidRDefault="00E2135C" w:rsidP="003E0728">
            <w:pPr>
              <w:pStyle w:val="Tables"/>
            </w:pPr>
            <w:r w:rsidRPr="000A6E2D">
              <w:t>7.5</w:t>
            </w:r>
          </w:p>
        </w:tc>
      </w:tr>
      <w:tr w:rsidR="00E2135C" w:rsidRPr="000A6E2D" w14:paraId="6A63C0F3" w14:textId="77777777" w:rsidTr="00E23521">
        <w:trPr>
          <w:trHeight w:val="397"/>
          <w:jc w:val="center"/>
        </w:trPr>
        <w:tc>
          <w:tcPr>
            <w:tcW w:w="0" w:type="auto"/>
            <w:hideMark/>
          </w:tcPr>
          <w:p w14:paraId="6EE607A9" w14:textId="77777777" w:rsidR="00E2135C" w:rsidRPr="000A6E2D" w:rsidRDefault="00E2135C" w:rsidP="003E0728">
            <w:pPr>
              <w:pStyle w:val="Tables"/>
            </w:pPr>
            <w:r w:rsidRPr="000A6E2D">
              <w:t>Provincial Excises</w:t>
            </w:r>
          </w:p>
        </w:tc>
        <w:tc>
          <w:tcPr>
            <w:tcW w:w="0" w:type="auto"/>
            <w:hideMark/>
          </w:tcPr>
          <w:p w14:paraId="09C0D4C9" w14:textId="77777777" w:rsidR="00E2135C" w:rsidRPr="000A6E2D" w:rsidRDefault="00E2135C" w:rsidP="003E0728">
            <w:pPr>
              <w:pStyle w:val="Tables"/>
            </w:pPr>
            <w:r w:rsidRPr="000A6E2D">
              <w:t>14.58</w:t>
            </w:r>
          </w:p>
        </w:tc>
        <w:tc>
          <w:tcPr>
            <w:tcW w:w="0" w:type="auto"/>
            <w:hideMark/>
          </w:tcPr>
          <w:p w14:paraId="45AFD632" w14:textId="77777777" w:rsidR="00E2135C" w:rsidRPr="000A6E2D" w:rsidRDefault="00E2135C" w:rsidP="003E0728">
            <w:pPr>
              <w:pStyle w:val="Tables"/>
            </w:pPr>
            <w:r w:rsidRPr="000A6E2D">
              <w:t>8.9</w:t>
            </w:r>
          </w:p>
        </w:tc>
        <w:tc>
          <w:tcPr>
            <w:tcW w:w="0" w:type="auto"/>
            <w:hideMark/>
          </w:tcPr>
          <w:p w14:paraId="05B91854" w14:textId="77777777" w:rsidR="00E2135C" w:rsidRPr="000A6E2D" w:rsidRDefault="00E2135C" w:rsidP="003E0728">
            <w:pPr>
              <w:pStyle w:val="Tables"/>
            </w:pPr>
            <w:r w:rsidRPr="000A6E2D">
              <w:t>45.55</w:t>
            </w:r>
          </w:p>
        </w:tc>
        <w:tc>
          <w:tcPr>
            <w:tcW w:w="0" w:type="auto"/>
            <w:hideMark/>
          </w:tcPr>
          <w:p w14:paraId="28E71207" w14:textId="77777777" w:rsidR="00E2135C" w:rsidRPr="000A6E2D" w:rsidRDefault="00E2135C" w:rsidP="003E0728">
            <w:pPr>
              <w:pStyle w:val="Tables"/>
            </w:pPr>
            <w:r w:rsidRPr="000A6E2D">
              <w:t>8.5</w:t>
            </w:r>
          </w:p>
        </w:tc>
        <w:tc>
          <w:tcPr>
            <w:tcW w:w="0" w:type="auto"/>
            <w:hideMark/>
          </w:tcPr>
          <w:p w14:paraId="43AB6345" w14:textId="77777777" w:rsidR="00E2135C" w:rsidRPr="000A6E2D" w:rsidRDefault="00E2135C" w:rsidP="003E0728">
            <w:pPr>
              <w:pStyle w:val="Tables"/>
            </w:pPr>
            <w:r w:rsidRPr="000A6E2D">
              <w:t>52.95</w:t>
            </w:r>
          </w:p>
        </w:tc>
        <w:tc>
          <w:tcPr>
            <w:tcW w:w="0" w:type="auto"/>
            <w:hideMark/>
          </w:tcPr>
          <w:p w14:paraId="210C27E8" w14:textId="77777777" w:rsidR="00E2135C" w:rsidRPr="000A6E2D" w:rsidRDefault="00E2135C" w:rsidP="003E0728">
            <w:pPr>
              <w:pStyle w:val="Tables"/>
            </w:pPr>
            <w:r w:rsidRPr="000A6E2D">
              <w:t>9.3</w:t>
            </w:r>
          </w:p>
        </w:tc>
      </w:tr>
      <w:tr w:rsidR="00E2135C" w:rsidRPr="000A6E2D" w14:paraId="55B79108" w14:textId="77777777" w:rsidTr="00E23521">
        <w:trPr>
          <w:trHeight w:val="397"/>
          <w:jc w:val="center"/>
        </w:trPr>
        <w:tc>
          <w:tcPr>
            <w:tcW w:w="0" w:type="auto"/>
            <w:hideMark/>
          </w:tcPr>
          <w:p w14:paraId="0FEE2A09" w14:textId="77777777" w:rsidR="00E2135C" w:rsidRPr="000A6E2D" w:rsidRDefault="00E2135C" w:rsidP="003E0728">
            <w:pPr>
              <w:pStyle w:val="Tables"/>
            </w:pPr>
            <w:r w:rsidRPr="000A6E2D">
              <w:t>Land Revenue</w:t>
            </w:r>
          </w:p>
        </w:tc>
        <w:tc>
          <w:tcPr>
            <w:tcW w:w="0" w:type="auto"/>
            <w:hideMark/>
          </w:tcPr>
          <w:p w14:paraId="3ECF4322" w14:textId="77777777" w:rsidR="00E2135C" w:rsidRPr="000A6E2D" w:rsidRDefault="00E2135C" w:rsidP="003E0728">
            <w:pPr>
              <w:pStyle w:val="Tables"/>
            </w:pPr>
            <w:r w:rsidRPr="000A6E2D">
              <w:t>26.56</w:t>
            </w:r>
          </w:p>
        </w:tc>
        <w:tc>
          <w:tcPr>
            <w:tcW w:w="0" w:type="auto"/>
            <w:hideMark/>
          </w:tcPr>
          <w:p w14:paraId="304F3B1B" w14:textId="77777777" w:rsidR="00E2135C" w:rsidRPr="000A6E2D" w:rsidRDefault="00E2135C" w:rsidP="003E0728">
            <w:pPr>
              <w:pStyle w:val="Tables"/>
            </w:pPr>
            <w:r w:rsidRPr="000A6E2D">
              <w:t>16.2</w:t>
            </w:r>
          </w:p>
        </w:tc>
        <w:tc>
          <w:tcPr>
            <w:tcW w:w="0" w:type="auto"/>
            <w:hideMark/>
          </w:tcPr>
          <w:p w14:paraId="6A9B46C9" w14:textId="77777777" w:rsidR="00E2135C" w:rsidRPr="000A6E2D" w:rsidRDefault="00E2135C" w:rsidP="003E0728">
            <w:pPr>
              <w:pStyle w:val="Tables"/>
            </w:pPr>
            <w:r w:rsidRPr="000A6E2D">
              <w:t>31.57</w:t>
            </w:r>
          </w:p>
        </w:tc>
        <w:tc>
          <w:tcPr>
            <w:tcW w:w="0" w:type="auto"/>
            <w:hideMark/>
          </w:tcPr>
          <w:p w14:paraId="61F76DE6" w14:textId="77777777" w:rsidR="00E2135C" w:rsidRPr="000A6E2D" w:rsidRDefault="00E2135C" w:rsidP="003E0728">
            <w:pPr>
              <w:pStyle w:val="Tables"/>
            </w:pPr>
            <w:r w:rsidRPr="000A6E2D">
              <w:t>5.9</w:t>
            </w:r>
          </w:p>
        </w:tc>
        <w:tc>
          <w:tcPr>
            <w:tcW w:w="0" w:type="auto"/>
            <w:hideMark/>
          </w:tcPr>
          <w:p w14:paraId="6C400B6F" w14:textId="77777777" w:rsidR="00E2135C" w:rsidRPr="000A6E2D" w:rsidRDefault="00E2135C" w:rsidP="003E0728">
            <w:pPr>
              <w:pStyle w:val="Tables"/>
            </w:pPr>
            <w:r w:rsidRPr="000A6E2D">
              <w:t>31.25</w:t>
            </w:r>
          </w:p>
        </w:tc>
        <w:tc>
          <w:tcPr>
            <w:tcW w:w="0" w:type="auto"/>
            <w:hideMark/>
          </w:tcPr>
          <w:p w14:paraId="70039D54" w14:textId="77777777" w:rsidR="00E2135C" w:rsidRPr="000A6E2D" w:rsidRDefault="00E2135C" w:rsidP="003E0728">
            <w:pPr>
              <w:pStyle w:val="Tables"/>
            </w:pPr>
            <w:r w:rsidRPr="000A6E2D">
              <w:t>5.5</w:t>
            </w:r>
          </w:p>
        </w:tc>
      </w:tr>
      <w:tr w:rsidR="00E2135C" w:rsidRPr="000A6E2D" w14:paraId="37442365" w14:textId="77777777" w:rsidTr="00E23521">
        <w:trPr>
          <w:trHeight w:val="397"/>
          <w:jc w:val="center"/>
        </w:trPr>
        <w:tc>
          <w:tcPr>
            <w:tcW w:w="0" w:type="auto"/>
            <w:hideMark/>
          </w:tcPr>
          <w:p w14:paraId="7E43C0EF" w14:textId="77777777" w:rsidR="00E2135C" w:rsidRPr="000A6E2D" w:rsidRDefault="00E2135C" w:rsidP="003E0728">
            <w:pPr>
              <w:pStyle w:val="Tables"/>
            </w:pPr>
            <w:r w:rsidRPr="000A6E2D">
              <w:t>Stamps</w:t>
            </w:r>
          </w:p>
        </w:tc>
        <w:tc>
          <w:tcPr>
            <w:tcW w:w="0" w:type="auto"/>
            <w:hideMark/>
          </w:tcPr>
          <w:p w14:paraId="084D99A6" w14:textId="77777777" w:rsidR="00E2135C" w:rsidRPr="000A6E2D" w:rsidRDefault="00E2135C" w:rsidP="003E0728">
            <w:pPr>
              <w:pStyle w:val="Tables"/>
            </w:pPr>
            <w:r w:rsidRPr="000A6E2D">
              <w:t>11.05</w:t>
            </w:r>
          </w:p>
        </w:tc>
        <w:tc>
          <w:tcPr>
            <w:tcW w:w="0" w:type="auto"/>
            <w:hideMark/>
          </w:tcPr>
          <w:p w14:paraId="240C1C7F" w14:textId="77777777" w:rsidR="00E2135C" w:rsidRPr="000A6E2D" w:rsidRDefault="00E2135C" w:rsidP="003E0728">
            <w:pPr>
              <w:pStyle w:val="Tables"/>
            </w:pPr>
            <w:r w:rsidRPr="000A6E2D">
              <w:t>6.7</w:t>
            </w:r>
          </w:p>
        </w:tc>
        <w:tc>
          <w:tcPr>
            <w:tcW w:w="0" w:type="auto"/>
            <w:hideMark/>
          </w:tcPr>
          <w:p w14:paraId="7FADE789" w14:textId="77777777" w:rsidR="00E2135C" w:rsidRPr="000A6E2D" w:rsidRDefault="00E2135C" w:rsidP="003E0728">
            <w:pPr>
              <w:pStyle w:val="Tables"/>
            </w:pPr>
            <w:r w:rsidRPr="000A6E2D">
              <w:t>16.41</w:t>
            </w:r>
          </w:p>
        </w:tc>
        <w:tc>
          <w:tcPr>
            <w:tcW w:w="0" w:type="auto"/>
            <w:hideMark/>
          </w:tcPr>
          <w:p w14:paraId="4D9863D6" w14:textId="77777777" w:rsidR="00E2135C" w:rsidRPr="000A6E2D" w:rsidRDefault="00E2135C" w:rsidP="003E0728">
            <w:pPr>
              <w:pStyle w:val="Tables"/>
            </w:pPr>
            <w:r w:rsidRPr="000A6E2D">
              <w:t>3.1</w:t>
            </w:r>
          </w:p>
        </w:tc>
        <w:tc>
          <w:tcPr>
            <w:tcW w:w="0" w:type="auto"/>
            <w:hideMark/>
          </w:tcPr>
          <w:p w14:paraId="6A3AE653" w14:textId="77777777" w:rsidR="00E2135C" w:rsidRPr="000A6E2D" w:rsidRDefault="00E2135C" w:rsidP="003E0728">
            <w:pPr>
              <w:pStyle w:val="Tables"/>
            </w:pPr>
            <w:r w:rsidRPr="000A6E2D">
              <w:t>20.61</w:t>
            </w:r>
          </w:p>
        </w:tc>
        <w:tc>
          <w:tcPr>
            <w:tcW w:w="0" w:type="auto"/>
            <w:hideMark/>
          </w:tcPr>
          <w:p w14:paraId="70A2F955" w14:textId="77777777" w:rsidR="00E2135C" w:rsidRPr="000A6E2D" w:rsidRDefault="00E2135C" w:rsidP="003E0728">
            <w:pPr>
              <w:pStyle w:val="Tables"/>
            </w:pPr>
            <w:r w:rsidRPr="000A6E2D">
              <w:t>3.6</w:t>
            </w:r>
          </w:p>
        </w:tc>
      </w:tr>
      <w:tr w:rsidR="00E2135C" w:rsidRPr="000A6E2D" w14:paraId="590D8F8C" w14:textId="77777777" w:rsidTr="00E23521">
        <w:trPr>
          <w:trHeight w:val="397"/>
          <w:jc w:val="center"/>
        </w:trPr>
        <w:tc>
          <w:tcPr>
            <w:tcW w:w="0" w:type="auto"/>
            <w:hideMark/>
          </w:tcPr>
          <w:p w14:paraId="4C0EBAB9" w14:textId="77777777" w:rsidR="00E2135C" w:rsidRPr="000A6E2D" w:rsidRDefault="00E2135C" w:rsidP="003E0728">
            <w:pPr>
              <w:pStyle w:val="Tables"/>
            </w:pPr>
            <w:r w:rsidRPr="000A6E2D">
              <w:t>Sales Tax</w:t>
            </w:r>
          </w:p>
        </w:tc>
        <w:tc>
          <w:tcPr>
            <w:tcW w:w="0" w:type="auto"/>
            <w:hideMark/>
          </w:tcPr>
          <w:p w14:paraId="6C1E2DA9" w14:textId="77777777" w:rsidR="00E2135C" w:rsidRPr="000A6E2D" w:rsidRDefault="00E2135C" w:rsidP="003E0728">
            <w:pPr>
              <w:pStyle w:val="Tables"/>
            </w:pPr>
            <w:r w:rsidRPr="000A6E2D">
              <w:t>...</w:t>
            </w:r>
          </w:p>
        </w:tc>
        <w:tc>
          <w:tcPr>
            <w:tcW w:w="0" w:type="auto"/>
            <w:hideMark/>
          </w:tcPr>
          <w:p w14:paraId="5CCAA028" w14:textId="77777777" w:rsidR="00E2135C" w:rsidRPr="000A6E2D" w:rsidRDefault="00E2135C" w:rsidP="003E0728">
            <w:pPr>
              <w:pStyle w:val="Tables"/>
            </w:pPr>
            <w:r w:rsidRPr="000A6E2D">
              <w:t>...</w:t>
            </w:r>
          </w:p>
        </w:tc>
        <w:tc>
          <w:tcPr>
            <w:tcW w:w="0" w:type="auto"/>
            <w:hideMark/>
          </w:tcPr>
          <w:p w14:paraId="646F10CC" w14:textId="77777777" w:rsidR="00E2135C" w:rsidRPr="000A6E2D" w:rsidRDefault="00E2135C" w:rsidP="003E0728">
            <w:pPr>
              <w:pStyle w:val="Tables"/>
            </w:pPr>
            <w:r w:rsidRPr="000A6E2D">
              <w:t>8.74</w:t>
            </w:r>
          </w:p>
        </w:tc>
        <w:tc>
          <w:tcPr>
            <w:tcW w:w="0" w:type="auto"/>
            <w:hideMark/>
          </w:tcPr>
          <w:p w14:paraId="13E43C07" w14:textId="77777777" w:rsidR="00E2135C" w:rsidRPr="000A6E2D" w:rsidRDefault="00E2135C" w:rsidP="003E0728">
            <w:pPr>
              <w:pStyle w:val="Tables"/>
            </w:pPr>
            <w:r w:rsidRPr="000A6E2D">
              <w:t>1.6</w:t>
            </w:r>
          </w:p>
        </w:tc>
        <w:tc>
          <w:tcPr>
            <w:tcW w:w="0" w:type="auto"/>
            <w:hideMark/>
          </w:tcPr>
          <w:p w14:paraId="35DF8AD2" w14:textId="77777777" w:rsidR="00E2135C" w:rsidRPr="000A6E2D" w:rsidRDefault="00E2135C" w:rsidP="003E0728">
            <w:pPr>
              <w:pStyle w:val="Tables"/>
            </w:pPr>
            <w:r w:rsidRPr="000A6E2D">
              <w:t>13.31</w:t>
            </w:r>
          </w:p>
        </w:tc>
        <w:tc>
          <w:tcPr>
            <w:tcW w:w="0" w:type="auto"/>
            <w:hideMark/>
          </w:tcPr>
          <w:p w14:paraId="5BDD6F8E" w14:textId="77777777" w:rsidR="00E2135C" w:rsidRPr="000A6E2D" w:rsidRDefault="00E2135C" w:rsidP="003E0728">
            <w:pPr>
              <w:pStyle w:val="Tables"/>
            </w:pPr>
            <w:r w:rsidRPr="000A6E2D">
              <w:t>2.3</w:t>
            </w:r>
          </w:p>
        </w:tc>
      </w:tr>
      <w:tr w:rsidR="00E2135C" w:rsidRPr="000A6E2D" w14:paraId="32652AB2" w14:textId="77777777" w:rsidTr="00E23521">
        <w:trPr>
          <w:trHeight w:val="397"/>
          <w:jc w:val="center"/>
        </w:trPr>
        <w:tc>
          <w:tcPr>
            <w:tcW w:w="0" w:type="auto"/>
            <w:hideMark/>
          </w:tcPr>
          <w:p w14:paraId="7848DC73" w14:textId="77777777" w:rsidR="00E2135C" w:rsidRPr="000A6E2D" w:rsidRDefault="00E2135C" w:rsidP="003E0728">
            <w:pPr>
              <w:pStyle w:val="Tables"/>
            </w:pPr>
            <w:r w:rsidRPr="000A6E2D">
              <w:t>Forests</w:t>
            </w:r>
          </w:p>
        </w:tc>
        <w:tc>
          <w:tcPr>
            <w:tcW w:w="0" w:type="auto"/>
            <w:hideMark/>
          </w:tcPr>
          <w:p w14:paraId="1E3E2BE1" w14:textId="77777777" w:rsidR="00E2135C" w:rsidRPr="000A6E2D" w:rsidRDefault="00E2135C" w:rsidP="003E0728">
            <w:pPr>
              <w:pStyle w:val="Tables"/>
            </w:pPr>
            <w:r w:rsidRPr="000A6E2D">
              <w:t>2.98</w:t>
            </w:r>
          </w:p>
        </w:tc>
        <w:tc>
          <w:tcPr>
            <w:tcW w:w="0" w:type="auto"/>
            <w:hideMark/>
          </w:tcPr>
          <w:p w14:paraId="52261334" w14:textId="77777777" w:rsidR="00E2135C" w:rsidRPr="000A6E2D" w:rsidRDefault="00E2135C" w:rsidP="003E0728">
            <w:pPr>
              <w:pStyle w:val="Tables"/>
            </w:pPr>
            <w:r w:rsidRPr="000A6E2D">
              <w:t>1.8</w:t>
            </w:r>
          </w:p>
        </w:tc>
        <w:tc>
          <w:tcPr>
            <w:tcW w:w="0" w:type="auto"/>
            <w:hideMark/>
          </w:tcPr>
          <w:p w14:paraId="19BBA223" w14:textId="77777777" w:rsidR="00E2135C" w:rsidRPr="000A6E2D" w:rsidRDefault="00E2135C" w:rsidP="003E0728">
            <w:pPr>
              <w:pStyle w:val="Tables"/>
            </w:pPr>
            <w:r w:rsidRPr="000A6E2D">
              <w:t>12.40</w:t>
            </w:r>
          </w:p>
        </w:tc>
        <w:tc>
          <w:tcPr>
            <w:tcW w:w="0" w:type="auto"/>
            <w:hideMark/>
          </w:tcPr>
          <w:p w14:paraId="4E47CFF0" w14:textId="77777777" w:rsidR="00E2135C" w:rsidRPr="000A6E2D" w:rsidRDefault="00E2135C" w:rsidP="003E0728">
            <w:pPr>
              <w:pStyle w:val="Tables"/>
            </w:pPr>
            <w:r w:rsidRPr="000A6E2D">
              <w:t>2.3</w:t>
            </w:r>
          </w:p>
        </w:tc>
        <w:tc>
          <w:tcPr>
            <w:tcW w:w="0" w:type="auto"/>
            <w:hideMark/>
          </w:tcPr>
          <w:p w14:paraId="3400FF02" w14:textId="77777777" w:rsidR="00E2135C" w:rsidRPr="000A6E2D" w:rsidRDefault="00E2135C" w:rsidP="003E0728">
            <w:pPr>
              <w:pStyle w:val="Tables"/>
            </w:pPr>
            <w:r w:rsidRPr="000A6E2D">
              <w:t>11.62</w:t>
            </w:r>
          </w:p>
        </w:tc>
        <w:tc>
          <w:tcPr>
            <w:tcW w:w="0" w:type="auto"/>
            <w:hideMark/>
          </w:tcPr>
          <w:p w14:paraId="2543BAE2" w14:textId="77777777" w:rsidR="00E2135C" w:rsidRPr="000A6E2D" w:rsidRDefault="00E2135C" w:rsidP="003E0728">
            <w:pPr>
              <w:pStyle w:val="Tables"/>
            </w:pPr>
            <w:r w:rsidRPr="000A6E2D">
              <w:t>2.0</w:t>
            </w:r>
          </w:p>
        </w:tc>
      </w:tr>
      <w:tr w:rsidR="00E2135C" w:rsidRPr="000A6E2D" w14:paraId="513C0289" w14:textId="77777777" w:rsidTr="00E23521">
        <w:trPr>
          <w:trHeight w:val="397"/>
          <w:jc w:val="center"/>
        </w:trPr>
        <w:tc>
          <w:tcPr>
            <w:tcW w:w="0" w:type="auto"/>
            <w:hideMark/>
          </w:tcPr>
          <w:p w14:paraId="6E23CA26" w14:textId="77777777" w:rsidR="00E2135C" w:rsidRPr="000A6E2D" w:rsidRDefault="00E2135C" w:rsidP="003E0728">
            <w:pPr>
              <w:pStyle w:val="Tables"/>
            </w:pPr>
            <w:r w:rsidRPr="000A6E2D">
              <w:t>Irrigation</w:t>
            </w:r>
          </w:p>
        </w:tc>
        <w:tc>
          <w:tcPr>
            <w:tcW w:w="0" w:type="auto"/>
            <w:hideMark/>
          </w:tcPr>
          <w:p w14:paraId="6E0F0BB0" w14:textId="77777777" w:rsidR="00E2135C" w:rsidRPr="000A6E2D" w:rsidRDefault="00E2135C" w:rsidP="003E0728">
            <w:pPr>
              <w:pStyle w:val="Tables"/>
            </w:pPr>
            <w:r w:rsidRPr="000A6E2D">
              <w:t>9.33</w:t>
            </w:r>
          </w:p>
        </w:tc>
        <w:tc>
          <w:tcPr>
            <w:tcW w:w="0" w:type="auto"/>
            <w:hideMark/>
          </w:tcPr>
          <w:p w14:paraId="524050C1" w14:textId="31A40946" w:rsidR="00E2135C" w:rsidRPr="000A6E2D" w:rsidRDefault="00233B4A" w:rsidP="003E0728">
            <w:pPr>
              <w:pStyle w:val="Tables"/>
            </w:pPr>
            <w:r>
              <w:t>6</w:t>
            </w:r>
            <w:r w:rsidR="00E2135C" w:rsidRPr="000A6E2D">
              <w:t>.7</w:t>
            </w:r>
          </w:p>
        </w:tc>
        <w:tc>
          <w:tcPr>
            <w:tcW w:w="0" w:type="auto"/>
            <w:hideMark/>
          </w:tcPr>
          <w:p w14:paraId="0866D2A9" w14:textId="77777777" w:rsidR="00E2135C" w:rsidRPr="000A6E2D" w:rsidRDefault="00E2135C" w:rsidP="003E0728">
            <w:pPr>
              <w:pStyle w:val="Tables"/>
            </w:pPr>
            <w:r w:rsidRPr="000A6E2D">
              <w:t>13.90</w:t>
            </w:r>
          </w:p>
        </w:tc>
        <w:tc>
          <w:tcPr>
            <w:tcW w:w="0" w:type="auto"/>
            <w:hideMark/>
          </w:tcPr>
          <w:p w14:paraId="6BAC4900" w14:textId="77777777" w:rsidR="00E2135C" w:rsidRPr="000A6E2D" w:rsidRDefault="00E2135C" w:rsidP="003E0728">
            <w:pPr>
              <w:pStyle w:val="Tables"/>
            </w:pPr>
            <w:r w:rsidRPr="000A6E2D">
              <w:t>2.6</w:t>
            </w:r>
          </w:p>
        </w:tc>
        <w:tc>
          <w:tcPr>
            <w:tcW w:w="0" w:type="auto"/>
            <w:hideMark/>
          </w:tcPr>
          <w:p w14:paraId="4B797A43" w14:textId="77777777" w:rsidR="00E2135C" w:rsidRPr="000A6E2D" w:rsidRDefault="00E2135C" w:rsidP="003E0728">
            <w:pPr>
              <w:pStyle w:val="Tables"/>
            </w:pPr>
            <w:r w:rsidRPr="000A6E2D">
              <w:t>13.16</w:t>
            </w:r>
          </w:p>
        </w:tc>
        <w:tc>
          <w:tcPr>
            <w:tcW w:w="0" w:type="auto"/>
            <w:hideMark/>
          </w:tcPr>
          <w:p w14:paraId="0E544086" w14:textId="77777777" w:rsidR="00E2135C" w:rsidRPr="000A6E2D" w:rsidRDefault="00E2135C" w:rsidP="003E0728">
            <w:pPr>
              <w:pStyle w:val="Tables"/>
            </w:pPr>
            <w:r w:rsidRPr="000A6E2D">
              <w:t>2.3</w:t>
            </w:r>
          </w:p>
        </w:tc>
      </w:tr>
    </w:tbl>
    <w:p w14:paraId="507324FA" w14:textId="175B90E6" w:rsidR="00693C6C" w:rsidRPr="000A6E2D" w:rsidRDefault="00693C6C" w:rsidP="003E0728">
      <w:pPr>
        <w:pStyle w:val="Sources"/>
      </w:pPr>
      <w:r w:rsidRPr="000A6E2D">
        <w:t>All figures are for undivided India.</w:t>
      </w:r>
      <w:r w:rsidRPr="000A6E2D">
        <w:br/>
        <w:t>* Includes Agricultural Income-tax</w:t>
      </w:r>
    </w:p>
    <w:p w14:paraId="08DFC377" w14:textId="77777777" w:rsidR="00EE0179" w:rsidRDefault="00EE0179">
      <w:pPr>
        <w:rPr>
          <w:rFonts w:ascii="Times New Roman" w:hAnsi="Times New Roman" w:cs="Times New Roman"/>
          <w:sz w:val="28"/>
          <w:szCs w:val="28"/>
        </w:rPr>
      </w:pPr>
      <w:r>
        <w:rPr>
          <w:rFonts w:ascii="Times New Roman" w:hAnsi="Times New Roman" w:cs="Times New Roman"/>
          <w:sz w:val="28"/>
          <w:szCs w:val="28"/>
        </w:rPr>
        <w:br w:type="page"/>
      </w:r>
    </w:p>
    <w:p w14:paraId="3502D3B4" w14:textId="3F38B09D" w:rsidR="00233B4A" w:rsidRDefault="00233B4A" w:rsidP="00CB0A24">
      <w:pPr>
        <w:tabs>
          <w:tab w:val="left" w:pos="3165"/>
        </w:tabs>
        <w:spacing w:after="0" w:line="380" w:lineRule="exact"/>
        <w:jc w:val="center"/>
        <w:rPr>
          <w:rFonts w:ascii="Times New Roman" w:hAnsi="Times New Roman" w:cs="Times New Roman"/>
          <w:sz w:val="28"/>
          <w:szCs w:val="28"/>
        </w:rPr>
      </w:pPr>
      <w:r>
        <w:rPr>
          <w:rFonts w:ascii="Times New Roman" w:hAnsi="Times New Roman" w:cs="Times New Roman"/>
          <w:sz w:val="28"/>
          <w:szCs w:val="28"/>
        </w:rPr>
        <w:lastRenderedPageBreak/>
        <w:t>PRINCIPAL HEADS OF REVENUE –(Contd</w:t>
      </w:r>
      <w:r w:rsidR="005B7484">
        <w:rPr>
          <w:rFonts w:ascii="Times New Roman" w:hAnsi="Times New Roman" w:cs="Times New Roman"/>
          <w:sz w:val="28"/>
          <w:szCs w:val="28"/>
        </w:rPr>
        <w:t>.</w:t>
      </w:r>
      <w:r>
        <w:rPr>
          <w:rFonts w:ascii="Times New Roman" w:hAnsi="Times New Roman" w:cs="Times New Roman"/>
          <w:sz w:val="28"/>
          <w:szCs w:val="28"/>
        </w:rPr>
        <w:t>)</w:t>
      </w:r>
    </w:p>
    <w:p w14:paraId="5B4C1F58" w14:textId="7D049CDD" w:rsidR="00693C6C" w:rsidRDefault="00693C6C" w:rsidP="00CB0A24">
      <w:pPr>
        <w:tabs>
          <w:tab w:val="left" w:pos="3165"/>
        </w:tabs>
        <w:spacing w:after="0" w:line="380" w:lineRule="exact"/>
        <w:jc w:val="center"/>
        <w:rPr>
          <w:rFonts w:ascii="Times New Roman" w:hAnsi="Times New Roman" w:cs="Times New Roman"/>
          <w:sz w:val="28"/>
          <w:szCs w:val="28"/>
        </w:rPr>
      </w:pPr>
      <w:r w:rsidRPr="00CB0A24">
        <w:rPr>
          <w:rFonts w:ascii="Times New Roman" w:hAnsi="Times New Roman" w:cs="Times New Roman"/>
          <w:sz w:val="28"/>
          <w:szCs w:val="28"/>
        </w:rPr>
        <w:t>B.—Tax Revenue</w:t>
      </w:r>
    </w:p>
    <w:p w14:paraId="3982120D" w14:textId="77777777" w:rsidR="00CB0A24" w:rsidRPr="00CB0A24" w:rsidRDefault="00CB0A24" w:rsidP="00CB0A24">
      <w:pPr>
        <w:tabs>
          <w:tab w:val="left" w:pos="3165"/>
        </w:tabs>
        <w:spacing w:after="0" w:line="380" w:lineRule="exact"/>
        <w:jc w:val="center"/>
        <w:rPr>
          <w:rFonts w:ascii="Times New Roman" w:hAnsi="Times New Roman" w:cs="Times New Roman"/>
          <w:sz w:val="28"/>
          <w:szCs w:val="28"/>
        </w:rPr>
      </w:pPr>
    </w:p>
    <w:tbl>
      <w:tblPr>
        <w:tblStyle w:val="TableGrid"/>
        <w:tblW w:w="9651" w:type="dxa"/>
        <w:tblLook w:val="04A0" w:firstRow="1" w:lastRow="0" w:firstColumn="1" w:lastColumn="0" w:noHBand="0" w:noVBand="1"/>
      </w:tblPr>
      <w:tblGrid>
        <w:gridCol w:w="2304"/>
        <w:gridCol w:w="1330"/>
        <w:gridCol w:w="1119"/>
        <w:gridCol w:w="1330"/>
        <w:gridCol w:w="1119"/>
        <w:gridCol w:w="1330"/>
        <w:gridCol w:w="1119"/>
      </w:tblGrid>
      <w:tr w:rsidR="00693C6C" w:rsidRPr="000A6E2D" w14:paraId="73E15ACF" w14:textId="77777777" w:rsidTr="00E23521">
        <w:trPr>
          <w:trHeight w:val="340"/>
        </w:trPr>
        <w:tc>
          <w:tcPr>
            <w:tcW w:w="0" w:type="auto"/>
          </w:tcPr>
          <w:p w14:paraId="629530F5" w14:textId="77777777" w:rsidR="00693C6C" w:rsidRPr="000A6E2D" w:rsidRDefault="00693C6C" w:rsidP="003E0728">
            <w:pPr>
              <w:pStyle w:val="Tables"/>
            </w:pPr>
          </w:p>
        </w:tc>
        <w:tc>
          <w:tcPr>
            <w:tcW w:w="0" w:type="auto"/>
            <w:gridSpan w:val="2"/>
          </w:tcPr>
          <w:p w14:paraId="37993CAB" w14:textId="2A0EF8BE" w:rsidR="00693C6C" w:rsidRPr="000A6E2D" w:rsidRDefault="00693C6C" w:rsidP="003E0728">
            <w:pPr>
              <w:pStyle w:val="Tables"/>
            </w:pPr>
            <w:r w:rsidRPr="000A6E2D">
              <w:t>1937-38</w:t>
            </w:r>
          </w:p>
        </w:tc>
        <w:tc>
          <w:tcPr>
            <w:tcW w:w="0" w:type="auto"/>
            <w:gridSpan w:val="2"/>
          </w:tcPr>
          <w:p w14:paraId="3C16B085" w14:textId="10F04CA3" w:rsidR="00693C6C" w:rsidRPr="000A6E2D" w:rsidRDefault="00693C6C" w:rsidP="003E0728">
            <w:pPr>
              <w:pStyle w:val="Tables"/>
            </w:pPr>
            <w:r w:rsidRPr="000A6E2D">
              <w:t>1944-45</w:t>
            </w:r>
          </w:p>
        </w:tc>
        <w:tc>
          <w:tcPr>
            <w:tcW w:w="0" w:type="auto"/>
            <w:gridSpan w:val="2"/>
          </w:tcPr>
          <w:p w14:paraId="11FB61BD" w14:textId="18DC53D1" w:rsidR="00693C6C" w:rsidRPr="000A6E2D" w:rsidRDefault="00693C6C" w:rsidP="003E0728">
            <w:pPr>
              <w:pStyle w:val="Tables"/>
            </w:pPr>
            <w:r w:rsidRPr="000A6E2D">
              <w:t>1946-47</w:t>
            </w:r>
          </w:p>
        </w:tc>
      </w:tr>
      <w:tr w:rsidR="00693C6C" w:rsidRPr="000A6E2D" w14:paraId="42B6D4C2" w14:textId="77777777" w:rsidTr="00E23521">
        <w:trPr>
          <w:trHeight w:val="340"/>
        </w:trPr>
        <w:tc>
          <w:tcPr>
            <w:tcW w:w="0" w:type="auto"/>
            <w:hideMark/>
          </w:tcPr>
          <w:p w14:paraId="02E5B70D" w14:textId="77777777" w:rsidR="00693C6C" w:rsidRPr="000A6E2D" w:rsidRDefault="00693C6C" w:rsidP="003E0728">
            <w:pPr>
              <w:pStyle w:val="Tables"/>
            </w:pPr>
          </w:p>
        </w:tc>
        <w:tc>
          <w:tcPr>
            <w:tcW w:w="0" w:type="auto"/>
            <w:hideMark/>
          </w:tcPr>
          <w:p w14:paraId="41AC2CF6" w14:textId="77777777" w:rsidR="00693C6C" w:rsidRPr="000A6E2D" w:rsidRDefault="00693C6C" w:rsidP="003E0728">
            <w:pPr>
              <w:pStyle w:val="Tables"/>
            </w:pPr>
            <w:r w:rsidRPr="000A6E2D">
              <w:t>Rs. crores</w:t>
            </w:r>
          </w:p>
        </w:tc>
        <w:tc>
          <w:tcPr>
            <w:tcW w:w="0" w:type="auto"/>
            <w:hideMark/>
          </w:tcPr>
          <w:p w14:paraId="0545BEE7" w14:textId="77777777" w:rsidR="00693C6C" w:rsidRPr="000A6E2D" w:rsidRDefault="00693C6C" w:rsidP="003E0728">
            <w:pPr>
              <w:pStyle w:val="Tables"/>
            </w:pPr>
            <w:r w:rsidRPr="000A6E2D">
              <w:t>Per cent</w:t>
            </w:r>
          </w:p>
        </w:tc>
        <w:tc>
          <w:tcPr>
            <w:tcW w:w="0" w:type="auto"/>
            <w:hideMark/>
          </w:tcPr>
          <w:p w14:paraId="5FB94CC1" w14:textId="77777777" w:rsidR="00693C6C" w:rsidRPr="000A6E2D" w:rsidRDefault="00693C6C" w:rsidP="003E0728">
            <w:pPr>
              <w:pStyle w:val="Tables"/>
            </w:pPr>
            <w:r w:rsidRPr="000A6E2D">
              <w:t>Rs. crores</w:t>
            </w:r>
          </w:p>
        </w:tc>
        <w:tc>
          <w:tcPr>
            <w:tcW w:w="0" w:type="auto"/>
            <w:hideMark/>
          </w:tcPr>
          <w:p w14:paraId="62C261BA" w14:textId="77777777" w:rsidR="00693C6C" w:rsidRPr="000A6E2D" w:rsidRDefault="00693C6C" w:rsidP="003E0728">
            <w:pPr>
              <w:pStyle w:val="Tables"/>
            </w:pPr>
            <w:r w:rsidRPr="000A6E2D">
              <w:t>Per cent</w:t>
            </w:r>
          </w:p>
        </w:tc>
        <w:tc>
          <w:tcPr>
            <w:tcW w:w="0" w:type="auto"/>
            <w:hideMark/>
          </w:tcPr>
          <w:p w14:paraId="562BFFB3" w14:textId="77777777" w:rsidR="00693C6C" w:rsidRPr="000A6E2D" w:rsidRDefault="00693C6C" w:rsidP="003E0728">
            <w:pPr>
              <w:pStyle w:val="Tables"/>
            </w:pPr>
            <w:r w:rsidRPr="000A6E2D">
              <w:t>Rs. crores</w:t>
            </w:r>
          </w:p>
        </w:tc>
        <w:tc>
          <w:tcPr>
            <w:tcW w:w="0" w:type="auto"/>
            <w:hideMark/>
          </w:tcPr>
          <w:p w14:paraId="70FD5BC7" w14:textId="77777777" w:rsidR="00693C6C" w:rsidRPr="000A6E2D" w:rsidRDefault="00693C6C" w:rsidP="003E0728">
            <w:pPr>
              <w:pStyle w:val="Tables"/>
            </w:pPr>
            <w:r w:rsidRPr="000A6E2D">
              <w:t>Per cent</w:t>
            </w:r>
          </w:p>
        </w:tc>
      </w:tr>
      <w:tr w:rsidR="00693C6C" w:rsidRPr="000A6E2D" w14:paraId="14D7D097" w14:textId="77777777" w:rsidTr="00E23521">
        <w:trPr>
          <w:trHeight w:val="340"/>
        </w:trPr>
        <w:tc>
          <w:tcPr>
            <w:tcW w:w="0" w:type="auto"/>
            <w:hideMark/>
          </w:tcPr>
          <w:p w14:paraId="7B0CECDE" w14:textId="77777777" w:rsidR="00693C6C" w:rsidRPr="000A6E2D" w:rsidRDefault="00693C6C" w:rsidP="003E0728">
            <w:pPr>
              <w:pStyle w:val="Tables"/>
            </w:pPr>
            <w:r w:rsidRPr="000A6E2D">
              <w:t>Total Tax Revenue</w:t>
            </w:r>
          </w:p>
        </w:tc>
        <w:tc>
          <w:tcPr>
            <w:tcW w:w="0" w:type="auto"/>
            <w:hideMark/>
          </w:tcPr>
          <w:p w14:paraId="39E7EB0C" w14:textId="77777777" w:rsidR="00693C6C" w:rsidRPr="000A6E2D" w:rsidRDefault="00693C6C" w:rsidP="003E0728">
            <w:pPr>
              <w:pStyle w:val="Tables"/>
            </w:pPr>
            <w:r w:rsidRPr="000A6E2D">
              <w:t>134.05</w:t>
            </w:r>
          </w:p>
        </w:tc>
        <w:tc>
          <w:tcPr>
            <w:tcW w:w="0" w:type="auto"/>
            <w:hideMark/>
          </w:tcPr>
          <w:p w14:paraId="11310281" w14:textId="77777777" w:rsidR="00693C6C" w:rsidRPr="000A6E2D" w:rsidRDefault="00693C6C" w:rsidP="003E0728">
            <w:pPr>
              <w:pStyle w:val="Tables"/>
            </w:pPr>
            <w:r w:rsidRPr="000A6E2D">
              <w:t>100</w:t>
            </w:r>
          </w:p>
        </w:tc>
        <w:tc>
          <w:tcPr>
            <w:tcW w:w="0" w:type="auto"/>
            <w:hideMark/>
          </w:tcPr>
          <w:p w14:paraId="2039CBDB" w14:textId="77777777" w:rsidR="00693C6C" w:rsidRPr="000A6E2D" w:rsidRDefault="00693C6C" w:rsidP="003E0728">
            <w:pPr>
              <w:pStyle w:val="Tables"/>
            </w:pPr>
            <w:r w:rsidRPr="000A6E2D">
              <w:t>400.64</w:t>
            </w:r>
          </w:p>
        </w:tc>
        <w:tc>
          <w:tcPr>
            <w:tcW w:w="0" w:type="auto"/>
            <w:hideMark/>
          </w:tcPr>
          <w:p w14:paraId="644E64DA" w14:textId="77777777" w:rsidR="00693C6C" w:rsidRPr="000A6E2D" w:rsidRDefault="00693C6C" w:rsidP="003E0728">
            <w:pPr>
              <w:pStyle w:val="Tables"/>
            </w:pPr>
            <w:r w:rsidRPr="000A6E2D">
              <w:t>100</w:t>
            </w:r>
          </w:p>
        </w:tc>
        <w:tc>
          <w:tcPr>
            <w:tcW w:w="0" w:type="auto"/>
            <w:hideMark/>
          </w:tcPr>
          <w:p w14:paraId="2E7FE64C" w14:textId="77777777" w:rsidR="00693C6C" w:rsidRPr="000A6E2D" w:rsidRDefault="00693C6C" w:rsidP="003E0728">
            <w:pPr>
              <w:pStyle w:val="Tables"/>
            </w:pPr>
            <w:r w:rsidRPr="000A6E2D">
              <w:t>443.41</w:t>
            </w:r>
          </w:p>
        </w:tc>
        <w:tc>
          <w:tcPr>
            <w:tcW w:w="0" w:type="auto"/>
            <w:hideMark/>
          </w:tcPr>
          <w:p w14:paraId="7BB2C90C" w14:textId="77777777" w:rsidR="00693C6C" w:rsidRPr="000A6E2D" w:rsidRDefault="00693C6C" w:rsidP="003E0728">
            <w:pPr>
              <w:pStyle w:val="Tables"/>
            </w:pPr>
            <w:r w:rsidRPr="000A6E2D">
              <w:t>100</w:t>
            </w:r>
          </w:p>
        </w:tc>
      </w:tr>
      <w:tr w:rsidR="00693C6C" w:rsidRPr="000A6E2D" w14:paraId="470EBE89" w14:textId="77777777" w:rsidTr="00E23521">
        <w:trPr>
          <w:trHeight w:val="340"/>
        </w:trPr>
        <w:tc>
          <w:tcPr>
            <w:tcW w:w="0" w:type="auto"/>
            <w:hideMark/>
          </w:tcPr>
          <w:p w14:paraId="3669F4D1" w14:textId="77777777" w:rsidR="00693C6C" w:rsidRPr="000A6E2D" w:rsidRDefault="00693C6C" w:rsidP="003E0728">
            <w:pPr>
              <w:pStyle w:val="Tables"/>
            </w:pPr>
            <w:r w:rsidRPr="000A6E2D">
              <w:t>Taxes on Income*</w:t>
            </w:r>
          </w:p>
        </w:tc>
        <w:tc>
          <w:tcPr>
            <w:tcW w:w="0" w:type="auto"/>
            <w:hideMark/>
          </w:tcPr>
          <w:p w14:paraId="19E1C61A" w14:textId="77777777" w:rsidR="00693C6C" w:rsidRPr="000A6E2D" w:rsidRDefault="00693C6C" w:rsidP="003E0728">
            <w:pPr>
              <w:pStyle w:val="Tables"/>
            </w:pPr>
            <w:r w:rsidRPr="000A6E2D">
              <w:t>15.83</w:t>
            </w:r>
          </w:p>
        </w:tc>
        <w:tc>
          <w:tcPr>
            <w:tcW w:w="0" w:type="auto"/>
            <w:hideMark/>
          </w:tcPr>
          <w:p w14:paraId="05799490" w14:textId="77777777" w:rsidR="00693C6C" w:rsidRPr="000A6E2D" w:rsidRDefault="00693C6C" w:rsidP="003E0728">
            <w:pPr>
              <w:pStyle w:val="Tables"/>
            </w:pPr>
            <w:r w:rsidRPr="000A6E2D">
              <w:t>11.8</w:t>
            </w:r>
          </w:p>
        </w:tc>
        <w:tc>
          <w:tcPr>
            <w:tcW w:w="0" w:type="auto"/>
            <w:hideMark/>
          </w:tcPr>
          <w:p w14:paraId="244505DF" w14:textId="77777777" w:rsidR="00693C6C" w:rsidRPr="000A6E2D" w:rsidRDefault="00693C6C" w:rsidP="003E0728">
            <w:pPr>
              <w:pStyle w:val="Tables"/>
            </w:pPr>
            <w:r w:rsidRPr="000A6E2D">
              <w:t>192.21</w:t>
            </w:r>
          </w:p>
        </w:tc>
        <w:tc>
          <w:tcPr>
            <w:tcW w:w="0" w:type="auto"/>
            <w:hideMark/>
          </w:tcPr>
          <w:p w14:paraId="06FF0046" w14:textId="77777777" w:rsidR="00693C6C" w:rsidRPr="000A6E2D" w:rsidRDefault="00693C6C" w:rsidP="003E0728">
            <w:pPr>
              <w:pStyle w:val="Tables"/>
            </w:pPr>
            <w:r w:rsidRPr="000A6E2D">
              <w:t>48.0</w:t>
            </w:r>
          </w:p>
        </w:tc>
        <w:tc>
          <w:tcPr>
            <w:tcW w:w="0" w:type="auto"/>
            <w:hideMark/>
          </w:tcPr>
          <w:p w14:paraId="7FBA431C" w14:textId="77777777" w:rsidR="00693C6C" w:rsidRPr="000A6E2D" w:rsidRDefault="00693C6C" w:rsidP="003E0728">
            <w:pPr>
              <w:pStyle w:val="Tables"/>
            </w:pPr>
            <w:r w:rsidRPr="000A6E2D">
              <w:t>162.05</w:t>
            </w:r>
          </w:p>
        </w:tc>
        <w:tc>
          <w:tcPr>
            <w:tcW w:w="0" w:type="auto"/>
            <w:hideMark/>
          </w:tcPr>
          <w:p w14:paraId="27AD8687" w14:textId="77777777" w:rsidR="00693C6C" w:rsidRPr="000A6E2D" w:rsidRDefault="00693C6C" w:rsidP="003E0728">
            <w:pPr>
              <w:pStyle w:val="Tables"/>
            </w:pPr>
            <w:r w:rsidRPr="000A6E2D">
              <w:t>36.6</w:t>
            </w:r>
          </w:p>
        </w:tc>
      </w:tr>
      <w:tr w:rsidR="00693C6C" w:rsidRPr="000A6E2D" w14:paraId="2C4AD428" w14:textId="77777777" w:rsidTr="00E23521">
        <w:trPr>
          <w:trHeight w:val="340"/>
        </w:trPr>
        <w:tc>
          <w:tcPr>
            <w:tcW w:w="0" w:type="auto"/>
            <w:hideMark/>
          </w:tcPr>
          <w:p w14:paraId="1BB07147" w14:textId="77777777" w:rsidR="00693C6C" w:rsidRPr="000A6E2D" w:rsidRDefault="00693C6C" w:rsidP="003E0728">
            <w:pPr>
              <w:pStyle w:val="Tables"/>
            </w:pPr>
            <w:r w:rsidRPr="000A6E2D">
              <w:t>Customs</w:t>
            </w:r>
          </w:p>
        </w:tc>
        <w:tc>
          <w:tcPr>
            <w:tcW w:w="0" w:type="auto"/>
            <w:hideMark/>
          </w:tcPr>
          <w:p w14:paraId="5AF66CA9" w14:textId="77777777" w:rsidR="00693C6C" w:rsidRPr="000A6E2D" w:rsidRDefault="00693C6C" w:rsidP="003E0728">
            <w:pPr>
              <w:pStyle w:val="Tables"/>
            </w:pPr>
            <w:r w:rsidRPr="000A6E2D">
              <w:t>45.76</w:t>
            </w:r>
          </w:p>
        </w:tc>
        <w:tc>
          <w:tcPr>
            <w:tcW w:w="0" w:type="auto"/>
            <w:hideMark/>
          </w:tcPr>
          <w:p w14:paraId="3AB36E41" w14:textId="77777777" w:rsidR="00693C6C" w:rsidRPr="000A6E2D" w:rsidRDefault="00693C6C" w:rsidP="003E0728">
            <w:pPr>
              <w:pStyle w:val="Tables"/>
            </w:pPr>
            <w:r w:rsidRPr="000A6E2D">
              <w:t>34.1</w:t>
            </w:r>
          </w:p>
        </w:tc>
        <w:tc>
          <w:tcPr>
            <w:tcW w:w="0" w:type="auto"/>
            <w:hideMark/>
          </w:tcPr>
          <w:p w14:paraId="10998BCF" w14:textId="77777777" w:rsidR="00693C6C" w:rsidRPr="000A6E2D" w:rsidRDefault="00693C6C" w:rsidP="003E0728">
            <w:pPr>
              <w:pStyle w:val="Tables"/>
            </w:pPr>
            <w:r w:rsidRPr="000A6E2D">
              <w:t>41.26</w:t>
            </w:r>
          </w:p>
        </w:tc>
        <w:tc>
          <w:tcPr>
            <w:tcW w:w="0" w:type="auto"/>
            <w:hideMark/>
          </w:tcPr>
          <w:p w14:paraId="6D952FA8" w14:textId="77777777" w:rsidR="00693C6C" w:rsidRPr="000A6E2D" w:rsidRDefault="00693C6C" w:rsidP="003E0728">
            <w:pPr>
              <w:pStyle w:val="Tables"/>
            </w:pPr>
            <w:r w:rsidRPr="000A6E2D">
              <w:t>10.2</w:t>
            </w:r>
          </w:p>
        </w:tc>
        <w:tc>
          <w:tcPr>
            <w:tcW w:w="0" w:type="auto"/>
            <w:hideMark/>
          </w:tcPr>
          <w:p w14:paraId="0F52275C" w14:textId="77777777" w:rsidR="00693C6C" w:rsidRPr="000A6E2D" w:rsidRDefault="00693C6C" w:rsidP="003E0728">
            <w:pPr>
              <w:pStyle w:val="Tables"/>
            </w:pPr>
            <w:r w:rsidRPr="000A6E2D">
              <w:t>92.09</w:t>
            </w:r>
          </w:p>
        </w:tc>
        <w:tc>
          <w:tcPr>
            <w:tcW w:w="0" w:type="auto"/>
            <w:hideMark/>
          </w:tcPr>
          <w:p w14:paraId="5DBCBA7A" w14:textId="77777777" w:rsidR="00693C6C" w:rsidRPr="000A6E2D" w:rsidRDefault="00693C6C" w:rsidP="003E0728">
            <w:pPr>
              <w:pStyle w:val="Tables"/>
            </w:pPr>
            <w:r w:rsidRPr="000A6E2D">
              <w:t>20.8</w:t>
            </w:r>
          </w:p>
        </w:tc>
      </w:tr>
      <w:tr w:rsidR="00693C6C" w:rsidRPr="000A6E2D" w14:paraId="13D5964A" w14:textId="77777777" w:rsidTr="00E23521">
        <w:trPr>
          <w:trHeight w:val="340"/>
        </w:trPr>
        <w:tc>
          <w:tcPr>
            <w:tcW w:w="0" w:type="auto"/>
            <w:hideMark/>
          </w:tcPr>
          <w:p w14:paraId="4DB9C358" w14:textId="77777777" w:rsidR="00693C6C" w:rsidRPr="000A6E2D" w:rsidRDefault="00693C6C" w:rsidP="003E0728">
            <w:pPr>
              <w:pStyle w:val="Tables"/>
            </w:pPr>
            <w:r w:rsidRPr="000A6E2D">
              <w:t>Central Excises</w:t>
            </w:r>
          </w:p>
        </w:tc>
        <w:tc>
          <w:tcPr>
            <w:tcW w:w="0" w:type="auto"/>
            <w:hideMark/>
          </w:tcPr>
          <w:p w14:paraId="6A87E560" w14:textId="77777777" w:rsidR="00693C6C" w:rsidRPr="000A6E2D" w:rsidRDefault="00693C6C" w:rsidP="003E0728">
            <w:pPr>
              <w:pStyle w:val="Tables"/>
            </w:pPr>
            <w:r w:rsidRPr="000A6E2D">
              <w:t>7.66</w:t>
            </w:r>
          </w:p>
        </w:tc>
        <w:tc>
          <w:tcPr>
            <w:tcW w:w="0" w:type="auto"/>
            <w:hideMark/>
          </w:tcPr>
          <w:p w14:paraId="7A778EFB" w14:textId="77777777" w:rsidR="00693C6C" w:rsidRPr="000A6E2D" w:rsidRDefault="00693C6C" w:rsidP="003E0728">
            <w:pPr>
              <w:pStyle w:val="Tables"/>
            </w:pPr>
            <w:r w:rsidRPr="000A6E2D">
              <w:t>5.7</w:t>
            </w:r>
          </w:p>
        </w:tc>
        <w:tc>
          <w:tcPr>
            <w:tcW w:w="0" w:type="auto"/>
            <w:hideMark/>
          </w:tcPr>
          <w:p w14:paraId="57B51DBB" w14:textId="77777777" w:rsidR="00693C6C" w:rsidRPr="000A6E2D" w:rsidRDefault="00693C6C" w:rsidP="003E0728">
            <w:pPr>
              <w:pStyle w:val="Tables"/>
            </w:pPr>
            <w:r w:rsidRPr="000A6E2D">
              <w:t>38.14</w:t>
            </w:r>
          </w:p>
        </w:tc>
        <w:tc>
          <w:tcPr>
            <w:tcW w:w="0" w:type="auto"/>
            <w:hideMark/>
          </w:tcPr>
          <w:p w14:paraId="5A427429" w14:textId="77777777" w:rsidR="00693C6C" w:rsidRPr="000A6E2D" w:rsidRDefault="00693C6C" w:rsidP="003E0728">
            <w:pPr>
              <w:pStyle w:val="Tables"/>
            </w:pPr>
            <w:r w:rsidRPr="000A6E2D">
              <w:t>9.5</w:t>
            </w:r>
          </w:p>
        </w:tc>
        <w:tc>
          <w:tcPr>
            <w:tcW w:w="0" w:type="auto"/>
            <w:hideMark/>
          </w:tcPr>
          <w:p w14:paraId="426F31F2" w14:textId="77777777" w:rsidR="00693C6C" w:rsidRPr="000A6E2D" w:rsidRDefault="00693C6C" w:rsidP="003E0728">
            <w:pPr>
              <w:pStyle w:val="Tables"/>
            </w:pPr>
            <w:r w:rsidRPr="000A6E2D">
              <w:t>43.03</w:t>
            </w:r>
          </w:p>
        </w:tc>
        <w:tc>
          <w:tcPr>
            <w:tcW w:w="0" w:type="auto"/>
            <w:hideMark/>
          </w:tcPr>
          <w:p w14:paraId="3EDBDDB7" w14:textId="77777777" w:rsidR="00693C6C" w:rsidRPr="000A6E2D" w:rsidRDefault="00693C6C" w:rsidP="003E0728">
            <w:pPr>
              <w:pStyle w:val="Tables"/>
            </w:pPr>
            <w:r w:rsidRPr="000A6E2D">
              <w:t>9.7</w:t>
            </w:r>
          </w:p>
        </w:tc>
      </w:tr>
      <w:tr w:rsidR="00693C6C" w:rsidRPr="000A6E2D" w14:paraId="33889232" w14:textId="77777777" w:rsidTr="00E23521">
        <w:trPr>
          <w:trHeight w:val="340"/>
        </w:trPr>
        <w:tc>
          <w:tcPr>
            <w:tcW w:w="0" w:type="auto"/>
            <w:hideMark/>
          </w:tcPr>
          <w:p w14:paraId="03F36270" w14:textId="77777777" w:rsidR="00693C6C" w:rsidRPr="000A6E2D" w:rsidRDefault="00693C6C" w:rsidP="003E0728">
            <w:pPr>
              <w:pStyle w:val="Tables"/>
            </w:pPr>
            <w:r w:rsidRPr="000A6E2D">
              <w:t>Provincial Excises</w:t>
            </w:r>
          </w:p>
        </w:tc>
        <w:tc>
          <w:tcPr>
            <w:tcW w:w="0" w:type="auto"/>
            <w:hideMark/>
          </w:tcPr>
          <w:p w14:paraId="2B141617" w14:textId="77777777" w:rsidR="00693C6C" w:rsidRPr="000A6E2D" w:rsidRDefault="00693C6C" w:rsidP="003E0728">
            <w:pPr>
              <w:pStyle w:val="Tables"/>
            </w:pPr>
            <w:r w:rsidRPr="000A6E2D">
              <w:t>14.58</w:t>
            </w:r>
          </w:p>
        </w:tc>
        <w:tc>
          <w:tcPr>
            <w:tcW w:w="0" w:type="auto"/>
            <w:hideMark/>
          </w:tcPr>
          <w:p w14:paraId="3CA03B0F" w14:textId="77777777" w:rsidR="00693C6C" w:rsidRPr="000A6E2D" w:rsidRDefault="00693C6C" w:rsidP="003E0728">
            <w:pPr>
              <w:pStyle w:val="Tables"/>
            </w:pPr>
            <w:r w:rsidRPr="000A6E2D">
              <w:t>10.9</w:t>
            </w:r>
          </w:p>
        </w:tc>
        <w:tc>
          <w:tcPr>
            <w:tcW w:w="0" w:type="auto"/>
            <w:hideMark/>
          </w:tcPr>
          <w:p w14:paraId="6A068BF5" w14:textId="77777777" w:rsidR="00693C6C" w:rsidRPr="000A6E2D" w:rsidRDefault="00693C6C" w:rsidP="003E0728">
            <w:pPr>
              <w:pStyle w:val="Tables"/>
            </w:pPr>
            <w:r w:rsidRPr="000A6E2D">
              <w:t>45.55</w:t>
            </w:r>
          </w:p>
        </w:tc>
        <w:tc>
          <w:tcPr>
            <w:tcW w:w="0" w:type="auto"/>
            <w:hideMark/>
          </w:tcPr>
          <w:p w14:paraId="18342A38" w14:textId="77777777" w:rsidR="00693C6C" w:rsidRPr="000A6E2D" w:rsidRDefault="00693C6C" w:rsidP="003E0728">
            <w:pPr>
              <w:pStyle w:val="Tables"/>
            </w:pPr>
            <w:r w:rsidRPr="000A6E2D">
              <w:t>11.4</w:t>
            </w:r>
          </w:p>
        </w:tc>
        <w:tc>
          <w:tcPr>
            <w:tcW w:w="0" w:type="auto"/>
            <w:hideMark/>
          </w:tcPr>
          <w:p w14:paraId="2444759F" w14:textId="77777777" w:rsidR="00693C6C" w:rsidRPr="000A6E2D" w:rsidRDefault="00693C6C" w:rsidP="003E0728">
            <w:pPr>
              <w:pStyle w:val="Tables"/>
            </w:pPr>
            <w:r w:rsidRPr="000A6E2D">
              <w:t>52.95</w:t>
            </w:r>
          </w:p>
        </w:tc>
        <w:tc>
          <w:tcPr>
            <w:tcW w:w="0" w:type="auto"/>
            <w:hideMark/>
          </w:tcPr>
          <w:p w14:paraId="71610EFA" w14:textId="77777777" w:rsidR="00693C6C" w:rsidRPr="000A6E2D" w:rsidRDefault="00693C6C" w:rsidP="003E0728">
            <w:pPr>
              <w:pStyle w:val="Tables"/>
            </w:pPr>
            <w:r w:rsidRPr="000A6E2D">
              <w:t>11.9</w:t>
            </w:r>
          </w:p>
        </w:tc>
      </w:tr>
      <w:tr w:rsidR="00693C6C" w:rsidRPr="000A6E2D" w14:paraId="6008753F" w14:textId="77777777" w:rsidTr="00E23521">
        <w:trPr>
          <w:trHeight w:val="340"/>
        </w:trPr>
        <w:tc>
          <w:tcPr>
            <w:tcW w:w="0" w:type="auto"/>
            <w:hideMark/>
          </w:tcPr>
          <w:p w14:paraId="195D47EE" w14:textId="77777777" w:rsidR="00693C6C" w:rsidRPr="000A6E2D" w:rsidRDefault="00693C6C" w:rsidP="003E0728">
            <w:pPr>
              <w:pStyle w:val="Tables"/>
            </w:pPr>
            <w:r w:rsidRPr="000A6E2D">
              <w:t>Land Revenue</w:t>
            </w:r>
          </w:p>
        </w:tc>
        <w:tc>
          <w:tcPr>
            <w:tcW w:w="0" w:type="auto"/>
            <w:hideMark/>
          </w:tcPr>
          <w:p w14:paraId="2A9D3F0B" w14:textId="77777777" w:rsidR="00693C6C" w:rsidRPr="000A6E2D" w:rsidRDefault="00693C6C" w:rsidP="003E0728">
            <w:pPr>
              <w:pStyle w:val="Tables"/>
            </w:pPr>
            <w:r w:rsidRPr="000A6E2D">
              <w:t>26.55</w:t>
            </w:r>
          </w:p>
        </w:tc>
        <w:tc>
          <w:tcPr>
            <w:tcW w:w="0" w:type="auto"/>
            <w:hideMark/>
          </w:tcPr>
          <w:p w14:paraId="6D884AB5" w14:textId="77777777" w:rsidR="00693C6C" w:rsidRPr="000A6E2D" w:rsidRDefault="00693C6C" w:rsidP="003E0728">
            <w:pPr>
              <w:pStyle w:val="Tables"/>
            </w:pPr>
            <w:r w:rsidRPr="000A6E2D">
              <w:t>19.8</w:t>
            </w:r>
          </w:p>
        </w:tc>
        <w:tc>
          <w:tcPr>
            <w:tcW w:w="0" w:type="auto"/>
            <w:hideMark/>
          </w:tcPr>
          <w:p w14:paraId="20A6E70F" w14:textId="77777777" w:rsidR="00693C6C" w:rsidRPr="000A6E2D" w:rsidRDefault="00693C6C" w:rsidP="003E0728">
            <w:pPr>
              <w:pStyle w:val="Tables"/>
            </w:pPr>
            <w:r w:rsidRPr="000A6E2D">
              <w:t>31.57</w:t>
            </w:r>
          </w:p>
        </w:tc>
        <w:tc>
          <w:tcPr>
            <w:tcW w:w="0" w:type="auto"/>
            <w:hideMark/>
          </w:tcPr>
          <w:p w14:paraId="3DFAF41B" w14:textId="77777777" w:rsidR="00693C6C" w:rsidRPr="000A6E2D" w:rsidRDefault="00693C6C" w:rsidP="003E0728">
            <w:pPr>
              <w:pStyle w:val="Tables"/>
            </w:pPr>
            <w:r w:rsidRPr="000A6E2D">
              <w:t>7.9</w:t>
            </w:r>
          </w:p>
        </w:tc>
        <w:tc>
          <w:tcPr>
            <w:tcW w:w="0" w:type="auto"/>
            <w:hideMark/>
          </w:tcPr>
          <w:p w14:paraId="5F73787D" w14:textId="77777777" w:rsidR="00693C6C" w:rsidRPr="000A6E2D" w:rsidRDefault="00693C6C" w:rsidP="003E0728">
            <w:pPr>
              <w:pStyle w:val="Tables"/>
            </w:pPr>
            <w:r w:rsidRPr="000A6E2D">
              <w:t>31.25</w:t>
            </w:r>
          </w:p>
        </w:tc>
        <w:tc>
          <w:tcPr>
            <w:tcW w:w="0" w:type="auto"/>
            <w:hideMark/>
          </w:tcPr>
          <w:p w14:paraId="6BE23497" w14:textId="77777777" w:rsidR="00693C6C" w:rsidRPr="000A6E2D" w:rsidRDefault="00693C6C" w:rsidP="003E0728">
            <w:pPr>
              <w:pStyle w:val="Tables"/>
            </w:pPr>
            <w:r w:rsidRPr="000A6E2D">
              <w:t>7.0</w:t>
            </w:r>
          </w:p>
        </w:tc>
      </w:tr>
      <w:tr w:rsidR="00693C6C" w:rsidRPr="000A6E2D" w14:paraId="0250B385" w14:textId="77777777" w:rsidTr="00E23521">
        <w:trPr>
          <w:trHeight w:val="340"/>
        </w:trPr>
        <w:tc>
          <w:tcPr>
            <w:tcW w:w="0" w:type="auto"/>
            <w:hideMark/>
          </w:tcPr>
          <w:p w14:paraId="3F86DD69" w14:textId="77777777" w:rsidR="00693C6C" w:rsidRPr="000A6E2D" w:rsidRDefault="00693C6C" w:rsidP="003E0728">
            <w:pPr>
              <w:pStyle w:val="Tables"/>
            </w:pPr>
            <w:r w:rsidRPr="000A6E2D">
              <w:t>Stamps</w:t>
            </w:r>
          </w:p>
        </w:tc>
        <w:tc>
          <w:tcPr>
            <w:tcW w:w="0" w:type="auto"/>
            <w:hideMark/>
          </w:tcPr>
          <w:p w14:paraId="33E8D1B9" w14:textId="77777777" w:rsidR="00693C6C" w:rsidRPr="000A6E2D" w:rsidRDefault="00693C6C" w:rsidP="003E0728">
            <w:pPr>
              <w:pStyle w:val="Tables"/>
            </w:pPr>
            <w:r w:rsidRPr="000A6E2D">
              <w:t>11.05</w:t>
            </w:r>
          </w:p>
        </w:tc>
        <w:tc>
          <w:tcPr>
            <w:tcW w:w="0" w:type="auto"/>
            <w:hideMark/>
          </w:tcPr>
          <w:p w14:paraId="05C2721D" w14:textId="77777777" w:rsidR="00693C6C" w:rsidRPr="000A6E2D" w:rsidRDefault="00693C6C" w:rsidP="003E0728">
            <w:pPr>
              <w:pStyle w:val="Tables"/>
            </w:pPr>
            <w:r w:rsidRPr="000A6E2D">
              <w:t>8.2</w:t>
            </w:r>
          </w:p>
        </w:tc>
        <w:tc>
          <w:tcPr>
            <w:tcW w:w="0" w:type="auto"/>
            <w:hideMark/>
          </w:tcPr>
          <w:p w14:paraId="0FA07617" w14:textId="77777777" w:rsidR="00693C6C" w:rsidRPr="000A6E2D" w:rsidRDefault="00693C6C" w:rsidP="003E0728">
            <w:pPr>
              <w:pStyle w:val="Tables"/>
            </w:pPr>
            <w:r w:rsidRPr="000A6E2D">
              <w:t>16.41</w:t>
            </w:r>
          </w:p>
        </w:tc>
        <w:tc>
          <w:tcPr>
            <w:tcW w:w="0" w:type="auto"/>
            <w:hideMark/>
          </w:tcPr>
          <w:p w14:paraId="19DF02A3" w14:textId="77777777" w:rsidR="00693C6C" w:rsidRPr="000A6E2D" w:rsidRDefault="00693C6C" w:rsidP="003E0728">
            <w:pPr>
              <w:pStyle w:val="Tables"/>
            </w:pPr>
            <w:r w:rsidRPr="000A6E2D">
              <w:t>4.1</w:t>
            </w:r>
          </w:p>
        </w:tc>
        <w:tc>
          <w:tcPr>
            <w:tcW w:w="0" w:type="auto"/>
            <w:hideMark/>
          </w:tcPr>
          <w:p w14:paraId="1B74D61F" w14:textId="77777777" w:rsidR="00693C6C" w:rsidRPr="000A6E2D" w:rsidRDefault="00693C6C" w:rsidP="003E0728">
            <w:pPr>
              <w:pStyle w:val="Tables"/>
            </w:pPr>
            <w:r w:rsidRPr="000A6E2D">
              <w:t>20.61</w:t>
            </w:r>
          </w:p>
        </w:tc>
        <w:tc>
          <w:tcPr>
            <w:tcW w:w="0" w:type="auto"/>
            <w:hideMark/>
          </w:tcPr>
          <w:p w14:paraId="6C4731DC" w14:textId="77777777" w:rsidR="00693C6C" w:rsidRPr="000A6E2D" w:rsidRDefault="00693C6C" w:rsidP="003E0728">
            <w:pPr>
              <w:pStyle w:val="Tables"/>
            </w:pPr>
            <w:r w:rsidRPr="000A6E2D">
              <w:t>4.6</w:t>
            </w:r>
          </w:p>
        </w:tc>
      </w:tr>
      <w:tr w:rsidR="00693C6C" w:rsidRPr="000A6E2D" w14:paraId="2F0B4A52" w14:textId="77777777" w:rsidTr="00E23521">
        <w:trPr>
          <w:trHeight w:val="340"/>
        </w:trPr>
        <w:tc>
          <w:tcPr>
            <w:tcW w:w="0" w:type="auto"/>
            <w:hideMark/>
          </w:tcPr>
          <w:p w14:paraId="6D03ACB0" w14:textId="77777777" w:rsidR="00693C6C" w:rsidRPr="000A6E2D" w:rsidRDefault="00693C6C" w:rsidP="003E0728">
            <w:pPr>
              <w:pStyle w:val="Tables"/>
            </w:pPr>
            <w:r w:rsidRPr="000A6E2D">
              <w:t>Sales Tax</w:t>
            </w:r>
          </w:p>
        </w:tc>
        <w:tc>
          <w:tcPr>
            <w:tcW w:w="0" w:type="auto"/>
            <w:hideMark/>
          </w:tcPr>
          <w:p w14:paraId="4104BEB2" w14:textId="77777777" w:rsidR="00693C6C" w:rsidRPr="000A6E2D" w:rsidRDefault="00693C6C" w:rsidP="003E0728">
            <w:pPr>
              <w:pStyle w:val="Tables"/>
            </w:pPr>
            <w:r w:rsidRPr="000A6E2D">
              <w:t>...</w:t>
            </w:r>
          </w:p>
        </w:tc>
        <w:tc>
          <w:tcPr>
            <w:tcW w:w="0" w:type="auto"/>
            <w:hideMark/>
          </w:tcPr>
          <w:p w14:paraId="6E148CA7" w14:textId="77777777" w:rsidR="00693C6C" w:rsidRPr="000A6E2D" w:rsidRDefault="00693C6C" w:rsidP="003E0728">
            <w:pPr>
              <w:pStyle w:val="Tables"/>
            </w:pPr>
            <w:r w:rsidRPr="000A6E2D">
              <w:t>...</w:t>
            </w:r>
          </w:p>
        </w:tc>
        <w:tc>
          <w:tcPr>
            <w:tcW w:w="0" w:type="auto"/>
            <w:hideMark/>
          </w:tcPr>
          <w:p w14:paraId="2564C247" w14:textId="77777777" w:rsidR="00693C6C" w:rsidRPr="000A6E2D" w:rsidRDefault="00693C6C" w:rsidP="003E0728">
            <w:pPr>
              <w:pStyle w:val="Tables"/>
            </w:pPr>
            <w:r w:rsidRPr="000A6E2D">
              <w:t>8.74</w:t>
            </w:r>
          </w:p>
        </w:tc>
        <w:tc>
          <w:tcPr>
            <w:tcW w:w="0" w:type="auto"/>
            <w:hideMark/>
          </w:tcPr>
          <w:p w14:paraId="257DEEF1" w14:textId="77777777" w:rsidR="00693C6C" w:rsidRPr="000A6E2D" w:rsidRDefault="00693C6C" w:rsidP="003E0728">
            <w:pPr>
              <w:pStyle w:val="Tables"/>
            </w:pPr>
            <w:r w:rsidRPr="000A6E2D">
              <w:t>2.2</w:t>
            </w:r>
          </w:p>
        </w:tc>
        <w:tc>
          <w:tcPr>
            <w:tcW w:w="0" w:type="auto"/>
            <w:hideMark/>
          </w:tcPr>
          <w:p w14:paraId="6B446286" w14:textId="77777777" w:rsidR="00693C6C" w:rsidRPr="000A6E2D" w:rsidRDefault="00693C6C" w:rsidP="003E0728">
            <w:pPr>
              <w:pStyle w:val="Tables"/>
            </w:pPr>
            <w:r w:rsidRPr="000A6E2D">
              <w:t>13.31</w:t>
            </w:r>
          </w:p>
        </w:tc>
        <w:tc>
          <w:tcPr>
            <w:tcW w:w="0" w:type="auto"/>
            <w:hideMark/>
          </w:tcPr>
          <w:p w14:paraId="398499C1" w14:textId="77777777" w:rsidR="00693C6C" w:rsidRPr="000A6E2D" w:rsidRDefault="00693C6C" w:rsidP="003E0728">
            <w:pPr>
              <w:pStyle w:val="Tables"/>
            </w:pPr>
            <w:r w:rsidRPr="000A6E2D">
              <w:t>3.0</w:t>
            </w:r>
          </w:p>
        </w:tc>
      </w:tr>
    </w:tbl>
    <w:p w14:paraId="21D97207" w14:textId="67F625A9" w:rsidR="00693C6C" w:rsidRPr="000A6E2D" w:rsidRDefault="00693C6C" w:rsidP="003E0728">
      <w:pPr>
        <w:pStyle w:val="Sources"/>
      </w:pPr>
      <w:r w:rsidRPr="000A6E2D">
        <w:t>All figures are for undivided India.</w:t>
      </w:r>
      <w:r w:rsidRPr="000A6E2D">
        <w:br/>
        <w:t>* Includes Agricultural Income-tax</w:t>
      </w:r>
    </w:p>
    <w:p w14:paraId="454471B9" w14:textId="79B8258F" w:rsidR="000E195C" w:rsidRPr="000A6E2D" w:rsidRDefault="000E195C" w:rsidP="00EE0179">
      <w:pPr>
        <w:pStyle w:val="ListParagraph"/>
        <w:numPr>
          <w:ilvl w:val="0"/>
          <w:numId w:val="29"/>
        </w:numPr>
        <w:spacing w:after="0" w:line="520" w:lineRule="exact"/>
        <w:ind w:left="0" w:firstLine="556"/>
        <w:jc w:val="both"/>
        <w:rPr>
          <w:rFonts w:ascii="Times New Roman" w:hAnsi="Times New Roman" w:cs="Times New Roman"/>
          <w:sz w:val="28"/>
          <w:szCs w:val="28"/>
        </w:rPr>
      </w:pPr>
      <w:r w:rsidRPr="000A6E2D">
        <w:rPr>
          <w:rFonts w:ascii="Times New Roman" w:hAnsi="Times New Roman" w:cs="Times New Roman"/>
          <w:sz w:val="28"/>
          <w:szCs w:val="28"/>
        </w:rPr>
        <w:t xml:space="preserve"> Taxes on income, by far the most elastic of the principal heads during the period, advanced from one-ninth of total tax revenue in 1937-38 to over one-third in 1946-47; customs fell from its pre-war eminence, receding from 34 to 21 per cent. In 1937-38, apart from customs, land revenue was more important than any other single tax head; by 1946-47 it had become relatively unimportant, its share in total tax revenue having fallen from 19</w:t>
      </w:r>
      <w:r w:rsidR="00E21768">
        <w:rPr>
          <w:rFonts w:ascii="Times New Roman" w:hAnsi="Times New Roman" w:cs="Times New Roman"/>
          <w:sz w:val="28"/>
          <w:szCs w:val="28"/>
        </w:rPr>
        <w:t>.</w:t>
      </w:r>
      <w:r w:rsidRPr="000A6E2D">
        <w:rPr>
          <w:rFonts w:ascii="Times New Roman" w:hAnsi="Times New Roman" w:cs="Times New Roman"/>
          <w:sz w:val="28"/>
          <w:szCs w:val="28"/>
        </w:rPr>
        <w:t>8 per cent to 7 per cent. Central excises continued to expand throughout the period, while the potentially important head of sales tax had, by the end of the war, entered the picture. With the growth of taxation of income, the tax structure became less regressive than it was before the war.</w:t>
      </w:r>
    </w:p>
    <w:p w14:paraId="14A1C3B4" w14:textId="77777777" w:rsidR="00EE0179" w:rsidRDefault="00EE0179">
      <w:pPr>
        <w:rPr>
          <w:rFonts w:ascii="Times New Roman" w:hAnsi="Times New Roman" w:cs="Times New Roman"/>
          <w:i/>
          <w:iCs/>
          <w:sz w:val="28"/>
          <w:szCs w:val="28"/>
        </w:rPr>
      </w:pPr>
      <w:r>
        <w:rPr>
          <w:rFonts w:ascii="Times New Roman" w:hAnsi="Times New Roman" w:cs="Times New Roman"/>
          <w:i/>
          <w:iCs/>
          <w:sz w:val="28"/>
          <w:szCs w:val="28"/>
        </w:rPr>
        <w:br w:type="page"/>
      </w:r>
    </w:p>
    <w:p w14:paraId="6DCBA836" w14:textId="44809A06" w:rsidR="000E195C" w:rsidRPr="000A6E2D" w:rsidRDefault="000E195C" w:rsidP="00EE0179">
      <w:pPr>
        <w:pStyle w:val="ListParagraph"/>
        <w:numPr>
          <w:ilvl w:val="0"/>
          <w:numId w:val="29"/>
        </w:numPr>
        <w:spacing w:after="0" w:line="520" w:lineRule="exact"/>
        <w:ind w:left="0" w:firstLine="556"/>
        <w:jc w:val="both"/>
        <w:rPr>
          <w:rFonts w:ascii="Times New Roman" w:hAnsi="Times New Roman" w:cs="Times New Roman"/>
          <w:sz w:val="28"/>
          <w:szCs w:val="28"/>
        </w:rPr>
      </w:pPr>
      <w:r w:rsidRPr="00CB0A24">
        <w:rPr>
          <w:rFonts w:ascii="Times New Roman" w:hAnsi="Times New Roman" w:cs="Times New Roman"/>
          <w:i/>
          <w:iCs/>
          <w:sz w:val="28"/>
          <w:szCs w:val="28"/>
        </w:rPr>
        <w:lastRenderedPageBreak/>
        <w:t>Provincial Expenditure.—</w:t>
      </w:r>
      <w:r w:rsidRPr="000A6E2D">
        <w:rPr>
          <w:rFonts w:ascii="Times New Roman" w:hAnsi="Times New Roman" w:cs="Times New Roman"/>
          <w:sz w:val="28"/>
          <w:szCs w:val="28"/>
        </w:rPr>
        <w:t>The expenditure pattern of the Provinces during the period is brought out in the following table.</w:t>
      </w:r>
    </w:p>
    <w:p w14:paraId="7E837CFE" w14:textId="77777777" w:rsidR="00CB0A24" w:rsidRDefault="00CB0A24" w:rsidP="00CB0A24">
      <w:pPr>
        <w:pStyle w:val="ListParagraph"/>
        <w:tabs>
          <w:tab w:val="left" w:pos="3165"/>
        </w:tabs>
        <w:spacing w:after="0" w:line="380" w:lineRule="exact"/>
        <w:jc w:val="both"/>
        <w:rPr>
          <w:rFonts w:ascii="Times New Roman" w:hAnsi="Times New Roman" w:cs="Times New Roman"/>
          <w:b/>
          <w:bCs/>
          <w:sz w:val="28"/>
          <w:szCs w:val="28"/>
        </w:rPr>
      </w:pPr>
    </w:p>
    <w:p w14:paraId="280EF1D8" w14:textId="77777777" w:rsidR="00CB0A24" w:rsidRPr="00CB0A24" w:rsidRDefault="00CB0A24" w:rsidP="00CB0A24">
      <w:pPr>
        <w:tabs>
          <w:tab w:val="left" w:pos="3165"/>
        </w:tabs>
        <w:spacing w:after="0" w:line="380" w:lineRule="exact"/>
        <w:jc w:val="center"/>
        <w:rPr>
          <w:rFonts w:ascii="Times New Roman" w:hAnsi="Times New Roman" w:cs="Times New Roman"/>
          <w:sz w:val="28"/>
          <w:szCs w:val="28"/>
        </w:rPr>
      </w:pPr>
      <w:r w:rsidRPr="00CB0A24">
        <w:rPr>
          <w:rFonts w:ascii="Times New Roman" w:hAnsi="Times New Roman" w:cs="Times New Roman"/>
          <w:sz w:val="28"/>
          <w:szCs w:val="28"/>
        </w:rPr>
        <w:t>PROVINCIAL EXPENDITURE 1937-38 TO 1946-47</w:t>
      </w:r>
    </w:p>
    <w:p w14:paraId="0D7C4CB6" w14:textId="6060A7A2" w:rsidR="00CB0A24" w:rsidRPr="00CB0A24" w:rsidRDefault="00CB0A24" w:rsidP="00CB0A24">
      <w:pPr>
        <w:pStyle w:val="ListParagraph"/>
        <w:tabs>
          <w:tab w:val="left" w:pos="3165"/>
        </w:tabs>
        <w:spacing w:after="0" w:line="380" w:lineRule="exact"/>
        <w:jc w:val="both"/>
        <w:rPr>
          <w:rFonts w:ascii="Times New Roman" w:hAnsi="Times New Roman" w:cs="Times New Roman"/>
          <w:b/>
          <w:bCs/>
          <w:sz w:val="28"/>
          <w:szCs w:val="28"/>
        </w:rPr>
      </w:pPr>
    </w:p>
    <w:tbl>
      <w:tblPr>
        <w:tblW w:w="10386" w:type="dxa"/>
        <w:jc w:val="center"/>
        <w:tblLook w:val="04A0" w:firstRow="1" w:lastRow="0" w:firstColumn="1" w:lastColumn="0" w:noHBand="0" w:noVBand="1"/>
      </w:tblPr>
      <w:tblGrid>
        <w:gridCol w:w="2632"/>
        <w:gridCol w:w="870"/>
        <w:gridCol w:w="986"/>
        <w:gridCol w:w="986"/>
        <w:gridCol w:w="870"/>
        <w:gridCol w:w="870"/>
        <w:gridCol w:w="870"/>
        <w:gridCol w:w="870"/>
        <w:gridCol w:w="870"/>
        <w:gridCol w:w="870"/>
      </w:tblGrid>
      <w:tr w:rsidR="00CB0A24" w:rsidRPr="00CB0A24" w14:paraId="1666CFDE" w14:textId="77777777" w:rsidTr="00E23521">
        <w:trPr>
          <w:trHeight w:val="397"/>
          <w:jc w:val="center"/>
        </w:trPr>
        <w:tc>
          <w:tcPr>
            <w:tcW w:w="2324" w:type="dxa"/>
            <w:tcBorders>
              <w:top w:val="single" w:sz="4" w:space="0" w:color="auto"/>
              <w:left w:val="single" w:sz="4" w:space="0" w:color="auto"/>
              <w:bottom w:val="single" w:sz="4" w:space="0" w:color="auto"/>
              <w:right w:val="single" w:sz="4" w:space="0" w:color="auto"/>
            </w:tcBorders>
            <w:noWrap/>
            <w:vAlign w:val="center"/>
            <w:hideMark/>
          </w:tcPr>
          <w:p w14:paraId="4147D57C" w14:textId="788E654F" w:rsidR="00CB0A24" w:rsidRPr="00E21768" w:rsidRDefault="00CB0A24" w:rsidP="003E0728">
            <w:pPr>
              <w:pStyle w:val="Tables"/>
              <w:rPr>
                <w:b/>
                <w:bCs/>
              </w:rPr>
            </w:pPr>
          </w:p>
        </w:tc>
        <w:tc>
          <w:tcPr>
            <w:tcW w:w="2842" w:type="dxa"/>
            <w:gridSpan w:val="3"/>
            <w:tcBorders>
              <w:top w:val="single" w:sz="4" w:space="0" w:color="auto"/>
              <w:left w:val="nil"/>
              <w:bottom w:val="single" w:sz="4" w:space="0" w:color="auto"/>
              <w:right w:val="single" w:sz="4" w:space="0" w:color="auto"/>
            </w:tcBorders>
            <w:noWrap/>
            <w:vAlign w:val="center"/>
            <w:hideMark/>
          </w:tcPr>
          <w:p w14:paraId="7BD5CEC2" w14:textId="77777777" w:rsidR="00CB0A24" w:rsidRPr="00E21768" w:rsidRDefault="00CB0A24" w:rsidP="003E0728">
            <w:pPr>
              <w:pStyle w:val="Tables"/>
              <w:rPr>
                <w:b/>
                <w:bCs/>
              </w:rPr>
            </w:pPr>
            <w:r w:rsidRPr="00E21768">
              <w:rPr>
                <w:b/>
                <w:bCs/>
              </w:rPr>
              <w:t>Expenditure (Rs. crores)</w:t>
            </w:r>
          </w:p>
        </w:tc>
        <w:tc>
          <w:tcPr>
            <w:tcW w:w="2610" w:type="dxa"/>
            <w:gridSpan w:val="3"/>
            <w:tcBorders>
              <w:top w:val="single" w:sz="4" w:space="0" w:color="auto"/>
              <w:left w:val="nil"/>
              <w:bottom w:val="single" w:sz="4" w:space="0" w:color="auto"/>
              <w:right w:val="single" w:sz="4" w:space="0" w:color="auto"/>
            </w:tcBorders>
            <w:noWrap/>
            <w:vAlign w:val="center"/>
            <w:hideMark/>
          </w:tcPr>
          <w:p w14:paraId="5469EB13" w14:textId="77777777" w:rsidR="00CB0A24" w:rsidRPr="00E21768" w:rsidRDefault="00CB0A24" w:rsidP="003E0728">
            <w:pPr>
              <w:pStyle w:val="Tables"/>
              <w:rPr>
                <w:b/>
                <w:bCs/>
              </w:rPr>
            </w:pPr>
            <w:r w:rsidRPr="00E21768">
              <w:rPr>
                <w:b/>
                <w:bCs/>
              </w:rPr>
              <w:t>Index of yield (1937-38=100)</w:t>
            </w:r>
          </w:p>
        </w:tc>
        <w:tc>
          <w:tcPr>
            <w:tcW w:w="2610" w:type="dxa"/>
            <w:gridSpan w:val="3"/>
            <w:tcBorders>
              <w:top w:val="single" w:sz="4" w:space="0" w:color="auto"/>
              <w:left w:val="nil"/>
              <w:bottom w:val="single" w:sz="4" w:space="0" w:color="auto"/>
              <w:right w:val="single" w:sz="4" w:space="0" w:color="auto"/>
            </w:tcBorders>
            <w:noWrap/>
            <w:vAlign w:val="center"/>
            <w:hideMark/>
          </w:tcPr>
          <w:p w14:paraId="7E6C28D1" w14:textId="77777777" w:rsidR="00CB0A24" w:rsidRPr="00E21768" w:rsidRDefault="00CB0A24" w:rsidP="003E0728">
            <w:pPr>
              <w:pStyle w:val="Tables"/>
              <w:rPr>
                <w:b/>
                <w:bCs/>
              </w:rPr>
            </w:pPr>
            <w:r w:rsidRPr="00E21768">
              <w:rPr>
                <w:b/>
                <w:bCs/>
              </w:rPr>
              <w:t>Share in total expenditure (Per cent)</w:t>
            </w:r>
          </w:p>
        </w:tc>
      </w:tr>
      <w:tr w:rsidR="00CB0A24" w:rsidRPr="00CB0A24" w14:paraId="3A0B03E7" w14:textId="77777777" w:rsidTr="00E23521">
        <w:trPr>
          <w:trHeight w:val="397"/>
          <w:jc w:val="center"/>
        </w:trPr>
        <w:tc>
          <w:tcPr>
            <w:tcW w:w="2324" w:type="dxa"/>
            <w:tcBorders>
              <w:top w:val="nil"/>
              <w:left w:val="single" w:sz="4" w:space="0" w:color="auto"/>
              <w:bottom w:val="single" w:sz="4" w:space="0" w:color="auto"/>
              <w:right w:val="single" w:sz="4" w:space="0" w:color="auto"/>
            </w:tcBorders>
            <w:noWrap/>
            <w:vAlign w:val="center"/>
            <w:hideMark/>
          </w:tcPr>
          <w:p w14:paraId="01412788" w14:textId="09D184C2" w:rsidR="00CB0A24" w:rsidRPr="00E21768" w:rsidRDefault="00CB0A24" w:rsidP="003E0728">
            <w:pPr>
              <w:pStyle w:val="Tables"/>
              <w:rPr>
                <w:b/>
                <w:bCs/>
              </w:rPr>
            </w:pPr>
          </w:p>
        </w:tc>
        <w:tc>
          <w:tcPr>
            <w:tcW w:w="870" w:type="dxa"/>
            <w:tcBorders>
              <w:top w:val="nil"/>
              <w:left w:val="nil"/>
              <w:bottom w:val="single" w:sz="4" w:space="0" w:color="auto"/>
              <w:right w:val="single" w:sz="4" w:space="0" w:color="auto"/>
            </w:tcBorders>
            <w:noWrap/>
            <w:vAlign w:val="center"/>
            <w:hideMark/>
          </w:tcPr>
          <w:p w14:paraId="3B964281" w14:textId="77777777" w:rsidR="00CB0A24" w:rsidRPr="00E21768" w:rsidRDefault="00CB0A24" w:rsidP="003E0728">
            <w:pPr>
              <w:pStyle w:val="Tables"/>
              <w:rPr>
                <w:b/>
                <w:bCs/>
              </w:rPr>
            </w:pPr>
            <w:r w:rsidRPr="00E21768">
              <w:rPr>
                <w:b/>
                <w:bCs/>
              </w:rPr>
              <w:t>1937-38</w:t>
            </w:r>
          </w:p>
        </w:tc>
        <w:tc>
          <w:tcPr>
            <w:tcW w:w="986" w:type="dxa"/>
            <w:tcBorders>
              <w:top w:val="nil"/>
              <w:left w:val="nil"/>
              <w:bottom w:val="single" w:sz="4" w:space="0" w:color="auto"/>
              <w:right w:val="single" w:sz="4" w:space="0" w:color="auto"/>
            </w:tcBorders>
            <w:noWrap/>
            <w:vAlign w:val="center"/>
            <w:hideMark/>
          </w:tcPr>
          <w:p w14:paraId="0E822E40" w14:textId="77777777" w:rsidR="00CB0A24" w:rsidRPr="00E21768" w:rsidRDefault="00CB0A24" w:rsidP="003E0728">
            <w:pPr>
              <w:pStyle w:val="Tables"/>
              <w:rPr>
                <w:b/>
                <w:bCs/>
              </w:rPr>
            </w:pPr>
            <w:r w:rsidRPr="00E21768">
              <w:rPr>
                <w:b/>
                <w:bCs/>
              </w:rPr>
              <w:t>1944-45</w:t>
            </w:r>
          </w:p>
        </w:tc>
        <w:tc>
          <w:tcPr>
            <w:tcW w:w="986" w:type="dxa"/>
            <w:tcBorders>
              <w:top w:val="nil"/>
              <w:left w:val="nil"/>
              <w:bottom w:val="single" w:sz="4" w:space="0" w:color="auto"/>
              <w:right w:val="single" w:sz="4" w:space="0" w:color="auto"/>
            </w:tcBorders>
            <w:noWrap/>
            <w:vAlign w:val="center"/>
            <w:hideMark/>
          </w:tcPr>
          <w:p w14:paraId="333514F5" w14:textId="77777777" w:rsidR="00CB0A24" w:rsidRPr="00E21768" w:rsidRDefault="00CB0A24" w:rsidP="003E0728">
            <w:pPr>
              <w:pStyle w:val="Tables"/>
              <w:rPr>
                <w:b/>
                <w:bCs/>
              </w:rPr>
            </w:pPr>
            <w:r w:rsidRPr="00E21768">
              <w:rPr>
                <w:b/>
                <w:bCs/>
              </w:rPr>
              <w:t>1946-47</w:t>
            </w:r>
          </w:p>
        </w:tc>
        <w:tc>
          <w:tcPr>
            <w:tcW w:w="870" w:type="dxa"/>
            <w:tcBorders>
              <w:top w:val="nil"/>
              <w:left w:val="nil"/>
              <w:bottom w:val="single" w:sz="4" w:space="0" w:color="auto"/>
              <w:right w:val="single" w:sz="4" w:space="0" w:color="auto"/>
            </w:tcBorders>
            <w:noWrap/>
            <w:vAlign w:val="center"/>
            <w:hideMark/>
          </w:tcPr>
          <w:p w14:paraId="1671CE54" w14:textId="77777777" w:rsidR="00CB0A24" w:rsidRPr="00E21768" w:rsidRDefault="00CB0A24" w:rsidP="003E0728">
            <w:pPr>
              <w:pStyle w:val="Tables"/>
              <w:rPr>
                <w:b/>
                <w:bCs/>
              </w:rPr>
            </w:pPr>
            <w:r w:rsidRPr="00E21768">
              <w:rPr>
                <w:b/>
                <w:bCs/>
              </w:rPr>
              <w:t>1937-38</w:t>
            </w:r>
          </w:p>
        </w:tc>
        <w:tc>
          <w:tcPr>
            <w:tcW w:w="870" w:type="dxa"/>
            <w:tcBorders>
              <w:top w:val="nil"/>
              <w:left w:val="nil"/>
              <w:bottom w:val="single" w:sz="4" w:space="0" w:color="auto"/>
              <w:right w:val="single" w:sz="4" w:space="0" w:color="auto"/>
            </w:tcBorders>
            <w:noWrap/>
            <w:vAlign w:val="center"/>
            <w:hideMark/>
          </w:tcPr>
          <w:p w14:paraId="27051F65" w14:textId="77777777" w:rsidR="00CB0A24" w:rsidRPr="00E21768" w:rsidRDefault="00CB0A24" w:rsidP="003E0728">
            <w:pPr>
              <w:pStyle w:val="Tables"/>
              <w:rPr>
                <w:b/>
                <w:bCs/>
              </w:rPr>
            </w:pPr>
            <w:r w:rsidRPr="00E21768">
              <w:rPr>
                <w:b/>
                <w:bCs/>
              </w:rPr>
              <w:t>1944-45</w:t>
            </w:r>
          </w:p>
        </w:tc>
        <w:tc>
          <w:tcPr>
            <w:tcW w:w="870" w:type="dxa"/>
            <w:tcBorders>
              <w:top w:val="nil"/>
              <w:left w:val="nil"/>
              <w:bottom w:val="single" w:sz="4" w:space="0" w:color="auto"/>
              <w:right w:val="single" w:sz="4" w:space="0" w:color="auto"/>
            </w:tcBorders>
            <w:noWrap/>
            <w:vAlign w:val="center"/>
            <w:hideMark/>
          </w:tcPr>
          <w:p w14:paraId="0A9225FC" w14:textId="77777777" w:rsidR="00CB0A24" w:rsidRPr="00E21768" w:rsidRDefault="00CB0A24" w:rsidP="003E0728">
            <w:pPr>
              <w:pStyle w:val="Tables"/>
              <w:rPr>
                <w:b/>
                <w:bCs/>
              </w:rPr>
            </w:pPr>
            <w:r w:rsidRPr="00E21768">
              <w:rPr>
                <w:b/>
                <w:bCs/>
              </w:rPr>
              <w:t>1946-47</w:t>
            </w:r>
          </w:p>
        </w:tc>
        <w:tc>
          <w:tcPr>
            <w:tcW w:w="870" w:type="dxa"/>
            <w:tcBorders>
              <w:top w:val="nil"/>
              <w:left w:val="nil"/>
              <w:bottom w:val="single" w:sz="4" w:space="0" w:color="auto"/>
              <w:right w:val="single" w:sz="4" w:space="0" w:color="auto"/>
            </w:tcBorders>
            <w:noWrap/>
            <w:vAlign w:val="center"/>
            <w:hideMark/>
          </w:tcPr>
          <w:p w14:paraId="23C7E22E" w14:textId="77777777" w:rsidR="00CB0A24" w:rsidRPr="00E21768" w:rsidRDefault="00CB0A24" w:rsidP="003E0728">
            <w:pPr>
              <w:pStyle w:val="Tables"/>
              <w:rPr>
                <w:b/>
                <w:bCs/>
              </w:rPr>
            </w:pPr>
            <w:r w:rsidRPr="00E21768">
              <w:rPr>
                <w:b/>
                <w:bCs/>
              </w:rPr>
              <w:t>1937-38</w:t>
            </w:r>
          </w:p>
        </w:tc>
        <w:tc>
          <w:tcPr>
            <w:tcW w:w="870" w:type="dxa"/>
            <w:tcBorders>
              <w:top w:val="nil"/>
              <w:left w:val="nil"/>
              <w:bottom w:val="single" w:sz="4" w:space="0" w:color="auto"/>
              <w:right w:val="single" w:sz="4" w:space="0" w:color="auto"/>
            </w:tcBorders>
            <w:noWrap/>
            <w:vAlign w:val="center"/>
            <w:hideMark/>
          </w:tcPr>
          <w:p w14:paraId="463CC9F0" w14:textId="77777777" w:rsidR="00CB0A24" w:rsidRPr="00E21768" w:rsidRDefault="00CB0A24" w:rsidP="003E0728">
            <w:pPr>
              <w:pStyle w:val="Tables"/>
              <w:rPr>
                <w:b/>
                <w:bCs/>
              </w:rPr>
            </w:pPr>
            <w:r w:rsidRPr="00E21768">
              <w:rPr>
                <w:b/>
                <w:bCs/>
              </w:rPr>
              <w:t>1944-45</w:t>
            </w:r>
          </w:p>
        </w:tc>
        <w:tc>
          <w:tcPr>
            <w:tcW w:w="870" w:type="dxa"/>
            <w:tcBorders>
              <w:top w:val="nil"/>
              <w:left w:val="nil"/>
              <w:bottom w:val="single" w:sz="4" w:space="0" w:color="auto"/>
              <w:right w:val="single" w:sz="4" w:space="0" w:color="auto"/>
            </w:tcBorders>
            <w:noWrap/>
            <w:vAlign w:val="center"/>
            <w:hideMark/>
          </w:tcPr>
          <w:p w14:paraId="251BE41D" w14:textId="77777777" w:rsidR="00CB0A24" w:rsidRPr="00E21768" w:rsidRDefault="00CB0A24" w:rsidP="003E0728">
            <w:pPr>
              <w:pStyle w:val="Tables"/>
              <w:rPr>
                <w:b/>
                <w:bCs/>
              </w:rPr>
            </w:pPr>
            <w:r w:rsidRPr="00E21768">
              <w:rPr>
                <w:b/>
                <w:bCs/>
              </w:rPr>
              <w:t>1946-47</w:t>
            </w:r>
          </w:p>
        </w:tc>
      </w:tr>
      <w:tr w:rsidR="00CB0A24" w:rsidRPr="00CB0A24" w14:paraId="056B906D" w14:textId="77777777" w:rsidTr="00E23521">
        <w:trPr>
          <w:trHeight w:val="397"/>
          <w:jc w:val="center"/>
        </w:trPr>
        <w:tc>
          <w:tcPr>
            <w:tcW w:w="2324" w:type="dxa"/>
            <w:tcBorders>
              <w:top w:val="nil"/>
              <w:left w:val="single" w:sz="4" w:space="0" w:color="auto"/>
              <w:bottom w:val="single" w:sz="4" w:space="0" w:color="auto"/>
              <w:right w:val="single" w:sz="4" w:space="0" w:color="auto"/>
            </w:tcBorders>
            <w:noWrap/>
            <w:vAlign w:val="center"/>
            <w:hideMark/>
          </w:tcPr>
          <w:p w14:paraId="53A186D0" w14:textId="77777777" w:rsidR="00CB0A24" w:rsidRPr="00CB0A24" w:rsidRDefault="00CB0A24" w:rsidP="00E21768">
            <w:pPr>
              <w:pStyle w:val="Tables"/>
              <w:jc w:val="left"/>
            </w:pPr>
            <w:r w:rsidRPr="00CB0A24">
              <w:t>Total Revenue Expenditure (a)</w:t>
            </w:r>
          </w:p>
        </w:tc>
        <w:tc>
          <w:tcPr>
            <w:tcW w:w="870" w:type="dxa"/>
            <w:tcBorders>
              <w:top w:val="nil"/>
              <w:left w:val="nil"/>
              <w:bottom w:val="single" w:sz="4" w:space="0" w:color="auto"/>
              <w:right w:val="single" w:sz="4" w:space="0" w:color="auto"/>
            </w:tcBorders>
            <w:noWrap/>
            <w:vAlign w:val="center"/>
            <w:hideMark/>
          </w:tcPr>
          <w:p w14:paraId="76BDC7DB" w14:textId="77777777" w:rsidR="00CB0A24" w:rsidRPr="00CB0A24" w:rsidRDefault="00CB0A24" w:rsidP="003E0728">
            <w:pPr>
              <w:pStyle w:val="Tables"/>
            </w:pPr>
            <w:r w:rsidRPr="00CB0A24">
              <w:t>83.11</w:t>
            </w:r>
          </w:p>
        </w:tc>
        <w:tc>
          <w:tcPr>
            <w:tcW w:w="986" w:type="dxa"/>
            <w:tcBorders>
              <w:top w:val="nil"/>
              <w:left w:val="nil"/>
              <w:bottom w:val="single" w:sz="4" w:space="0" w:color="auto"/>
              <w:right w:val="single" w:sz="4" w:space="0" w:color="auto"/>
            </w:tcBorders>
            <w:noWrap/>
            <w:vAlign w:val="center"/>
            <w:hideMark/>
          </w:tcPr>
          <w:p w14:paraId="69A904C8" w14:textId="77777777" w:rsidR="00CB0A24" w:rsidRPr="00CB0A24" w:rsidRDefault="00CB0A24" w:rsidP="003E0728">
            <w:pPr>
              <w:pStyle w:val="Tables"/>
            </w:pPr>
            <w:r w:rsidRPr="00CB0A24">
              <w:t>180.36</w:t>
            </w:r>
          </w:p>
        </w:tc>
        <w:tc>
          <w:tcPr>
            <w:tcW w:w="986" w:type="dxa"/>
            <w:tcBorders>
              <w:top w:val="nil"/>
              <w:left w:val="nil"/>
              <w:bottom w:val="single" w:sz="4" w:space="0" w:color="auto"/>
              <w:right w:val="single" w:sz="4" w:space="0" w:color="auto"/>
            </w:tcBorders>
            <w:noWrap/>
            <w:vAlign w:val="center"/>
            <w:hideMark/>
          </w:tcPr>
          <w:p w14:paraId="14295FF9" w14:textId="77777777" w:rsidR="00CB0A24" w:rsidRPr="00CB0A24" w:rsidRDefault="00CB0A24" w:rsidP="003E0728">
            <w:pPr>
              <w:pStyle w:val="Tables"/>
            </w:pPr>
            <w:r w:rsidRPr="00CB0A24">
              <w:t>234.82</w:t>
            </w:r>
          </w:p>
        </w:tc>
        <w:tc>
          <w:tcPr>
            <w:tcW w:w="870" w:type="dxa"/>
            <w:tcBorders>
              <w:top w:val="nil"/>
              <w:left w:val="nil"/>
              <w:bottom w:val="single" w:sz="4" w:space="0" w:color="auto"/>
              <w:right w:val="single" w:sz="4" w:space="0" w:color="auto"/>
            </w:tcBorders>
            <w:noWrap/>
            <w:vAlign w:val="center"/>
            <w:hideMark/>
          </w:tcPr>
          <w:p w14:paraId="12539BD7" w14:textId="77777777" w:rsidR="00CB0A24" w:rsidRPr="00CB0A24" w:rsidRDefault="00CB0A24" w:rsidP="003E0728">
            <w:pPr>
              <w:pStyle w:val="Tables"/>
            </w:pPr>
            <w:r w:rsidRPr="00CB0A24">
              <w:t>100</w:t>
            </w:r>
          </w:p>
        </w:tc>
        <w:tc>
          <w:tcPr>
            <w:tcW w:w="870" w:type="dxa"/>
            <w:tcBorders>
              <w:top w:val="nil"/>
              <w:left w:val="nil"/>
              <w:bottom w:val="single" w:sz="4" w:space="0" w:color="auto"/>
              <w:right w:val="single" w:sz="4" w:space="0" w:color="auto"/>
            </w:tcBorders>
            <w:noWrap/>
            <w:vAlign w:val="center"/>
            <w:hideMark/>
          </w:tcPr>
          <w:p w14:paraId="2C8E4C6A" w14:textId="77777777" w:rsidR="00CB0A24" w:rsidRPr="00CB0A24" w:rsidRDefault="00CB0A24" w:rsidP="003E0728">
            <w:pPr>
              <w:pStyle w:val="Tables"/>
            </w:pPr>
            <w:r w:rsidRPr="00CB0A24">
              <w:t>217</w:t>
            </w:r>
          </w:p>
        </w:tc>
        <w:tc>
          <w:tcPr>
            <w:tcW w:w="870" w:type="dxa"/>
            <w:tcBorders>
              <w:top w:val="nil"/>
              <w:left w:val="nil"/>
              <w:bottom w:val="single" w:sz="4" w:space="0" w:color="auto"/>
              <w:right w:val="single" w:sz="4" w:space="0" w:color="auto"/>
            </w:tcBorders>
            <w:noWrap/>
            <w:vAlign w:val="center"/>
            <w:hideMark/>
          </w:tcPr>
          <w:p w14:paraId="6A165905" w14:textId="77777777" w:rsidR="00CB0A24" w:rsidRPr="00CB0A24" w:rsidRDefault="00CB0A24" w:rsidP="003E0728">
            <w:pPr>
              <w:pStyle w:val="Tables"/>
            </w:pPr>
            <w:r w:rsidRPr="00CB0A24">
              <w:t>283</w:t>
            </w:r>
          </w:p>
        </w:tc>
        <w:tc>
          <w:tcPr>
            <w:tcW w:w="870" w:type="dxa"/>
            <w:tcBorders>
              <w:top w:val="nil"/>
              <w:left w:val="nil"/>
              <w:bottom w:val="single" w:sz="4" w:space="0" w:color="auto"/>
              <w:right w:val="single" w:sz="4" w:space="0" w:color="auto"/>
            </w:tcBorders>
            <w:noWrap/>
            <w:vAlign w:val="center"/>
            <w:hideMark/>
          </w:tcPr>
          <w:p w14:paraId="7661FED6" w14:textId="1B8300F7" w:rsidR="00CB0A24" w:rsidRPr="00CB0A24" w:rsidRDefault="00CB0A24" w:rsidP="003E0728">
            <w:pPr>
              <w:pStyle w:val="Tables"/>
            </w:pPr>
            <w:r w:rsidRPr="00CB0A24">
              <w:t>100</w:t>
            </w:r>
            <w:r w:rsidR="0039623A">
              <w:t>.0</w:t>
            </w:r>
          </w:p>
        </w:tc>
        <w:tc>
          <w:tcPr>
            <w:tcW w:w="870" w:type="dxa"/>
            <w:tcBorders>
              <w:top w:val="nil"/>
              <w:left w:val="nil"/>
              <w:bottom w:val="single" w:sz="4" w:space="0" w:color="auto"/>
              <w:right w:val="single" w:sz="4" w:space="0" w:color="auto"/>
            </w:tcBorders>
            <w:noWrap/>
            <w:vAlign w:val="center"/>
            <w:hideMark/>
          </w:tcPr>
          <w:p w14:paraId="287A58C5" w14:textId="3070C3AD" w:rsidR="00CB0A24" w:rsidRPr="00CB0A24" w:rsidRDefault="00CB0A24" w:rsidP="003E0728">
            <w:pPr>
              <w:pStyle w:val="Tables"/>
            </w:pPr>
            <w:r w:rsidRPr="00CB0A24">
              <w:t>100</w:t>
            </w:r>
            <w:r w:rsidR="0039623A">
              <w:t>.0</w:t>
            </w:r>
          </w:p>
        </w:tc>
        <w:tc>
          <w:tcPr>
            <w:tcW w:w="870" w:type="dxa"/>
            <w:tcBorders>
              <w:top w:val="nil"/>
              <w:left w:val="nil"/>
              <w:bottom w:val="single" w:sz="4" w:space="0" w:color="auto"/>
              <w:right w:val="single" w:sz="4" w:space="0" w:color="auto"/>
            </w:tcBorders>
            <w:noWrap/>
            <w:vAlign w:val="center"/>
            <w:hideMark/>
          </w:tcPr>
          <w:p w14:paraId="78AC4F4F" w14:textId="7A6CD0CB" w:rsidR="00CB0A24" w:rsidRPr="00CB0A24" w:rsidRDefault="00CB0A24" w:rsidP="003E0728">
            <w:pPr>
              <w:pStyle w:val="Tables"/>
            </w:pPr>
            <w:r w:rsidRPr="00CB0A24">
              <w:t>100</w:t>
            </w:r>
            <w:r w:rsidR="0039623A">
              <w:t>.0</w:t>
            </w:r>
          </w:p>
        </w:tc>
      </w:tr>
      <w:tr w:rsidR="00CB0A24" w:rsidRPr="00CB0A24" w14:paraId="1D5ACE43" w14:textId="77777777" w:rsidTr="00E23521">
        <w:trPr>
          <w:trHeight w:val="397"/>
          <w:jc w:val="center"/>
        </w:trPr>
        <w:tc>
          <w:tcPr>
            <w:tcW w:w="2324" w:type="dxa"/>
            <w:tcBorders>
              <w:top w:val="nil"/>
              <w:left w:val="single" w:sz="4" w:space="0" w:color="auto"/>
              <w:bottom w:val="single" w:sz="4" w:space="0" w:color="auto"/>
              <w:right w:val="single" w:sz="4" w:space="0" w:color="auto"/>
            </w:tcBorders>
            <w:noWrap/>
            <w:vAlign w:val="center"/>
            <w:hideMark/>
          </w:tcPr>
          <w:p w14:paraId="0A90497E" w14:textId="77777777" w:rsidR="00CB0A24" w:rsidRPr="00CB0A24" w:rsidRDefault="00CB0A24" w:rsidP="00E21768">
            <w:pPr>
              <w:pStyle w:val="Tables"/>
              <w:jc w:val="left"/>
            </w:pPr>
            <w:r w:rsidRPr="00CB0A24">
              <w:t>Direct Demands on Revenue</w:t>
            </w:r>
          </w:p>
        </w:tc>
        <w:tc>
          <w:tcPr>
            <w:tcW w:w="870" w:type="dxa"/>
            <w:tcBorders>
              <w:top w:val="nil"/>
              <w:left w:val="nil"/>
              <w:bottom w:val="single" w:sz="4" w:space="0" w:color="auto"/>
              <w:right w:val="single" w:sz="4" w:space="0" w:color="auto"/>
            </w:tcBorders>
            <w:noWrap/>
            <w:vAlign w:val="center"/>
            <w:hideMark/>
          </w:tcPr>
          <w:p w14:paraId="5C601A79" w14:textId="77777777" w:rsidR="00CB0A24" w:rsidRPr="00CB0A24" w:rsidRDefault="00CB0A24" w:rsidP="003E0728">
            <w:pPr>
              <w:pStyle w:val="Tables"/>
            </w:pPr>
            <w:r w:rsidRPr="00CB0A24">
              <w:t>8.54</w:t>
            </w:r>
          </w:p>
        </w:tc>
        <w:tc>
          <w:tcPr>
            <w:tcW w:w="986" w:type="dxa"/>
            <w:tcBorders>
              <w:top w:val="nil"/>
              <w:left w:val="nil"/>
              <w:bottom w:val="single" w:sz="4" w:space="0" w:color="auto"/>
              <w:right w:val="single" w:sz="4" w:space="0" w:color="auto"/>
            </w:tcBorders>
            <w:noWrap/>
            <w:vAlign w:val="center"/>
            <w:hideMark/>
          </w:tcPr>
          <w:p w14:paraId="6DE47A88" w14:textId="281ACADA" w:rsidR="00CB0A24" w:rsidRPr="00CB0A24" w:rsidRDefault="00CB0A24" w:rsidP="003E0728">
            <w:pPr>
              <w:pStyle w:val="Tables"/>
            </w:pPr>
            <w:r w:rsidRPr="00CB0A24">
              <w:t>17.4</w:t>
            </w:r>
            <w:r w:rsidR="0039623A">
              <w:t>0</w:t>
            </w:r>
          </w:p>
        </w:tc>
        <w:tc>
          <w:tcPr>
            <w:tcW w:w="986" w:type="dxa"/>
            <w:tcBorders>
              <w:top w:val="nil"/>
              <w:left w:val="nil"/>
              <w:bottom w:val="single" w:sz="4" w:space="0" w:color="auto"/>
              <w:right w:val="single" w:sz="4" w:space="0" w:color="auto"/>
            </w:tcBorders>
            <w:noWrap/>
            <w:vAlign w:val="center"/>
            <w:hideMark/>
          </w:tcPr>
          <w:p w14:paraId="713DA6CB" w14:textId="77777777" w:rsidR="00CB0A24" w:rsidRPr="00CB0A24" w:rsidRDefault="00CB0A24" w:rsidP="003E0728">
            <w:pPr>
              <w:pStyle w:val="Tables"/>
            </w:pPr>
            <w:r w:rsidRPr="00CB0A24">
              <w:t>19.51</w:t>
            </w:r>
          </w:p>
        </w:tc>
        <w:tc>
          <w:tcPr>
            <w:tcW w:w="870" w:type="dxa"/>
            <w:tcBorders>
              <w:top w:val="nil"/>
              <w:left w:val="nil"/>
              <w:bottom w:val="single" w:sz="4" w:space="0" w:color="auto"/>
              <w:right w:val="single" w:sz="4" w:space="0" w:color="auto"/>
            </w:tcBorders>
            <w:noWrap/>
            <w:vAlign w:val="center"/>
            <w:hideMark/>
          </w:tcPr>
          <w:p w14:paraId="6534AF75" w14:textId="77777777" w:rsidR="00CB0A24" w:rsidRPr="00CB0A24" w:rsidRDefault="00CB0A24" w:rsidP="003E0728">
            <w:pPr>
              <w:pStyle w:val="Tables"/>
            </w:pPr>
            <w:r w:rsidRPr="00CB0A24">
              <w:t>100</w:t>
            </w:r>
          </w:p>
        </w:tc>
        <w:tc>
          <w:tcPr>
            <w:tcW w:w="870" w:type="dxa"/>
            <w:tcBorders>
              <w:top w:val="nil"/>
              <w:left w:val="nil"/>
              <w:bottom w:val="single" w:sz="4" w:space="0" w:color="auto"/>
              <w:right w:val="single" w:sz="4" w:space="0" w:color="auto"/>
            </w:tcBorders>
            <w:noWrap/>
            <w:vAlign w:val="center"/>
            <w:hideMark/>
          </w:tcPr>
          <w:p w14:paraId="313C0322" w14:textId="77777777" w:rsidR="00CB0A24" w:rsidRPr="00CB0A24" w:rsidRDefault="00CB0A24" w:rsidP="003E0728">
            <w:pPr>
              <w:pStyle w:val="Tables"/>
            </w:pPr>
            <w:r w:rsidRPr="00CB0A24">
              <w:t>204</w:t>
            </w:r>
          </w:p>
        </w:tc>
        <w:tc>
          <w:tcPr>
            <w:tcW w:w="870" w:type="dxa"/>
            <w:tcBorders>
              <w:top w:val="nil"/>
              <w:left w:val="nil"/>
              <w:bottom w:val="single" w:sz="4" w:space="0" w:color="auto"/>
              <w:right w:val="single" w:sz="4" w:space="0" w:color="auto"/>
            </w:tcBorders>
            <w:noWrap/>
            <w:vAlign w:val="center"/>
            <w:hideMark/>
          </w:tcPr>
          <w:p w14:paraId="6650EAD8" w14:textId="77777777" w:rsidR="00CB0A24" w:rsidRPr="00CB0A24" w:rsidRDefault="00CB0A24" w:rsidP="003E0728">
            <w:pPr>
              <w:pStyle w:val="Tables"/>
            </w:pPr>
            <w:r w:rsidRPr="00CB0A24">
              <w:t>229</w:t>
            </w:r>
          </w:p>
        </w:tc>
        <w:tc>
          <w:tcPr>
            <w:tcW w:w="870" w:type="dxa"/>
            <w:tcBorders>
              <w:top w:val="nil"/>
              <w:left w:val="nil"/>
              <w:bottom w:val="single" w:sz="4" w:space="0" w:color="auto"/>
              <w:right w:val="single" w:sz="4" w:space="0" w:color="auto"/>
            </w:tcBorders>
            <w:noWrap/>
            <w:vAlign w:val="center"/>
            <w:hideMark/>
          </w:tcPr>
          <w:p w14:paraId="494E42D9" w14:textId="77777777" w:rsidR="00CB0A24" w:rsidRPr="00CB0A24" w:rsidRDefault="00CB0A24" w:rsidP="003E0728">
            <w:pPr>
              <w:pStyle w:val="Tables"/>
            </w:pPr>
            <w:r w:rsidRPr="00CB0A24">
              <w:t>10.3</w:t>
            </w:r>
          </w:p>
        </w:tc>
        <w:tc>
          <w:tcPr>
            <w:tcW w:w="870" w:type="dxa"/>
            <w:tcBorders>
              <w:top w:val="nil"/>
              <w:left w:val="nil"/>
              <w:bottom w:val="single" w:sz="4" w:space="0" w:color="auto"/>
              <w:right w:val="single" w:sz="4" w:space="0" w:color="auto"/>
            </w:tcBorders>
            <w:noWrap/>
            <w:vAlign w:val="center"/>
            <w:hideMark/>
          </w:tcPr>
          <w:p w14:paraId="5A676BA0" w14:textId="77777777" w:rsidR="00CB0A24" w:rsidRPr="00CB0A24" w:rsidRDefault="00CB0A24" w:rsidP="003E0728">
            <w:pPr>
              <w:pStyle w:val="Tables"/>
            </w:pPr>
            <w:r w:rsidRPr="00CB0A24">
              <w:t>9.6</w:t>
            </w:r>
          </w:p>
        </w:tc>
        <w:tc>
          <w:tcPr>
            <w:tcW w:w="870" w:type="dxa"/>
            <w:tcBorders>
              <w:top w:val="nil"/>
              <w:left w:val="nil"/>
              <w:bottom w:val="single" w:sz="4" w:space="0" w:color="auto"/>
              <w:right w:val="single" w:sz="4" w:space="0" w:color="auto"/>
            </w:tcBorders>
            <w:noWrap/>
            <w:vAlign w:val="center"/>
            <w:hideMark/>
          </w:tcPr>
          <w:p w14:paraId="4C98CF70" w14:textId="77777777" w:rsidR="00CB0A24" w:rsidRPr="00CB0A24" w:rsidRDefault="00CB0A24" w:rsidP="003E0728">
            <w:pPr>
              <w:pStyle w:val="Tables"/>
            </w:pPr>
            <w:r w:rsidRPr="00CB0A24">
              <w:t>8.3</w:t>
            </w:r>
          </w:p>
        </w:tc>
      </w:tr>
      <w:tr w:rsidR="00CB0A24" w:rsidRPr="00CB0A24" w14:paraId="562FB565" w14:textId="77777777" w:rsidTr="00E23521">
        <w:trPr>
          <w:trHeight w:val="397"/>
          <w:jc w:val="center"/>
        </w:trPr>
        <w:tc>
          <w:tcPr>
            <w:tcW w:w="2324" w:type="dxa"/>
            <w:tcBorders>
              <w:top w:val="nil"/>
              <w:left w:val="single" w:sz="4" w:space="0" w:color="auto"/>
              <w:bottom w:val="single" w:sz="4" w:space="0" w:color="auto"/>
              <w:right w:val="single" w:sz="4" w:space="0" w:color="auto"/>
            </w:tcBorders>
            <w:noWrap/>
            <w:vAlign w:val="center"/>
            <w:hideMark/>
          </w:tcPr>
          <w:p w14:paraId="3FA79A42" w14:textId="77777777" w:rsidR="00CB0A24" w:rsidRPr="00CB0A24" w:rsidRDefault="00CB0A24" w:rsidP="00E21768">
            <w:pPr>
              <w:pStyle w:val="Tables"/>
              <w:jc w:val="left"/>
            </w:pPr>
            <w:r w:rsidRPr="00CB0A24">
              <w:t>Debt Services (b)</w:t>
            </w:r>
          </w:p>
        </w:tc>
        <w:tc>
          <w:tcPr>
            <w:tcW w:w="870" w:type="dxa"/>
            <w:tcBorders>
              <w:top w:val="nil"/>
              <w:left w:val="nil"/>
              <w:bottom w:val="single" w:sz="4" w:space="0" w:color="auto"/>
              <w:right w:val="single" w:sz="4" w:space="0" w:color="auto"/>
            </w:tcBorders>
            <w:noWrap/>
            <w:vAlign w:val="center"/>
            <w:hideMark/>
          </w:tcPr>
          <w:p w14:paraId="1BD5BF7A" w14:textId="77777777" w:rsidR="00CB0A24" w:rsidRPr="00CB0A24" w:rsidRDefault="00CB0A24" w:rsidP="003E0728">
            <w:pPr>
              <w:pStyle w:val="Tables"/>
            </w:pPr>
            <w:r w:rsidRPr="00CB0A24">
              <w:t>7.44</w:t>
            </w:r>
          </w:p>
        </w:tc>
        <w:tc>
          <w:tcPr>
            <w:tcW w:w="986" w:type="dxa"/>
            <w:tcBorders>
              <w:top w:val="nil"/>
              <w:left w:val="nil"/>
              <w:bottom w:val="single" w:sz="4" w:space="0" w:color="auto"/>
              <w:right w:val="single" w:sz="4" w:space="0" w:color="auto"/>
            </w:tcBorders>
            <w:noWrap/>
            <w:vAlign w:val="center"/>
            <w:hideMark/>
          </w:tcPr>
          <w:p w14:paraId="721F7B91" w14:textId="77777777" w:rsidR="00CB0A24" w:rsidRPr="00CB0A24" w:rsidRDefault="00CB0A24" w:rsidP="003E0728">
            <w:pPr>
              <w:pStyle w:val="Tables"/>
            </w:pPr>
            <w:r w:rsidRPr="00CB0A24">
              <w:t>10.46</w:t>
            </w:r>
          </w:p>
        </w:tc>
        <w:tc>
          <w:tcPr>
            <w:tcW w:w="986" w:type="dxa"/>
            <w:tcBorders>
              <w:top w:val="nil"/>
              <w:left w:val="nil"/>
              <w:bottom w:val="single" w:sz="4" w:space="0" w:color="auto"/>
              <w:right w:val="single" w:sz="4" w:space="0" w:color="auto"/>
            </w:tcBorders>
            <w:noWrap/>
            <w:vAlign w:val="center"/>
            <w:hideMark/>
          </w:tcPr>
          <w:p w14:paraId="3CD4581F" w14:textId="77777777" w:rsidR="00CB0A24" w:rsidRPr="00CB0A24" w:rsidRDefault="00CB0A24" w:rsidP="003E0728">
            <w:pPr>
              <w:pStyle w:val="Tables"/>
            </w:pPr>
            <w:r w:rsidRPr="00CB0A24">
              <w:t>10.36</w:t>
            </w:r>
          </w:p>
        </w:tc>
        <w:tc>
          <w:tcPr>
            <w:tcW w:w="870" w:type="dxa"/>
            <w:tcBorders>
              <w:top w:val="nil"/>
              <w:left w:val="nil"/>
              <w:bottom w:val="single" w:sz="4" w:space="0" w:color="auto"/>
              <w:right w:val="single" w:sz="4" w:space="0" w:color="auto"/>
            </w:tcBorders>
            <w:noWrap/>
            <w:vAlign w:val="center"/>
            <w:hideMark/>
          </w:tcPr>
          <w:p w14:paraId="39456D36" w14:textId="77777777" w:rsidR="00CB0A24" w:rsidRPr="00CB0A24" w:rsidRDefault="00CB0A24" w:rsidP="003E0728">
            <w:pPr>
              <w:pStyle w:val="Tables"/>
            </w:pPr>
            <w:r w:rsidRPr="00CB0A24">
              <w:t>100</w:t>
            </w:r>
          </w:p>
        </w:tc>
        <w:tc>
          <w:tcPr>
            <w:tcW w:w="870" w:type="dxa"/>
            <w:tcBorders>
              <w:top w:val="nil"/>
              <w:left w:val="nil"/>
              <w:bottom w:val="single" w:sz="4" w:space="0" w:color="auto"/>
              <w:right w:val="single" w:sz="4" w:space="0" w:color="auto"/>
            </w:tcBorders>
            <w:noWrap/>
            <w:vAlign w:val="center"/>
            <w:hideMark/>
          </w:tcPr>
          <w:p w14:paraId="377B8330" w14:textId="77777777" w:rsidR="00CB0A24" w:rsidRPr="00CB0A24" w:rsidRDefault="00CB0A24" w:rsidP="003E0728">
            <w:pPr>
              <w:pStyle w:val="Tables"/>
            </w:pPr>
            <w:r w:rsidRPr="00CB0A24">
              <w:t>141</w:t>
            </w:r>
          </w:p>
        </w:tc>
        <w:tc>
          <w:tcPr>
            <w:tcW w:w="870" w:type="dxa"/>
            <w:tcBorders>
              <w:top w:val="nil"/>
              <w:left w:val="nil"/>
              <w:bottom w:val="single" w:sz="4" w:space="0" w:color="auto"/>
              <w:right w:val="single" w:sz="4" w:space="0" w:color="auto"/>
            </w:tcBorders>
            <w:noWrap/>
            <w:vAlign w:val="center"/>
            <w:hideMark/>
          </w:tcPr>
          <w:p w14:paraId="1864A8B9" w14:textId="77777777" w:rsidR="00CB0A24" w:rsidRPr="00CB0A24" w:rsidRDefault="00CB0A24" w:rsidP="003E0728">
            <w:pPr>
              <w:pStyle w:val="Tables"/>
            </w:pPr>
            <w:r w:rsidRPr="00CB0A24">
              <w:t>139</w:t>
            </w:r>
          </w:p>
        </w:tc>
        <w:tc>
          <w:tcPr>
            <w:tcW w:w="870" w:type="dxa"/>
            <w:tcBorders>
              <w:top w:val="nil"/>
              <w:left w:val="nil"/>
              <w:bottom w:val="single" w:sz="4" w:space="0" w:color="auto"/>
              <w:right w:val="single" w:sz="4" w:space="0" w:color="auto"/>
            </w:tcBorders>
            <w:noWrap/>
            <w:vAlign w:val="center"/>
            <w:hideMark/>
          </w:tcPr>
          <w:p w14:paraId="68A98457" w14:textId="77777777" w:rsidR="00CB0A24" w:rsidRPr="00CB0A24" w:rsidRDefault="00CB0A24" w:rsidP="003E0728">
            <w:pPr>
              <w:pStyle w:val="Tables"/>
            </w:pPr>
            <w:r w:rsidRPr="00CB0A24">
              <w:t>9</w:t>
            </w:r>
          </w:p>
        </w:tc>
        <w:tc>
          <w:tcPr>
            <w:tcW w:w="870" w:type="dxa"/>
            <w:tcBorders>
              <w:top w:val="nil"/>
              <w:left w:val="nil"/>
              <w:bottom w:val="single" w:sz="4" w:space="0" w:color="auto"/>
              <w:right w:val="single" w:sz="4" w:space="0" w:color="auto"/>
            </w:tcBorders>
            <w:noWrap/>
            <w:vAlign w:val="center"/>
            <w:hideMark/>
          </w:tcPr>
          <w:p w14:paraId="4A46F437" w14:textId="77777777" w:rsidR="00CB0A24" w:rsidRPr="00CB0A24" w:rsidRDefault="00CB0A24" w:rsidP="003E0728">
            <w:pPr>
              <w:pStyle w:val="Tables"/>
            </w:pPr>
            <w:r w:rsidRPr="00CB0A24">
              <w:t>5.8</w:t>
            </w:r>
          </w:p>
        </w:tc>
        <w:tc>
          <w:tcPr>
            <w:tcW w:w="870" w:type="dxa"/>
            <w:tcBorders>
              <w:top w:val="nil"/>
              <w:left w:val="nil"/>
              <w:bottom w:val="single" w:sz="4" w:space="0" w:color="auto"/>
              <w:right w:val="single" w:sz="4" w:space="0" w:color="auto"/>
            </w:tcBorders>
            <w:noWrap/>
            <w:vAlign w:val="center"/>
            <w:hideMark/>
          </w:tcPr>
          <w:p w14:paraId="1F13D06D" w14:textId="77777777" w:rsidR="00CB0A24" w:rsidRPr="00CB0A24" w:rsidRDefault="00CB0A24" w:rsidP="003E0728">
            <w:pPr>
              <w:pStyle w:val="Tables"/>
            </w:pPr>
            <w:r w:rsidRPr="00CB0A24">
              <w:t>4.4</w:t>
            </w:r>
          </w:p>
        </w:tc>
      </w:tr>
      <w:tr w:rsidR="00CB0A24" w:rsidRPr="00CB0A24" w14:paraId="3BE2A3D3" w14:textId="77777777" w:rsidTr="00E23521">
        <w:trPr>
          <w:trHeight w:val="397"/>
          <w:jc w:val="center"/>
        </w:trPr>
        <w:tc>
          <w:tcPr>
            <w:tcW w:w="2324" w:type="dxa"/>
            <w:tcBorders>
              <w:top w:val="nil"/>
              <w:left w:val="single" w:sz="4" w:space="0" w:color="auto"/>
              <w:bottom w:val="single" w:sz="4" w:space="0" w:color="auto"/>
              <w:right w:val="single" w:sz="4" w:space="0" w:color="auto"/>
            </w:tcBorders>
            <w:noWrap/>
            <w:vAlign w:val="center"/>
            <w:hideMark/>
          </w:tcPr>
          <w:p w14:paraId="7F4ECEAF" w14:textId="77777777" w:rsidR="00CB0A24" w:rsidRPr="00CB0A24" w:rsidRDefault="00CB0A24" w:rsidP="00E21768">
            <w:pPr>
              <w:pStyle w:val="Tables"/>
              <w:jc w:val="left"/>
            </w:pPr>
            <w:r w:rsidRPr="00CB0A24">
              <w:t>Irrigation (c)</w:t>
            </w:r>
          </w:p>
        </w:tc>
        <w:tc>
          <w:tcPr>
            <w:tcW w:w="870" w:type="dxa"/>
            <w:tcBorders>
              <w:top w:val="nil"/>
              <w:left w:val="nil"/>
              <w:bottom w:val="single" w:sz="4" w:space="0" w:color="auto"/>
              <w:right w:val="single" w:sz="4" w:space="0" w:color="auto"/>
            </w:tcBorders>
            <w:noWrap/>
            <w:vAlign w:val="center"/>
            <w:hideMark/>
          </w:tcPr>
          <w:p w14:paraId="0D5C1E77" w14:textId="77777777" w:rsidR="00CB0A24" w:rsidRPr="00CB0A24" w:rsidRDefault="00CB0A24" w:rsidP="003E0728">
            <w:pPr>
              <w:pStyle w:val="Tables"/>
            </w:pPr>
            <w:r w:rsidRPr="00CB0A24">
              <w:t>0.96</w:t>
            </w:r>
          </w:p>
        </w:tc>
        <w:tc>
          <w:tcPr>
            <w:tcW w:w="986" w:type="dxa"/>
            <w:tcBorders>
              <w:top w:val="nil"/>
              <w:left w:val="nil"/>
              <w:bottom w:val="single" w:sz="4" w:space="0" w:color="auto"/>
              <w:right w:val="single" w:sz="4" w:space="0" w:color="auto"/>
            </w:tcBorders>
            <w:noWrap/>
            <w:vAlign w:val="center"/>
            <w:hideMark/>
          </w:tcPr>
          <w:p w14:paraId="22097DB2" w14:textId="77777777" w:rsidR="00CB0A24" w:rsidRPr="00CB0A24" w:rsidRDefault="00CB0A24" w:rsidP="003E0728">
            <w:pPr>
              <w:pStyle w:val="Tables"/>
            </w:pPr>
            <w:r w:rsidRPr="00CB0A24">
              <w:t>4.25</w:t>
            </w:r>
          </w:p>
        </w:tc>
        <w:tc>
          <w:tcPr>
            <w:tcW w:w="986" w:type="dxa"/>
            <w:tcBorders>
              <w:top w:val="nil"/>
              <w:left w:val="nil"/>
              <w:bottom w:val="single" w:sz="4" w:space="0" w:color="auto"/>
              <w:right w:val="single" w:sz="4" w:space="0" w:color="auto"/>
            </w:tcBorders>
            <w:noWrap/>
            <w:vAlign w:val="center"/>
            <w:hideMark/>
          </w:tcPr>
          <w:p w14:paraId="6127CD8F" w14:textId="77777777" w:rsidR="00CB0A24" w:rsidRPr="00CB0A24" w:rsidRDefault="00CB0A24" w:rsidP="003E0728">
            <w:pPr>
              <w:pStyle w:val="Tables"/>
            </w:pPr>
            <w:r w:rsidRPr="00CB0A24">
              <w:t>4.24</w:t>
            </w:r>
          </w:p>
        </w:tc>
        <w:tc>
          <w:tcPr>
            <w:tcW w:w="870" w:type="dxa"/>
            <w:tcBorders>
              <w:top w:val="nil"/>
              <w:left w:val="nil"/>
              <w:bottom w:val="single" w:sz="4" w:space="0" w:color="auto"/>
              <w:right w:val="single" w:sz="4" w:space="0" w:color="auto"/>
            </w:tcBorders>
            <w:noWrap/>
            <w:vAlign w:val="center"/>
            <w:hideMark/>
          </w:tcPr>
          <w:p w14:paraId="4F05D41F" w14:textId="77777777" w:rsidR="00CB0A24" w:rsidRPr="00CB0A24" w:rsidRDefault="00CB0A24" w:rsidP="003E0728">
            <w:pPr>
              <w:pStyle w:val="Tables"/>
            </w:pPr>
            <w:r w:rsidRPr="00CB0A24">
              <w:t>100</w:t>
            </w:r>
          </w:p>
        </w:tc>
        <w:tc>
          <w:tcPr>
            <w:tcW w:w="870" w:type="dxa"/>
            <w:tcBorders>
              <w:top w:val="nil"/>
              <w:left w:val="nil"/>
              <w:bottom w:val="single" w:sz="4" w:space="0" w:color="auto"/>
              <w:right w:val="single" w:sz="4" w:space="0" w:color="auto"/>
            </w:tcBorders>
            <w:noWrap/>
            <w:vAlign w:val="center"/>
            <w:hideMark/>
          </w:tcPr>
          <w:p w14:paraId="2DA775B1" w14:textId="77777777" w:rsidR="00CB0A24" w:rsidRPr="00CB0A24" w:rsidRDefault="00CB0A24" w:rsidP="003E0728">
            <w:pPr>
              <w:pStyle w:val="Tables"/>
            </w:pPr>
            <w:r w:rsidRPr="00CB0A24">
              <w:t>443</w:t>
            </w:r>
          </w:p>
        </w:tc>
        <w:tc>
          <w:tcPr>
            <w:tcW w:w="870" w:type="dxa"/>
            <w:tcBorders>
              <w:top w:val="nil"/>
              <w:left w:val="nil"/>
              <w:bottom w:val="single" w:sz="4" w:space="0" w:color="auto"/>
              <w:right w:val="single" w:sz="4" w:space="0" w:color="auto"/>
            </w:tcBorders>
            <w:noWrap/>
            <w:vAlign w:val="center"/>
            <w:hideMark/>
          </w:tcPr>
          <w:p w14:paraId="0C5AC545" w14:textId="77777777" w:rsidR="00CB0A24" w:rsidRPr="00CB0A24" w:rsidRDefault="00CB0A24" w:rsidP="003E0728">
            <w:pPr>
              <w:pStyle w:val="Tables"/>
            </w:pPr>
            <w:r w:rsidRPr="00CB0A24">
              <w:t>443</w:t>
            </w:r>
          </w:p>
        </w:tc>
        <w:tc>
          <w:tcPr>
            <w:tcW w:w="870" w:type="dxa"/>
            <w:tcBorders>
              <w:top w:val="nil"/>
              <w:left w:val="nil"/>
              <w:bottom w:val="single" w:sz="4" w:space="0" w:color="auto"/>
              <w:right w:val="single" w:sz="4" w:space="0" w:color="auto"/>
            </w:tcBorders>
            <w:noWrap/>
            <w:vAlign w:val="center"/>
            <w:hideMark/>
          </w:tcPr>
          <w:p w14:paraId="114EA3DD" w14:textId="77777777" w:rsidR="00CB0A24" w:rsidRPr="00CB0A24" w:rsidRDefault="00CB0A24" w:rsidP="003E0728">
            <w:pPr>
              <w:pStyle w:val="Tables"/>
            </w:pPr>
            <w:r w:rsidRPr="00CB0A24">
              <w:t>1.2</w:t>
            </w:r>
          </w:p>
        </w:tc>
        <w:tc>
          <w:tcPr>
            <w:tcW w:w="870" w:type="dxa"/>
            <w:tcBorders>
              <w:top w:val="nil"/>
              <w:left w:val="nil"/>
              <w:bottom w:val="single" w:sz="4" w:space="0" w:color="auto"/>
              <w:right w:val="single" w:sz="4" w:space="0" w:color="auto"/>
            </w:tcBorders>
            <w:noWrap/>
            <w:vAlign w:val="center"/>
            <w:hideMark/>
          </w:tcPr>
          <w:p w14:paraId="10F106D1" w14:textId="77777777" w:rsidR="00CB0A24" w:rsidRPr="00CB0A24" w:rsidRDefault="00CB0A24" w:rsidP="003E0728">
            <w:pPr>
              <w:pStyle w:val="Tables"/>
            </w:pPr>
            <w:r w:rsidRPr="00CB0A24">
              <w:t>2.4</w:t>
            </w:r>
          </w:p>
        </w:tc>
        <w:tc>
          <w:tcPr>
            <w:tcW w:w="870" w:type="dxa"/>
            <w:tcBorders>
              <w:top w:val="nil"/>
              <w:left w:val="nil"/>
              <w:bottom w:val="single" w:sz="4" w:space="0" w:color="auto"/>
              <w:right w:val="single" w:sz="4" w:space="0" w:color="auto"/>
            </w:tcBorders>
            <w:noWrap/>
            <w:vAlign w:val="center"/>
            <w:hideMark/>
          </w:tcPr>
          <w:p w14:paraId="099F35E1" w14:textId="77777777" w:rsidR="00CB0A24" w:rsidRPr="00CB0A24" w:rsidRDefault="00CB0A24" w:rsidP="003E0728">
            <w:pPr>
              <w:pStyle w:val="Tables"/>
            </w:pPr>
            <w:r w:rsidRPr="00CB0A24">
              <w:t>1.8</w:t>
            </w:r>
          </w:p>
        </w:tc>
      </w:tr>
      <w:tr w:rsidR="00CB0A24" w:rsidRPr="00CB0A24" w14:paraId="230BF187" w14:textId="77777777" w:rsidTr="00E23521">
        <w:trPr>
          <w:trHeight w:val="397"/>
          <w:jc w:val="center"/>
        </w:trPr>
        <w:tc>
          <w:tcPr>
            <w:tcW w:w="2324" w:type="dxa"/>
            <w:tcBorders>
              <w:top w:val="nil"/>
              <w:left w:val="single" w:sz="4" w:space="0" w:color="auto"/>
              <w:bottom w:val="single" w:sz="4" w:space="0" w:color="auto"/>
              <w:right w:val="single" w:sz="4" w:space="0" w:color="auto"/>
            </w:tcBorders>
            <w:noWrap/>
            <w:vAlign w:val="center"/>
            <w:hideMark/>
          </w:tcPr>
          <w:p w14:paraId="00B39A24" w14:textId="77777777" w:rsidR="00CB0A24" w:rsidRPr="00CB0A24" w:rsidRDefault="00CB0A24" w:rsidP="00E21768">
            <w:pPr>
              <w:pStyle w:val="Tables"/>
              <w:jc w:val="left"/>
            </w:pPr>
            <w:r w:rsidRPr="00CB0A24">
              <w:t>Administrative Services</w:t>
            </w:r>
          </w:p>
        </w:tc>
        <w:tc>
          <w:tcPr>
            <w:tcW w:w="870" w:type="dxa"/>
            <w:tcBorders>
              <w:top w:val="nil"/>
              <w:left w:val="nil"/>
              <w:bottom w:val="single" w:sz="4" w:space="0" w:color="auto"/>
              <w:right w:val="single" w:sz="4" w:space="0" w:color="auto"/>
            </w:tcBorders>
            <w:noWrap/>
            <w:vAlign w:val="center"/>
            <w:hideMark/>
          </w:tcPr>
          <w:p w14:paraId="052D0B4F" w14:textId="77777777" w:rsidR="00CB0A24" w:rsidRPr="00CB0A24" w:rsidRDefault="00CB0A24" w:rsidP="003E0728">
            <w:pPr>
              <w:pStyle w:val="Tables"/>
            </w:pPr>
            <w:r w:rsidRPr="00CB0A24">
              <w:t>28.01</w:t>
            </w:r>
          </w:p>
        </w:tc>
        <w:tc>
          <w:tcPr>
            <w:tcW w:w="986" w:type="dxa"/>
            <w:tcBorders>
              <w:top w:val="nil"/>
              <w:left w:val="nil"/>
              <w:bottom w:val="single" w:sz="4" w:space="0" w:color="auto"/>
              <w:right w:val="single" w:sz="4" w:space="0" w:color="auto"/>
            </w:tcBorders>
            <w:noWrap/>
            <w:vAlign w:val="center"/>
            <w:hideMark/>
          </w:tcPr>
          <w:p w14:paraId="2C1779F8" w14:textId="77777777" w:rsidR="00CB0A24" w:rsidRPr="00CB0A24" w:rsidRDefault="00CB0A24" w:rsidP="003E0728">
            <w:pPr>
              <w:pStyle w:val="Tables"/>
            </w:pPr>
            <w:r w:rsidRPr="00CB0A24">
              <w:t>43.06</w:t>
            </w:r>
          </w:p>
        </w:tc>
        <w:tc>
          <w:tcPr>
            <w:tcW w:w="986" w:type="dxa"/>
            <w:tcBorders>
              <w:top w:val="nil"/>
              <w:left w:val="nil"/>
              <w:bottom w:val="single" w:sz="4" w:space="0" w:color="auto"/>
              <w:right w:val="single" w:sz="4" w:space="0" w:color="auto"/>
            </w:tcBorders>
            <w:noWrap/>
            <w:vAlign w:val="center"/>
            <w:hideMark/>
          </w:tcPr>
          <w:p w14:paraId="1BAEDAC6" w14:textId="26E4D55A" w:rsidR="00CB0A24" w:rsidRPr="00CB0A24" w:rsidRDefault="00CB0A24" w:rsidP="003E0728">
            <w:pPr>
              <w:pStyle w:val="Tables"/>
            </w:pPr>
            <w:r w:rsidRPr="00CB0A24">
              <w:t>63.6</w:t>
            </w:r>
            <w:r w:rsidR="0039623A">
              <w:t>0</w:t>
            </w:r>
          </w:p>
        </w:tc>
        <w:tc>
          <w:tcPr>
            <w:tcW w:w="870" w:type="dxa"/>
            <w:tcBorders>
              <w:top w:val="nil"/>
              <w:left w:val="nil"/>
              <w:bottom w:val="single" w:sz="4" w:space="0" w:color="auto"/>
              <w:right w:val="single" w:sz="4" w:space="0" w:color="auto"/>
            </w:tcBorders>
            <w:noWrap/>
            <w:vAlign w:val="center"/>
            <w:hideMark/>
          </w:tcPr>
          <w:p w14:paraId="1E0B908C" w14:textId="77777777" w:rsidR="00CB0A24" w:rsidRPr="00CB0A24" w:rsidRDefault="00CB0A24" w:rsidP="003E0728">
            <w:pPr>
              <w:pStyle w:val="Tables"/>
            </w:pPr>
            <w:r w:rsidRPr="00CB0A24">
              <w:t>100</w:t>
            </w:r>
          </w:p>
        </w:tc>
        <w:tc>
          <w:tcPr>
            <w:tcW w:w="870" w:type="dxa"/>
            <w:tcBorders>
              <w:top w:val="nil"/>
              <w:left w:val="nil"/>
              <w:bottom w:val="single" w:sz="4" w:space="0" w:color="auto"/>
              <w:right w:val="single" w:sz="4" w:space="0" w:color="auto"/>
            </w:tcBorders>
            <w:noWrap/>
            <w:vAlign w:val="center"/>
            <w:hideMark/>
          </w:tcPr>
          <w:p w14:paraId="3CB505F1" w14:textId="77777777" w:rsidR="00CB0A24" w:rsidRPr="00CB0A24" w:rsidRDefault="00CB0A24" w:rsidP="003E0728">
            <w:pPr>
              <w:pStyle w:val="Tables"/>
            </w:pPr>
            <w:r w:rsidRPr="00CB0A24">
              <w:t>154</w:t>
            </w:r>
          </w:p>
        </w:tc>
        <w:tc>
          <w:tcPr>
            <w:tcW w:w="870" w:type="dxa"/>
            <w:tcBorders>
              <w:top w:val="nil"/>
              <w:left w:val="nil"/>
              <w:bottom w:val="single" w:sz="4" w:space="0" w:color="auto"/>
              <w:right w:val="single" w:sz="4" w:space="0" w:color="auto"/>
            </w:tcBorders>
            <w:noWrap/>
            <w:vAlign w:val="center"/>
            <w:hideMark/>
          </w:tcPr>
          <w:p w14:paraId="07B1BDCB" w14:textId="77777777" w:rsidR="00CB0A24" w:rsidRPr="00CB0A24" w:rsidRDefault="00CB0A24" w:rsidP="003E0728">
            <w:pPr>
              <w:pStyle w:val="Tables"/>
            </w:pPr>
            <w:r w:rsidRPr="00CB0A24">
              <w:t>227</w:t>
            </w:r>
          </w:p>
        </w:tc>
        <w:tc>
          <w:tcPr>
            <w:tcW w:w="870" w:type="dxa"/>
            <w:tcBorders>
              <w:top w:val="nil"/>
              <w:left w:val="nil"/>
              <w:bottom w:val="single" w:sz="4" w:space="0" w:color="auto"/>
              <w:right w:val="single" w:sz="4" w:space="0" w:color="auto"/>
            </w:tcBorders>
            <w:noWrap/>
            <w:vAlign w:val="center"/>
            <w:hideMark/>
          </w:tcPr>
          <w:p w14:paraId="48CAB843" w14:textId="77777777" w:rsidR="00CB0A24" w:rsidRPr="00CB0A24" w:rsidRDefault="00CB0A24" w:rsidP="003E0728">
            <w:pPr>
              <w:pStyle w:val="Tables"/>
            </w:pPr>
            <w:r w:rsidRPr="00CB0A24">
              <w:t>33.7</w:t>
            </w:r>
          </w:p>
        </w:tc>
        <w:tc>
          <w:tcPr>
            <w:tcW w:w="870" w:type="dxa"/>
            <w:tcBorders>
              <w:top w:val="nil"/>
              <w:left w:val="nil"/>
              <w:bottom w:val="single" w:sz="4" w:space="0" w:color="auto"/>
              <w:right w:val="single" w:sz="4" w:space="0" w:color="auto"/>
            </w:tcBorders>
            <w:noWrap/>
            <w:vAlign w:val="center"/>
            <w:hideMark/>
          </w:tcPr>
          <w:p w14:paraId="240BBFED" w14:textId="77777777" w:rsidR="00CB0A24" w:rsidRPr="00CB0A24" w:rsidRDefault="00CB0A24" w:rsidP="003E0728">
            <w:pPr>
              <w:pStyle w:val="Tables"/>
            </w:pPr>
            <w:r w:rsidRPr="00CB0A24">
              <w:t>23.9</w:t>
            </w:r>
          </w:p>
        </w:tc>
        <w:tc>
          <w:tcPr>
            <w:tcW w:w="870" w:type="dxa"/>
            <w:tcBorders>
              <w:top w:val="nil"/>
              <w:left w:val="nil"/>
              <w:bottom w:val="single" w:sz="4" w:space="0" w:color="auto"/>
              <w:right w:val="single" w:sz="4" w:space="0" w:color="auto"/>
            </w:tcBorders>
            <w:noWrap/>
            <w:vAlign w:val="center"/>
            <w:hideMark/>
          </w:tcPr>
          <w:p w14:paraId="71CEBBEA" w14:textId="77777777" w:rsidR="00CB0A24" w:rsidRPr="00CB0A24" w:rsidRDefault="00CB0A24" w:rsidP="003E0728">
            <w:pPr>
              <w:pStyle w:val="Tables"/>
            </w:pPr>
            <w:r w:rsidRPr="00CB0A24">
              <w:t>27.1</w:t>
            </w:r>
          </w:p>
        </w:tc>
      </w:tr>
      <w:tr w:rsidR="00CB0A24" w:rsidRPr="00CB0A24" w14:paraId="0C51CD75" w14:textId="77777777" w:rsidTr="00E23521">
        <w:trPr>
          <w:trHeight w:val="397"/>
          <w:jc w:val="center"/>
        </w:trPr>
        <w:tc>
          <w:tcPr>
            <w:tcW w:w="2324" w:type="dxa"/>
            <w:tcBorders>
              <w:top w:val="nil"/>
              <w:left w:val="single" w:sz="4" w:space="0" w:color="auto"/>
              <w:bottom w:val="single" w:sz="4" w:space="0" w:color="auto"/>
              <w:right w:val="single" w:sz="4" w:space="0" w:color="auto"/>
            </w:tcBorders>
            <w:noWrap/>
            <w:vAlign w:val="center"/>
            <w:hideMark/>
          </w:tcPr>
          <w:p w14:paraId="1C3D82B7" w14:textId="77777777" w:rsidR="00CB0A24" w:rsidRPr="00CB0A24" w:rsidRDefault="00CB0A24" w:rsidP="00E21768">
            <w:pPr>
              <w:pStyle w:val="Tables"/>
              <w:ind w:left="720"/>
              <w:jc w:val="left"/>
            </w:pPr>
            <w:r w:rsidRPr="00CB0A24">
              <w:t>General Administration</w:t>
            </w:r>
          </w:p>
        </w:tc>
        <w:tc>
          <w:tcPr>
            <w:tcW w:w="870" w:type="dxa"/>
            <w:tcBorders>
              <w:top w:val="nil"/>
              <w:left w:val="nil"/>
              <w:bottom w:val="single" w:sz="4" w:space="0" w:color="auto"/>
              <w:right w:val="single" w:sz="4" w:space="0" w:color="auto"/>
            </w:tcBorders>
            <w:noWrap/>
            <w:vAlign w:val="center"/>
            <w:hideMark/>
          </w:tcPr>
          <w:p w14:paraId="7ECC6292" w14:textId="77777777" w:rsidR="00CB0A24" w:rsidRPr="00CB0A24" w:rsidRDefault="00CB0A24" w:rsidP="003E0728">
            <w:pPr>
              <w:pStyle w:val="Tables"/>
            </w:pPr>
            <w:r w:rsidRPr="00CB0A24">
              <w:t>10.32</w:t>
            </w:r>
          </w:p>
        </w:tc>
        <w:tc>
          <w:tcPr>
            <w:tcW w:w="986" w:type="dxa"/>
            <w:tcBorders>
              <w:top w:val="nil"/>
              <w:left w:val="nil"/>
              <w:bottom w:val="single" w:sz="4" w:space="0" w:color="auto"/>
              <w:right w:val="single" w:sz="4" w:space="0" w:color="auto"/>
            </w:tcBorders>
            <w:noWrap/>
            <w:vAlign w:val="center"/>
            <w:hideMark/>
          </w:tcPr>
          <w:p w14:paraId="01EE6ECF" w14:textId="77777777" w:rsidR="00CB0A24" w:rsidRPr="00CB0A24" w:rsidRDefault="00CB0A24" w:rsidP="003E0728">
            <w:pPr>
              <w:pStyle w:val="Tables"/>
            </w:pPr>
            <w:r w:rsidRPr="00CB0A24">
              <w:t>13.27</w:t>
            </w:r>
          </w:p>
        </w:tc>
        <w:tc>
          <w:tcPr>
            <w:tcW w:w="986" w:type="dxa"/>
            <w:tcBorders>
              <w:top w:val="nil"/>
              <w:left w:val="nil"/>
              <w:bottom w:val="single" w:sz="4" w:space="0" w:color="auto"/>
              <w:right w:val="single" w:sz="4" w:space="0" w:color="auto"/>
            </w:tcBorders>
            <w:noWrap/>
            <w:vAlign w:val="center"/>
            <w:hideMark/>
          </w:tcPr>
          <w:p w14:paraId="331DA0BD" w14:textId="77777777" w:rsidR="00CB0A24" w:rsidRPr="00CB0A24" w:rsidRDefault="00CB0A24" w:rsidP="003E0728">
            <w:pPr>
              <w:pStyle w:val="Tables"/>
            </w:pPr>
            <w:r w:rsidRPr="00CB0A24">
              <w:t>21.21</w:t>
            </w:r>
          </w:p>
        </w:tc>
        <w:tc>
          <w:tcPr>
            <w:tcW w:w="870" w:type="dxa"/>
            <w:tcBorders>
              <w:top w:val="nil"/>
              <w:left w:val="nil"/>
              <w:bottom w:val="single" w:sz="4" w:space="0" w:color="auto"/>
              <w:right w:val="single" w:sz="4" w:space="0" w:color="auto"/>
            </w:tcBorders>
            <w:noWrap/>
            <w:vAlign w:val="center"/>
            <w:hideMark/>
          </w:tcPr>
          <w:p w14:paraId="12AC4C94" w14:textId="77777777" w:rsidR="00CB0A24" w:rsidRPr="00CB0A24" w:rsidRDefault="00CB0A24" w:rsidP="003E0728">
            <w:pPr>
              <w:pStyle w:val="Tables"/>
            </w:pPr>
            <w:r w:rsidRPr="00CB0A24">
              <w:t>100</w:t>
            </w:r>
          </w:p>
        </w:tc>
        <w:tc>
          <w:tcPr>
            <w:tcW w:w="870" w:type="dxa"/>
            <w:tcBorders>
              <w:top w:val="nil"/>
              <w:left w:val="nil"/>
              <w:bottom w:val="single" w:sz="4" w:space="0" w:color="auto"/>
              <w:right w:val="single" w:sz="4" w:space="0" w:color="auto"/>
            </w:tcBorders>
            <w:noWrap/>
            <w:vAlign w:val="center"/>
            <w:hideMark/>
          </w:tcPr>
          <w:p w14:paraId="7702930B" w14:textId="77777777" w:rsidR="00CB0A24" w:rsidRPr="00CB0A24" w:rsidRDefault="00CB0A24" w:rsidP="003E0728">
            <w:pPr>
              <w:pStyle w:val="Tables"/>
            </w:pPr>
            <w:r w:rsidRPr="00CB0A24">
              <w:t>129</w:t>
            </w:r>
          </w:p>
        </w:tc>
        <w:tc>
          <w:tcPr>
            <w:tcW w:w="870" w:type="dxa"/>
            <w:tcBorders>
              <w:top w:val="nil"/>
              <w:left w:val="nil"/>
              <w:bottom w:val="single" w:sz="4" w:space="0" w:color="auto"/>
              <w:right w:val="single" w:sz="4" w:space="0" w:color="auto"/>
            </w:tcBorders>
            <w:noWrap/>
            <w:vAlign w:val="center"/>
            <w:hideMark/>
          </w:tcPr>
          <w:p w14:paraId="38CFFF90" w14:textId="77777777" w:rsidR="00CB0A24" w:rsidRPr="00CB0A24" w:rsidRDefault="00CB0A24" w:rsidP="003E0728">
            <w:pPr>
              <w:pStyle w:val="Tables"/>
            </w:pPr>
            <w:r w:rsidRPr="00CB0A24">
              <w:t>206</w:t>
            </w:r>
          </w:p>
        </w:tc>
        <w:tc>
          <w:tcPr>
            <w:tcW w:w="870" w:type="dxa"/>
            <w:tcBorders>
              <w:top w:val="nil"/>
              <w:left w:val="nil"/>
              <w:bottom w:val="single" w:sz="4" w:space="0" w:color="auto"/>
              <w:right w:val="single" w:sz="4" w:space="0" w:color="auto"/>
            </w:tcBorders>
            <w:noWrap/>
            <w:vAlign w:val="center"/>
            <w:hideMark/>
          </w:tcPr>
          <w:p w14:paraId="1E8C06D0" w14:textId="77777777" w:rsidR="00CB0A24" w:rsidRPr="00CB0A24" w:rsidRDefault="00CB0A24" w:rsidP="003E0728">
            <w:pPr>
              <w:pStyle w:val="Tables"/>
            </w:pPr>
            <w:r w:rsidRPr="00CB0A24">
              <w:t>12.4</w:t>
            </w:r>
          </w:p>
        </w:tc>
        <w:tc>
          <w:tcPr>
            <w:tcW w:w="870" w:type="dxa"/>
            <w:tcBorders>
              <w:top w:val="nil"/>
              <w:left w:val="nil"/>
              <w:bottom w:val="single" w:sz="4" w:space="0" w:color="auto"/>
              <w:right w:val="single" w:sz="4" w:space="0" w:color="auto"/>
            </w:tcBorders>
            <w:noWrap/>
            <w:vAlign w:val="center"/>
            <w:hideMark/>
          </w:tcPr>
          <w:p w14:paraId="7CEE28AF" w14:textId="77777777" w:rsidR="00CB0A24" w:rsidRPr="00CB0A24" w:rsidRDefault="00CB0A24" w:rsidP="003E0728">
            <w:pPr>
              <w:pStyle w:val="Tables"/>
            </w:pPr>
            <w:r w:rsidRPr="00CB0A24">
              <w:t>7.4</w:t>
            </w:r>
          </w:p>
        </w:tc>
        <w:tc>
          <w:tcPr>
            <w:tcW w:w="870" w:type="dxa"/>
            <w:tcBorders>
              <w:top w:val="nil"/>
              <w:left w:val="nil"/>
              <w:bottom w:val="single" w:sz="4" w:space="0" w:color="auto"/>
              <w:right w:val="single" w:sz="4" w:space="0" w:color="auto"/>
            </w:tcBorders>
            <w:noWrap/>
            <w:vAlign w:val="center"/>
            <w:hideMark/>
          </w:tcPr>
          <w:p w14:paraId="579BBA95" w14:textId="5071693C" w:rsidR="00CB0A24" w:rsidRPr="00CB0A24" w:rsidRDefault="00CB0A24" w:rsidP="003E0728">
            <w:pPr>
              <w:pStyle w:val="Tables"/>
            </w:pPr>
            <w:r w:rsidRPr="00CB0A24">
              <w:t>9</w:t>
            </w:r>
            <w:r w:rsidR="0039623A">
              <w:t>.0</w:t>
            </w:r>
          </w:p>
        </w:tc>
      </w:tr>
      <w:tr w:rsidR="00CB0A24" w:rsidRPr="00CB0A24" w14:paraId="63922D30" w14:textId="77777777" w:rsidTr="00E23521">
        <w:trPr>
          <w:trHeight w:val="397"/>
          <w:jc w:val="center"/>
        </w:trPr>
        <w:tc>
          <w:tcPr>
            <w:tcW w:w="2324" w:type="dxa"/>
            <w:tcBorders>
              <w:top w:val="nil"/>
              <w:left w:val="single" w:sz="4" w:space="0" w:color="auto"/>
              <w:bottom w:val="single" w:sz="4" w:space="0" w:color="auto"/>
              <w:right w:val="single" w:sz="4" w:space="0" w:color="auto"/>
            </w:tcBorders>
            <w:noWrap/>
            <w:vAlign w:val="center"/>
            <w:hideMark/>
          </w:tcPr>
          <w:p w14:paraId="3943C77D" w14:textId="77777777" w:rsidR="00CB0A24" w:rsidRPr="00CB0A24" w:rsidRDefault="00CB0A24" w:rsidP="00E21768">
            <w:pPr>
              <w:pStyle w:val="Tables"/>
              <w:ind w:left="720"/>
              <w:jc w:val="left"/>
            </w:pPr>
            <w:r w:rsidRPr="00CB0A24">
              <w:t>Police</w:t>
            </w:r>
          </w:p>
        </w:tc>
        <w:tc>
          <w:tcPr>
            <w:tcW w:w="870" w:type="dxa"/>
            <w:tcBorders>
              <w:top w:val="nil"/>
              <w:left w:val="nil"/>
              <w:bottom w:val="single" w:sz="4" w:space="0" w:color="auto"/>
              <w:right w:val="single" w:sz="4" w:space="0" w:color="auto"/>
            </w:tcBorders>
            <w:noWrap/>
            <w:vAlign w:val="center"/>
            <w:hideMark/>
          </w:tcPr>
          <w:p w14:paraId="7848D2E9" w14:textId="77777777" w:rsidR="00CB0A24" w:rsidRPr="00CB0A24" w:rsidRDefault="00CB0A24" w:rsidP="003E0728">
            <w:pPr>
              <w:pStyle w:val="Tables"/>
            </w:pPr>
            <w:r w:rsidRPr="00CB0A24">
              <w:t>10.83</w:t>
            </w:r>
          </w:p>
        </w:tc>
        <w:tc>
          <w:tcPr>
            <w:tcW w:w="986" w:type="dxa"/>
            <w:tcBorders>
              <w:top w:val="nil"/>
              <w:left w:val="nil"/>
              <w:bottom w:val="single" w:sz="4" w:space="0" w:color="auto"/>
              <w:right w:val="single" w:sz="4" w:space="0" w:color="auto"/>
            </w:tcBorders>
            <w:noWrap/>
            <w:vAlign w:val="center"/>
            <w:hideMark/>
          </w:tcPr>
          <w:p w14:paraId="1CD01FF2" w14:textId="77777777" w:rsidR="00CB0A24" w:rsidRPr="00CB0A24" w:rsidRDefault="00CB0A24" w:rsidP="003E0728">
            <w:pPr>
              <w:pStyle w:val="Tables"/>
            </w:pPr>
            <w:r w:rsidRPr="00CB0A24">
              <w:t>19.12</w:t>
            </w:r>
          </w:p>
        </w:tc>
        <w:tc>
          <w:tcPr>
            <w:tcW w:w="986" w:type="dxa"/>
            <w:tcBorders>
              <w:top w:val="nil"/>
              <w:left w:val="nil"/>
              <w:bottom w:val="single" w:sz="4" w:space="0" w:color="auto"/>
              <w:right w:val="single" w:sz="4" w:space="0" w:color="auto"/>
            </w:tcBorders>
            <w:noWrap/>
            <w:vAlign w:val="center"/>
            <w:hideMark/>
          </w:tcPr>
          <w:p w14:paraId="77663E95" w14:textId="77777777" w:rsidR="00CB0A24" w:rsidRPr="00CB0A24" w:rsidRDefault="00CB0A24" w:rsidP="003E0728">
            <w:pPr>
              <w:pStyle w:val="Tables"/>
            </w:pPr>
            <w:r w:rsidRPr="00CB0A24">
              <w:t>30.14</w:t>
            </w:r>
          </w:p>
        </w:tc>
        <w:tc>
          <w:tcPr>
            <w:tcW w:w="870" w:type="dxa"/>
            <w:tcBorders>
              <w:top w:val="nil"/>
              <w:left w:val="nil"/>
              <w:bottom w:val="single" w:sz="4" w:space="0" w:color="auto"/>
              <w:right w:val="single" w:sz="4" w:space="0" w:color="auto"/>
            </w:tcBorders>
            <w:noWrap/>
            <w:vAlign w:val="center"/>
            <w:hideMark/>
          </w:tcPr>
          <w:p w14:paraId="287BD8C2" w14:textId="77777777" w:rsidR="00CB0A24" w:rsidRPr="00CB0A24" w:rsidRDefault="00CB0A24" w:rsidP="003E0728">
            <w:pPr>
              <w:pStyle w:val="Tables"/>
            </w:pPr>
            <w:r w:rsidRPr="00CB0A24">
              <w:t>100</w:t>
            </w:r>
          </w:p>
        </w:tc>
        <w:tc>
          <w:tcPr>
            <w:tcW w:w="870" w:type="dxa"/>
            <w:tcBorders>
              <w:top w:val="nil"/>
              <w:left w:val="nil"/>
              <w:bottom w:val="single" w:sz="4" w:space="0" w:color="auto"/>
              <w:right w:val="single" w:sz="4" w:space="0" w:color="auto"/>
            </w:tcBorders>
            <w:noWrap/>
            <w:vAlign w:val="center"/>
            <w:hideMark/>
          </w:tcPr>
          <w:p w14:paraId="3237636B" w14:textId="77777777" w:rsidR="00CB0A24" w:rsidRPr="00CB0A24" w:rsidRDefault="00CB0A24" w:rsidP="003E0728">
            <w:pPr>
              <w:pStyle w:val="Tables"/>
            </w:pPr>
            <w:r w:rsidRPr="00CB0A24">
              <w:t>177</w:t>
            </w:r>
          </w:p>
        </w:tc>
        <w:tc>
          <w:tcPr>
            <w:tcW w:w="870" w:type="dxa"/>
            <w:tcBorders>
              <w:top w:val="nil"/>
              <w:left w:val="nil"/>
              <w:bottom w:val="single" w:sz="4" w:space="0" w:color="auto"/>
              <w:right w:val="single" w:sz="4" w:space="0" w:color="auto"/>
            </w:tcBorders>
            <w:noWrap/>
            <w:vAlign w:val="center"/>
            <w:hideMark/>
          </w:tcPr>
          <w:p w14:paraId="11EDCAA7" w14:textId="77777777" w:rsidR="00CB0A24" w:rsidRPr="00CB0A24" w:rsidRDefault="00CB0A24" w:rsidP="003E0728">
            <w:pPr>
              <w:pStyle w:val="Tables"/>
            </w:pPr>
            <w:r w:rsidRPr="00CB0A24">
              <w:t>273</w:t>
            </w:r>
          </w:p>
        </w:tc>
        <w:tc>
          <w:tcPr>
            <w:tcW w:w="870" w:type="dxa"/>
            <w:tcBorders>
              <w:top w:val="nil"/>
              <w:left w:val="nil"/>
              <w:bottom w:val="single" w:sz="4" w:space="0" w:color="auto"/>
              <w:right w:val="single" w:sz="4" w:space="0" w:color="auto"/>
            </w:tcBorders>
            <w:noWrap/>
            <w:vAlign w:val="center"/>
            <w:hideMark/>
          </w:tcPr>
          <w:p w14:paraId="6A8426C8" w14:textId="77777777" w:rsidR="00CB0A24" w:rsidRPr="00CB0A24" w:rsidRDefault="00CB0A24" w:rsidP="003E0728">
            <w:pPr>
              <w:pStyle w:val="Tables"/>
            </w:pPr>
            <w:r w:rsidRPr="00CB0A24">
              <w:t>13</w:t>
            </w:r>
          </w:p>
        </w:tc>
        <w:tc>
          <w:tcPr>
            <w:tcW w:w="870" w:type="dxa"/>
            <w:tcBorders>
              <w:top w:val="nil"/>
              <w:left w:val="nil"/>
              <w:bottom w:val="single" w:sz="4" w:space="0" w:color="auto"/>
              <w:right w:val="single" w:sz="4" w:space="0" w:color="auto"/>
            </w:tcBorders>
            <w:noWrap/>
            <w:vAlign w:val="center"/>
            <w:hideMark/>
          </w:tcPr>
          <w:p w14:paraId="6AD0B6BF" w14:textId="77777777" w:rsidR="00CB0A24" w:rsidRPr="00CB0A24" w:rsidRDefault="00CB0A24" w:rsidP="003E0728">
            <w:pPr>
              <w:pStyle w:val="Tables"/>
            </w:pPr>
            <w:r w:rsidRPr="00CB0A24">
              <w:t>10.6</w:t>
            </w:r>
          </w:p>
        </w:tc>
        <w:tc>
          <w:tcPr>
            <w:tcW w:w="870" w:type="dxa"/>
            <w:tcBorders>
              <w:top w:val="nil"/>
              <w:left w:val="nil"/>
              <w:bottom w:val="single" w:sz="4" w:space="0" w:color="auto"/>
              <w:right w:val="single" w:sz="4" w:space="0" w:color="auto"/>
            </w:tcBorders>
            <w:noWrap/>
            <w:vAlign w:val="center"/>
            <w:hideMark/>
          </w:tcPr>
          <w:p w14:paraId="63FFB366" w14:textId="77777777" w:rsidR="00CB0A24" w:rsidRPr="00CB0A24" w:rsidRDefault="00CB0A24" w:rsidP="003E0728">
            <w:pPr>
              <w:pStyle w:val="Tables"/>
            </w:pPr>
            <w:r w:rsidRPr="00CB0A24">
              <w:t>12.8</w:t>
            </w:r>
          </w:p>
        </w:tc>
      </w:tr>
      <w:tr w:rsidR="00CB0A24" w:rsidRPr="00CB0A24" w14:paraId="07C4705C" w14:textId="77777777" w:rsidTr="00E23521">
        <w:trPr>
          <w:trHeight w:val="397"/>
          <w:jc w:val="center"/>
        </w:trPr>
        <w:tc>
          <w:tcPr>
            <w:tcW w:w="2324" w:type="dxa"/>
            <w:tcBorders>
              <w:top w:val="nil"/>
              <w:left w:val="single" w:sz="4" w:space="0" w:color="auto"/>
              <w:bottom w:val="single" w:sz="4" w:space="0" w:color="auto"/>
              <w:right w:val="single" w:sz="4" w:space="0" w:color="auto"/>
            </w:tcBorders>
            <w:noWrap/>
            <w:vAlign w:val="center"/>
            <w:hideMark/>
          </w:tcPr>
          <w:p w14:paraId="79DC822B" w14:textId="77777777" w:rsidR="00CB0A24" w:rsidRPr="00CB0A24" w:rsidRDefault="00CB0A24" w:rsidP="00E21768">
            <w:pPr>
              <w:pStyle w:val="Tables"/>
              <w:jc w:val="left"/>
            </w:pPr>
            <w:r w:rsidRPr="00CB0A24">
              <w:t>Social Services</w:t>
            </w:r>
          </w:p>
        </w:tc>
        <w:tc>
          <w:tcPr>
            <w:tcW w:w="870" w:type="dxa"/>
            <w:tcBorders>
              <w:top w:val="nil"/>
              <w:left w:val="nil"/>
              <w:bottom w:val="single" w:sz="4" w:space="0" w:color="auto"/>
              <w:right w:val="single" w:sz="4" w:space="0" w:color="auto"/>
            </w:tcBorders>
            <w:noWrap/>
            <w:vAlign w:val="center"/>
            <w:hideMark/>
          </w:tcPr>
          <w:p w14:paraId="1B7AB5DE" w14:textId="77777777" w:rsidR="00CB0A24" w:rsidRPr="00CB0A24" w:rsidRDefault="00CB0A24" w:rsidP="003E0728">
            <w:pPr>
              <w:pStyle w:val="Tables"/>
            </w:pPr>
            <w:r w:rsidRPr="00CB0A24">
              <w:t>19.55</w:t>
            </w:r>
          </w:p>
        </w:tc>
        <w:tc>
          <w:tcPr>
            <w:tcW w:w="986" w:type="dxa"/>
            <w:tcBorders>
              <w:top w:val="nil"/>
              <w:left w:val="nil"/>
              <w:bottom w:val="single" w:sz="4" w:space="0" w:color="auto"/>
              <w:right w:val="single" w:sz="4" w:space="0" w:color="auto"/>
            </w:tcBorders>
            <w:noWrap/>
            <w:vAlign w:val="center"/>
            <w:hideMark/>
          </w:tcPr>
          <w:p w14:paraId="4D9FBE12" w14:textId="77777777" w:rsidR="00CB0A24" w:rsidRPr="00CB0A24" w:rsidRDefault="00CB0A24" w:rsidP="003E0728">
            <w:pPr>
              <w:pStyle w:val="Tables"/>
            </w:pPr>
            <w:r w:rsidRPr="00CB0A24">
              <w:t>34.62</w:t>
            </w:r>
          </w:p>
        </w:tc>
        <w:tc>
          <w:tcPr>
            <w:tcW w:w="986" w:type="dxa"/>
            <w:tcBorders>
              <w:top w:val="nil"/>
              <w:left w:val="nil"/>
              <w:bottom w:val="single" w:sz="4" w:space="0" w:color="auto"/>
              <w:right w:val="single" w:sz="4" w:space="0" w:color="auto"/>
            </w:tcBorders>
            <w:noWrap/>
            <w:vAlign w:val="center"/>
            <w:hideMark/>
          </w:tcPr>
          <w:p w14:paraId="044B89C4" w14:textId="77777777" w:rsidR="00CB0A24" w:rsidRPr="00CB0A24" w:rsidRDefault="00CB0A24" w:rsidP="003E0728">
            <w:pPr>
              <w:pStyle w:val="Tables"/>
            </w:pPr>
            <w:r w:rsidRPr="00CB0A24">
              <w:t>52.87</w:t>
            </w:r>
          </w:p>
        </w:tc>
        <w:tc>
          <w:tcPr>
            <w:tcW w:w="870" w:type="dxa"/>
            <w:tcBorders>
              <w:top w:val="nil"/>
              <w:left w:val="nil"/>
              <w:bottom w:val="single" w:sz="4" w:space="0" w:color="auto"/>
              <w:right w:val="single" w:sz="4" w:space="0" w:color="auto"/>
            </w:tcBorders>
            <w:noWrap/>
            <w:vAlign w:val="center"/>
            <w:hideMark/>
          </w:tcPr>
          <w:p w14:paraId="60F0D3C8" w14:textId="77777777" w:rsidR="00CB0A24" w:rsidRPr="00CB0A24" w:rsidRDefault="00CB0A24" w:rsidP="003E0728">
            <w:pPr>
              <w:pStyle w:val="Tables"/>
            </w:pPr>
            <w:r w:rsidRPr="00CB0A24">
              <w:t>100</w:t>
            </w:r>
          </w:p>
        </w:tc>
        <w:tc>
          <w:tcPr>
            <w:tcW w:w="870" w:type="dxa"/>
            <w:tcBorders>
              <w:top w:val="nil"/>
              <w:left w:val="nil"/>
              <w:bottom w:val="single" w:sz="4" w:space="0" w:color="auto"/>
              <w:right w:val="single" w:sz="4" w:space="0" w:color="auto"/>
            </w:tcBorders>
            <w:noWrap/>
            <w:vAlign w:val="center"/>
            <w:hideMark/>
          </w:tcPr>
          <w:p w14:paraId="11F9869C" w14:textId="77777777" w:rsidR="00CB0A24" w:rsidRPr="00CB0A24" w:rsidRDefault="00CB0A24" w:rsidP="003E0728">
            <w:pPr>
              <w:pStyle w:val="Tables"/>
            </w:pPr>
            <w:r w:rsidRPr="00CB0A24">
              <w:t>177</w:t>
            </w:r>
          </w:p>
        </w:tc>
        <w:tc>
          <w:tcPr>
            <w:tcW w:w="870" w:type="dxa"/>
            <w:tcBorders>
              <w:top w:val="nil"/>
              <w:left w:val="nil"/>
              <w:bottom w:val="single" w:sz="4" w:space="0" w:color="auto"/>
              <w:right w:val="single" w:sz="4" w:space="0" w:color="auto"/>
            </w:tcBorders>
            <w:noWrap/>
            <w:vAlign w:val="center"/>
            <w:hideMark/>
          </w:tcPr>
          <w:p w14:paraId="2CADD82E" w14:textId="77777777" w:rsidR="00CB0A24" w:rsidRPr="00CB0A24" w:rsidRDefault="00CB0A24" w:rsidP="003E0728">
            <w:pPr>
              <w:pStyle w:val="Tables"/>
            </w:pPr>
            <w:r w:rsidRPr="00CB0A24">
              <w:t>270</w:t>
            </w:r>
          </w:p>
        </w:tc>
        <w:tc>
          <w:tcPr>
            <w:tcW w:w="870" w:type="dxa"/>
            <w:tcBorders>
              <w:top w:val="nil"/>
              <w:left w:val="nil"/>
              <w:bottom w:val="single" w:sz="4" w:space="0" w:color="auto"/>
              <w:right w:val="single" w:sz="4" w:space="0" w:color="auto"/>
            </w:tcBorders>
            <w:noWrap/>
            <w:vAlign w:val="center"/>
            <w:hideMark/>
          </w:tcPr>
          <w:p w14:paraId="244B1775" w14:textId="77777777" w:rsidR="00CB0A24" w:rsidRPr="00CB0A24" w:rsidRDefault="00CB0A24" w:rsidP="003E0728">
            <w:pPr>
              <w:pStyle w:val="Tables"/>
            </w:pPr>
            <w:r w:rsidRPr="00CB0A24">
              <w:t>23.5</w:t>
            </w:r>
          </w:p>
        </w:tc>
        <w:tc>
          <w:tcPr>
            <w:tcW w:w="870" w:type="dxa"/>
            <w:tcBorders>
              <w:top w:val="nil"/>
              <w:left w:val="nil"/>
              <w:bottom w:val="single" w:sz="4" w:space="0" w:color="auto"/>
              <w:right w:val="single" w:sz="4" w:space="0" w:color="auto"/>
            </w:tcBorders>
            <w:noWrap/>
            <w:vAlign w:val="center"/>
            <w:hideMark/>
          </w:tcPr>
          <w:p w14:paraId="6FCFA690" w14:textId="77777777" w:rsidR="00CB0A24" w:rsidRPr="00CB0A24" w:rsidRDefault="00CB0A24" w:rsidP="003E0728">
            <w:pPr>
              <w:pStyle w:val="Tables"/>
            </w:pPr>
            <w:r w:rsidRPr="00CB0A24">
              <w:t>19.2</w:t>
            </w:r>
          </w:p>
        </w:tc>
        <w:tc>
          <w:tcPr>
            <w:tcW w:w="870" w:type="dxa"/>
            <w:tcBorders>
              <w:top w:val="nil"/>
              <w:left w:val="nil"/>
              <w:bottom w:val="single" w:sz="4" w:space="0" w:color="auto"/>
              <w:right w:val="single" w:sz="4" w:space="0" w:color="auto"/>
            </w:tcBorders>
            <w:noWrap/>
            <w:vAlign w:val="center"/>
            <w:hideMark/>
          </w:tcPr>
          <w:p w14:paraId="0C35D1F6" w14:textId="77777777" w:rsidR="00CB0A24" w:rsidRPr="00CB0A24" w:rsidRDefault="00CB0A24" w:rsidP="003E0728">
            <w:pPr>
              <w:pStyle w:val="Tables"/>
            </w:pPr>
            <w:r w:rsidRPr="00CB0A24">
              <w:t>22.5</w:t>
            </w:r>
          </w:p>
        </w:tc>
      </w:tr>
      <w:tr w:rsidR="00CB0A24" w:rsidRPr="00CB0A24" w14:paraId="30C05E76" w14:textId="77777777" w:rsidTr="00E23521">
        <w:trPr>
          <w:trHeight w:val="397"/>
          <w:jc w:val="center"/>
        </w:trPr>
        <w:tc>
          <w:tcPr>
            <w:tcW w:w="2324" w:type="dxa"/>
            <w:tcBorders>
              <w:top w:val="nil"/>
              <w:left w:val="single" w:sz="4" w:space="0" w:color="auto"/>
              <w:bottom w:val="single" w:sz="4" w:space="0" w:color="auto"/>
              <w:right w:val="single" w:sz="4" w:space="0" w:color="auto"/>
            </w:tcBorders>
            <w:noWrap/>
            <w:vAlign w:val="center"/>
            <w:hideMark/>
          </w:tcPr>
          <w:p w14:paraId="1617306C" w14:textId="77777777" w:rsidR="00CB0A24" w:rsidRPr="00CB0A24" w:rsidRDefault="00CB0A24" w:rsidP="00E21768">
            <w:pPr>
              <w:pStyle w:val="Tables"/>
              <w:ind w:left="720"/>
              <w:jc w:val="left"/>
            </w:pPr>
            <w:r w:rsidRPr="00CB0A24">
              <w:t>Medical and Public Health</w:t>
            </w:r>
          </w:p>
        </w:tc>
        <w:tc>
          <w:tcPr>
            <w:tcW w:w="870" w:type="dxa"/>
            <w:tcBorders>
              <w:top w:val="nil"/>
              <w:left w:val="nil"/>
              <w:bottom w:val="single" w:sz="4" w:space="0" w:color="auto"/>
              <w:right w:val="single" w:sz="4" w:space="0" w:color="auto"/>
            </w:tcBorders>
            <w:noWrap/>
            <w:vAlign w:val="center"/>
            <w:hideMark/>
          </w:tcPr>
          <w:p w14:paraId="12A95F27" w14:textId="77777777" w:rsidR="00CB0A24" w:rsidRPr="00CB0A24" w:rsidRDefault="00CB0A24" w:rsidP="003E0728">
            <w:pPr>
              <w:pStyle w:val="Tables"/>
            </w:pPr>
            <w:r w:rsidRPr="00CB0A24">
              <w:t>5.18</w:t>
            </w:r>
          </w:p>
        </w:tc>
        <w:tc>
          <w:tcPr>
            <w:tcW w:w="986" w:type="dxa"/>
            <w:tcBorders>
              <w:top w:val="nil"/>
              <w:left w:val="nil"/>
              <w:bottom w:val="single" w:sz="4" w:space="0" w:color="auto"/>
              <w:right w:val="single" w:sz="4" w:space="0" w:color="auto"/>
            </w:tcBorders>
            <w:noWrap/>
            <w:vAlign w:val="center"/>
            <w:hideMark/>
          </w:tcPr>
          <w:p w14:paraId="06B40C53" w14:textId="77777777" w:rsidR="00CB0A24" w:rsidRPr="00CB0A24" w:rsidRDefault="00CB0A24" w:rsidP="003E0728">
            <w:pPr>
              <w:pStyle w:val="Tables"/>
            </w:pPr>
            <w:r w:rsidRPr="00CB0A24">
              <w:t>9.69</w:t>
            </w:r>
          </w:p>
        </w:tc>
        <w:tc>
          <w:tcPr>
            <w:tcW w:w="986" w:type="dxa"/>
            <w:tcBorders>
              <w:top w:val="nil"/>
              <w:left w:val="nil"/>
              <w:bottom w:val="single" w:sz="4" w:space="0" w:color="auto"/>
              <w:right w:val="single" w:sz="4" w:space="0" w:color="auto"/>
            </w:tcBorders>
            <w:noWrap/>
            <w:vAlign w:val="center"/>
            <w:hideMark/>
          </w:tcPr>
          <w:p w14:paraId="4449859F" w14:textId="77777777" w:rsidR="00CB0A24" w:rsidRPr="00CB0A24" w:rsidRDefault="00CB0A24" w:rsidP="003E0728">
            <w:pPr>
              <w:pStyle w:val="Tables"/>
            </w:pPr>
            <w:r w:rsidRPr="00CB0A24">
              <w:t>15.35</w:t>
            </w:r>
          </w:p>
        </w:tc>
        <w:tc>
          <w:tcPr>
            <w:tcW w:w="870" w:type="dxa"/>
            <w:tcBorders>
              <w:top w:val="nil"/>
              <w:left w:val="nil"/>
              <w:bottom w:val="single" w:sz="4" w:space="0" w:color="auto"/>
              <w:right w:val="single" w:sz="4" w:space="0" w:color="auto"/>
            </w:tcBorders>
            <w:noWrap/>
            <w:vAlign w:val="center"/>
            <w:hideMark/>
          </w:tcPr>
          <w:p w14:paraId="53980AD0" w14:textId="77777777" w:rsidR="00CB0A24" w:rsidRPr="00CB0A24" w:rsidRDefault="00CB0A24" w:rsidP="003E0728">
            <w:pPr>
              <w:pStyle w:val="Tables"/>
            </w:pPr>
            <w:r w:rsidRPr="00CB0A24">
              <w:t>100</w:t>
            </w:r>
          </w:p>
        </w:tc>
        <w:tc>
          <w:tcPr>
            <w:tcW w:w="870" w:type="dxa"/>
            <w:tcBorders>
              <w:top w:val="nil"/>
              <w:left w:val="nil"/>
              <w:bottom w:val="single" w:sz="4" w:space="0" w:color="auto"/>
              <w:right w:val="single" w:sz="4" w:space="0" w:color="auto"/>
            </w:tcBorders>
            <w:noWrap/>
            <w:vAlign w:val="center"/>
            <w:hideMark/>
          </w:tcPr>
          <w:p w14:paraId="0AE3B68A" w14:textId="77777777" w:rsidR="00CB0A24" w:rsidRPr="00CB0A24" w:rsidRDefault="00CB0A24" w:rsidP="003E0728">
            <w:pPr>
              <w:pStyle w:val="Tables"/>
            </w:pPr>
            <w:r w:rsidRPr="00CB0A24">
              <w:t>187</w:t>
            </w:r>
          </w:p>
        </w:tc>
        <w:tc>
          <w:tcPr>
            <w:tcW w:w="870" w:type="dxa"/>
            <w:tcBorders>
              <w:top w:val="nil"/>
              <w:left w:val="nil"/>
              <w:bottom w:val="single" w:sz="4" w:space="0" w:color="auto"/>
              <w:right w:val="single" w:sz="4" w:space="0" w:color="auto"/>
            </w:tcBorders>
            <w:noWrap/>
            <w:vAlign w:val="center"/>
            <w:hideMark/>
          </w:tcPr>
          <w:p w14:paraId="5CDE91F7" w14:textId="77777777" w:rsidR="00CB0A24" w:rsidRPr="00CB0A24" w:rsidRDefault="00CB0A24" w:rsidP="003E0728">
            <w:pPr>
              <w:pStyle w:val="Tables"/>
            </w:pPr>
            <w:r w:rsidRPr="00CB0A24">
              <w:t>300</w:t>
            </w:r>
          </w:p>
        </w:tc>
        <w:tc>
          <w:tcPr>
            <w:tcW w:w="870" w:type="dxa"/>
            <w:tcBorders>
              <w:top w:val="nil"/>
              <w:left w:val="nil"/>
              <w:bottom w:val="single" w:sz="4" w:space="0" w:color="auto"/>
              <w:right w:val="single" w:sz="4" w:space="0" w:color="auto"/>
            </w:tcBorders>
            <w:noWrap/>
            <w:vAlign w:val="center"/>
            <w:hideMark/>
          </w:tcPr>
          <w:p w14:paraId="619295A8" w14:textId="77777777" w:rsidR="00CB0A24" w:rsidRPr="00CB0A24" w:rsidRDefault="00CB0A24" w:rsidP="003E0728">
            <w:pPr>
              <w:pStyle w:val="Tables"/>
            </w:pPr>
            <w:r w:rsidRPr="00CB0A24">
              <w:t>6.2</w:t>
            </w:r>
          </w:p>
        </w:tc>
        <w:tc>
          <w:tcPr>
            <w:tcW w:w="870" w:type="dxa"/>
            <w:tcBorders>
              <w:top w:val="nil"/>
              <w:left w:val="nil"/>
              <w:bottom w:val="single" w:sz="4" w:space="0" w:color="auto"/>
              <w:right w:val="single" w:sz="4" w:space="0" w:color="auto"/>
            </w:tcBorders>
            <w:noWrap/>
            <w:vAlign w:val="center"/>
            <w:hideMark/>
          </w:tcPr>
          <w:p w14:paraId="4F844192" w14:textId="77777777" w:rsidR="00CB0A24" w:rsidRPr="00CB0A24" w:rsidRDefault="00CB0A24" w:rsidP="003E0728">
            <w:pPr>
              <w:pStyle w:val="Tables"/>
            </w:pPr>
            <w:r w:rsidRPr="00CB0A24">
              <w:t>5.4</w:t>
            </w:r>
          </w:p>
        </w:tc>
        <w:tc>
          <w:tcPr>
            <w:tcW w:w="870" w:type="dxa"/>
            <w:tcBorders>
              <w:top w:val="nil"/>
              <w:left w:val="nil"/>
              <w:bottom w:val="single" w:sz="4" w:space="0" w:color="auto"/>
              <w:right w:val="single" w:sz="4" w:space="0" w:color="auto"/>
            </w:tcBorders>
            <w:noWrap/>
            <w:vAlign w:val="center"/>
            <w:hideMark/>
          </w:tcPr>
          <w:p w14:paraId="1FD45B54" w14:textId="77777777" w:rsidR="00CB0A24" w:rsidRPr="00CB0A24" w:rsidRDefault="00CB0A24" w:rsidP="003E0728">
            <w:pPr>
              <w:pStyle w:val="Tables"/>
            </w:pPr>
            <w:r w:rsidRPr="00CB0A24">
              <w:t>6.5</w:t>
            </w:r>
          </w:p>
        </w:tc>
      </w:tr>
      <w:tr w:rsidR="00CB0A24" w:rsidRPr="00CB0A24" w14:paraId="272CC726" w14:textId="77777777" w:rsidTr="00E23521">
        <w:trPr>
          <w:trHeight w:val="397"/>
          <w:jc w:val="center"/>
        </w:trPr>
        <w:tc>
          <w:tcPr>
            <w:tcW w:w="2324" w:type="dxa"/>
            <w:tcBorders>
              <w:top w:val="nil"/>
              <w:left w:val="single" w:sz="4" w:space="0" w:color="auto"/>
              <w:bottom w:val="single" w:sz="4" w:space="0" w:color="auto"/>
              <w:right w:val="single" w:sz="4" w:space="0" w:color="auto"/>
            </w:tcBorders>
            <w:noWrap/>
            <w:vAlign w:val="center"/>
            <w:hideMark/>
          </w:tcPr>
          <w:p w14:paraId="5EF4B081" w14:textId="77777777" w:rsidR="00CB0A24" w:rsidRPr="00CB0A24" w:rsidRDefault="00CB0A24" w:rsidP="00E21768">
            <w:pPr>
              <w:pStyle w:val="Tables"/>
              <w:ind w:left="720"/>
              <w:jc w:val="left"/>
            </w:pPr>
            <w:r w:rsidRPr="00CB0A24">
              <w:t>Education</w:t>
            </w:r>
          </w:p>
        </w:tc>
        <w:tc>
          <w:tcPr>
            <w:tcW w:w="870" w:type="dxa"/>
            <w:tcBorders>
              <w:top w:val="nil"/>
              <w:left w:val="nil"/>
              <w:bottom w:val="single" w:sz="4" w:space="0" w:color="auto"/>
              <w:right w:val="single" w:sz="4" w:space="0" w:color="auto"/>
            </w:tcBorders>
            <w:noWrap/>
            <w:vAlign w:val="center"/>
            <w:hideMark/>
          </w:tcPr>
          <w:p w14:paraId="6C242452" w14:textId="77777777" w:rsidR="00CB0A24" w:rsidRPr="00CB0A24" w:rsidRDefault="00CB0A24" w:rsidP="003E0728">
            <w:pPr>
              <w:pStyle w:val="Tables"/>
            </w:pPr>
            <w:r w:rsidRPr="00CB0A24">
              <w:t>11.67</w:t>
            </w:r>
          </w:p>
        </w:tc>
        <w:tc>
          <w:tcPr>
            <w:tcW w:w="986" w:type="dxa"/>
            <w:tcBorders>
              <w:top w:val="nil"/>
              <w:left w:val="nil"/>
              <w:bottom w:val="single" w:sz="4" w:space="0" w:color="auto"/>
              <w:right w:val="single" w:sz="4" w:space="0" w:color="auto"/>
            </w:tcBorders>
            <w:noWrap/>
            <w:vAlign w:val="center"/>
            <w:hideMark/>
          </w:tcPr>
          <w:p w14:paraId="4192475D" w14:textId="77777777" w:rsidR="00CB0A24" w:rsidRPr="00CB0A24" w:rsidRDefault="00CB0A24" w:rsidP="003E0728">
            <w:pPr>
              <w:pStyle w:val="Tables"/>
            </w:pPr>
            <w:r w:rsidRPr="00CB0A24">
              <w:t>16.42</w:t>
            </w:r>
          </w:p>
        </w:tc>
        <w:tc>
          <w:tcPr>
            <w:tcW w:w="986" w:type="dxa"/>
            <w:tcBorders>
              <w:top w:val="nil"/>
              <w:left w:val="nil"/>
              <w:bottom w:val="single" w:sz="4" w:space="0" w:color="auto"/>
              <w:right w:val="single" w:sz="4" w:space="0" w:color="auto"/>
            </w:tcBorders>
            <w:noWrap/>
            <w:vAlign w:val="center"/>
            <w:hideMark/>
          </w:tcPr>
          <w:p w14:paraId="23C89214" w14:textId="77777777" w:rsidR="00CB0A24" w:rsidRPr="00CB0A24" w:rsidRDefault="00CB0A24" w:rsidP="003E0728">
            <w:pPr>
              <w:pStyle w:val="Tables"/>
            </w:pPr>
            <w:r w:rsidRPr="00CB0A24">
              <w:t>24.59</w:t>
            </w:r>
          </w:p>
        </w:tc>
        <w:tc>
          <w:tcPr>
            <w:tcW w:w="870" w:type="dxa"/>
            <w:tcBorders>
              <w:top w:val="nil"/>
              <w:left w:val="nil"/>
              <w:bottom w:val="single" w:sz="4" w:space="0" w:color="auto"/>
              <w:right w:val="single" w:sz="4" w:space="0" w:color="auto"/>
            </w:tcBorders>
            <w:noWrap/>
            <w:vAlign w:val="center"/>
            <w:hideMark/>
          </w:tcPr>
          <w:p w14:paraId="6098D431" w14:textId="77777777" w:rsidR="00CB0A24" w:rsidRPr="00CB0A24" w:rsidRDefault="00CB0A24" w:rsidP="003E0728">
            <w:pPr>
              <w:pStyle w:val="Tables"/>
            </w:pPr>
            <w:r w:rsidRPr="00CB0A24">
              <w:t>100</w:t>
            </w:r>
          </w:p>
        </w:tc>
        <w:tc>
          <w:tcPr>
            <w:tcW w:w="870" w:type="dxa"/>
            <w:tcBorders>
              <w:top w:val="nil"/>
              <w:left w:val="nil"/>
              <w:bottom w:val="single" w:sz="4" w:space="0" w:color="auto"/>
              <w:right w:val="single" w:sz="4" w:space="0" w:color="auto"/>
            </w:tcBorders>
            <w:noWrap/>
            <w:vAlign w:val="center"/>
            <w:hideMark/>
          </w:tcPr>
          <w:p w14:paraId="62114E37" w14:textId="77777777" w:rsidR="00CB0A24" w:rsidRPr="00CB0A24" w:rsidRDefault="00CB0A24" w:rsidP="003E0728">
            <w:pPr>
              <w:pStyle w:val="Tables"/>
            </w:pPr>
            <w:r w:rsidRPr="00CB0A24">
              <w:t>141</w:t>
            </w:r>
          </w:p>
        </w:tc>
        <w:tc>
          <w:tcPr>
            <w:tcW w:w="870" w:type="dxa"/>
            <w:tcBorders>
              <w:top w:val="nil"/>
              <w:left w:val="nil"/>
              <w:bottom w:val="single" w:sz="4" w:space="0" w:color="auto"/>
              <w:right w:val="single" w:sz="4" w:space="0" w:color="auto"/>
            </w:tcBorders>
            <w:noWrap/>
            <w:vAlign w:val="center"/>
            <w:hideMark/>
          </w:tcPr>
          <w:p w14:paraId="4CF27BD5" w14:textId="77777777" w:rsidR="00CB0A24" w:rsidRPr="00CB0A24" w:rsidRDefault="00CB0A24" w:rsidP="003E0728">
            <w:pPr>
              <w:pStyle w:val="Tables"/>
            </w:pPr>
            <w:r w:rsidRPr="00CB0A24">
              <w:t>210</w:t>
            </w:r>
          </w:p>
        </w:tc>
        <w:tc>
          <w:tcPr>
            <w:tcW w:w="870" w:type="dxa"/>
            <w:tcBorders>
              <w:top w:val="nil"/>
              <w:left w:val="nil"/>
              <w:bottom w:val="single" w:sz="4" w:space="0" w:color="auto"/>
              <w:right w:val="single" w:sz="4" w:space="0" w:color="auto"/>
            </w:tcBorders>
            <w:noWrap/>
            <w:vAlign w:val="center"/>
            <w:hideMark/>
          </w:tcPr>
          <w:p w14:paraId="0D856AC8" w14:textId="10D86B07" w:rsidR="00CB0A24" w:rsidRPr="00CB0A24" w:rsidRDefault="00CB0A24" w:rsidP="003E0728">
            <w:pPr>
              <w:pStyle w:val="Tables"/>
            </w:pPr>
            <w:r w:rsidRPr="00CB0A24">
              <w:t>14</w:t>
            </w:r>
            <w:r w:rsidR="0039623A">
              <w:t>.0</w:t>
            </w:r>
          </w:p>
        </w:tc>
        <w:tc>
          <w:tcPr>
            <w:tcW w:w="870" w:type="dxa"/>
            <w:tcBorders>
              <w:top w:val="nil"/>
              <w:left w:val="nil"/>
              <w:bottom w:val="single" w:sz="4" w:space="0" w:color="auto"/>
              <w:right w:val="single" w:sz="4" w:space="0" w:color="auto"/>
            </w:tcBorders>
            <w:noWrap/>
            <w:vAlign w:val="center"/>
            <w:hideMark/>
          </w:tcPr>
          <w:p w14:paraId="525E2A4F" w14:textId="77777777" w:rsidR="00CB0A24" w:rsidRPr="00CB0A24" w:rsidRDefault="00CB0A24" w:rsidP="003E0728">
            <w:pPr>
              <w:pStyle w:val="Tables"/>
            </w:pPr>
            <w:r w:rsidRPr="00CB0A24">
              <w:t>9.1</w:t>
            </w:r>
          </w:p>
        </w:tc>
        <w:tc>
          <w:tcPr>
            <w:tcW w:w="870" w:type="dxa"/>
            <w:tcBorders>
              <w:top w:val="nil"/>
              <w:left w:val="nil"/>
              <w:bottom w:val="single" w:sz="4" w:space="0" w:color="auto"/>
              <w:right w:val="single" w:sz="4" w:space="0" w:color="auto"/>
            </w:tcBorders>
            <w:noWrap/>
            <w:vAlign w:val="center"/>
            <w:hideMark/>
          </w:tcPr>
          <w:p w14:paraId="018A06A0" w14:textId="77777777" w:rsidR="00CB0A24" w:rsidRPr="00CB0A24" w:rsidRDefault="00CB0A24" w:rsidP="003E0728">
            <w:pPr>
              <w:pStyle w:val="Tables"/>
            </w:pPr>
            <w:r w:rsidRPr="00CB0A24">
              <w:t>10.5</w:t>
            </w:r>
          </w:p>
        </w:tc>
      </w:tr>
      <w:tr w:rsidR="00CB0A24" w:rsidRPr="00CB0A24" w14:paraId="4BDEA1CB" w14:textId="77777777" w:rsidTr="00E23521">
        <w:trPr>
          <w:trHeight w:val="397"/>
          <w:jc w:val="center"/>
        </w:trPr>
        <w:tc>
          <w:tcPr>
            <w:tcW w:w="2324" w:type="dxa"/>
            <w:tcBorders>
              <w:top w:val="nil"/>
              <w:left w:val="single" w:sz="4" w:space="0" w:color="auto"/>
              <w:bottom w:val="single" w:sz="4" w:space="0" w:color="auto"/>
              <w:right w:val="single" w:sz="4" w:space="0" w:color="auto"/>
            </w:tcBorders>
            <w:noWrap/>
            <w:vAlign w:val="center"/>
            <w:hideMark/>
          </w:tcPr>
          <w:p w14:paraId="7BE0B7EC" w14:textId="77777777" w:rsidR="00CB0A24" w:rsidRPr="00CB0A24" w:rsidRDefault="00CB0A24" w:rsidP="00E21768">
            <w:pPr>
              <w:pStyle w:val="Tables"/>
              <w:jc w:val="left"/>
            </w:pPr>
            <w:r w:rsidRPr="00CB0A24">
              <w:t>Civil Works</w:t>
            </w:r>
          </w:p>
        </w:tc>
        <w:tc>
          <w:tcPr>
            <w:tcW w:w="870" w:type="dxa"/>
            <w:tcBorders>
              <w:top w:val="nil"/>
              <w:left w:val="nil"/>
              <w:bottom w:val="single" w:sz="4" w:space="0" w:color="auto"/>
              <w:right w:val="single" w:sz="4" w:space="0" w:color="auto"/>
            </w:tcBorders>
            <w:noWrap/>
            <w:vAlign w:val="center"/>
            <w:hideMark/>
          </w:tcPr>
          <w:p w14:paraId="76FCCA23" w14:textId="77777777" w:rsidR="00CB0A24" w:rsidRPr="00CB0A24" w:rsidRDefault="00CB0A24" w:rsidP="003E0728">
            <w:pPr>
              <w:pStyle w:val="Tables"/>
            </w:pPr>
            <w:r w:rsidRPr="00CB0A24">
              <w:t>8.18</w:t>
            </w:r>
          </w:p>
        </w:tc>
        <w:tc>
          <w:tcPr>
            <w:tcW w:w="986" w:type="dxa"/>
            <w:tcBorders>
              <w:top w:val="nil"/>
              <w:left w:val="nil"/>
              <w:bottom w:val="single" w:sz="4" w:space="0" w:color="auto"/>
              <w:right w:val="single" w:sz="4" w:space="0" w:color="auto"/>
            </w:tcBorders>
            <w:noWrap/>
            <w:vAlign w:val="center"/>
            <w:hideMark/>
          </w:tcPr>
          <w:p w14:paraId="5AE38A70" w14:textId="77777777" w:rsidR="00CB0A24" w:rsidRPr="00CB0A24" w:rsidRDefault="00CB0A24" w:rsidP="003E0728">
            <w:pPr>
              <w:pStyle w:val="Tables"/>
            </w:pPr>
            <w:r w:rsidRPr="00CB0A24">
              <w:t>11.45</w:t>
            </w:r>
          </w:p>
        </w:tc>
        <w:tc>
          <w:tcPr>
            <w:tcW w:w="986" w:type="dxa"/>
            <w:tcBorders>
              <w:top w:val="nil"/>
              <w:left w:val="nil"/>
              <w:bottom w:val="single" w:sz="4" w:space="0" w:color="auto"/>
              <w:right w:val="single" w:sz="4" w:space="0" w:color="auto"/>
            </w:tcBorders>
            <w:noWrap/>
            <w:vAlign w:val="center"/>
            <w:hideMark/>
          </w:tcPr>
          <w:p w14:paraId="6642CFEA" w14:textId="77777777" w:rsidR="00CB0A24" w:rsidRPr="00CB0A24" w:rsidRDefault="00CB0A24" w:rsidP="003E0728">
            <w:pPr>
              <w:pStyle w:val="Tables"/>
            </w:pPr>
            <w:r w:rsidRPr="00CB0A24">
              <w:t>18.08</w:t>
            </w:r>
          </w:p>
        </w:tc>
        <w:tc>
          <w:tcPr>
            <w:tcW w:w="870" w:type="dxa"/>
            <w:tcBorders>
              <w:top w:val="nil"/>
              <w:left w:val="nil"/>
              <w:bottom w:val="single" w:sz="4" w:space="0" w:color="auto"/>
              <w:right w:val="single" w:sz="4" w:space="0" w:color="auto"/>
            </w:tcBorders>
            <w:noWrap/>
            <w:vAlign w:val="center"/>
            <w:hideMark/>
          </w:tcPr>
          <w:p w14:paraId="2C2F2D0F" w14:textId="77777777" w:rsidR="00CB0A24" w:rsidRPr="00CB0A24" w:rsidRDefault="00CB0A24" w:rsidP="003E0728">
            <w:pPr>
              <w:pStyle w:val="Tables"/>
            </w:pPr>
            <w:r w:rsidRPr="00CB0A24">
              <w:t>100</w:t>
            </w:r>
          </w:p>
        </w:tc>
        <w:tc>
          <w:tcPr>
            <w:tcW w:w="870" w:type="dxa"/>
            <w:tcBorders>
              <w:top w:val="nil"/>
              <w:left w:val="nil"/>
              <w:bottom w:val="single" w:sz="4" w:space="0" w:color="auto"/>
              <w:right w:val="single" w:sz="4" w:space="0" w:color="auto"/>
            </w:tcBorders>
            <w:noWrap/>
            <w:vAlign w:val="center"/>
            <w:hideMark/>
          </w:tcPr>
          <w:p w14:paraId="28E06541" w14:textId="77777777" w:rsidR="00CB0A24" w:rsidRPr="00CB0A24" w:rsidRDefault="00CB0A24" w:rsidP="003E0728">
            <w:pPr>
              <w:pStyle w:val="Tables"/>
            </w:pPr>
            <w:r w:rsidRPr="00CB0A24">
              <w:t>140</w:t>
            </w:r>
          </w:p>
        </w:tc>
        <w:tc>
          <w:tcPr>
            <w:tcW w:w="870" w:type="dxa"/>
            <w:tcBorders>
              <w:top w:val="nil"/>
              <w:left w:val="nil"/>
              <w:bottom w:val="single" w:sz="4" w:space="0" w:color="auto"/>
              <w:right w:val="single" w:sz="4" w:space="0" w:color="auto"/>
            </w:tcBorders>
            <w:noWrap/>
            <w:vAlign w:val="center"/>
            <w:hideMark/>
          </w:tcPr>
          <w:p w14:paraId="4399290F" w14:textId="77777777" w:rsidR="00CB0A24" w:rsidRPr="00CB0A24" w:rsidRDefault="00CB0A24" w:rsidP="003E0728">
            <w:pPr>
              <w:pStyle w:val="Tables"/>
            </w:pPr>
            <w:r w:rsidRPr="00CB0A24">
              <w:t>221</w:t>
            </w:r>
          </w:p>
        </w:tc>
        <w:tc>
          <w:tcPr>
            <w:tcW w:w="870" w:type="dxa"/>
            <w:tcBorders>
              <w:top w:val="nil"/>
              <w:left w:val="nil"/>
              <w:bottom w:val="single" w:sz="4" w:space="0" w:color="auto"/>
              <w:right w:val="single" w:sz="4" w:space="0" w:color="auto"/>
            </w:tcBorders>
            <w:noWrap/>
            <w:vAlign w:val="center"/>
            <w:hideMark/>
          </w:tcPr>
          <w:p w14:paraId="65C8F1FF" w14:textId="77777777" w:rsidR="00CB0A24" w:rsidRPr="00CB0A24" w:rsidRDefault="00CB0A24" w:rsidP="003E0728">
            <w:pPr>
              <w:pStyle w:val="Tables"/>
            </w:pPr>
            <w:r w:rsidRPr="00CB0A24">
              <w:t>9.8</w:t>
            </w:r>
          </w:p>
        </w:tc>
        <w:tc>
          <w:tcPr>
            <w:tcW w:w="870" w:type="dxa"/>
            <w:tcBorders>
              <w:top w:val="nil"/>
              <w:left w:val="nil"/>
              <w:bottom w:val="single" w:sz="4" w:space="0" w:color="auto"/>
              <w:right w:val="single" w:sz="4" w:space="0" w:color="auto"/>
            </w:tcBorders>
            <w:noWrap/>
            <w:vAlign w:val="center"/>
            <w:hideMark/>
          </w:tcPr>
          <w:p w14:paraId="68F8C3C3" w14:textId="77777777" w:rsidR="00CB0A24" w:rsidRPr="00CB0A24" w:rsidRDefault="00CB0A24" w:rsidP="003E0728">
            <w:pPr>
              <w:pStyle w:val="Tables"/>
            </w:pPr>
            <w:r w:rsidRPr="00CB0A24">
              <w:t>6.3</w:t>
            </w:r>
          </w:p>
        </w:tc>
        <w:tc>
          <w:tcPr>
            <w:tcW w:w="870" w:type="dxa"/>
            <w:tcBorders>
              <w:top w:val="nil"/>
              <w:left w:val="nil"/>
              <w:bottom w:val="single" w:sz="4" w:space="0" w:color="auto"/>
              <w:right w:val="single" w:sz="4" w:space="0" w:color="auto"/>
            </w:tcBorders>
            <w:noWrap/>
            <w:vAlign w:val="center"/>
            <w:hideMark/>
          </w:tcPr>
          <w:p w14:paraId="2A7B00E9" w14:textId="77777777" w:rsidR="00CB0A24" w:rsidRPr="00CB0A24" w:rsidRDefault="00CB0A24" w:rsidP="003E0728">
            <w:pPr>
              <w:pStyle w:val="Tables"/>
            </w:pPr>
            <w:r w:rsidRPr="00CB0A24">
              <w:t>7.7</w:t>
            </w:r>
          </w:p>
        </w:tc>
      </w:tr>
      <w:tr w:rsidR="00CB0A24" w:rsidRPr="00CB0A24" w14:paraId="6F88884C" w14:textId="77777777" w:rsidTr="00E23521">
        <w:trPr>
          <w:trHeight w:val="397"/>
          <w:jc w:val="center"/>
        </w:trPr>
        <w:tc>
          <w:tcPr>
            <w:tcW w:w="2324" w:type="dxa"/>
            <w:tcBorders>
              <w:top w:val="nil"/>
              <w:left w:val="single" w:sz="4" w:space="0" w:color="auto"/>
              <w:bottom w:val="single" w:sz="4" w:space="0" w:color="auto"/>
              <w:right w:val="single" w:sz="4" w:space="0" w:color="auto"/>
            </w:tcBorders>
            <w:noWrap/>
            <w:vAlign w:val="center"/>
            <w:hideMark/>
          </w:tcPr>
          <w:p w14:paraId="36F1B699" w14:textId="77777777" w:rsidR="00CB0A24" w:rsidRPr="00CB0A24" w:rsidRDefault="00CB0A24" w:rsidP="00E21768">
            <w:pPr>
              <w:pStyle w:val="Tables"/>
              <w:jc w:val="left"/>
            </w:pPr>
            <w:r w:rsidRPr="00CB0A24">
              <w:t>Miscellaneous (d)</w:t>
            </w:r>
          </w:p>
        </w:tc>
        <w:tc>
          <w:tcPr>
            <w:tcW w:w="870" w:type="dxa"/>
            <w:tcBorders>
              <w:top w:val="nil"/>
              <w:left w:val="nil"/>
              <w:bottom w:val="single" w:sz="4" w:space="0" w:color="auto"/>
              <w:right w:val="single" w:sz="4" w:space="0" w:color="auto"/>
            </w:tcBorders>
            <w:noWrap/>
            <w:vAlign w:val="center"/>
            <w:hideMark/>
          </w:tcPr>
          <w:p w14:paraId="71F6DADA" w14:textId="77777777" w:rsidR="00CB0A24" w:rsidRPr="00CB0A24" w:rsidRDefault="00CB0A24" w:rsidP="003E0728">
            <w:pPr>
              <w:pStyle w:val="Tables"/>
            </w:pPr>
            <w:r w:rsidRPr="00CB0A24">
              <w:t>8.96</w:t>
            </w:r>
          </w:p>
        </w:tc>
        <w:tc>
          <w:tcPr>
            <w:tcW w:w="986" w:type="dxa"/>
            <w:tcBorders>
              <w:top w:val="nil"/>
              <w:left w:val="nil"/>
              <w:bottom w:val="single" w:sz="4" w:space="0" w:color="auto"/>
              <w:right w:val="single" w:sz="4" w:space="0" w:color="auto"/>
            </w:tcBorders>
            <w:noWrap/>
            <w:vAlign w:val="center"/>
            <w:hideMark/>
          </w:tcPr>
          <w:p w14:paraId="2636E425" w14:textId="77777777" w:rsidR="00CB0A24" w:rsidRPr="00CB0A24" w:rsidRDefault="00CB0A24" w:rsidP="003E0728">
            <w:pPr>
              <w:pStyle w:val="Tables"/>
            </w:pPr>
            <w:r w:rsidRPr="00CB0A24">
              <w:t>27.29</w:t>
            </w:r>
          </w:p>
        </w:tc>
        <w:tc>
          <w:tcPr>
            <w:tcW w:w="986" w:type="dxa"/>
            <w:tcBorders>
              <w:top w:val="nil"/>
              <w:left w:val="nil"/>
              <w:bottom w:val="single" w:sz="4" w:space="0" w:color="auto"/>
              <w:right w:val="single" w:sz="4" w:space="0" w:color="auto"/>
            </w:tcBorders>
            <w:noWrap/>
            <w:vAlign w:val="center"/>
            <w:hideMark/>
          </w:tcPr>
          <w:p w14:paraId="22DB182A" w14:textId="77777777" w:rsidR="00CB0A24" w:rsidRPr="00CB0A24" w:rsidRDefault="00CB0A24" w:rsidP="003E0728">
            <w:pPr>
              <w:pStyle w:val="Tables"/>
            </w:pPr>
            <w:r w:rsidRPr="00CB0A24">
              <w:t>30.83</w:t>
            </w:r>
          </w:p>
        </w:tc>
        <w:tc>
          <w:tcPr>
            <w:tcW w:w="870" w:type="dxa"/>
            <w:tcBorders>
              <w:top w:val="nil"/>
              <w:left w:val="nil"/>
              <w:bottom w:val="single" w:sz="4" w:space="0" w:color="auto"/>
              <w:right w:val="single" w:sz="4" w:space="0" w:color="auto"/>
            </w:tcBorders>
            <w:noWrap/>
            <w:vAlign w:val="center"/>
            <w:hideMark/>
          </w:tcPr>
          <w:p w14:paraId="4A3AC9FD" w14:textId="77777777" w:rsidR="00CB0A24" w:rsidRPr="00CB0A24" w:rsidRDefault="00CB0A24" w:rsidP="003E0728">
            <w:pPr>
              <w:pStyle w:val="Tables"/>
            </w:pPr>
            <w:r w:rsidRPr="00CB0A24">
              <w:t>100</w:t>
            </w:r>
          </w:p>
        </w:tc>
        <w:tc>
          <w:tcPr>
            <w:tcW w:w="870" w:type="dxa"/>
            <w:tcBorders>
              <w:top w:val="nil"/>
              <w:left w:val="nil"/>
              <w:bottom w:val="single" w:sz="4" w:space="0" w:color="auto"/>
              <w:right w:val="single" w:sz="4" w:space="0" w:color="auto"/>
            </w:tcBorders>
            <w:noWrap/>
            <w:vAlign w:val="center"/>
            <w:hideMark/>
          </w:tcPr>
          <w:p w14:paraId="4C63DABB" w14:textId="77777777" w:rsidR="00CB0A24" w:rsidRPr="00CB0A24" w:rsidRDefault="00CB0A24" w:rsidP="003E0728">
            <w:pPr>
              <w:pStyle w:val="Tables"/>
            </w:pPr>
            <w:r w:rsidRPr="00CB0A24">
              <w:t>305</w:t>
            </w:r>
          </w:p>
        </w:tc>
        <w:tc>
          <w:tcPr>
            <w:tcW w:w="870" w:type="dxa"/>
            <w:tcBorders>
              <w:top w:val="nil"/>
              <w:left w:val="nil"/>
              <w:bottom w:val="single" w:sz="4" w:space="0" w:color="auto"/>
              <w:right w:val="single" w:sz="4" w:space="0" w:color="auto"/>
            </w:tcBorders>
            <w:noWrap/>
            <w:vAlign w:val="center"/>
            <w:hideMark/>
          </w:tcPr>
          <w:p w14:paraId="2DCB2063" w14:textId="41ECF9BE" w:rsidR="00CB0A24" w:rsidRPr="00CB0A24" w:rsidRDefault="00CB0A24" w:rsidP="003E0728">
            <w:pPr>
              <w:pStyle w:val="Tables"/>
            </w:pPr>
            <w:r w:rsidRPr="00CB0A24">
              <w:t>34</w:t>
            </w:r>
            <w:r w:rsidR="0039623A">
              <w:t>4</w:t>
            </w:r>
          </w:p>
        </w:tc>
        <w:tc>
          <w:tcPr>
            <w:tcW w:w="870" w:type="dxa"/>
            <w:tcBorders>
              <w:top w:val="nil"/>
              <w:left w:val="nil"/>
              <w:bottom w:val="single" w:sz="4" w:space="0" w:color="auto"/>
              <w:right w:val="single" w:sz="4" w:space="0" w:color="auto"/>
            </w:tcBorders>
            <w:noWrap/>
            <w:vAlign w:val="center"/>
            <w:hideMark/>
          </w:tcPr>
          <w:p w14:paraId="64A63162" w14:textId="77777777" w:rsidR="00CB0A24" w:rsidRPr="00CB0A24" w:rsidRDefault="00CB0A24" w:rsidP="003E0728">
            <w:pPr>
              <w:pStyle w:val="Tables"/>
            </w:pPr>
            <w:r w:rsidRPr="00CB0A24">
              <w:t>10.8</w:t>
            </w:r>
          </w:p>
        </w:tc>
        <w:tc>
          <w:tcPr>
            <w:tcW w:w="870" w:type="dxa"/>
            <w:tcBorders>
              <w:top w:val="nil"/>
              <w:left w:val="nil"/>
              <w:bottom w:val="single" w:sz="4" w:space="0" w:color="auto"/>
              <w:right w:val="single" w:sz="4" w:space="0" w:color="auto"/>
            </w:tcBorders>
            <w:noWrap/>
            <w:vAlign w:val="center"/>
            <w:hideMark/>
          </w:tcPr>
          <w:p w14:paraId="56C15803" w14:textId="77777777" w:rsidR="00CB0A24" w:rsidRPr="00CB0A24" w:rsidRDefault="00CB0A24" w:rsidP="003E0728">
            <w:pPr>
              <w:pStyle w:val="Tables"/>
            </w:pPr>
            <w:r w:rsidRPr="00CB0A24">
              <w:t>15.1</w:t>
            </w:r>
          </w:p>
        </w:tc>
        <w:tc>
          <w:tcPr>
            <w:tcW w:w="870" w:type="dxa"/>
            <w:tcBorders>
              <w:top w:val="nil"/>
              <w:left w:val="nil"/>
              <w:bottom w:val="single" w:sz="4" w:space="0" w:color="auto"/>
              <w:right w:val="single" w:sz="4" w:space="0" w:color="auto"/>
            </w:tcBorders>
            <w:noWrap/>
            <w:vAlign w:val="center"/>
            <w:hideMark/>
          </w:tcPr>
          <w:p w14:paraId="525A5C02" w14:textId="77777777" w:rsidR="00CB0A24" w:rsidRPr="00CB0A24" w:rsidRDefault="00CB0A24" w:rsidP="003E0728">
            <w:pPr>
              <w:pStyle w:val="Tables"/>
            </w:pPr>
            <w:r w:rsidRPr="00CB0A24">
              <w:t>13.1</w:t>
            </w:r>
          </w:p>
        </w:tc>
      </w:tr>
      <w:tr w:rsidR="00CB0A24" w:rsidRPr="00CB0A24" w14:paraId="580ABD51" w14:textId="77777777" w:rsidTr="00E23521">
        <w:trPr>
          <w:trHeight w:val="397"/>
          <w:jc w:val="center"/>
        </w:trPr>
        <w:tc>
          <w:tcPr>
            <w:tcW w:w="2324" w:type="dxa"/>
            <w:tcBorders>
              <w:top w:val="nil"/>
              <w:left w:val="single" w:sz="4" w:space="0" w:color="auto"/>
              <w:bottom w:val="single" w:sz="4" w:space="0" w:color="auto"/>
              <w:right w:val="single" w:sz="4" w:space="0" w:color="auto"/>
            </w:tcBorders>
            <w:noWrap/>
            <w:vAlign w:val="center"/>
            <w:hideMark/>
          </w:tcPr>
          <w:p w14:paraId="63E1C810" w14:textId="77777777" w:rsidR="00CB0A24" w:rsidRPr="00CB0A24" w:rsidRDefault="00CB0A24" w:rsidP="00E21768">
            <w:pPr>
              <w:pStyle w:val="Tables"/>
              <w:jc w:val="left"/>
            </w:pPr>
            <w:r w:rsidRPr="00CB0A24">
              <w:t>Extraordinary charges (e)</w:t>
            </w:r>
          </w:p>
        </w:tc>
        <w:tc>
          <w:tcPr>
            <w:tcW w:w="870" w:type="dxa"/>
            <w:tcBorders>
              <w:top w:val="nil"/>
              <w:left w:val="nil"/>
              <w:bottom w:val="single" w:sz="4" w:space="0" w:color="auto"/>
              <w:right w:val="single" w:sz="4" w:space="0" w:color="auto"/>
            </w:tcBorders>
            <w:noWrap/>
            <w:vAlign w:val="center"/>
            <w:hideMark/>
          </w:tcPr>
          <w:p w14:paraId="67C502C6" w14:textId="77777777" w:rsidR="00CB0A24" w:rsidRPr="00CB0A24" w:rsidRDefault="00CB0A24" w:rsidP="003E0728">
            <w:pPr>
              <w:pStyle w:val="Tables"/>
            </w:pPr>
            <w:r w:rsidRPr="00CB0A24">
              <w:t>0.03</w:t>
            </w:r>
          </w:p>
        </w:tc>
        <w:tc>
          <w:tcPr>
            <w:tcW w:w="986" w:type="dxa"/>
            <w:tcBorders>
              <w:top w:val="nil"/>
              <w:left w:val="nil"/>
              <w:bottom w:val="single" w:sz="4" w:space="0" w:color="auto"/>
              <w:right w:val="single" w:sz="4" w:space="0" w:color="auto"/>
            </w:tcBorders>
            <w:noWrap/>
            <w:vAlign w:val="center"/>
            <w:hideMark/>
          </w:tcPr>
          <w:p w14:paraId="0C085487" w14:textId="77777777" w:rsidR="00CB0A24" w:rsidRPr="00CB0A24" w:rsidRDefault="00CB0A24" w:rsidP="003E0728">
            <w:pPr>
              <w:pStyle w:val="Tables"/>
            </w:pPr>
            <w:r w:rsidRPr="00CB0A24">
              <w:t>21.88</w:t>
            </w:r>
          </w:p>
        </w:tc>
        <w:tc>
          <w:tcPr>
            <w:tcW w:w="986" w:type="dxa"/>
            <w:tcBorders>
              <w:top w:val="nil"/>
              <w:left w:val="nil"/>
              <w:bottom w:val="single" w:sz="4" w:space="0" w:color="auto"/>
              <w:right w:val="single" w:sz="4" w:space="0" w:color="auto"/>
            </w:tcBorders>
            <w:noWrap/>
            <w:vAlign w:val="center"/>
            <w:hideMark/>
          </w:tcPr>
          <w:p w14:paraId="369F766A" w14:textId="77777777" w:rsidR="00CB0A24" w:rsidRPr="00CB0A24" w:rsidRDefault="00CB0A24" w:rsidP="003E0728">
            <w:pPr>
              <w:pStyle w:val="Tables"/>
            </w:pPr>
            <w:r w:rsidRPr="00CB0A24">
              <w:t>22.49</w:t>
            </w:r>
          </w:p>
        </w:tc>
        <w:tc>
          <w:tcPr>
            <w:tcW w:w="870" w:type="dxa"/>
            <w:tcBorders>
              <w:top w:val="nil"/>
              <w:left w:val="nil"/>
              <w:bottom w:val="single" w:sz="4" w:space="0" w:color="auto"/>
              <w:right w:val="single" w:sz="4" w:space="0" w:color="auto"/>
            </w:tcBorders>
            <w:noWrap/>
            <w:vAlign w:val="center"/>
            <w:hideMark/>
          </w:tcPr>
          <w:p w14:paraId="1E8EA344" w14:textId="77777777" w:rsidR="00CB0A24" w:rsidRPr="00CB0A24" w:rsidRDefault="00CB0A24" w:rsidP="003E0728">
            <w:pPr>
              <w:pStyle w:val="Tables"/>
            </w:pPr>
            <w:r w:rsidRPr="00CB0A24">
              <w:t>...</w:t>
            </w:r>
          </w:p>
        </w:tc>
        <w:tc>
          <w:tcPr>
            <w:tcW w:w="870" w:type="dxa"/>
            <w:tcBorders>
              <w:top w:val="nil"/>
              <w:left w:val="nil"/>
              <w:bottom w:val="single" w:sz="4" w:space="0" w:color="auto"/>
              <w:right w:val="single" w:sz="4" w:space="0" w:color="auto"/>
            </w:tcBorders>
            <w:noWrap/>
            <w:vAlign w:val="center"/>
            <w:hideMark/>
          </w:tcPr>
          <w:p w14:paraId="611A2A9D" w14:textId="77777777" w:rsidR="00CB0A24" w:rsidRPr="00CB0A24" w:rsidRDefault="00CB0A24" w:rsidP="003E0728">
            <w:pPr>
              <w:pStyle w:val="Tables"/>
            </w:pPr>
            <w:r w:rsidRPr="00CB0A24">
              <w:t>...</w:t>
            </w:r>
          </w:p>
        </w:tc>
        <w:tc>
          <w:tcPr>
            <w:tcW w:w="870" w:type="dxa"/>
            <w:tcBorders>
              <w:top w:val="nil"/>
              <w:left w:val="nil"/>
              <w:bottom w:val="single" w:sz="4" w:space="0" w:color="auto"/>
              <w:right w:val="single" w:sz="4" w:space="0" w:color="auto"/>
            </w:tcBorders>
            <w:noWrap/>
            <w:vAlign w:val="center"/>
            <w:hideMark/>
          </w:tcPr>
          <w:p w14:paraId="43E1AABE" w14:textId="77777777" w:rsidR="00CB0A24" w:rsidRPr="00CB0A24" w:rsidRDefault="00CB0A24" w:rsidP="003E0728">
            <w:pPr>
              <w:pStyle w:val="Tables"/>
            </w:pPr>
            <w:r w:rsidRPr="00CB0A24">
              <w:t>...</w:t>
            </w:r>
          </w:p>
        </w:tc>
        <w:tc>
          <w:tcPr>
            <w:tcW w:w="870" w:type="dxa"/>
            <w:tcBorders>
              <w:top w:val="nil"/>
              <w:left w:val="nil"/>
              <w:bottom w:val="single" w:sz="4" w:space="0" w:color="auto"/>
              <w:right w:val="single" w:sz="4" w:space="0" w:color="auto"/>
            </w:tcBorders>
            <w:noWrap/>
            <w:vAlign w:val="center"/>
            <w:hideMark/>
          </w:tcPr>
          <w:p w14:paraId="43600F78" w14:textId="77777777" w:rsidR="00CB0A24" w:rsidRPr="00CB0A24" w:rsidRDefault="00CB0A24" w:rsidP="003E0728">
            <w:pPr>
              <w:pStyle w:val="Tables"/>
            </w:pPr>
            <w:r w:rsidRPr="00CB0A24">
              <w:t>...</w:t>
            </w:r>
          </w:p>
        </w:tc>
        <w:tc>
          <w:tcPr>
            <w:tcW w:w="870" w:type="dxa"/>
            <w:tcBorders>
              <w:top w:val="nil"/>
              <w:left w:val="nil"/>
              <w:bottom w:val="single" w:sz="4" w:space="0" w:color="auto"/>
              <w:right w:val="single" w:sz="4" w:space="0" w:color="auto"/>
            </w:tcBorders>
            <w:noWrap/>
            <w:vAlign w:val="center"/>
            <w:hideMark/>
          </w:tcPr>
          <w:p w14:paraId="573E3D44" w14:textId="77777777" w:rsidR="00CB0A24" w:rsidRPr="00CB0A24" w:rsidRDefault="00CB0A24" w:rsidP="003E0728">
            <w:pPr>
              <w:pStyle w:val="Tables"/>
            </w:pPr>
            <w:r w:rsidRPr="00CB0A24">
              <w:t>12.1</w:t>
            </w:r>
          </w:p>
        </w:tc>
        <w:tc>
          <w:tcPr>
            <w:tcW w:w="870" w:type="dxa"/>
            <w:tcBorders>
              <w:top w:val="nil"/>
              <w:left w:val="nil"/>
              <w:bottom w:val="single" w:sz="4" w:space="0" w:color="auto"/>
              <w:right w:val="single" w:sz="4" w:space="0" w:color="auto"/>
            </w:tcBorders>
            <w:noWrap/>
            <w:vAlign w:val="center"/>
            <w:hideMark/>
          </w:tcPr>
          <w:p w14:paraId="09C14F45" w14:textId="77777777" w:rsidR="00CB0A24" w:rsidRPr="00CB0A24" w:rsidRDefault="00CB0A24" w:rsidP="003E0728">
            <w:pPr>
              <w:pStyle w:val="Tables"/>
            </w:pPr>
            <w:r w:rsidRPr="00CB0A24">
              <w:t>9.6</w:t>
            </w:r>
          </w:p>
        </w:tc>
      </w:tr>
    </w:tbl>
    <w:p w14:paraId="27547911" w14:textId="77777777" w:rsidR="003E0728" w:rsidRPr="003E0728" w:rsidRDefault="000E195C" w:rsidP="003E0728">
      <w:pPr>
        <w:pStyle w:val="Sources"/>
      </w:pPr>
      <w:r w:rsidRPr="003E0728">
        <w:t>(a) Excluding transfers to Revenue Reserve Funds.</w:t>
      </w:r>
      <w:r w:rsidRPr="003E0728">
        <w:br/>
        <w:t>(b) Including interest on capital in respect of irrigation, electricity schemes, other</w:t>
      </w:r>
      <w:r w:rsidR="003E0728" w:rsidRPr="003E0728">
        <w:t xml:space="preserve"> Government Commercial Departments and undertakings, forests, etc.</w:t>
      </w:r>
    </w:p>
    <w:p w14:paraId="2C65DFEA" w14:textId="5C519971" w:rsidR="003E0728" w:rsidRPr="003E0728" w:rsidRDefault="000E195C" w:rsidP="003E0728">
      <w:pPr>
        <w:pStyle w:val="Sources"/>
      </w:pPr>
      <w:r w:rsidRPr="003E0728">
        <w:t>(c) Excluding interest charges included under Debt Services.</w:t>
      </w:r>
      <w:r w:rsidRPr="003E0728">
        <w:br/>
        <w:t>(d) Includes Famine Relief, Superannuation Allowances and Pensions, Stationery</w:t>
      </w:r>
      <w:r w:rsidR="003E0728" w:rsidRPr="003E0728">
        <w:t xml:space="preserve"> and Printing, Contributions, charges on account of War Risks (Goods) Insurance Scheme, etc. </w:t>
      </w:r>
    </w:p>
    <w:p w14:paraId="5A891411" w14:textId="41786695" w:rsidR="000E195C" w:rsidRPr="000A6E2D" w:rsidRDefault="000E195C" w:rsidP="003E0728">
      <w:pPr>
        <w:pStyle w:val="Sources"/>
      </w:pPr>
      <w:r w:rsidRPr="003E0728">
        <w:t>(e) Includes charges incurred as a direct result of war, establishment of price control</w:t>
      </w:r>
      <w:r w:rsidR="003E0728" w:rsidRPr="003E0728">
        <w:t xml:space="preserve"> and other control agencies, amount transferred from "85-A-Capital outlay on provincial</w:t>
      </w:r>
      <w:r w:rsidRPr="003E0728">
        <w:t xml:space="preserve"> schemes of State Trading", etc.</w:t>
      </w:r>
    </w:p>
    <w:p w14:paraId="7F7AA239" w14:textId="77777777" w:rsidR="003E0728" w:rsidRDefault="003E0728" w:rsidP="003E0728">
      <w:pPr>
        <w:spacing w:after="0" w:line="380" w:lineRule="exact"/>
        <w:jc w:val="both"/>
        <w:rPr>
          <w:rFonts w:ascii="Times New Roman" w:hAnsi="Times New Roman" w:cs="Times New Roman"/>
          <w:sz w:val="28"/>
          <w:szCs w:val="28"/>
        </w:rPr>
      </w:pPr>
    </w:p>
    <w:p w14:paraId="58E4AE31" w14:textId="53FBB095" w:rsidR="003E5A14" w:rsidRPr="003E0728" w:rsidRDefault="003E5A14" w:rsidP="00EE0179">
      <w:pPr>
        <w:pStyle w:val="ListParagraph"/>
        <w:numPr>
          <w:ilvl w:val="0"/>
          <w:numId w:val="29"/>
        </w:numPr>
        <w:spacing w:after="0" w:line="520" w:lineRule="exact"/>
        <w:ind w:left="0" w:firstLine="556"/>
        <w:jc w:val="both"/>
        <w:rPr>
          <w:rFonts w:ascii="Times New Roman" w:hAnsi="Times New Roman" w:cs="Times New Roman"/>
          <w:sz w:val="28"/>
          <w:szCs w:val="28"/>
        </w:rPr>
      </w:pPr>
      <w:r w:rsidRPr="003E0728">
        <w:rPr>
          <w:rFonts w:ascii="Times New Roman" w:hAnsi="Times New Roman" w:cs="Times New Roman"/>
          <w:sz w:val="28"/>
          <w:szCs w:val="28"/>
        </w:rPr>
        <w:t xml:space="preserve">Excluding transfers to revenue reserve funds, the increase in provincial expenditure was smaller than the increase in revenue: between 1937-38 and 1944-45, while revenue went up by 150 per cent, expenditure rose by 117 per cent. Most of the </w:t>
      </w:r>
      <w:r w:rsidRPr="003E0728">
        <w:rPr>
          <w:rFonts w:ascii="Times New Roman" w:hAnsi="Times New Roman" w:cs="Times New Roman"/>
          <w:sz w:val="28"/>
          <w:szCs w:val="28"/>
        </w:rPr>
        <w:lastRenderedPageBreak/>
        <w:t>Provinces had surpluses which were largely transferred to reserves for post-war re- construction and development. The Provinces together had a surplus of Rs. 33</w:t>
      </w:r>
      <w:r w:rsidR="0039623A">
        <w:rPr>
          <w:rFonts w:ascii="Times New Roman" w:hAnsi="Times New Roman" w:cs="Times New Roman"/>
          <w:sz w:val="28"/>
          <w:szCs w:val="28"/>
        </w:rPr>
        <w:t>.</w:t>
      </w:r>
      <w:r w:rsidRPr="003E0728">
        <w:rPr>
          <w:rFonts w:ascii="Times New Roman" w:hAnsi="Times New Roman" w:cs="Times New Roman"/>
          <w:sz w:val="28"/>
          <w:szCs w:val="28"/>
        </w:rPr>
        <w:t>4 crores in 1944-45 and of Rs. 11</w:t>
      </w:r>
      <w:r w:rsidR="0039623A">
        <w:rPr>
          <w:rFonts w:ascii="Times New Roman" w:hAnsi="Times New Roman" w:cs="Times New Roman"/>
          <w:sz w:val="28"/>
          <w:szCs w:val="28"/>
        </w:rPr>
        <w:t>.</w:t>
      </w:r>
      <w:r w:rsidRPr="003E0728">
        <w:rPr>
          <w:rFonts w:ascii="Times New Roman" w:hAnsi="Times New Roman" w:cs="Times New Roman"/>
          <w:sz w:val="28"/>
          <w:szCs w:val="28"/>
        </w:rPr>
        <w:t>4 crores in 1946-47. The increase in expenditure was, among other things, due to additional burdens in respect of police measures, operation of food and other controls, payment of dearness and other allowances, larger provision for reduction of debt, and increased expenditure on social services. There was a progressive strengthening of internal security measures during the war years; the expenditure met from provincial revenues in respect of police increased from Rs. 10·8 crores in 1937-38 to Rs. 19·1 crores in 1944-45 and Rs. 30</w:t>
      </w:r>
      <w:r w:rsidR="00A019E6">
        <w:rPr>
          <w:rFonts w:ascii="Times New Roman" w:hAnsi="Times New Roman" w:cs="Times New Roman"/>
          <w:sz w:val="28"/>
          <w:szCs w:val="28"/>
        </w:rPr>
        <w:t>.</w:t>
      </w:r>
      <w:r w:rsidRPr="003E0728">
        <w:rPr>
          <w:rFonts w:ascii="Times New Roman" w:hAnsi="Times New Roman" w:cs="Times New Roman"/>
          <w:sz w:val="28"/>
          <w:szCs w:val="28"/>
        </w:rPr>
        <w:t>1 crores in 1946-47. Expenditure on administrative services as a whole was Rs. 28 crores, Rs. 43</w:t>
      </w:r>
      <w:r w:rsidR="00A019E6">
        <w:rPr>
          <w:rFonts w:ascii="Times New Roman" w:hAnsi="Times New Roman" w:cs="Times New Roman"/>
          <w:sz w:val="28"/>
          <w:szCs w:val="28"/>
        </w:rPr>
        <w:t>.</w:t>
      </w:r>
      <w:r w:rsidRPr="003E0728">
        <w:rPr>
          <w:rFonts w:ascii="Times New Roman" w:hAnsi="Times New Roman" w:cs="Times New Roman"/>
          <w:sz w:val="28"/>
          <w:szCs w:val="28"/>
        </w:rPr>
        <w:t>1 crores and Rs. 63</w:t>
      </w:r>
      <w:r w:rsidR="00A019E6">
        <w:rPr>
          <w:rFonts w:ascii="Times New Roman" w:hAnsi="Times New Roman" w:cs="Times New Roman"/>
          <w:sz w:val="28"/>
          <w:szCs w:val="28"/>
        </w:rPr>
        <w:t>.</w:t>
      </w:r>
      <w:r w:rsidRPr="003E0728">
        <w:rPr>
          <w:rFonts w:ascii="Times New Roman" w:hAnsi="Times New Roman" w:cs="Times New Roman"/>
          <w:sz w:val="28"/>
          <w:szCs w:val="28"/>
        </w:rPr>
        <w:t>6 crores in the three years, respectively, their share of total expenditure, however, declining from 33</w:t>
      </w:r>
      <w:r w:rsidR="00A019E6">
        <w:rPr>
          <w:rFonts w:ascii="Times New Roman" w:hAnsi="Times New Roman" w:cs="Times New Roman"/>
          <w:sz w:val="28"/>
          <w:szCs w:val="28"/>
        </w:rPr>
        <w:t>.</w:t>
      </w:r>
      <w:r w:rsidRPr="003E0728">
        <w:rPr>
          <w:rFonts w:ascii="Times New Roman" w:hAnsi="Times New Roman" w:cs="Times New Roman"/>
          <w:sz w:val="28"/>
          <w:szCs w:val="28"/>
        </w:rPr>
        <w:t>7 per cent in 1937-38 to 23·9 per cent in 1944-45 and rising again to 27·1 per cent in 1946-47. Expenditure on social services also rose in this period and was Rs. 19</w:t>
      </w:r>
      <w:r w:rsidR="00A019E6">
        <w:rPr>
          <w:rFonts w:ascii="Times New Roman" w:hAnsi="Times New Roman" w:cs="Times New Roman"/>
          <w:sz w:val="28"/>
          <w:szCs w:val="28"/>
        </w:rPr>
        <w:t>.</w:t>
      </w:r>
      <w:r w:rsidRPr="003E0728">
        <w:rPr>
          <w:rFonts w:ascii="Times New Roman" w:hAnsi="Times New Roman" w:cs="Times New Roman"/>
          <w:sz w:val="28"/>
          <w:szCs w:val="28"/>
        </w:rPr>
        <w:t>6 crores, Rs. 34</w:t>
      </w:r>
      <w:r w:rsidR="00A019E6">
        <w:rPr>
          <w:rFonts w:ascii="Times New Roman" w:hAnsi="Times New Roman" w:cs="Times New Roman"/>
          <w:sz w:val="28"/>
          <w:szCs w:val="28"/>
        </w:rPr>
        <w:t>.</w:t>
      </w:r>
      <w:r w:rsidRPr="003E0728">
        <w:rPr>
          <w:rFonts w:ascii="Times New Roman" w:hAnsi="Times New Roman" w:cs="Times New Roman"/>
          <w:sz w:val="28"/>
          <w:szCs w:val="28"/>
        </w:rPr>
        <w:t>6 crores and Rs. 52</w:t>
      </w:r>
      <w:r w:rsidR="00A019E6">
        <w:rPr>
          <w:rFonts w:ascii="Times New Roman" w:hAnsi="Times New Roman" w:cs="Times New Roman"/>
          <w:sz w:val="28"/>
          <w:szCs w:val="28"/>
        </w:rPr>
        <w:t>.</w:t>
      </w:r>
      <w:r w:rsidRPr="003E0728">
        <w:rPr>
          <w:rFonts w:ascii="Times New Roman" w:hAnsi="Times New Roman" w:cs="Times New Roman"/>
          <w:sz w:val="28"/>
          <w:szCs w:val="28"/>
        </w:rPr>
        <w:t>9 crores in the three years, respectively, but its share in total expenditure declined from 23</w:t>
      </w:r>
      <w:r w:rsidR="00A019E6">
        <w:rPr>
          <w:rFonts w:ascii="Times New Roman" w:hAnsi="Times New Roman" w:cs="Times New Roman"/>
          <w:sz w:val="28"/>
          <w:szCs w:val="28"/>
        </w:rPr>
        <w:t>.</w:t>
      </w:r>
      <w:r w:rsidRPr="003E0728">
        <w:rPr>
          <w:rFonts w:ascii="Times New Roman" w:hAnsi="Times New Roman" w:cs="Times New Roman"/>
          <w:sz w:val="28"/>
          <w:szCs w:val="28"/>
        </w:rPr>
        <w:t>5 per cent in 1937-38 to 19</w:t>
      </w:r>
      <w:r w:rsidR="00A019E6">
        <w:rPr>
          <w:rFonts w:ascii="Times New Roman" w:hAnsi="Times New Roman" w:cs="Times New Roman"/>
          <w:sz w:val="28"/>
          <w:szCs w:val="28"/>
        </w:rPr>
        <w:t>.</w:t>
      </w:r>
      <w:r w:rsidRPr="003E0728">
        <w:rPr>
          <w:rFonts w:ascii="Times New Roman" w:hAnsi="Times New Roman" w:cs="Times New Roman"/>
          <w:sz w:val="28"/>
          <w:szCs w:val="28"/>
        </w:rPr>
        <w:t>2 per cent in 1944-45 and recovered to 22</w:t>
      </w:r>
      <w:r w:rsidR="00A019E6">
        <w:rPr>
          <w:rFonts w:ascii="Times New Roman" w:hAnsi="Times New Roman" w:cs="Times New Roman"/>
          <w:sz w:val="28"/>
          <w:szCs w:val="28"/>
        </w:rPr>
        <w:t>.</w:t>
      </w:r>
      <w:r w:rsidRPr="003E0728">
        <w:rPr>
          <w:rFonts w:ascii="Times New Roman" w:hAnsi="Times New Roman" w:cs="Times New Roman"/>
          <w:sz w:val="28"/>
          <w:szCs w:val="28"/>
        </w:rPr>
        <w:t>5 per cent in 1946-47. During the war years, expenditure under “Miscellaneous” and “Extraordinary Charges” increased considerably from 10</w:t>
      </w:r>
      <w:r w:rsidR="00A019E6">
        <w:rPr>
          <w:rFonts w:ascii="Times New Roman" w:hAnsi="Times New Roman" w:cs="Times New Roman"/>
          <w:sz w:val="28"/>
          <w:szCs w:val="28"/>
        </w:rPr>
        <w:t>.</w:t>
      </w:r>
      <w:r w:rsidRPr="003E0728">
        <w:rPr>
          <w:rFonts w:ascii="Times New Roman" w:hAnsi="Times New Roman" w:cs="Times New Roman"/>
          <w:sz w:val="28"/>
          <w:szCs w:val="28"/>
        </w:rPr>
        <w:t>8 per cent in 1937-38 to 27</w:t>
      </w:r>
      <w:r w:rsidR="00A019E6">
        <w:rPr>
          <w:rFonts w:ascii="Times New Roman" w:hAnsi="Times New Roman" w:cs="Times New Roman"/>
          <w:sz w:val="28"/>
          <w:szCs w:val="28"/>
        </w:rPr>
        <w:t>.</w:t>
      </w:r>
      <w:r w:rsidRPr="003E0728">
        <w:rPr>
          <w:rFonts w:ascii="Times New Roman" w:hAnsi="Times New Roman" w:cs="Times New Roman"/>
          <w:sz w:val="28"/>
          <w:szCs w:val="28"/>
        </w:rPr>
        <w:t>2 per cent in 1944-45 and formed 22</w:t>
      </w:r>
      <w:r w:rsidR="00A019E6">
        <w:rPr>
          <w:rFonts w:ascii="Times New Roman" w:hAnsi="Times New Roman" w:cs="Times New Roman"/>
          <w:sz w:val="28"/>
          <w:szCs w:val="28"/>
        </w:rPr>
        <w:t>.</w:t>
      </w:r>
      <w:r w:rsidRPr="003E0728">
        <w:rPr>
          <w:rFonts w:ascii="Times New Roman" w:hAnsi="Times New Roman" w:cs="Times New Roman"/>
          <w:sz w:val="28"/>
          <w:szCs w:val="28"/>
        </w:rPr>
        <w:t>7 per cent of the total expenditure in 1946-47.</w:t>
      </w:r>
    </w:p>
    <w:p w14:paraId="39759014" w14:textId="79B2236F" w:rsidR="003E0728" w:rsidRDefault="003E5A14" w:rsidP="00EE0179">
      <w:pPr>
        <w:pStyle w:val="ListParagraph"/>
        <w:numPr>
          <w:ilvl w:val="0"/>
          <w:numId w:val="29"/>
        </w:numPr>
        <w:spacing w:after="0" w:line="520" w:lineRule="exact"/>
        <w:ind w:left="0" w:firstLine="556"/>
        <w:jc w:val="both"/>
        <w:rPr>
          <w:rFonts w:ascii="Times New Roman" w:hAnsi="Times New Roman" w:cs="Times New Roman"/>
          <w:sz w:val="28"/>
          <w:szCs w:val="28"/>
        </w:rPr>
      </w:pPr>
      <w:r w:rsidRPr="000A6E2D">
        <w:rPr>
          <w:rFonts w:ascii="Times New Roman" w:hAnsi="Times New Roman" w:cs="Times New Roman"/>
          <w:sz w:val="28"/>
          <w:szCs w:val="28"/>
        </w:rPr>
        <w:t>The balances of the individual Provinces in the post-war re-construction or revenue reserve funds as at the end of March 1947 were:—</w:t>
      </w:r>
    </w:p>
    <w:p w14:paraId="7CB20109" w14:textId="509C5400" w:rsidR="00EE0179" w:rsidRDefault="00EE0179">
      <w:pPr>
        <w:rPr>
          <w:rFonts w:ascii="Times New Roman" w:hAnsi="Times New Roman" w:cs="Times New Roman"/>
          <w:sz w:val="28"/>
          <w:szCs w:val="28"/>
        </w:rPr>
      </w:pPr>
      <w:r>
        <w:rPr>
          <w:rFonts w:ascii="Times New Roman" w:hAnsi="Times New Roman" w:cs="Times New Roman"/>
          <w:sz w:val="28"/>
          <w:szCs w:val="28"/>
        </w:rPr>
        <w:br w:type="page"/>
      </w:r>
    </w:p>
    <w:tbl>
      <w:tblPr>
        <w:tblW w:w="0" w:type="auto"/>
        <w:jc w:val="center"/>
        <w:tblLayout w:type="fixed"/>
        <w:tblLook w:val="0000" w:firstRow="0" w:lastRow="0" w:firstColumn="0" w:lastColumn="0" w:noHBand="0" w:noVBand="0"/>
      </w:tblPr>
      <w:tblGrid>
        <w:gridCol w:w="4283"/>
        <w:gridCol w:w="2860"/>
      </w:tblGrid>
      <w:tr w:rsidR="003E0728" w:rsidRPr="003E0728" w14:paraId="3BA81F14" w14:textId="77777777" w:rsidTr="00E23521">
        <w:trPr>
          <w:trHeight w:val="397"/>
          <w:jc w:val="center"/>
        </w:trPr>
        <w:tc>
          <w:tcPr>
            <w:tcW w:w="4283" w:type="dxa"/>
            <w:tcBorders>
              <w:top w:val="single" w:sz="6" w:space="0" w:color="auto"/>
              <w:left w:val="single" w:sz="6" w:space="0" w:color="auto"/>
              <w:bottom w:val="single" w:sz="6" w:space="0" w:color="auto"/>
              <w:right w:val="single" w:sz="6" w:space="0" w:color="auto"/>
            </w:tcBorders>
          </w:tcPr>
          <w:p w14:paraId="26908C9A" w14:textId="64A53B17" w:rsidR="003E0728" w:rsidRPr="003E0728" w:rsidRDefault="003E5A14" w:rsidP="003E0728">
            <w:pPr>
              <w:pStyle w:val="Tables"/>
            </w:pPr>
            <w:r w:rsidRPr="000A6E2D">
              <w:lastRenderedPageBreak/>
              <w:tab/>
            </w:r>
          </w:p>
        </w:tc>
        <w:tc>
          <w:tcPr>
            <w:tcW w:w="2860" w:type="dxa"/>
            <w:tcBorders>
              <w:top w:val="single" w:sz="6" w:space="0" w:color="auto"/>
              <w:left w:val="single" w:sz="6" w:space="0" w:color="auto"/>
              <w:bottom w:val="single" w:sz="6" w:space="0" w:color="auto"/>
              <w:right w:val="single" w:sz="6" w:space="0" w:color="auto"/>
            </w:tcBorders>
          </w:tcPr>
          <w:p w14:paraId="126EB1CF" w14:textId="79E6BE06" w:rsidR="003E0728" w:rsidRPr="00E23521" w:rsidRDefault="003E0728" w:rsidP="003E0728">
            <w:pPr>
              <w:pStyle w:val="Tables"/>
              <w:rPr>
                <w:b/>
                <w:bCs/>
              </w:rPr>
            </w:pPr>
            <w:r w:rsidRPr="00E23521">
              <w:rPr>
                <w:b/>
                <w:bCs/>
              </w:rPr>
              <w:t>(In crores of rupees)</w:t>
            </w:r>
          </w:p>
        </w:tc>
      </w:tr>
      <w:tr w:rsidR="003E5A14" w:rsidRPr="003E0728" w14:paraId="500D17AF" w14:textId="77777777" w:rsidTr="00E23521">
        <w:trPr>
          <w:trHeight w:val="397"/>
          <w:jc w:val="center"/>
        </w:trPr>
        <w:tc>
          <w:tcPr>
            <w:tcW w:w="4283" w:type="dxa"/>
            <w:tcBorders>
              <w:top w:val="single" w:sz="6" w:space="0" w:color="auto"/>
              <w:left w:val="single" w:sz="6" w:space="0" w:color="auto"/>
              <w:bottom w:val="single" w:sz="6" w:space="0" w:color="auto"/>
              <w:right w:val="single" w:sz="6" w:space="0" w:color="auto"/>
            </w:tcBorders>
          </w:tcPr>
          <w:p w14:paraId="0EB5275E" w14:textId="77777777" w:rsidR="003E5A14" w:rsidRPr="003E0728" w:rsidRDefault="003E5A14" w:rsidP="00E23521">
            <w:pPr>
              <w:pStyle w:val="Tables"/>
              <w:jc w:val="left"/>
            </w:pPr>
            <w:r w:rsidRPr="003E0728">
              <w:t>Madras </w:t>
            </w:r>
          </w:p>
        </w:tc>
        <w:tc>
          <w:tcPr>
            <w:tcW w:w="2860" w:type="dxa"/>
            <w:tcBorders>
              <w:top w:val="single" w:sz="6" w:space="0" w:color="auto"/>
              <w:left w:val="single" w:sz="6" w:space="0" w:color="auto"/>
              <w:bottom w:val="single" w:sz="6" w:space="0" w:color="auto"/>
              <w:right w:val="single" w:sz="6" w:space="0" w:color="auto"/>
            </w:tcBorders>
          </w:tcPr>
          <w:p w14:paraId="56B3F00D" w14:textId="77777777" w:rsidR="003E5A14" w:rsidRPr="003E0728" w:rsidRDefault="003E5A14" w:rsidP="003E0728">
            <w:pPr>
              <w:pStyle w:val="Tables"/>
            </w:pPr>
            <w:r w:rsidRPr="003E0728">
              <w:t>26·57</w:t>
            </w:r>
          </w:p>
        </w:tc>
      </w:tr>
      <w:tr w:rsidR="003E5A14" w:rsidRPr="003E0728" w14:paraId="205813D1" w14:textId="77777777" w:rsidTr="00E23521">
        <w:trPr>
          <w:trHeight w:val="397"/>
          <w:jc w:val="center"/>
        </w:trPr>
        <w:tc>
          <w:tcPr>
            <w:tcW w:w="4283" w:type="dxa"/>
            <w:tcBorders>
              <w:top w:val="single" w:sz="6" w:space="0" w:color="auto"/>
              <w:left w:val="single" w:sz="6" w:space="0" w:color="auto"/>
              <w:bottom w:val="single" w:sz="6" w:space="0" w:color="auto"/>
              <w:right w:val="single" w:sz="6" w:space="0" w:color="auto"/>
            </w:tcBorders>
          </w:tcPr>
          <w:p w14:paraId="2152832C" w14:textId="77777777" w:rsidR="003E5A14" w:rsidRPr="003E0728" w:rsidRDefault="003E5A14" w:rsidP="00E23521">
            <w:pPr>
              <w:pStyle w:val="Tables"/>
              <w:jc w:val="left"/>
            </w:pPr>
            <w:r w:rsidRPr="003E0728">
              <w:t>Bombay</w:t>
            </w:r>
          </w:p>
        </w:tc>
        <w:tc>
          <w:tcPr>
            <w:tcW w:w="2860" w:type="dxa"/>
            <w:tcBorders>
              <w:top w:val="single" w:sz="6" w:space="0" w:color="auto"/>
              <w:left w:val="single" w:sz="6" w:space="0" w:color="auto"/>
              <w:bottom w:val="single" w:sz="6" w:space="0" w:color="auto"/>
              <w:right w:val="single" w:sz="6" w:space="0" w:color="auto"/>
            </w:tcBorders>
          </w:tcPr>
          <w:p w14:paraId="757EE65A" w14:textId="77777777" w:rsidR="003E5A14" w:rsidRPr="003E0728" w:rsidRDefault="003E5A14" w:rsidP="003E0728">
            <w:pPr>
              <w:pStyle w:val="Tables"/>
            </w:pPr>
            <w:r w:rsidRPr="003E0728">
              <w:t>14·80 </w:t>
            </w:r>
          </w:p>
        </w:tc>
      </w:tr>
      <w:tr w:rsidR="003E5A14" w:rsidRPr="003E0728" w14:paraId="69013E27" w14:textId="77777777" w:rsidTr="00E23521">
        <w:trPr>
          <w:trHeight w:val="397"/>
          <w:jc w:val="center"/>
        </w:trPr>
        <w:tc>
          <w:tcPr>
            <w:tcW w:w="4283" w:type="dxa"/>
            <w:tcBorders>
              <w:top w:val="single" w:sz="6" w:space="0" w:color="auto"/>
              <w:left w:val="single" w:sz="6" w:space="0" w:color="auto"/>
              <w:bottom w:val="single" w:sz="6" w:space="0" w:color="auto"/>
              <w:right w:val="single" w:sz="6" w:space="0" w:color="auto"/>
            </w:tcBorders>
          </w:tcPr>
          <w:p w14:paraId="6DFCFBFC" w14:textId="77777777" w:rsidR="003E5A14" w:rsidRPr="003E0728" w:rsidRDefault="003E5A14" w:rsidP="00E23521">
            <w:pPr>
              <w:pStyle w:val="Tables"/>
              <w:jc w:val="left"/>
            </w:pPr>
            <w:r w:rsidRPr="003E0728">
              <w:t>United Provinces</w:t>
            </w:r>
          </w:p>
        </w:tc>
        <w:tc>
          <w:tcPr>
            <w:tcW w:w="2860" w:type="dxa"/>
            <w:tcBorders>
              <w:top w:val="single" w:sz="6" w:space="0" w:color="auto"/>
              <w:left w:val="single" w:sz="6" w:space="0" w:color="auto"/>
              <w:bottom w:val="single" w:sz="6" w:space="0" w:color="auto"/>
              <w:right w:val="single" w:sz="6" w:space="0" w:color="auto"/>
            </w:tcBorders>
          </w:tcPr>
          <w:p w14:paraId="1D5BE231" w14:textId="77777777" w:rsidR="003E5A14" w:rsidRPr="003E0728" w:rsidRDefault="003E5A14" w:rsidP="003E0728">
            <w:pPr>
              <w:pStyle w:val="Tables"/>
            </w:pPr>
            <w:r w:rsidRPr="003E0728">
              <w:t> 11·95 </w:t>
            </w:r>
          </w:p>
        </w:tc>
      </w:tr>
      <w:tr w:rsidR="003E5A14" w:rsidRPr="003E0728" w14:paraId="1CCF7162" w14:textId="77777777" w:rsidTr="00E23521">
        <w:trPr>
          <w:trHeight w:val="397"/>
          <w:jc w:val="center"/>
        </w:trPr>
        <w:tc>
          <w:tcPr>
            <w:tcW w:w="4283" w:type="dxa"/>
            <w:tcBorders>
              <w:top w:val="single" w:sz="6" w:space="0" w:color="auto"/>
              <w:left w:val="single" w:sz="6" w:space="0" w:color="auto"/>
              <w:bottom w:val="single" w:sz="6" w:space="0" w:color="auto"/>
              <w:right w:val="single" w:sz="6" w:space="0" w:color="auto"/>
            </w:tcBorders>
          </w:tcPr>
          <w:p w14:paraId="6FBA3B87" w14:textId="77777777" w:rsidR="003E5A14" w:rsidRPr="003E0728" w:rsidRDefault="003E5A14" w:rsidP="00E23521">
            <w:pPr>
              <w:pStyle w:val="Tables"/>
              <w:jc w:val="left"/>
            </w:pPr>
            <w:r w:rsidRPr="003E0728">
              <w:t>Central Provinces</w:t>
            </w:r>
          </w:p>
        </w:tc>
        <w:tc>
          <w:tcPr>
            <w:tcW w:w="2860" w:type="dxa"/>
            <w:tcBorders>
              <w:top w:val="single" w:sz="6" w:space="0" w:color="auto"/>
              <w:left w:val="single" w:sz="6" w:space="0" w:color="auto"/>
              <w:bottom w:val="single" w:sz="6" w:space="0" w:color="auto"/>
              <w:right w:val="single" w:sz="6" w:space="0" w:color="auto"/>
            </w:tcBorders>
          </w:tcPr>
          <w:p w14:paraId="568A9052" w14:textId="77777777" w:rsidR="003E5A14" w:rsidRPr="003E0728" w:rsidRDefault="003E5A14" w:rsidP="003E0728">
            <w:pPr>
              <w:pStyle w:val="Tables"/>
            </w:pPr>
            <w:r w:rsidRPr="003E0728">
              <w:t>8·33</w:t>
            </w:r>
          </w:p>
        </w:tc>
      </w:tr>
      <w:tr w:rsidR="003E5A14" w:rsidRPr="003E0728" w14:paraId="6F51DFA9" w14:textId="77777777" w:rsidTr="00E23521">
        <w:trPr>
          <w:trHeight w:val="397"/>
          <w:jc w:val="center"/>
        </w:trPr>
        <w:tc>
          <w:tcPr>
            <w:tcW w:w="4283" w:type="dxa"/>
            <w:tcBorders>
              <w:top w:val="single" w:sz="6" w:space="0" w:color="auto"/>
              <w:left w:val="single" w:sz="6" w:space="0" w:color="auto"/>
              <w:bottom w:val="single" w:sz="6" w:space="0" w:color="auto"/>
              <w:right w:val="single" w:sz="6" w:space="0" w:color="auto"/>
            </w:tcBorders>
          </w:tcPr>
          <w:p w14:paraId="5D3D7D0A" w14:textId="77777777" w:rsidR="003E5A14" w:rsidRPr="003E0728" w:rsidRDefault="003E5A14" w:rsidP="00E23521">
            <w:pPr>
              <w:pStyle w:val="Tables"/>
              <w:jc w:val="left"/>
            </w:pPr>
            <w:r w:rsidRPr="003E0728">
              <w:t>Bihar</w:t>
            </w:r>
          </w:p>
        </w:tc>
        <w:tc>
          <w:tcPr>
            <w:tcW w:w="2860" w:type="dxa"/>
            <w:tcBorders>
              <w:top w:val="single" w:sz="6" w:space="0" w:color="auto"/>
              <w:left w:val="single" w:sz="6" w:space="0" w:color="auto"/>
              <w:bottom w:val="single" w:sz="6" w:space="0" w:color="auto"/>
              <w:right w:val="single" w:sz="6" w:space="0" w:color="auto"/>
            </w:tcBorders>
          </w:tcPr>
          <w:p w14:paraId="1AF2CA91" w14:textId="77777777" w:rsidR="003E5A14" w:rsidRPr="003E0728" w:rsidRDefault="003E5A14" w:rsidP="003E0728">
            <w:pPr>
              <w:pStyle w:val="Tables"/>
            </w:pPr>
            <w:r w:rsidRPr="003E0728">
              <w:t>7·27</w:t>
            </w:r>
          </w:p>
        </w:tc>
      </w:tr>
      <w:tr w:rsidR="003E5A14" w:rsidRPr="003E0728" w14:paraId="7C417E34" w14:textId="77777777" w:rsidTr="00E23521">
        <w:trPr>
          <w:trHeight w:val="397"/>
          <w:jc w:val="center"/>
        </w:trPr>
        <w:tc>
          <w:tcPr>
            <w:tcW w:w="4283" w:type="dxa"/>
            <w:tcBorders>
              <w:top w:val="single" w:sz="6" w:space="0" w:color="auto"/>
              <w:left w:val="single" w:sz="6" w:space="0" w:color="auto"/>
              <w:bottom w:val="single" w:sz="6" w:space="0" w:color="auto"/>
              <w:right w:val="single" w:sz="6" w:space="0" w:color="auto"/>
            </w:tcBorders>
          </w:tcPr>
          <w:p w14:paraId="32FE3F12" w14:textId="77777777" w:rsidR="003E5A14" w:rsidRPr="003E0728" w:rsidRDefault="003E5A14" w:rsidP="00E23521">
            <w:pPr>
              <w:pStyle w:val="Tables"/>
              <w:jc w:val="left"/>
            </w:pPr>
            <w:r w:rsidRPr="003E0728">
              <w:t>Punjab</w:t>
            </w:r>
          </w:p>
        </w:tc>
        <w:tc>
          <w:tcPr>
            <w:tcW w:w="2860" w:type="dxa"/>
            <w:tcBorders>
              <w:top w:val="single" w:sz="6" w:space="0" w:color="auto"/>
              <w:left w:val="single" w:sz="6" w:space="0" w:color="auto"/>
              <w:bottom w:val="single" w:sz="6" w:space="0" w:color="auto"/>
              <w:right w:val="single" w:sz="6" w:space="0" w:color="auto"/>
            </w:tcBorders>
          </w:tcPr>
          <w:p w14:paraId="5EC665F0" w14:textId="77777777" w:rsidR="003E5A14" w:rsidRPr="003E0728" w:rsidRDefault="003E5A14" w:rsidP="003E0728">
            <w:pPr>
              <w:pStyle w:val="Tables"/>
            </w:pPr>
            <w:r w:rsidRPr="003E0728">
              <w:t>2·30 </w:t>
            </w:r>
          </w:p>
        </w:tc>
      </w:tr>
      <w:tr w:rsidR="003E5A14" w:rsidRPr="003E0728" w14:paraId="489E2357" w14:textId="77777777" w:rsidTr="00E23521">
        <w:trPr>
          <w:trHeight w:val="397"/>
          <w:jc w:val="center"/>
        </w:trPr>
        <w:tc>
          <w:tcPr>
            <w:tcW w:w="4283" w:type="dxa"/>
            <w:tcBorders>
              <w:top w:val="single" w:sz="6" w:space="0" w:color="auto"/>
              <w:left w:val="single" w:sz="6" w:space="0" w:color="auto"/>
              <w:bottom w:val="single" w:sz="6" w:space="0" w:color="auto"/>
              <w:right w:val="single" w:sz="6" w:space="0" w:color="auto"/>
            </w:tcBorders>
          </w:tcPr>
          <w:p w14:paraId="77937ECF" w14:textId="77777777" w:rsidR="003E5A14" w:rsidRPr="003E0728" w:rsidRDefault="003E5A14" w:rsidP="00E23521">
            <w:pPr>
              <w:pStyle w:val="Tables"/>
              <w:jc w:val="left"/>
            </w:pPr>
            <w:r w:rsidRPr="003E0728">
              <w:t>Assam</w:t>
            </w:r>
          </w:p>
        </w:tc>
        <w:tc>
          <w:tcPr>
            <w:tcW w:w="2860" w:type="dxa"/>
            <w:tcBorders>
              <w:top w:val="single" w:sz="6" w:space="0" w:color="auto"/>
              <w:left w:val="single" w:sz="6" w:space="0" w:color="auto"/>
              <w:bottom w:val="single" w:sz="6" w:space="0" w:color="auto"/>
              <w:right w:val="single" w:sz="6" w:space="0" w:color="auto"/>
            </w:tcBorders>
          </w:tcPr>
          <w:p w14:paraId="7074B705" w14:textId="77777777" w:rsidR="003E5A14" w:rsidRPr="003E0728" w:rsidRDefault="003E5A14" w:rsidP="003E0728">
            <w:pPr>
              <w:pStyle w:val="Tables"/>
            </w:pPr>
            <w:r w:rsidRPr="003E0728">
              <w:t>1·03</w:t>
            </w:r>
          </w:p>
        </w:tc>
      </w:tr>
      <w:tr w:rsidR="003E5A14" w:rsidRPr="003E0728" w14:paraId="1C92B4AB" w14:textId="77777777" w:rsidTr="00E23521">
        <w:trPr>
          <w:trHeight w:val="397"/>
          <w:jc w:val="center"/>
        </w:trPr>
        <w:tc>
          <w:tcPr>
            <w:tcW w:w="4283" w:type="dxa"/>
            <w:tcBorders>
              <w:top w:val="single" w:sz="6" w:space="0" w:color="auto"/>
              <w:left w:val="single" w:sz="6" w:space="0" w:color="auto"/>
              <w:bottom w:val="single" w:sz="6" w:space="0" w:color="auto"/>
              <w:right w:val="single" w:sz="6" w:space="0" w:color="auto"/>
            </w:tcBorders>
          </w:tcPr>
          <w:p w14:paraId="75BEA96D" w14:textId="77777777" w:rsidR="003E5A14" w:rsidRPr="003E0728" w:rsidRDefault="003E5A14" w:rsidP="00E23521">
            <w:pPr>
              <w:pStyle w:val="Tables"/>
              <w:jc w:val="left"/>
            </w:pPr>
            <w:r w:rsidRPr="003E0728">
              <w:t> Bengal</w:t>
            </w:r>
          </w:p>
        </w:tc>
        <w:tc>
          <w:tcPr>
            <w:tcW w:w="2860" w:type="dxa"/>
            <w:tcBorders>
              <w:top w:val="single" w:sz="6" w:space="0" w:color="auto"/>
              <w:left w:val="single" w:sz="6" w:space="0" w:color="auto"/>
              <w:bottom w:val="single" w:sz="6" w:space="0" w:color="auto"/>
              <w:right w:val="single" w:sz="6" w:space="0" w:color="auto"/>
            </w:tcBorders>
          </w:tcPr>
          <w:p w14:paraId="2E76BF39" w14:textId="77777777" w:rsidR="003E5A14" w:rsidRPr="003E0728" w:rsidRDefault="003E5A14" w:rsidP="003E0728">
            <w:pPr>
              <w:pStyle w:val="Tables"/>
            </w:pPr>
            <w:r w:rsidRPr="003E0728">
              <w:t> —</w:t>
            </w:r>
          </w:p>
        </w:tc>
      </w:tr>
      <w:tr w:rsidR="003E5A14" w:rsidRPr="003E0728" w14:paraId="5A358E3C" w14:textId="77777777" w:rsidTr="00E23521">
        <w:trPr>
          <w:trHeight w:val="397"/>
          <w:jc w:val="center"/>
        </w:trPr>
        <w:tc>
          <w:tcPr>
            <w:tcW w:w="4283" w:type="dxa"/>
            <w:tcBorders>
              <w:top w:val="single" w:sz="6" w:space="0" w:color="auto"/>
              <w:left w:val="single" w:sz="6" w:space="0" w:color="auto"/>
              <w:bottom w:val="single" w:sz="6" w:space="0" w:color="auto"/>
              <w:right w:val="single" w:sz="6" w:space="0" w:color="auto"/>
            </w:tcBorders>
          </w:tcPr>
          <w:p w14:paraId="4329B81F" w14:textId="77777777" w:rsidR="003E5A14" w:rsidRPr="003E0728" w:rsidRDefault="003E5A14" w:rsidP="00E23521">
            <w:pPr>
              <w:pStyle w:val="Tables"/>
              <w:jc w:val="left"/>
            </w:pPr>
            <w:r w:rsidRPr="003E0728">
              <w:t>Orissa</w:t>
            </w:r>
          </w:p>
        </w:tc>
        <w:tc>
          <w:tcPr>
            <w:tcW w:w="2860" w:type="dxa"/>
            <w:tcBorders>
              <w:top w:val="single" w:sz="6" w:space="0" w:color="auto"/>
              <w:left w:val="single" w:sz="6" w:space="0" w:color="auto"/>
              <w:bottom w:val="single" w:sz="6" w:space="0" w:color="auto"/>
              <w:right w:val="single" w:sz="6" w:space="0" w:color="auto"/>
            </w:tcBorders>
          </w:tcPr>
          <w:p w14:paraId="3289595A" w14:textId="77777777" w:rsidR="003E5A14" w:rsidRPr="003E0728" w:rsidRDefault="003E5A14" w:rsidP="003E0728">
            <w:pPr>
              <w:pStyle w:val="Tables"/>
            </w:pPr>
            <w:r w:rsidRPr="003E0728">
              <w:t> —</w:t>
            </w:r>
          </w:p>
        </w:tc>
      </w:tr>
      <w:tr w:rsidR="003E5A14" w:rsidRPr="003E0728" w14:paraId="4B991DFE" w14:textId="77777777" w:rsidTr="00E23521">
        <w:trPr>
          <w:trHeight w:val="397"/>
          <w:jc w:val="center"/>
        </w:trPr>
        <w:tc>
          <w:tcPr>
            <w:tcW w:w="4283" w:type="dxa"/>
            <w:tcBorders>
              <w:top w:val="single" w:sz="6" w:space="0" w:color="auto"/>
              <w:left w:val="single" w:sz="6" w:space="0" w:color="auto"/>
              <w:bottom w:val="single" w:sz="6" w:space="0" w:color="auto"/>
              <w:right w:val="single" w:sz="6" w:space="0" w:color="auto"/>
            </w:tcBorders>
          </w:tcPr>
          <w:p w14:paraId="539E8B02" w14:textId="77777777" w:rsidR="003E5A14" w:rsidRPr="003E0728" w:rsidRDefault="003E5A14" w:rsidP="00E23521">
            <w:pPr>
              <w:pStyle w:val="Tables"/>
              <w:jc w:val="left"/>
            </w:pPr>
            <w:r w:rsidRPr="003E0728">
              <w:t>Sind</w:t>
            </w:r>
          </w:p>
        </w:tc>
        <w:tc>
          <w:tcPr>
            <w:tcW w:w="2860" w:type="dxa"/>
            <w:tcBorders>
              <w:top w:val="single" w:sz="6" w:space="0" w:color="auto"/>
              <w:left w:val="single" w:sz="6" w:space="0" w:color="auto"/>
              <w:bottom w:val="single" w:sz="6" w:space="0" w:color="auto"/>
              <w:right w:val="single" w:sz="6" w:space="0" w:color="auto"/>
            </w:tcBorders>
          </w:tcPr>
          <w:p w14:paraId="0447A532" w14:textId="77777777" w:rsidR="003E5A14" w:rsidRPr="003E0728" w:rsidRDefault="003E5A14" w:rsidP="003E0728">
            <w:pPr>
              <w:pStyle w:val="Tables"/>
            </w:pPr>
            <w:r w:rsidRPr="003E0728">
              <w:t>4·32 </w:t>
            </w:r>
          </w:p>
        </w:tc>
      </w:tr>
      <w:tr w:rsidR="003E5A14" w:rsidRPr="003E0728" w14:paraId="63EB9C3B" w14:textId="77777777" w:rsidTr="00E23521">
        <w:trPr>
          <w:trHeight w:val="397"/>
          <w:jc w:val="center"/>
        </w:trPr>
        <w:tc>
          <w:tcPr>
            <w:tcW w:w="4283" w:type="dxa"/>
            <w:tcBorders>
              <w:top w:val="single" w:sz="6" w:space="0" w:color="auto"/>
              <w:left w:val="single" w:sz="6" w:space="0" w:color="auto"/>
              <w:bottom w:val="single" w:sz="6" w:space="0" w:color="auto"/>
              <w:right w:val="single" w:sz="6" w:space="0" w:color="auto"/>
            </w:tcBorders>
          </w:tcPr>
          <w:p w14:paraId="4C208745" w14:textId="77777777" w:rsidR="003E5A14" w:rsidRPr="003E0728" w:rsidRDefault="003E5A14" w:rsidP="00E23521">
            <w:pPr>
              <w:pStyle w:val="Tables"/>
              <w:jc w:val="left"/>
            </w:pPr>
            <w:r w:rsidRPr="003E0728">
              <w:t>North-West Frontier Province </w:t>
            </w:r>
          </w:p>
        </w:tc>
        <w:tc>
          <w:tcPr>
            <w:tcW w:w="2860" w:type="dxa"/>
            <w:tcBorders>
              <w:top w:val="single" w:sz="6" w:space="0" w:color="auto"/>
              <w:left w:val="single" w:sz="6" w:space="0" w:color="auto"/>
              <w:bottom w:val="single" w:sz="6" w:space="0" w:color="auto"/>
              <w:right w:val="single" w:sz="6" w:space="0" w:color="auto"/>
            </w:tcBorders>
          </w:tcPr>
          <w:p w14:paraId="16F22E6C" w14:textId="77777777" w:rsidR="003E5A14" w:rsidRPr="003E0728" w:rsidRDefault="003E5A14" w:rsidP="003E0728">
            <w:pPr>
              <w:pStyle w:val="Tables"/>
            </w:pPr>
            <w:r w:rsidRPr="003E0728">
              <w:t> —</w:t>
            </w:r>
          </w:p>
        </w:tc>
      </w:tr>
    </w:tbl>
    <w:p w14:paraId="67E4F5FB" w14:textId="0D86DC1D" w:rsidR="003E5A14" w:rsidRPr="000A6E2D" w:rsidRDefault="003E5A14" w:rsidP="000A6E2D">
      <w:pPr>
        <w:tabs>
          <w:tab w:val="left" w:pos="3165"/>
        </w:tabs>
        <w:spacing w:after="0" w:line="380" w:lineRule="exact"/>
        <w:jc w:val="both"/>
        <w:rPr>
          <w:rFonts w:ascii="Times New Roman" w:hAnsi="Times New Roman" w:cs="Times New Roman"/>
          <w:sz w:val="28"/>
          <w:szCs w:val="28"/>
        </w:rPr>
      </w:pPr>
    </w:p>
    <w:p w14:paraId="3CE1A36A" w14:textId="5D5DC77D" w:rsidR="003E5A14" w:rsidRPr="000A6E2D" w:rsidRDefault="003E5A14" w:rsidP="00EE0179">
      <w:pPr>
        <w:spacing w:after="0" w:line="520" w:lineRule="exact"/>
        <w:jc w:val="both"/>
        <w:rPr>
          <w:rFonts w:ascii="Times New Roman" w:hAnsi="Times New Roman" w:cs="Times New Roman"/>
          <w:sz w:val="28"/>
          <w:szCs w:val="28"/>
        </w:rPr>
      </w:pPr>
      <w:r w:rsidRPr="000A6E2D">
        <w:rPr>
          <w:rFonts w:ascii="Times New Roman" w:hAnsi="Times New Roman" w:cs="Times New Roman"/>
          <w:sz w:val="28"/>
          <w:szCs w:val="28"/>
        </w:rPr>
        <w:t xml:space="preserve">Famine affected the finances of Bengal considerably in this period and, </w:t>
      </w:r>
      <w:proofErr w:type="gramStart"/>
      <w:r w:rsidRPr="000A6E2D">
        <w:rPr>
          <w:rFonts w:ascii="Times New Roman" w:hAnsi="Times New Roman" w:cs="Times New Roman"/>
          <w:sz w:val="28"/>
          <w:szCs w:val="28"/>
        </w:rPr>
        <w:t>in spite of</w:t>
      </w:r>
      <w:proofErr w:type="gramEnd"/>
      <w:r w:rsidRPr="000A6E2D">
        <w:rPr>
          <w:rFonts w:ascii="Times New Roman" w:hAnsi="Times New Roman" w:cs="Times New Roman"/>
          <w:sz w:val="28"/>
          <w:szCs w:val="28"/>
        </w:rPr>
        <w:t xml:space="preserve"> special grants amounting to Rs.18 crores from the Centre, at the end of 1946-47, Bengal had a minus balance of Ps.5 crores. Orissa, with its exiguous resources, had no accumulated reserves.</w:t>
      </w:r>
    </w:p>
    <w:p w14:paraId="3A60243E" w14:textId="77777777" w:rsidR="003E0728" w:rsidRDefault="003E0728" w:rsidP="00EE0179">
      <w:pPr>
        <w:spacing w:after="0" w:line="520" w:lineRule="exact"/>
        <w:jc w:val="center"/>
        <w:rPr>
          <w:rFonts w:ascii="Times New Roman" w:hAnsi="Times New Roman" w:cs="Times New Roman"/>
          <w:sz w:val="28"/>
          <w:szCs w:val="28"/>
        </w:rPr>
      </w:pPr>
    </w:p>
    <w:p w14:paraId="11606FF1" w14:textId="66C54E77" w:rsidR="003E5A14" w:rsidRDefault="003E5A14" w:rsidP="00EE0179">
      <w:pPr>
        <w:spacing w:after="0" w:line="520" w:lineRule="exact"/>
        <w:jc w:val="center"/>
        <w:rPr>
          <w:rFonts w:ascii="Times New Roman" w:hAnsi="Times New Roman" w:cs="Times New Roman"/>
          <w:sz w:val="28"/>
          <w:szCs w:val="28"/>
        </w:rPr>
      </w:pPr>
      <w:r w:rsidRPr="003E0728">
        <w:rPr>
          <w:rFonts w:ascii="Times New Roman" w:hAnsi="Times New Roman" w:cs="Times New Roman"/>
          <w:sz w:val="28"/>
          <w:szCs w:val="28"/>
        </w:rPr>
        <w:t>THE PARTITION, MERGER AND INTEGRATION OF STATES</w:t>
      </w:r>
      <w:r w:rsidRPr="003E0728">
        <w:rPr>
          <w:rFonts w:ascii="Times New Roman" w:hAnsi="Times New Roman" w:cs="Times New Roman"/>
          <w:sz w:val="28"/>
          <w:szCs w:val="28"/>
        </w:rPr>
        <w:br/>
        <w:t>1947-48 to 1949-50</w:t>
      </w:r>
    </w:p>
    <w:p w14:paraId="3746DDD8" w14:textId="55771ED7" w:rsidR="003E5A14" w:rsidRPr="000A6E2D" w:rsidRDefault="003E5A14" w:rsidP="00EE0179">
      <w:pPr>
        <w:pStyle w:val="ListParagraph"/>
        <w:numPr>
          <w:ilvl w:val="0"/>
          <w:numId w:val="29"/>
        </w:numPr>
        <w:spacing w:after="0" w:line="520" w:lineRule="exact"/>
        <w:ind w:left="0" w:firstLine="556"/>
        <w:jc w:val="both"/>
        <w:rPr>
          <w:rFonts w:ascii="Times New Roman" w:hAnsi="Times New Roman" w:cs="Times New Roman"/>
          <w:sz w:val="28"/>
          <w:szCs w:val="28"/>
        </w:rPr>
      </w:pPr>
      <w:r w:rsidRPr="000A6E2D">
        <w:rPr>
          <w:rFonts w:ascii="Times New Roman" w:hAnsi="Times New Roman" w:cs="Times New Roman"/>
          <w:sz w:val="28"/>
          <w:szCs w:val="28"/>
        </w:rPr>
        <w:t xml:space="preserve">The three years that followed the advent of Independence witnessed a transformation in the political, economic and financial background. The partition divided three Provinces while large areas comprised in the former Indian States were merged with Provinces or formed into new political units as Part B and Part C States. The developments during these years added appreciably to Central expenditure. After Independence, defence involved additional commitments. Besides, Independence gave a natural stimulus to expansion of social services and called for large additional outlays on nation-building activities, while the deficit position of the country in regard </w:t>
      </w:r>
      <w:r w:rsidRPr="000A6E2D">
        <w:rPr>
          <w:rFonts w:ascii="Times New Roman" w:hAnsi="Times New Roman" w:cs="Times New Roman"/>
          <w:sz w:val="28"/>
          <w:szCs w:val="28"/>
        </w:rPr>
        <w:lastRenderedPageBreak/>
        <w:t>to food in an inflationary context rendered necessary the continuance of subsidies on foodgrains.</w:t>
      </w:r>
    </w:p>
    <w:p w14:paraId="34B9741F" w14:textId="3CC20006" w:rsidR="003E5A14" w:rsidRPr="000A6E2D" w:rsidRDefault="003E5A14" w:rsidP="00EE0179">
      <w:pPr>
        <w:pStyle w:val="ListParagraph"/>
        <w:numPr>
          <w:ilvl w:val="0"/>
          <w:numId w:val="29"/>
        </w:numPr>
        <w:spacing w:after="0" w:line="520" w:lineRule="exact"/>
        <w:ind w:left="0" w:firstLine="556"/>
        <w:jc w:val="both"/>
        <w:rPr>
          <w:rFonts w:ascii="Times New Roman" w:hAnsi="Times New Roman" w:cs="Times New Roman"/>
          <w:sz w:val="28"/>
          <w:szCs w:val="28"/>
        </w:rPr>
      </w:pPr>
      <w:r w:rsidRPr="003E0728">
        <w:rPr>
          <w:rFonts w:ascii="Times New Roman" w:hAnsi="Times New Roman" w:cs="Times New Roman"/>
          <w:i/>
          <w:iCs/>
          <w:sz w:val="28"/>
          <w:szCs w:val="28"/>
        </w:rPr>
        <w:t>Central Finances.—</w:t>
      </w:r>
      <w:r w:rsidRPr="000A6E2D">
        <w:rPr>
          <w:rFonts w:ascii="Times New Roman" w:hAnsi="Times New Roman" w:cs="Times New Roman"/>
          <w:sz w:val="28"/>
          <w:szCs w:val="28"/>
        </w:rPr>
        <w:t>Central finances in this period bear the impress of all these events. Defence expenditure, lower than during war time, was still high and civil expenditure continued to increase. Revenue also remained high; rates of income-tax were further raised in 1947-48 before partition; the war time increases under Central excise were maintained and new excise duties were levied; higher rates of certain export duties and the beneficial effects of devaluation on external trade helped to raise customs revenue. The accounts for 1947-48 (post-partition), 1948-49 and 1949-50 showed surpluses of Rs. 44</w:t>
      </w:r>
      <w:r w:rsidR="00F70D48">
        <w:rPr>
          <w:rFonts w:ascii="Times New Roman" w:hAnsi="Times New Roman" w:cs="Times New Roman"/>
          <w:sz w:val="28"/>
          <w:szCs w:val="28"/>
        </w:rPr>
        <w:t>.</w:t>
      </w:r>
      <w:r w:rsidRPr="000A6E2D">
        <w:rPr>
          <w:rFonts w:ascii="Times New Roman" w:hAnsi="Times New Roman" w:cs="Times New Roman"/>
          <w:sz w:val="28"/>
          <w:szCs w:val="28"/>
        </w:rPr>
        <w:t>5 crores, Rs. 50</w:t>
      </w:r>
      <w:r w:rsidR="00F70D48">
        <w:rPr>
          <w:rFonts w:ascii="Times New Roman" w:hAnsi="Times New Roman" w:cs="Times New Roman"/>
          <w:sz w:val="28"/>
          <w:szCs w:val="28"/>
        </w:rPr>
        <w:t>.</w:t>
      </w:r>
      <w:r w:rsidRPr="000A6E2D">
        <w:rPr>
          <w:rFonts w:ascii="Times New Roman" w:hAnsi="Times New Roman" w:cs="Times New Roman"/>
          <w:sz w:val="28"/>
          <w:szCs w:val="28"/>
        </w:rPr>
        <w:t>8 crores and Rs. 33</w:t>
      </w:r>
      <w:r w:rsidR="00F70D48">
        <w:rPr>
          <w:rFonts w:ascii="Times New Roman" w:hAnsi="Times New Roman" w:cs="Times New Roman"/>
          <w:sz w:val="28"/>
          <w:szCs w:val="28"/>
        </w:rPr>
        <w:t>.</w:t>
      </w:r>
      <w:r w:rsidRPr="000A6E2D">
        <w:rPr>
          <w:rFonts w:ascii="Times New Roman" w:hAnsi="Times New Roman" w:cs="Times New Roman"/>
          <w:sz w:val="28"/>
          <w:szCs w:val="28"/>
        </w:rPr>
        <w:t>3 crores, respectively.</w:t>
      </w:r>
    </w:p>
    <w:p w14:paraId="49A89C22" w14:textId="77777777" w:rsidR="003E5A14" w:rsidRPr="000A6E2D" w:rsidRDefault="003E5A14" w:rsidP="00EE0179">
      <w:pPr>
        <w:pStyle w:val="ListParagraph"/>
        <w:numPr>
          <w:ilvl w:val="0"/>
          <w:numId w:val="29"/>
        </w:numPr>
        <w:spacing w:after="0" w:line="520" w:lineRule="exact"/>
        <w:ind w:left="0" w:firstLine="556"/>
        <w:jc w:val="both"/>
        <w:rPr>
          <w:rFonts w:ascii="Times New Roman" w:hAnsi="Times New Roman" w:cs="Times New Roman"/>
          <w:sz w:val="28"/>
          <w:szCs w:val="28"/>
        </w:rPr>
      </w:pPr>
      <w:r w:rsidRPr="003E0728">
        <w:rPr>
          <w:rFonts w:ascii="Times New Roman" w:hAnsi="Times New Roman" w:cs="Times New Roman"/>
          <w:i/>
          <w:iCs/>
          <w:sz w:val="28"/>
          <w:szCs w:val="28"/>
        </w:rPr>
        <w:t>Provincial Finances.—</w:t>
      </w:r>
      <w:r w:rsidRPr="000A6E2D">
        <w:rPr>
          <w:rFonts w:ascii="Times New Roman" w:hAnsi="Times New Roman" w:cs="Times New Roman"/>
          <w:sz w:val="28"/>
          <w:szCs w:val="28"/>
        </w:rPr>
        <w:t>In several Provinces, particularly the divided Provinces, the pressure of events following partition was felt in respect of general administration and security services. The expansion of State activities following Independence, the increased outlay on social services, the revision of scales of pay and allowances and the continuance of food controls and subsidies, largely contributed to the increase in provincial expenditure in this period.</w:t>
      </w:r>
    </w:p>
    <w:p w14:paraId="2B05939A" w14:textId="36B34013" w:rsidR="003E5A14" w:rsidRPr="000A6E2D" w:rsidRDefault="003E5A14" w:rsidP="00EE0179">
      <w:pPr>
        <w:pStyle w:val="ListParagraph"/>
        <w:numPr>
          <w:ilvl w:val="0"/>
          <w:numId w:val="29"/>
        </w:numPr>
        <w:spacing w:after="0" w:line="520" w:lineRule="exact"/>
        <w:ind w:left="0" w:firstLine="556"/>
        <w:jc w:val="both"/>
        <w:rPr>
          <w:rFonts w:ascii="Times New Roman" w:hAnsi="Times New Roman" w:cs="Times New Roman"/>
          <w:sz w:val="28"/>
          <w:szCs w:val="28"/>
        </w:rPr>
      </w:pPr>
      <w:r w:rsidRPr="000A6E2D">
        <w:rPr>
          <w:rFonts w:ascii="Times New Roman" w:hAnsi="Times New Roman" w:cs="Times New Roman"/>
          <w:sz w:val="28"/>
          <w:szCs w:val="28"/>
        </w:rPr>
        <w:t>The Central Government, impelled by fears of a post-war recession as well as by the necessity for making up the large leeway in economic development had, towards the end of the war, invited the Provincial Governments to formulate plans of post-war reconstruction and development. Toward financing this development, the Centre extended liberal financial assistance. A development programme of considerable dimensions was thus already under way when partition struck at the country’s economy. Soon after the</w:t>
      </w:r>
      <w:r w:rsidR="00426BDA" w:rsidRPr="000A6E2D">
        <w:rPr>
          <w:rFonts w:ascii="Times New Roman" w:hAnsi="Times New Roman" w:cs="Times New Roman"/>
          <w:sz w:val="28"/>
          <w:szCs w:val="28"/>
        </w:rPr>
        <w:t xml:space="preserve"> </w:t>
      </w:r>
      <w:r w:rsidRPr="000A6E2D">
        <w:rPr>
          <w:rFonts w:ascii="Times New Roman" w:hAnsi="Times New Roman" w:cs="Times New Roman"/>
          <w:sz w:val="28"/>
          <w:szCs w:val="28"/>
        </w:rPr>
        <w:t xml:space="preserve">attainment of Independence, many Provincial Governments embarked on projects to establish industrial, electricity, road trans-port and other enterprises under public ownership. Economic de-control came </w:t>
      </w:r>
      <w:r w:rsidRPr="000A6E2D">
        <w:rPr>
          <w:rFonts w:ascii="Times New Roman" w:hAnsi="Times New Roman" w:cs="Times New Roman"/>
          <w:sz w:val="28"/>
          <w:szCs w:val="28"/>
        </w:rPr>
        <w:lastRenderedPageBreak/>
        <w:t xml:space="preserve">shortly after partition and the inflationary upsurge of prices that followed in its wake led the Centre to reduce its assistance to the </w:t>
      </w:r>
      <w:r w:rsidR="00F70D48" w:rsidRPr="000A6E2D">
        <w:rPr>
          <w:rFonts w:ascii="Times New Roman" w:hAnsi="Times New Roman" w:cs="Times New Roman"/>
          <w:sz w:val="28"/>
          <w:szCs w:val="28"/>
        </w:rPr>
        <w:t>provinces</w:t>
      </w:r>
      <w:r w:rsidRPr="000A6E2D">
        <w:rPr>
          <w:rFonts w:ascii="Times New Roman" w:hAnsi="Times New Roman" w:cs="Times New Roman"/>
          <w:sz w:val="28"/>
          <w:szCs w:val="28"/>
        </w:rPr>
        <w:t>. Post-war development grants were stopped from 1950-51, except for "Grow More Food" and for certain special schemes. This imposed some strain on the finances of such Provinces as could not contract their commitments in respect of development. The development grants received by the Provinces from the Centre between the 15th August 1947 and 31st March 1950 amounted to Rs. 38</w:t>
      </w:r>
      <w:r w:rsidR="00F70D48">
        <w:rPr>
          <w:rFonts w:ascii="Times New Roman" w:hAnsi="Times New Roman" w:cs="Times New Roman"/>
          <w:sz w:val="28"/>
          <w:szCs w:val="28"/>
        </w:rPr>
        <w:t>.</w:t>
      </w:r>
      <w:r w:rsidRPr="000A6E2D">
        <w:rPr>
          <w:rFonts w:ascii="Times New Roman" w:hAnsi="Times New Roman" w:cs="Times New Roman"/>
          <w:sz w:val="28"/>
          <w:szCs w:val="28"/>
        </w:rPr>
        <w:t>3 crores.</w:t>
      </w:r>
    </w:p>
    <w:p w14:paraId="0FFC3E3C" w14:textId="25FE63C7" w:rsidR="003E5A14" w:rsidRPr="000A6E2D" w:rsidRDefault="003E5A14" w:rsidP="00EE0179">
      <w:pPr>
        <w:pStyle w:val="ListParagraph"/>
        <w:numPr>
          <w:ilvl w:val="0"/>
          <w:numId w:val="29"/>
        </w:numPr>
        <w:spacing w:after="0" w:line="520" w:lineRule="exact"/>
        <w:ind w:left="0" w:firstLine="556"/>
        <w:jc w:val="both"/>
        <w:rPr>
          <w:rFonts w:ascii="Times New Roman" w:hAnsi="Times New Roman" w:cs="Times New Roman"/>
          <w:sz w:val="28"/>
          <w:szCs w:val="28"/>
        </w:rPr>
      </w:pPr>
      <w:r w:rsidRPr="000A6E2D">
        <w:rPr>
          <w:rFonts w:ascii="Times New Roman" w:hAnsi="Times New Roman" w:cs="Times New Roman"/>
          <w:sz w:val="28"/>
          <w:szCs w:val="28"/>
        </w:rPr>
        <w:t>Provincial revenues maintained their buoyancy throughout the period and expanded steadily. A principal constituent of these revenues was the Provinces' share in the divisible pool of income-tax, which increased from about Rs. 29.9 crores in 1946-47 to Rs. 41.8 crores in 1948-49 and Rs. 45.7 crores in 1949-50. As regards provincial heads of revenue, the policy of prohibition resulted in loss of revenue to some Governments, particularly Madras and Bombay, but this was more than made up by additional receipts from fresh taxation, chiefly from the general sales tax. The increases in provincial taxation were particularly marked in the three years 1947-48 to 1949-50. The rates of existing taxes like the entertainment and betting taxes, the tax on motor spirit, excise duties, electricity duties and the motor vehicles tax, were increased and new taxes such as the sales tax and the agricultural income-tax were introduced.</w:t>
      </w:r>
    </w:p>
    <w:p w14:paraId="5AEC3B9E" w14:textId="4B54EB11" w:rsidR="003E5A14" w:rsidRPr="000A6E2D" w:rsidRDefault="003E5A14" w:rsidP="00EE0179">
      <w:pPr>
        <w:pStyle w:val="ListParagraph"/>
        <w:numPr>
          <w:ilvl w:val="0"/>
          <w:numId w:val="29"/>
        </w:numPr>
        <w:spacing w:after="0" w:line="520" w:lineRule="exact"/>
        <w:ind w:left="0" w:firstLine="556"/>
        <w:jc w:val="both"/>
        <w:rPr>
          <w:rFonts w:ascii="Times New Roman" w:hAnsi="Times New Roman" w:cs="Times New Roman"/>
          <w:sz w:val="28"/>
          <w:szCs w:val="28"/>
        </w:rPr>
      </w:pPr>
      <w:r w:rsidRPr="000A6E2D">
        <w:rPr>
          <w:rFonts w:ascii="Times New Roman" w:hAnsi="Times New Roman" w:cs="Times New Roman"/>
          <w:sz w:val="28"/>
          <w:szCs w:val="28"/>
        </w:rPr>
        <w:t xml:space="preserve">During each of the three years under review, provincial revenue as a whole was in excess of expenditure; the combined sur-plus in 1949-50 was Rs. 5.3 crores. Taking the Provinces individually, Bihar, Madhya Pradesh and West Bengal showed sizeable surpluses; the budgets of Assam, Bombay, Madras and Punjab had either small surpluses or small deficits; Uttar Pradesh and Orissa showed fairly large deficits. To meet the difficulties created for Punjab after partition, special grants were made; Rs. 100 lakhs were paid in 1947-48 and Rs. 175 lakhs each in 1948-49 and </w:t>
      </w:r>
      <w:r w:rsidRPr="000A6E2D">
        <w:rPr>
          <w:rFonts w:ascii="Times New Roman" w:hAnsi="Times New Roman" w:cs="Times New Roman"/>
          <w:sz w:val="28"/>
          <w:szCs w:val="28"/>
        </w:rPr>
        <w:lastRenderedPageBreak/>
        <w:t xml:space="preserve">1949-50. </w:t>
      </w:r>
      <w:r w:rsidRPr="00F70D48">
        <w:rPr>
          <w:rFonts w:ascii="Times New Roman" w:hAnsi="Times New Roman" w:cs="Times New Roman"/>
          <w:i/>
          <w:iCs/>
          <w:sz w:val="28"/>
          <w:szCs w:val="28"/>
        </w:rPr>
        <w:t>Ad hoc</w:t>
      </w:r>
      <w:r w:rsidRPr="000A6E2D">
        <w:rPr>
          <w:rFonts w:ascii="Times New Roman" w:hAnsi="Times New Roman" w:cs="Times New Roman"/>
          <w:sz w:val="28"/>
          <w:szCs w:val="28"/>
        </w:rPr>
        <w:t xml:space="preserve"> grants of Rs. 40 lakhs in 1947-48 and Rs. 50 lakhs each in 1948-49 and 1949-50 were also made to West Bengal.</w:t>
      </w:r>
    </w:p>
    <w:p w14:paraId="33B8029A" w14:textId="77777777" w:rsidR="003E5A14" w:rsidRPr="003E0728" w:rsidRDefault="003E5A14" w:rsidP="00EE0179">
      <w:pPr>
        <w:spacing w:after="0" w:line="520" w:lineRule="exact"/>
        <w:jc w:val="center"/>
        <w:rPr>
          <w:rFonts w:ascii="Times New Roman" w:hAnsi="Times New Roman" w:cs="Times New Roman"/>
          <w:sz w:val="28"/>
          <w:szCs w:val="28"/>
        </w:rPr>
      </w:pPr>
      <w:r w:rsidRPr="003E0728">
        <w:rPr>
          <w:rFonts w:ascii="Times New Roman" w:hAnsi="Times New Roman" w:cs="Times New Roman"/>
          <w:sz w:val="28"/>
          <w:szCs w:val="28"/>
        </w:rPr>
        <w:t>THE CURRENT FINANCIAL SCENE</w:t>
      </w:r>
    </w:p>
    <w:p w14:paraId="35489E7F" w14:textId="13CADAF9" w:rsidR="003E5A14" w:rsidRPr="000A6E2D" w:rsidRDefault="003E5A14" w:rsidP="00EE0179">
      <w:pPr>
        <w:pStyle w:val="ListParagraph"/>
        <w:numPr>
          <w:ilvl w:val="0"/>
          <w:numId w:val="29"/>
        </w:numPr>
        <w:spacing w:after="0" w:line="520" w:lineRule="exact"/>
        <w:ind w:left="0" w:firstLine="556"/>
        <w:jc w:val="both"/>
        <w:rPr>
          <w:rFonts w:ascii="Times New Roman" w:hAnsi="Times New Roman" w:cs="Times New Roman"/>
          <w:sz w:val="28"/>
          <w:szCs w:val="28"/>
        </w:rPr>
      </w:pPr>
      <w:r w:rsidRPr="000A6E2D">
        <w:rPr>
          <w:rFonts w:ascii="Times New Roman" w:hAnsi="Times New Roman" w:cs="Times New Roman"/>
          <w:sz w:val="28"/>
          <w:szCs w:val="28"/>
        </w:rPr>
        <w:t>With the completion of mergers and federal financial integration of the former Indian States, it has become possible for the first time to form a picture of the finances of all the States of India. We can now take a view of Central and State finances together as well as in relation to each other so as to approach the specific problems referred to us in the perspective of the current financial scene.</w:t>
      </w:r>
    </w:p>
    <w:p w14:paraId="6059AF5A" w14:textId="6EC0DF15" w:rsidR="00426BDA" w:rsidRDefault="00426BDA" w:rsidP="00EE0179">
      <w:pPr>
        <w:pStyle w:val="ListParagraph"/>
        <w:numPr>
          <w:ilvl w:val="0"/>
          <w:numId w:val="29"/>
        </w:numPr>
        <w:spacing w:after="0" w:line="520" w:lineRule="exact"/>
        <w:ind w:left="0" w:firstLine="556"/>
        <w:jc w:val="both"/>
        <w:rPr>
          <w:rFonts w:ascii="Times New Roman" w:hAnsi="Times New Roman" w:cs="Times New Roman"/>
          <w:sz w:val="28"/>
          <w:szCs w:val="28"/>
        </w:rPr>
      </w:pPr>
      <w:r w:rsidRPr="003E0728">
        <w:rPr>
          <w:rFonts w:ascii="Times New Roman" w:hAnsi="Times New Roman" w:cs="Times New Roman"/>
          <w:i/>
          <w:iCs/>
          <w:sz w:val="28"/>
          <w:szCs w:val="28"/>
        </w:rPr>
        <w:t>Central Finances.—</w:t>
      </w:r>
      <w:r w:rsidRPr="000A6E2D">
        <w:rPr>
          <w:rFonts w:ascii="Times New Roman" w:hAnsi="Times New Roman" w:cs="Times New Roman"/>
          <w:sz w:val="28"/>
          <w:szCs w:val="28"/>
        </w:rPr>
        <w:t>The following table brings together the salient facts of Central revenue and expenditure since 1950-51.</w:t>
      </w:r>
    </w:p>
    <w:p w14:paraId="317D6336" w14:textId="77777777" w:rsidR="003E0728" w:rsidRPr="003E0728" w:rsidRDefault="003E0728" w:rsidP="003E0728">
      <w:pPr>
        <w:pStyle w:val="ListParagraph"/>
        <w:spacing w:after="0" w:line="400" w:lineRule="exact"/>
        <w:ind w:left="556"/>
        <w:jc w:val="both"/>
        <w:rPr>
          <w:rFonts w:ascii="Times New Roman" w:hAnsi="Times New Roman" w:cs="Times New Roman"/>
          <w:sz w:val="28"/>
          <w:szCs w:val="28"/>
        </w:rPr>
      </w:pPr>
    </w:p>
    <w:p w14:paraId="6BA90900" w14:textId="5F550CBC" w:rsidR="00426BDA" w:rsidRPr="003E0728" w:rsidRDefault="00426BDA" w:rsidP="003E0728">
      <w:pPr>
        <w:pStyle w:val="NoSpacing"/>
        <w:spacing w:line="380" w:lineRule="exact"/>
        <w:jc w:val="center"/>
        <w:rPr>
          <w:rFonts w:ascii="Times New Roman" w:hAnsi="Times New Roman" w:cs="Times New Roman"/>
          <w:sz w:val="28"/>
          <w:szCs w:val="28"/>
        </w:rPr>
      </w:pPr>
      <w:r w:rsidRPr="003E0728">
        <w:rPr>
          <w:rFonts w:ascii="Times New Roman" w:hAnsi="Times New Roman" w:cs="Times New Roman"/>
          <w:sz w:val="28"/>
          <w:szCs w:val="28"/>
        </w:rPr>
        <w:t>REVENUE AND EXPENDITURE OF THE CENTRAL GOVERNMENT</w:t>
      </w:r>
      <w:r w:rsidRPr="003E0728">
        <w:rPr>
          <w:rFonts w:ascii="Times New Roman" w:hAnsi="Times New Roman" w:cs="Times New Roman"/>
          <w:sz w:val="28"/>
          <w:szCs w:val="28"/>
        </w:rPr>
        <w:br/>
        <w:t>1950-51 TO 1952-53</w:t>
      </w:r>
    </w:p>
    <w:p w14:paraId="7C7AC93B" w14:textId="7431164E" w:rsidR="000E195C" w:rsidRDefault="00426BDA" w:rsidP="003E0728">
      <w:pPr>
        <w:pStyle w:val="NoSpacing"/>
        <w:spacing w:line="380" w:lineRule="exact"/>
        <w:jc w:val="center"/>
        <w:rPr>
          <w:rFonts w:ascii="Times New Roman" w:hAnsi="Times New Roman" w:cs="Times New Roman"/>
          <w:sz w:val="28"/>
          <w:szCs w:val="28"/>
        </w:rPr>
      </w:pPr>
      <w:r w:rsidRPr="003E0728">
        <w:rPr>
          <w:rFonts w:ascii="Times New Roman" w:hAnsi="Times New Roman" w:cs="Times New Roman"/>
          <w:sz w:val="28"/>
          <w:szCs w:val="28"/>
        </w:rPr>
        <w:t>A.—Revenue</w:t>
      </w:r>
    </w:p>
    <w:tbl>
      <w:tblPr>
        <w:tblW w:w="9073" w:type="dxa"/>
        <w:jc w:val="center"/>
        <w:tblLook w:val="04A0" w:firstRow="1" w:lastRow="0" w:firstColumn="1" w:lastColumn="0" w:noHBand="0" w:noVBand="1"/>
      </w:tblPr>
      <w:tblGrid>
        <w:gridCol w:w="2254"/>
        <w:gridCol w:w="1324"/>
        <w:gridCol w:w="949"/>
        <w:gridCol w:w="1324"/>
        <w:gridCol w:w="949"/>
        <w:gridCol w:w="1324"/>
        <w:gridCol w:w="949"/>
      </w:tblGrid>
      <w:tr w:rsidR="003E0728" w:rsidRPr="003E0728" w14:paraId="6DE21BA7" w14:textId="77777777" w:rsidTr="00E23521">
        <w:trPr>
          <w:trHeight w:val="397"/>
          <w:jc w:val="center"/>
        </w:trPr>
        <w:tc>
          <w:tcPr>
            <w:tcW w:w="2254" w:type="dxa"/>
            <w:tcBorders>
              <w:top w:val="single" w:sz="4" w:space="0" w:color="auto"/>
              <w:left w:val="single" w:sz="4" w:space="0" w:color="auto"/>
              <w:bottom w:val="single" w:sz="4" w:space="0" w:color="auto"/>
              <w:right w:val="single" w:sz="4" w:space="0" w:color="auto"/>
            </w:tcBorders>
            <w:vAlign w:val="bottom"/>
            <w:hideMark/>
          </w:tcPr>
          <w:p w14:paraId="61EC9860" w14:textId="77777777" w:rsidR="003E0728" w:rsidRPr="00E23521" w:rsidRDefault="003E0728" w:rsidP="003E0728">
            <w:pPr>
              <w:pStyle w:val="Tables"/>
              <w:rPr>
                <w:b/>
                <w:bCs/>
              </w:rPr>
            </w:pPr>
            <w:r w:rsidRPr="00E23521">
              <w:rPr>
                <w:b/>
                <w:bCs/>
              </w:rPr>
              <w:t> </w:t>
            </w:r>
          </w:p>
        </w:tc>
        <w:tc>
          <w:tcPr>
            <w:tcW w:w="2273" w:type="dxa"/>
            <w:gridSpan w:val="2"/>
            <w:tcBorders>
              <w:top w:val="single" w:sz="4" w:space="0" w:color="auto"/>
              <w:left w:val="nil"/>
              <w:bottom w:val="single" w:sz="4" w:space="0" w:color="auto"/>
              <w:right w:val="single" w:sz="4" w:space="0" w:color="auto"/>
            </w:tcBorders>
            <w:vAlign w:val="bottom"/>
            <w:hideMark/>
          </w:tcPr>
          <w:p w14:paraId="4C9E74DD" w14:textId="77777777" w:rsidR="003E0728" w:rsidRPr="00E23521" w:rsidRDefault="003E0728" w:rsidP="003E0728">
            <w:pPr>
              <w:pStyle w:val="Tables"/>
              <w:rPr>
                <w:b/>
                <w:bCs/>
              </w:rPr>
            </w:pPr>
            <w:r w:rsidRPr="00E23521">
              <w:rPr>
                <w:b/>
                <w:bCs/>
              </w:rPr>
              <w:t>1950-51</w:t>
            </w:r>
          </w:p>
        </w:tc>
        <w:tc>
          <w:tcPr>
            <w:tcW w:w="2273" w:type="dxa"/>
            <w:gridSpan w:val="2"/>
            <w:tcBorders>
              <w:top w:val="single" w:sz="4" w:space="0" w:color="auto"/>
              <w:left w:val="nil"/>
              <w:bottom w:val="single" w:sz="4" w:space="0" w:color="auto"/>
              <w:right w:val="single" w:sz="4" w:space="0" w:color="auto"/>
            </w:tcBorders>
            <w:vAlign w:val="bottom"/>
            <w:hideMark/>
          </w:tcPr>
          <w:p w14:paraId="75F621E4" w14:textId="77777777" w:rsidR="003E0728" w:rsidRPr="00E23521" w:rsidRDefault="003E0728" w:rsidP="003E0728">
            <w:pPr>
              <w:pStyle w:val="Tables"/>
              <w:rPr>
                <w:b/>
                <w:bCs/>
              </w:rPr>
            </w:pPr>
            <w:r w:rsidRPr="00E23521">
              <w:rPr>
                <w:b/>
                <w:bCs/>
              </w:rPr>
              <w:t xml:space="preserve">1951-52 (Revised Estimates) </w:t>
            </w:r>
          </w:p>
        </w:tc>
        <w:tc>
          <w:tcPr>
            <w:tcW w:w="2273" w:type="dxa"/>
            <w:gridSpan w:val="2"/>
            <w:tcBorders>
              <w:top w:val="single" w:sz="4" w:space="0" w:color="auto"/>
              <w:left w:val="nil"/>
              <w:bottom w:val="single" w:sz="4" w:space="0" w:color="auto"/>
              <w:right w:val="single" w:sz="4" w:space="0" w:color="auto"/>
            </w:tcBorders>
            <w:vAlign w:val="bottom"/>
            <w:hideMark/>
          </w:tcPr>
          <w:p w14:paraId="7E7F1F56" w14:textId="77777777" w:rsidR="003E0728" w:rsidRPr="00E23521" w:rsidRDefault="003E0728" w:rsidP="003E0728">
            <w:pPr>
              <w:pStyle w:val="Tables"/>
              <w:rPr>
                <w:b/>
                <w:bCs/>
              </w:rPr>
            </w:pPr>
            <w:r w:rsidRPr="00E23521">
              <w:rPr>
                <w:b/>
                <w:bCs/>
              </w:rPr>
              <w:t>1952-53 (Budget Estimates)</w:t>
            </w:r>
          </w:p>
        </w:tc>
      </w:tr>
      <w:tr w:rsidR="003E0728" w:rsidRPr="003E0728" w14:paraId="247BFB0D" w14:textId="77777777" w:rsidTr="00E23521">
        <w:trPr>
          <w:trHeight w:val="397"/>
          <w:jc w:val="center"/>
        </w:trPr>
        <w:tc>
          <w:tcPr>
            <w:tcW w:w="2254" w:type="dxa"/>
            <w:tcBorders>
              <w:top w:val="nil"/>
              <w:left w:val="single" w:sz="4" w:space="0" w:color="auto"/>
              <w:bottom w:val="single" w:sz="4" w:space="0" w:color="auto"/>
              <w:right w:val="single" w:sz="4" w:space="0" w:color="auto"/>
            </w:tcBorders>
            <w:vAlign w:val="bottom"/>
            <w:hideMark/>
          </w:tcPr>
          <w:p w14:paraId="164BC7C9" w14:textId="77777777" w:rsidR="003E0728" w:rsidRPr="00E23521" w:rsidRDefault="003E0728" w:rsidP="003E0728">
            <w:pPr>
              <w:pStyle w:val="Tables"/>
              <w:rPr>
                <w:b/>
                <w:bCs/>
              </w:rPr>
            </w:pPr>
            <w:r w:rsidRPr="00E23521">
              <w:rPr>
                <w:b/>
                <w:bCs/>
              </w:rPr>
              <w:t> </w:t>
            </w:r>
          </w:p>
        </w:tc>
        <w:tc>
          <w:tcPr>
            <w:tcW w:w="1324" w:type="dxa"/>
            <w:tcBorders>
              <w:top w:val="nil"/>
              <w:left w:val="nil"/>
              <w:bottom w:val="single" w:sz="4" w:space="0" w:color="auto"/>
              <w:right w:val="single" w:sz="4" w:space="0" w:color="auto"/>
            </w:tcBorders>
            <w:vAlign w:val="bottom"/>
            <w:hideMark/>
          </w:tcPr>
          <w:p w14:paraId="743C3612" w14:textId="77777777" w:rsidR="003E0728" w:rsidRPr="00E23521" w:rsidRDefault="003E0728" w:rsidP="003E0728">
            <w:pPr>
              <w:pStyle w:val="Tables"/>
              <w:rPr>
                <w:b/>
                <w:bCs/>
              </w:rPr>
            </w:pPr>
            <w:r w:rsidRPr="00E23521">
              <w:rPr>
                <w:b/>
                <w:bCs/>
              </w:rPr>
              <w:t>Rs. crores</w:t>
            </w:r>
          </w:p>
        </w:tc>
        <w:tc>
          <w:tcPr>
            <w:tcW w:w="948" w:type="dxa"/>
            <w:tcBorders>
              <w:top w:val="nil"/>
              <w:left w:val="nil"/>
              <w:bottom w:val="single" w:sz="4" w:space="0" w:color="auto"/>
              <w:right w:val="single" w:sz="4" w:space="0" w:color="auto"/>
            </w:tcBorders>
            <w:vAlign w:val="bottom"/>
            <w:hideMark/>
          </w:tcPr>
          <w:p w14:paraId="44F33864" w14:textId="77777777" w:rsidR="003E0728" w:rsidRPr="00E23521" w:rsidRDefault="003E0728" w:rsidP="003E0728">
            <w:pPr>
              <w:pStyle w:val="Tables"/>
              <w:rPr>
                <w:b/>
                <w:bCs/>
              </w:rPr>
            </w:pPr>
            <w:r w:rsidRPr="00E23521">
              <w:rPr>
                <w:b/>
                <w:bCs/>
              </w:rPr>
              <w:t>Per cent</w:t>
            </w:r>
          </w:p>
        </w:tc>
        <w:tc>
          <w:tcPr>
            <w:tcW w:w="1324" w:type="dxa"/>
            <w:tcBorders>
              <w:top w:val="nil"/>
              <w:left w:val="nil"/>
              <w:bottom w:val="single" w:sz="4" w:space="0" w:color="auto"/>
              <w:right w:val="single" w:sz="4" w:space="0" w:color="auto"/>
            </w:tcBorders>
            <w:vAlign w:val="bottom"/>
            <w:hideMark/>
          </w:tcPr>
          <w:p w14:paraId="41C724E0" w14:textId="77777777" w:rsidR="003E0728" w:rsidRPr="00E23521" w:rsidRDefault="003E0728" w:rsidP="003E0728">
            <w:pPr>
              <w:pStyle w:val="Tables"/>
              <w:rPr>
                <w:b/>
                <w:bCs/>
              </w:rPr>
            </w:pPr>
            <w:r w:rsidRPr="00E23521">
              <w:rPr>
                <w:b/>
                <w:bCs/>
              </w:rPr>
              <w:t>Rs. crores</w:t>
            </w:r>
          </w:p>
        </w:tc>
        <w:tc>
          <w:tcPr>
            <w:tcW w:w="948" w:type="dxa"/>
            <w:tcBorders>
              <w:top w:val="nil"/>
              <w:left w:val="nil"/>
              <w:bottom w:val="single" w:sz="4" w:space="0" w:color="auto"/>
              <w:right w:val="single" w:sz="4" w:space="0" w:color="auto"/>
            </w:tcBorders>
            <w:vAlign w:val="bottom"/>
            <w:hideMark/>
          </w:tcPr>
          <w:p w14:paraId="0FDE8955" w14:textId="77777777" w:rsidR="003E0728" w:rsidRPr="00E23521" w:rsidRDefault="003E0728" w:rsidP="003E0728">
            <w:pPr>
              <w:pStyle w:val="Tables"/>
              <w:rPr>
                <w:b/>
                <w:bCs/>
              </w:rPr>
            </w:pPr>
            <w:r w:rsidRPr="00E23521">
              <w:rPr>
                <w:b/>
                <w:bCs/>
              </w:rPr>
              <w:t>Per cent</w:t>
            </w:r>
          </w:p>
        </w:tc>
        <w:tc>
          <w:tcPr>
            <w:tcW w:w="1324" w:type="dxa"/>
            <w:tcBorders>
              <w:top w:val="nil"/>
              <w:left w:val="nil"/>
              <w:bottom w:val="single" w:sz="4" w:space="0" w:color="auto"/>
              <w:right w:val="single" w:sz="4" w:space="0" w:color="auto"/>
            </w:tcBorders>
            <w:vAlign w:val="bottom"/>
            <w:hideMark/>
          </w:tcPr>
          <w:p w14:paraId="67474131" w14:textId="77777777" w:rsidR="003E0728" w:rsidRPr="00E23521" w:rsidRDefault="003E0728" w:rsidP="003E0728">
            <w:pPr>
              <w:pStyle w:val="Tables"/>
              <w:rPr>
                <w:b/>
                <w:bCs/>
              </w:rPr>
            </w:pPr>
            <w:r w:rsidRPr="00E23521">
              <w:rPr>
                <w:b/>
                <w:bCs/>
              </w:rPr>
              <w:t>Rs. crores</w:t>
            </w:r>
          </w:p>
        </w:tc>
        <w:tc>
          <w:tcPr>
            <w:tcW w:w="948" w:type="dxa"/>
            <w:tcBorders>
              <w:top w:val="nil"/>
              <w:left w:val="nil"/>
              <w:bottom w:val="single" w:sz="4" w:space="0" w:color="auto"/>
              <w:right w:val="single" w:sz="4" w:space="0" w:color="auto"/>
            </w:tcBorders>
            <w:vAlign w:val="bottom"/>
            <w:hideMark/>
          </w:tcPr>
          <w:p w14:paraId="339CE14C" w14:textId="77777777" w:rsidR="003E0728" w:rsidRPr="00E23521" w:rsidRDefault="003E0728" w:rsidP="003E0728">
            <w:pPr>
              <w:pStyle w:val="Tables"/>
              <w:rPr>
                <w:b/>
                <w:bCs/>
              </w:rPr>
            </w:pPr>
            <w:r w:rsidRPr="00E23521">
              <w:rPr>
                <w:b/>
                <w:bCs/>
              </w:rPr>
              <w:t>Per cent</w:t>
            </w:r>
          </w:p>
        </w:tc>
      </w:tr>
      <w:tr w:rsidR="003E0728" w:rsidRPr="003E0728" w14:paraId="3D367D22" w14:textId="77777777" w:rsidTr="00E23521">
        <w:trPr>
          <w:trHeight w:val="397"/>
          <w:jc w:val="center"/>
        </w:trPr>
        <w:tc>
          <w:tcPr>
            <w:tcW w:w="2254" w:type="dxa"/>
            <w:tcBorders>
              <w:top w:val="nil"/>
              <w:left w:val="single" w:sz="4" w:space="0" w:color="auto"/>
              <w:bottom w:val="single" w:sz="4" w:space="0" w:color="auto"/>
              <w:right w:val="single" w:sz="4" w:space="0" w:color="auto"/>
            </w:tcBorders>
            <w:vAlign w:val="bottom"/>
            <w:hideMark/>
          </w:tcPr>
          <w:p w14:paraId="435ADE6A" w14:textId="77777777" w:rsidR="003E0728" w:rsidRPr="003E0728" w:rsidRDefault="003E0728" w:rsidP="00E23521">
            <w:pPr>
              <w:pStyle w:val="Tables"/>
              <w:jc w:val="left"/>
            </w:pPr>
            <w:r w:rsidRPr="003E0728">
              <w:t>Total Revenue</w:t>
            </w:r>
          </w:p>
        </w:tc>
        <w:tc>
          <w:tcPr>
            <w:tcW w:w="1324" w:type="dxa"/>
            <w:tcBorders>
              <w:top w:val="nil"/>
              <w:left w:val="nil"/>
              <w:bottom w:val="single" w:sz="4" w:space="0" w:color="auto"/>
              <w:right w:val="single" w:sz="4" w:space="0" w:color="auto"/>
            </w:tcBorders>
            <w:vAlign w:val="bottom"/>
            <w:hideMark/>
          </w:tcPr>
          <w:p w14:paraId="1013674C" w14:textId="77777777" w:rsidR="003E0728" w:rsidRPr="003E0728" w:rsidRDefault="003E0728" w:rsidP="003E0728">
            <w:pPr>
              <w:pStyle w:val="Tables"/>
            </w:pPr>
            <w:r w:rsidRPr="003E0728">
              <w:t>410.66</w:t>
            </w:r>
          </w:p>
        </w:tc>
        <w:tc>
          <w:tcPr>
            <w:tcW w:w="948" w:type="dxa"/>
            <w:tcBorders>
              <w:top w:val="nil"/>
              <w:left w:val="nil"/>
              <w:bottom w:val="single" w:sz="4" w:space="0" w:color="auto"/>
              <w:right w:val="single" w:sz="4" w:space="0" w:color="auto"/>
            </w:tcBorders>
            <w:vAlign w:val="bottom"/>
            <w:hideMark/>
          </w:tcPr>
          <w:p w14:paraId="536E7978" w14:textId="77777777" w:rsidR="003E0728" w:rsidRPr="003E0728" w:rsidRDefault="003E0728" w:rsidP="003E0728">
            <w:pPr>
              <w:pStyle w:val="Tables"/>
            </w:pPr>
            <w:r w:rsidRPr="003E0728">
              <w:t>100</w:t>
            </w:r>
          </w:p>
        </w:tc>
        <w:tc>
          <w:tcPr>
            <w:tcW w:w="1324" w:type="dxa"/>
            <w:tcBorders>
              <w:top w:val="nil"/>
              <w:left w:val="nil"/>
              <w:bottom w:val="single" w:sz="4" w:space="0" w:color="auto"/>
              <w:right w:val="single" w:sz="4" w:space="0" w:color="auto"/>
            </w:tcBorders>
            <w:vAlign w:val="bottom"/>
            <w:hideMark/>
          </w:tcPr>
          <w:p w14:paraId="5036C689" w14:textId="77777777" w:rsidR="003E0728" w:rsidRPr="003E0728" w:rsidRDefault="003E0728" w:rsidP="003E0728">
            <w:pPr>
              <w:pStyle w:val="Tables"/>
            </w:pPr>
            <w:r w:rsidRPr="003E0728">
              <w:t>497.67</w:t>
            </w:r>
          </w:p>
        </w:tc>
        <w:tc>
          <w:tcPr>
            <w:tcW w:w="948" w:type="dxa"/>
            <w:tcBorders>
              <w:top w:val="nil"/>
              <w:left w:val="nil"/>
              <w:bottom w:val="single" w:sz="4" w:space="0" w:color="auto"/>
              <w:right w:val="single" w:sz="4" w:space="0" w:color="auto"/>
            </w:tcBorders>
            <w:vAlign w:val="bottom"/>
            <w:hideMark/>
          </w:tcPr>
          <w:p w14:paraId="606B5CB8" w14:textId="77777777" w:rsidR="003E0728" w:rsidRPr="003E0728" w:rsidRDefault="003E0728" w:rsidP="003E0728">
            <w:pPr>
              <w:pStyle w:val="Tables"/>
            </w:pPr>
            <w:r w:rsidRPr="003E0728">
              <w:t>100</w:t>
            </w:r>
          </w:p>
        </w:tc>
        <w:tc>
          <w:tcPr>
            <w:tcW w:w="1324" w:type="dxa"/>
            <w:tcBorders>
              <w:top w:val="nil"/>
              <w:left w:val="nil"/>
              <w:bottom w:val="single" w:sz="4" w:space="0" w:color="auto"/>
              <w:right w:val="single" w:sz="4" w:space="0" w:color="auto"/>
            </w:tcBorders>
            <w:vAlign w:val="bottom"/>
            <w:hideMark/>
          </w:tcPr>
          <w:p w14:paraId="11D0EEB7" w14:textId="77777777" w:rsidR="003E0728" w:rsidRPr="003E0728" w:rsidRDefault="003E0728" w:rsidP="003E0728">
            <w:pPr>
              <w:pStyle w:val="Tables"/>
            </w:pPr>
            <w:r w:rsidRPr="003E0728">
              <w:t>404.98</w:t>
            </w:r>
          </w:p>
        </w:tc>
        <w:tc>
          <w:tcPr>
            <w:tcW w:w="948" w:type="dxa"/>
            <w:tcBorders>
              <w:top w:val="nil"/>
              <w:left w:val="nil"/>
              <w:bottom w:val="single" w:sz="4" w:space="0" w:color="auto"/>
              <w:right w:val="single" w:sz="4" w:space="0" w:color="auto"/>
            </w:tcBorders>
            <w:vAlign w:val="bottom"/>
            <w:hideMark/>
          </w:tcPr>
          <w:p w14:paraId="17629D3A" w14:textId="77777777" w:rsidR="003E0728" w:rsidRPr="003E0728" w:rsidRDefault="003E0728" w:rsidP="003E0728">
            <w:pPr>
              <w:pStyle w:val="Tables"/>
            </w:pPr>
            <w:r w:rsidRPr="003E0728">
              <w:t>100</w:t>
            </w:r>
          </w:p>
        </w:tc>
      </w:tr>
      <w:tr w:rsidR="003E0728" w:rsidRPr="003E0728" w14:paraId="65872C37" w14:textId="77777777" w:rsidTr="00E23521">
        <w:trPr>
          <w:trHeight w:val="397"/>
          <w:jc w:val="center"/>
        </w:trPr>
        <w:tc>
          <w:tcPr>
            <w:tcW w:w="2254" w:type="dxa"/>
            <w:tcBorders>
              <w:top w:val="nil"/>
              <w:left w:val="single" w:sz="4" w:space="0" w:color="auto"/>
              <w:bottom w:val="single" w:sz="4" w:space="0" w:color="auto"/>
              <w:right w:val="single" w:sz="4" w:space="0" w:color="auto"/>
            </w:tcBorders>
            <w:vAlign w:val="bottom"/>
            <w:hideMark/>
          </w:tcPr>
          <w:p w14:paraId="6E6B4AA1" w14:textId="77777777" w:rsidR="003E0728" w:rsidRPr="003E0728" w:rsidRDefault="003E0728" w:rsidP="00E23521">
            <w:pPr>
              <w:pStyle w:val="Tables"/>
              <w:jc w:val="left"/>
            </w:pPr>
            <w:r w:rsidRPr="003E0728">
              <w:t>Taxes on Income (a)</w:t>
            </w:r>
          </w:p>
        </w:tc>
        <w:tc>
          <w:tcPr>
            <w:tcW w:w="1324" w:type="dxa"/>
            <w:tcBorders>
              <w:top w:val="nil"/>
              <w:left w:val="nil"/>
              <w:bottom w:val="single" w:sz="4" w:space="0" w:color="auto"/>
              <w:right w:val="single" w:sz="4" w:space="0" w:color="auto"/>
            </w:tcBorders>
            <w:vAlign w:val="bottom"/>
            <w:hideMark/>
          </w:tcPr>
          <w:p w14:paraId="251AF50E" w14:textId="77777777" w:rsidR="003E0728" w:rsidRPr="003E0728" w:rsidRDefault="003E0728" w:rsidP="003E0728">
            <w:pPr>
              <w:pStyle w:val="Tables"/>
            </w:pPr>
            <w:r w:rsidRPr="003E0728">
              <w:t>125.71</w:t>
            </w:r>
          </w:p>
        </w:tc>
        <w:tc>
          <w:tcPr>
            <w:tcW w:w="948" w:type="dxa"/>
            <w:tcBorders>
              <w:top w:val="nil"/>
              <w:left w:val="nil"/>
              <w:bottom w:val="single" w:sz="4" w:space="0" w:color="auto"/>
              <w:right w:val="single" w:sz="4" w:space="0" w:color="auto"/>
            </w:tcBorders>
            <w:vAlign w:val="bottom"/>
            <w:hideMark/>
          </w:tcPr>
          <w:p w14:paraId="1637E996" w14:textId="77777777" w:rsidR="003E0728" w:rsidRPr="003E0728" w:rsidRDefault="003E0728" w:rsidP="003E0728">
            <w:pPr>
              <w:pStyle w:val="Tables"/>
            </w:pPr>
            <w:r w:rsidRPr="003E0728">
              <w:t>30.6</w:t>
            </w:r>
          </w:p>
        </w:tc>
        <w:tc>
          <w:tcPr>
            <w:tcW w:w="1324" w:type="dxa"/>
            <w:tcBorders>
              <w:top w:val="nil"/>
              <w:left w:val="nil"/>
              <w:bottom w:val="single" w:sz="4" w:space="0" w:color="auto"/>
              <w:right w:val="single" w:sz="4" w:space="0" w:color="auto"/>
            </w:tcBorders>
            <w:vAlign w:val="bottom"/>
            <w:hideMark/>
          </w:tcPr>
          <w:p w14:paraId="7A08EE9D" w14:textId="24093153" w:rsidR="003E0728" w:rsidRPr="003E0728" w:rsidRDefault="003E0728" w:rsidP="003E0728">
            <w:pPr>
              <w:pStyle w:val="Tables"/>
            </w:pPr>
            <w:r w:rsidRPr="003E0728">
              <w:t>122.3</w:t>
            </w:r>
            <w:r w:rsidR="0062298C">
              <w:t>0</w:t>
            </w:r>
          </w:p>
        </w:tc>
        <w:tc>
          <w:tcPr>
            <w:tcW w:w="948" w:type="dxa"/>
            <w:tcBorders>
              <w:top w:val="nil"/>
              <w:left w:val="nil"/>
              <w:bottom w:val="single" w:sz="4" w:space="0" w:color="auto"/>
              <w:right w:val="single" w:sz="4" w:space="0" w:color="auto"/>
            </w:tcBorders>
            <w:vAlign w:val="bottom"/>
            <w:hideMark/>
          </w:tcPr>
          <w:p w14:paraId="43B6F60B" w14:textId="77777777" w:rsidR="003E0728" w:rsidRPr="003E0728" w:rsidRDefault="003E0728" w:rsidP="003E0728">
            <w:pPr>
              <w:pStyle w:val="Tables"/>
            </w:pPr>
            <w:r w:rsidRPr="003E0728">
              <w:t>24.6</w:t>
            </w:r>
          </w:p>
        </w:tc>
        <w:tc>
          <w:tcPr>
            <w:tcW w:w="1324" w:type="dxa"/>
            <w:tcBorders>
              <w:top w:val="nil"/>
              <w:left w:val="nil"/>
              <w:bottom w:val="single" w:sz="4" w:space="0" w:color="auto"/>
              <w:right w:val="single" w:sz="4" w:space="0" w:color="auto"/>
            </w:tcBorders>
            <w:vAlign w:val="bottom"/>
            <w:hideMark/>
          </w:tcPr>
          <w:p w14:paraId="5D09EB52" w14:textId="77777777" w:rsidR="003E0728" w:rsidRPr="003E0728" w:rsidRDefault="003E0728" w:rsidP="003E0728">
            <w:pPr>
              <w:pStyle w:val="Tables"/>
            </w:pPr>
            <w:r w:rsidRPr="003E0728">
              <w:t>104.16</w:t>
            </w:r>
          </w:p>
        </w:tc>
        <w:tc>
          <w:tcPr>
            <w:tcW w:w="948" w:type="dxa"/>
            <w:tcBorders>
              <w:top w:val="nil"/>
              <w:left w:val="nil"/>
              <w:bottom w:val="single" w:sz="4" w:space="0" w:color="auto"/>
              <w:right w:val="single" w:sz="4" w:space="0" w:color="auto"/>
            </w:tcBorders>
            <w:vAlign w:val="bottom"/>
            <w:hideMark/>
          </w:tcPr>
          <w:p w14:paraId="60959522" w14:textId="77777777" w:rsidR="003E0728" w:rsidRPr="003E0728" w:rsidRDefault="003E0728" w:rsidP="003E0728">
            <w:pPr>
              <w:pStyle w:val="Tables"/>
            </w:pPr>
            <w:r w:rsidRPr="003E0728">
              <w:t>25.7</w:t>
            </w:r>
          </w:p>
        </w:tc>
      </w:tr>
      <w:tr w:rsidR="003E0728" w:rsidRPr="003E0728" w14:paraId="31B08D53" w14:textId="77777777" w:rsidTr="00E23521">
        <w:trPr>
          <w:trHeight w:val="397"/>
          <w:jc w:val="center"/>
        </w:trPr>
        <w:tc>
          <w:tcPr>
            <w:tcW w:w="2254" w:type="dxa"/>
            <w:tcBorders>
              <w:top w:val="nil"/>
              <w:left w:val="single" w:sz="4" w:space="0" w:color="auto"/>
              <w:bottom w:val="single" w:sz="4" w:space="0" w:color="auto"/>
              <w:right w:val="single" w:sz="4" w:space="0" w:color="auto"/>
            </w:tcBorders>
            <w:vAlign w:val="bottom"/>
            <w:hideMark/>
          </w:tcPr>
          <w:p w14:paraId="0DB82548" w14:textId="77777777" w:rsidR="003E0728" w:rsidRPr="003E0728" w:rsidRDefault="003E0728" w:rsidP="00E23521">
            <w:pPr>
              <w:pStyle w:val="Tables"/>
              <w:jc w:val="left"/>
            </w:pPr>
            <w:r w:rsidRPr="003E0728">
              <w:t>Customs</w:t>
            </w:r>
          </w:p>
        </w:tc>
        <w:tc>
          <w:tcPr>
            <w:tcW w:w="1324" w:type="dxa"/>
            <w:tcBorders>
              <w:top w:val="nil"/>
              <w:left w:val="nil"/>
              <w:bottom w:val="single" w:sz="4" w:space="0" w:color="auto"/>
              <w:right w:val="single" w:sz="4" w:space="0" w:color="auto"/>
            </w:tcBorders>
            <w:vAlign w:val="bottom"/>
            <w:hideMark/>
          </w:tcPr>
          <w:p w14:paraId="6C7AF2D3" w14:textId="77777777" w:rsidR="003E0728" w:rsidRPr="003E0728" w:rsidRDefault="003E0728" w:rsidP="003E0728">
            <w:pPr>
              <w:pStyle w:val="Tables"/>
            </w:pPr>
            <w:r w:rsidRPr="003E0728">
              <w:t>157.15</w:t>
            </w:r>
          </w:p>
        </w:tc>
        <w:tc>
          <w:tcPr>
            <w:tcW w:w="948" w:type="dxa"/>
            <w:tcBorders>
              <w:top w:val="nil"/>
              <w:left w:val="nil"/>
              <w:bottom w:val="single" w:sz="4" w:space="0" w:color="auto"/>
              <w:right w:val="single" w:sz="4" w:space="0" w:color="auto"/>
            </w:tcBorders>
            <w:vAlign w:val="bottom"/>
            <w:hideMark/>
          </w:tcPr>
          <w:p w14:paraId="43C28748" w14:textId="77777777" w:rsidR="003E0728" w:rsidRPr="003E0728" w:rsidRDefault="003E0728" w:rsidP="003E0728">
            <w:pPr>
              <w:pStyle w:val="Tables"/>
            </w:pPr>
            <w:r w:rsidRPr="003E0728">
              <w:t>38.3</w:t>
            </w:r>
          </w:p>
        </w:tc>
        <w:tc>
          <w:tcPr>
            <w:tcW w:w="1324" w:type="dxa"/>
            <w:tcBorders>
              <w:top w:val="nil"/>
              <w:left w:val="nil"/>
              <w:bottom w:val="single" w:sz="4" w:space="0" w:color="auto"/>
              <w:right w:val="single" w:sz="4" w:space="0" w:color="auto"/>
            </w:tcBorders>
            <w:vAlign w:val="bottom"/>
            <w:hideMark/>
          </w:tcPr>
          <w:p w14:paraId="18CCAE19" w14:textId="0F7D9F38" w:rsidR="003E0728" w:rsidRPr="003E0728" w:rsidRDefault="003E0728" w:rsidP="003E0728">
            <w:pPr>
              <w:pStyle w:val="Tables"/>
            </w:pPr>
            <w:r w:rsidRPr="003E0728">
              <w:t>232</w:t>
            </w:r>
            <w:r w:rsidR="0062298C">
              <w:t>.00</w:t>
            </w:r>
          </w:p>
        </w:tc>
        <w:tc>
          <w:tcPr>
            <w:tcW w:w="948" w:type="dxa"/>
            <w:tcBorders>
              <w:top w:val="nil"/>
              <w:left w:val="nil"/>
              <w:bottom w:val="single" w:sz="4" w:space="0" w:color="auto"/>
              <w:right w:val="single" w:sz="4" w:space="0" w:color="auto"/>
            </w:tcBorders>
            <w:vAlign w:val="bottom"/>
            <w:hideMark/>
          </w:tcPr>
          <w:p w14:paraId="7F3FBFDB" w14:textId="77777777" w:rsidR="003E0728" w:rsidRPr="003E0728" w:rsidRDefault="003E0728" w:rsidP="003E0728">
            <w:pPr>
              <w:pStyle w:val="Tables"/>
            </w:pPr>
            <w:r w:rsidRPr="003E0728">
              <w:t>46.6</w:t>
            </w:r>
          </w:p>
        </w:tc>
        <w:tc>
          <w:tcPr>
            <w:tcW w:w="1324" w:type="dxa"/>
            <w:tcBorders>
              <w:top w:val="nil"/>
              <w:left w:val="nil"/>
              <w:bottom w:val="single" w:sz="4" w:space="0" w:color="auto"/>
              <w:right w:val="single" w:sz="4" w:space="0" w:color="auto"/>
            </w:tcBorders>
            <w:vAlign w:val="bottom"/>
            <w:hideMark/>
          </w:tcPr>
          <w:p w14:paraId="4BB03F66" w14:textId="41CF55DD" w:rsidR="003E0728" w:rsidRPr="003E0728" w:rsidRDefault="003E0728" w:rsidP="003E0728">
            <w:pPr>
              <w:pStyle w:val="Tables"/>
            </w:pPr>
            <w:r w:rsidRPr="003E0728">
              <w:t>165</w:t>
            </w:r>
            <w:r w:rsidR="00E4210D">
              <w:t>.00</w:t>
            </w:r>
          </w:p>
        </w:tc>
        <w:tc>
          <w:tcPr>
            <w:tcW w:w="948" w:type="dxa"/>
            <w:tcBorders>
              <w:top w:val="nil"/>
              <w:left w:val="nil"/>
              <w:bottom w:val="single" w:sz="4" w:space="0" w:color="auto"/>
              <w:right w:val="single" w:sz="4" w:space="0" w:color="auto"/>
            </w:tcBorders>
            <w:vAlign w:val="bottom"/>
            <w:hideMark/>
          </w:tcPr>
          <w:p w14:paraId="437D1C39" w14:textId="77777777" w:rsidR="003E0728" w:rsidRPr="003E0728" w:rsidRDefault="003E0728" w:rsidP="003E0728">
            <w:pPr>
              <w:pStyle w:val="Tables"/>
            </w:pPr>
            <w:r w:rsidRPr="003E0728">
              <w:t>40.7</w:t>
            </w:r>
          </w:p>
        </w:tc>
      </w:tr>
      <w:tr w:rsidR="003E0728" w:rsidRPr="003E0728" w14:paraId="451D333D" w14:textId="77777777" w:rsidTr="00E23521">
        <w:trPr>
          <w:trHeight w:val="397"/>
          <w:jc w:val="center"/>
        </w:trPr>
        <w:tc>
          <w:tcPr>
            <w:tcW w:w="2254" w:type="dxa"/>
            <w:tcBorders>
              <w:top w:val="nil"/>
              <w:left w:val="single" w:sz="4" w:space="0" w:color="auto"/>
              <w:bottom w:val="single" w:sz="4" w:space="0" w:color="auto"/>
              <w:right w:val="single" w:sz="4" w:space="0" w:color="auto"/>
            </w:tcBorders>
            <w:vAlign w:val="bottom"/>
            <w:hideMark/>
          </w:tcPr>
          <w:p w14:paraId="5D2A8217" w14:textId="77777777" w:rsidR="003E0728" w:rsidRPr="003E0728" w:rsidRDefault="003E0728" w:rsidP="00E23521">
            <w:pPr>
              <w:pStyle w:val="Tables"/>
              <w:jc w:val="left"/>
            </w:pPr>
            <w:r w:rsidRPr="003E0728">
              <w:t>Central Excise Duties</w:t>
            </w:r>
          </w:p>
        </w:tc>
        <w:tc>
          <w:tcPr>
            <w:tcW w:w="1324" w:type="dxa"/>
            <w:tcBorders>
              <w:top w:val="nil"/>
              <w:left w:val="nil"/>
              <w:bottom w:val="single" w:sz="4" w:space="0" w:color="auto"/>
              <w:right w:val="single" w:sz="4" w:space="0" w:color="auto"/>
            </w:tcBorders>
            <w:vAlign w:val="bottom"/>
            <w:hideMark/>
          </w:tcPr>
          <w:p w14:paraId="42CD9D7F" w14:textId="77777777" w:rsidR="003E0728" w:rsidRPr="003E0728" w:rsidRDefault="003E0728" w:rsidP="003E0728">
            <w:pPr>
              <w:pStyle w:val="Tables"/>
            </w:pPr>
            <w:r w:rsidRPr="003E0728">
              <w:t>67.54</w:t>
            </w:r>
          </w:p>
        </w:tc>
        <w:tc>
          <w:tcPr>
            <w:tcW w:w="948" w:type="dxa"/>
            <w:tcBorders>
              <w:top w:val="nil"/>
              <w:left w:val="nil"/>
              <w:bottom w:val="single" w:sz="4" w:space="0" w:color="auto"/>
              <w:right w:val="single" w:sz="4" w:space="0" w:color="auto"/>
            </w:tcBorders>
            <w:vAlign w:val="bottom"/>
            <w:hideMark/>
          </w:tcPr>
          <w:p w14:paraId="651FF59D" w14:textId="77777777" w:rsidR="003E0728" w:rsidRPr="003E0728" w:rsidRDefault="003E0728" w:rsidP="003E0728">
            <w:pPr>
              <w:pStyle w:val="Tables"/>
            </w:pPr>
            <w:r w:rsidRPr="003E0728">
              <w:t>16.4</w:t>
            </w:r>
          </w:p>
        </w:tc>
        <w:tc>
          <w:tcPr>
            <w:tcW w:w="1324" w:type="dxa"/>
            <w:tcBorders>
              <w:top w:val="nil"/>
              <w:left w:val="nil"/>
              <w:bottom w:val="single" w:sz="4" w:space="0" w:color="auto"/>
              <w:right w:val="single" w:sz="4" w:space="0" w:color="auto"/>
            </w:tcBorders>
            <w:vAlign w:val="bottom"/>
            <w:hideMark/>
          </w:tcPr>
          <w:p w14:paraId="161E7821" w14:textId="20391B51" w:rsidR="003E0728" w:rsidRPr="003E0728" w:rsidRDefault="003E0728" w:rsidP="003E0728">
            <w:pPr>
              <w:pStyle w:val="Tables"/>
            </w:pPr>
            <w:r w:rsidRPr="003E0728">
              <w:t>84.3</w:t>
            </w:r>
            <w:r w:rsidR="0062298C">
              <w:t>0</w:t>
            </w:r>
          </w:p>
        </w:tc>
        <w:tc>
          <w:tcPr>
            <w:tcW w:w="948" w:type="dxa"/>
            <w:tcBorders>
              <w:top w:val="nil"/>
              <w:left w:val="nil"/>
              <w:bottom w:val="single" w:sz="4" w:space="0" w:color="auto"/>
              <w:right w:val="single" w:sz="4" w:space="0" w:color="auto"/>
            </w:tcBorders>
            <w:vAlign w:val="bottom"/>
            <w:hideMark/>
          </w:tcPr>
          <w:p w14:paraId="29F359A4" w14:textId="77777777" w:rsidR="003E0728" w:rsidRPr="003E0728" w:rsidRDefault="003E0728" w:rsidP="003E0728">
            <w:pPr>
              <w:pStyle w:val="Tables"/>
            </w:pPr>
            <w:r w:rsidRPr="003E0728">
              <w:t>16.9</w:t>
            </w:r>
          </w:p>
        </w:tc>
        <w:tc>
          <w:tcPr>
            <w:tcW w:w="1324" w:type="dxa"/>
            <w:tcBorders>
              <w:top w:val="nil"/>
              <w:left w:val="nil"/>
              <w:bottom w:val="single" w:sz="4" w:space="0" w:color="auto"/>
              <w:right w:val="single" w:sz="4" w:space="0" w:color="auto"/>
            </w:tcBorders>
            <w:vAlign w:val="bottom"/>
            <w:hideMark/>
          </w:tcPr>
          <w:p w14:paraId="77C29F46" w14:textId="7FF890DC" w:rsidR="003E0728" w:rsidRPr="003E0728" w:rsidRDefault="003E0728" w:rsidP="003E0728">
            <w:pPr>
              <w:pStyle w:val="Tables"/>
            </w:pPr>
            <w:r w:rsidRPr="003E0728">
              <w:t>86</w:t>
            </w:r>
            <w:r w:rsidR="00E4210D">
              <w:t>.00</w:t>
            </w:r>
          </w:p>
        </w:tc>
        <w:tc>
          <w:tcPr>
            <w:tcW w:w="948" w:type="dxa"/>
            <w:tcBorders>
              <w:top w:val="nil"/>
              <w:left w:val="nil"/>
              <w:bottom w:val="single" w:sz="4" w:space="0" w:color="auto"/>
              <w:right w:val="single" w:sz="4" w:space="0" w:color="auto"/>
            </w:tcBorders>
            <w:vAlign w:val="bottom"/>
            <w:hideMark/>
          </w:tcPr>
          <w:p w14:paraId="00653133" w14:textId="77777777" w:rsidR="003E0728" w:rsidRPr="003E0728" w:rsidRDefault="003E0728" w:rsidP="003E0728">
            <w:pPr>
              <w:pStyle w:val="Tables"/>
            </w:pPr>
            <w:r w:rsidRPr="003E0728">
              <w:t>21.2</w:t>
            </w:r>
          </w:p>
        </w:tc>
      </w:tr>
      <w:tr w:rsidR="003E0728" w:rsidRPr="003E0728" w14:paraId="60BFDD93" w14:textId="77777777" w:rsidTr="00E23521">
        <w:trPr>
          <w:trHeight w:val="397"/>
          <w:jc w:val="center"/>
        </w:trPr>
        <w:tc>
          <w:tcPr>
            <w:tcW w:w="2254" w:type="dxa"/>
            <w:tcBorders>
              <w:top w:val="nil"/>
              <w:left w:val="single" w:sz="4" w:space="0" w:color="auto"/>
              <w:bottom w:val="single" w:sz="4" w:space="0" w:color="auto"/>
              <w:right w:val="single" w:sz="4" w:space="0" w:color="auto"/>
            </w:tcBorders>
            <w:vAlign w:val="bottom"/>
            <w:hideMark/>
          </w:tcPr>
          <w:p w14:paraId="0C439078" w14:textId="77777777" w:rsidR="003E0728" w:rsidRPr="003E0728" w:rsidRDefault="003E0728" w:rsidP="00E23521">
            <w:pPr>
              <w:pStyle w:val="Tables"/>
              <w:jc w:val="left"/>
            </w:pPr>
            <w:r w:rsidRPr="003E0728">
              <w:t>Currency and Mint</w:t>
            </w:r>
          </w:p>
        </w:tc>
        <w:tc>
          <w:tcPr>
            <w:tcW w:w="1324" w:type="dxa"/>
            <w:tcBorders>
              <w:top w:val="nil"/>
              <w:left w:val="nil"/>
              <w:bottom w:val="single" w:sz="4" w:space="0" w:color="auto"/>
              <w:right w:val="single" w:sz="4" w:space="0" w:color="auto"/>
            </w:tcBorders>
            <w:vAlign w:val="bottom"/>
            <w:hideMark/>
          </w:tcPr>
          <w:p w14:paraId="1709FD46" w14:textId="77777777" w:rsidR="003E0728" w:rsidRPr="003E0728" w:rsidRDefault="003E0728" w:rsidP="003E0728">
            <w:pPr>
              <w:pStyle w:val="Tables"/>
            </w:pPr>
            <w:r w:rsidRPr="003E0728">
              <w:t>12.27</w:t>
            </w:r>
          </w:p>
        </w:tc>
        <w:tc>
          <w:tcPr>
            <w:tcW w:w="948" w:type="dxa"/>
            <w:tcBorders>
              <w:top w:val="nil"/>
              <w:left w:val="nil"/>
              <w:bottom w:val="single" w:sz="4" w:space="0" w:color="auto"/>
              <w:right w:val="single" w:sz="4" w:space="0" w:color="auto"/>
            </w:tcBorders>
            <w:vAlign w:val="bottom"/>
            <w:hideMark/>
          </w:tcPr>
          <w:p w14:paraId="75462A50" w14:textId="7BB20016" w:rsidR="003E0728" w:rsidRPr="003E0728" w:rsidRDefault="003E0728" w:rsidP="003E0728">
            <w:pPr>
              <w:pStyle w:val="Tables"/>
            </w:pPr>
            <w:r w:rsidRPr="003E0728">
              <w:t>3</w:t>
            </w:r>
            <w:r w:rsidR="00F70D48">
              <w:t>.0</w:t>
            </w:r>
          </w:p>
        </w:tc>
        <w:tc>
          <w:tcPr>
            <w:tcW w:w="1324" w:type="dxa"/>
            <w:tcBorders>
              <w:top w:val="nil"/>
              <w:left w:val="nil"/>
              <w:bottom w:val="single" w:sz="4" w:space="0" w:color="auto"/>
              <w:right w:val="single" w:sz="4" w:space="0" w:color="auto"/>
            </w:tcBorders>
            <w:vAlign w:val="bottom"/>
            <w:hideMark/>
          </w:tcPr>
          <w:p w14:paraId="1FD22EA2" w14:textId="77777777" w:rsidR="003E0728" w:rsidRPr="003E0728" w:rsidRDefault="003E0728" w:rsidP="003E0728">
            <w:pPr>
              <w:pStyle w:val="Tables"/>
            </w:pPr>
            <w:r w:rsidRPr="003E0728">
              <w:t>11.31</w:t>
            </w:r>
          </w:p>
        </w:tc>
        <w:tc>
          <w:tcPr>
            <w:tcW w:w="948" w:type="dxa"/>
            <w:tcBorders>
              <w:top w:val="nil"/>
              <w:left w:val="nil"/>
              <w:bottom w:val="single" w:sz="4" w:space="0" w:color="auto"/>
              <w:right w:val="single" w:sz="4" w:space="0" w:color="auto"/>
            </w:tcBorders>
            <w:vAlign w:val="bottom"/>
            <w:hideMark/>
          </w:tcPr>
          <w:p w14:paraId="5D53C229" w14:textId="77777777" w:rsidR="003E0728" w:rsidRPr="003E0728" w:rsidRDefault="003E0728" w:rsidP="003E0728">
            <w:pPr>
              <w:pStyle w:val="Tables"/>
            </w:pPr>
            <w:r w:rsidRPr="003E0728">
              <w:t>2.3</w:t>
            </w:r>
          </w:p>
        </w:tc>
        <w:tc>
          <w:tcPr>
            <w:tcW w:w="1324" w:type="dxa"/>
            <w:tcBorders>
              <w:top w:val="nil"/>
              <w:left w:val="nil"/>
              <w:bottom w:val="single" w:sz="4" w:space="0" w:color="auto"/>
              <w:right w:val="single" w:sz="4" w:space="0" w:color="auto"/>
            </w:tcBorders>
            <w:vAlign w:val="bottom"/>
            <w:hideMark/>
          </w:tcPr>
          <w:p w14:paraId="714C7968" w14:textId="77777777" w:rsidR="003E0728" w:rsidRPr="003E0728" w:rsidRDefault="003E0728" w:rsidP="003E0728">
            <w:pPr>
              <w:pStyle w:val="Tables"/>
            </w:pPr>
            <w:r w:rsidRPr="003E0728">
              <w:t>10.39</w:t>
            </w:r>
          </w:p>
        </w:tc>
        <w:tc>
          <w:tcPr>
            <w:tcW w:w="948" w:type="dxa"/>
            <w:tcBorders>
              <w:top w:val="nil"/>
              <w:left w:val="nil"/>
              <w:bottom w:val="single" w:sz="4" w:space="0" w:color="auto"/>
              <w:right w:val="single" w:sz="4" w:space="0" w:color="auto"/>
            </w:tcBorders>
            <w:vAlign w:val="bottom"/>
            <w:hideMark/>
          </w:tcPr>
          <w:p w14:paraId="1DDA74CF" w14:textId="77777777" w:rsidR="003E0728" w:rsidRPr="003E0728" w:rsidRDefault="003E0728" w:rsidP="003E0728">
            <w:pPr>
              <w:pStyle w:val="Tables"/>
            </w:pPr>
            <w:r w:rsidRPr="003E0728">
              <w:t>2.6</w:t>
            </w:r>
          </w:p>
        </w:tc>
      </w:tr>
      <w:tr w:rsidR="003E0728" w:rsidRPr="003E0728" w14:paraId="78664ACC" w14:textId="77777777" w:rsidTr="00E23521">
        <w:trPr>
          <w:trHeight w:val="397"/>
          <w:jc w:val="center"/>
        </w:trPr>
        <w:tc>
          <w:tcPr>
            <w:tcW w:w="2254" w:type="dxa"/>
            <w:tcBorders>
              <w:top w:val="nil"/>
              <w:left w:val="single" w:sz="4" w:space="0" w:color="auto"/>
              <w:bottom w:val="single" w:sz="4" w:space="0" w:color="auto"/>
              <w:right w:val="single" w:sz="4" w:space="0" w:color="auto"/>
            </w:tcBorders>
            <w:vAlign w:val="bottom"/>
            <w:hideMark/>
          </w:tcPr>
          <w:p w14:paraId="3BA428F8" w14:textId="77777777" w:rsidR="003E0728" w:rsidRPr="003E0728" w:rsidRDefault="003E0728" w:rsidP="00E23521">
            <w:pPr>
              <w:pStyle w:val="Tables"/>
              <w:jc w:val="left"/>
            </w:pPr>
            <w:r w:rsidRPr="003E0728">
              <w:t>Railways (net contribution)</w:t>
            </w:r>
          </w:p>
        </w:tc>
        <w:tc>
          <w:tcPr>
            <w:tcW w:w="1324" w:type="dxa"/>
            <w:tcBorders>
              <w:top w:val="nil"/>
              <w:left w:val="nil"/>
              <w:bottom w:val="single" w:sz="4" w:space="0" w:color="auto"/>
              <w:right w:val="single" w:sz="4" w:space="0" w:color="auto"/>
            </w:tcBorders>
            <w:vAlign w:val="bottom"/>
            <w:hideMark/>
          </w:tcPr>
          <w:p w14:paraId="23C48065" w14:textId="683F363B" w:rsidR="003E0728" w:rsidRPr="003E0728" w:rsidRDefault="003E0728" w:rsidP="003E0728">
            <w:pPr>
              <w:pStyle w:val="Tables"/>
            </w:pPr>
            <w:r w:rsidRPr="003E0728">
              <w:t>6.5</w:t>
            </w:r>
            <w:r w:rsidR="00F70D48">
              <w:t>0</w:t>
            </w:r>
          </w:p>
        </w:tc>
        <w:tc>
          <w:tcPr>
            <w:tcW w:w="948" w:type="dxa"/>
            <w:tcBorders>
              <w:top w:val="nil"/>
              <w:left w:val="nil"/>
              <w:bottom w:val="single" w:sz="4" w:space="0" w:color="auto"/>
              <w:right w:val="single" w:sz="4" w:space="0" w:color="auto"/>
            </w:tcBorders>
            <w:vAlign w:val="bottom"/>
            <w:hideMark/>
          </w:tcPr>
          <w:p w14:paraId="447E756A" w14:textId="77777777" w:rsidR="003E0728" w:rsidRPr="003E0728" w:rsidRDefault="003E0728" w:rsidP="003E0728">
            <w:pPr>
              <w:pStyle w:val="Tables"/>
            </w:pPr>
            <w:r w:rsidRPr="003E0728">
              <w:t>1.6</w:t>
            </w:r>
          </w:p>
        </w:tc>
        <w:tc>
          <w:tcPr>
            <w:tcW w:w="1324" w:type="dxa"/>
            <w:tcBorders>
              <w:top w:val="nil"/>
              <w:left w:val="nil"/>
              <w:bottom w:val="single" w:sz="4" w:space="0" w:color="auto"/>
              <w:right w:val="single" w:sz="4" w:space="0" w:color="auto"/>
            </w:tcBorders>
            <w:vAlign w:val="bottom"/>
            <w:hideMark/>
          </w:tcPr>
          <w:p w14:paraId="426B2B5D" w14:textId="77777777" w:rsidR="003E0728" w:rsidRPr="003E0728" w:rsidRDefault="003E0728" w:rsidP="003E0728">
            <w:pPr>
              <w:pStyle w:val="Tables"/>
            </w:pPr>
            <w:r w:rsidRPr="003E0728">
              <w:t>7.34</w:t>
            </w:r>
          </w:p>
        </w:tc>
        <w:tc>
          <w:tcPr>
            <w:tcW w:w="948" w:type="dxa"/>
            <w:tcBorders>
              <w:top w:val="nil"/>
              <w:left w:val="nil"/>
              <w:bottom w:val="single" w:sz="4" w:space="0" w:color="auto"/>
              <w:right w:val="single" w:sz="4" w:space="0" w:color="auto"/>
            </w:tcBorders>
            <w:vAlign w:val="bottom"/>
            <w:hideMark/>
          </w:tcPr>
          <w:p w14:paraId="246B700B" w14:textId="77777777" w:rsidR="003E0728" w:rsidRPr="003E0728" w:rsidRDefault="003E0728" w:rsidP="003E0728">
            <w:pPr>
              <w:pStyle w:val="Tables"/>
            </w:pPr>
            <w:r w:rsidRPr="003E0728">
              <w:t>1.4</w:t>
            </w:r>
          </w:p>
        </w:tc>
        <w:tc>
          <w:tcPr>
            <w:tcW w:w="1324" w:type="dxa"/>
            <w:tcBorders>
              <w:top w:val="nil"/>
              <w:left w:val="nil"/>
              <w:bottom w:val="single" w:sz="4" w:space="0" w:color="auto"/>
              <w:right w:val="single" w:sz="4" w:space="0" w:color="auto"/>
            </w:tcBorders>
            <w:vAlign w:val="bottom"/>
            <w:hideMark/>
          </w:tcPr>
          <w:p w14:paraId="48B626FE" w14:textId="77777777" w:rsidR="003E0728" w:rsidRPr="003E0728" w:rsidRDefault="003E0728" w:rsidP="003E0728">
            <w:pPr>
              <w:pStyle w:val="Tables"/>
            </w:pPr>
            <w:r w:rsidRPr="003E0728">
              <w:t>7.65</w:t>
            </w:r>
          </w:p>
        </w:tc>
        <w:tc>
          <w:tcPr>
            <w:tcW w:w="948" w:type="dxa"/>
            <w:tcBorders>
              <w:top w:val="nil"/>
              <w:left w:val="nil"/>
              <w:bottom w:val="single" w:sz="4" w:space="0" w:color="auto"/>
              <w:right w:val="single" w:sz="4" w:space="0" w:color="auto"/>
            </w:tcBorders>
            <w:vAlign w:val="bottom"/>
            <w:hideMark/>
          </w:tcPr>
          <w:p w14:paraId="0F02C5AE" w14:textId="77777777" w:rsidR="003E0728" w:rsidRPr="003E0728" w:rsidRDefault="003E0728" w:rsidP="003E0728">
            <w:pPr>
              <w:pStyle w:val="Tables"/>
            </w:pPr>
            <w:r w:rsidRPr="003E0728">
              <w:t>1.9</w:t>
            </w:r>
          </w:p>
        </w:tc>
      </w:tr>
      <w:tr w:rsidR="003E0728" w:rsidRPr="003E0728" w14:paraId="679FD565" w14:textId="77777777" w:rsidTr="00E23521">
        <w:trPr>
          <w:trHeight w:val="397"/>
          <w:jc w:val="center"/>
        </w:trPr>
        <w:tc>
          <w:tcPr>
            <w:tcW w:w="2254" w:type="dxa"/>
            <w:tcBorders>
              <w:top w:val="nil"/>
              <w:left w:val="single" w:sz="4" w:space="0" w:color="auto"/>
              <w:bottom w:val="single" w:sz="4" w:space="0" w:color="auto"/>
              <w:right w:val="single" w:sz="4" w:space="0" w:color="auto"/>
            </w:tcBorders>
            <w:vAlign w:val="bottom"/>
            <w:hideMark/>
          </w:tcPr>
          <w:p w14:paraId="075062DB" w14:textId="77777777" w:rsidR="003E0728" w:rsidRPr="003E0728" w:rsidRDefault="003E0728" w:rsidP="00E23521">
            <w:pPr>
              <w:pStyle w:val="Tables"/>
              <w:jc w:val="left"/>
            </w:pPr>
            <w:r w:rsidRPr="003E0728">
              <w:t>Posts &amp; Telegraphs (net)</w:t>
            </w:r>
          </w:p>
        </w:tc>
        <w:tc>
          <w:tcPr>
            <w:tcW w:w="1324" w:type="dxa"/>
            <w:tcBorders>
              <w:top w:val="nil"/>
              <w:left w:val="nil"/>
              <w:bottom w:val="single" w:sz="4" w:space="0" w:color="auto"/>
              <w:right w:val="single" w:sz="4" w:space="0" w:color="auto"/>
            </w:tcBorders>
            <w:vAlign w:val="bottom"/>
            <w:hideMark/>
          </w:tcPr>
          <w:p w14:paraId="31ED3105" w14:textId="77777777" w:rsidR="003E0728" w:rsidRPr="003E0728" w:rsidRDefault="003E0728" w:rsidP="003E0728">
            <w:pPr>
              <w:pStyle w:val="Tables"/>
            </w:pPr>
            <w:r w:rsidRPr="003E0728">
              <w:t>3.98</w:t>
            </w:r>
          </w:p>
        </w:tc>
        <w:tc>
          <w:tcPr>
            <w:tcW w:w="948" w:type="dxa"/>
            <w:tcBorders>
              <w:top w:val="nil"/>
              <w:left w:val="nil"/>
              <w:bottom w:val="single" w:sz="4" w:space="0" w:color="auto"/>
              <w:right w:val="single" w:sz="4" w:space="0" w:color="auto"/>
            </w:tcBorders>
            <w:vAlign w:val="bottom"/>
            <w:hideMark/>
          </w:tcPr>
          <w:p w14:paraId="737E4EE6" w14:textId="6285DD4B" w:rsidR="003E0728" w:rsidRPr="003E0728" w:rsidRDefault="003E0728" w:rsidP="003E0728">
            <w:pPr>
              <w:pStyle w:val="Tables"/>
            </w:pPr>
            <w:r w:rsidRPr="003E0728">
              <w:t>1</w:t>
            </w:r>
            <w:r w:rsidR="00F70D48">
              <w:t>.0</w:t>
            </w:r>
          </w:p>
        </w:tc>
        <w:tc>
          <w:tcPr>
            <w:tcW w:w="1324" w:type="dxa"/>
            <w:tcBorders>
              <w:top w:val="nil"/>
              <w:left w:val="nil"/>
              <w:bottom w:val="single" w:sz="4" w:space="0" w:color="auto"/>
              <w:right w:val="single" w:sz="4" w:space="0" w:color="auto"/>
            </w:tcBorders>
            <w:vAlign w:val="bottom"/>
            <w:hideMark/>
          </w:tcPr>
          <w:p w14:paraId="4FA5D5B3" w14:textId="77777777" w:rsidR="003E0728" w:rsidRPr="003E0728" w:rsidRDefault="003E0728" w:rsidP="003E0728">
            <w:pPr>
              <w:pStyle w:val="Tables"/>
            </w:pPr>
            <w:r w:rsidRPr="003E0728">
              <w:t>3.87</w:t>
            </w:r>
          </w:p>
        </w:tc>
        <w:tc>
          <w:tcPr>
            <w:tcW w:w="948" w:type="dxa"/>
            <w:tcBorders>
              <w:top w:val="nil"/>
              <w:left w:val="nil"/>
              <w:bottom w:val="single" w:sz="4" w:space="0" w:color="auto"/>
              <w:right w:val="single" w:sz="4" w:space="0" w:color="auto"/>
            </w:tcBorders>
            <w:vAlign w:val="bottom"/>
            <w:hideMark/>
          </w:tcPr>
          <w:p w14:paraId="28040F84" w14:textId="77777777" w:rsidR="003E0728" w:rsidRPr="003E0728" w:rsidRDefault="003E0728" w:rsidP="003E0728">
            <w:pPr>
              <w:pStyle w:val="Tables"/>
            </w:pPr>
            <w:r w:rsidRPr="003E0728">
              <w:t>0.8</w:t>
            </w:r>
          </w:p>
        </w:tc>
        <w:tc>
          <w:tcPr>
            <w:tcW w:w="1324" w:type="dxa"/>
            <w:tcBorders>
              <w:top w:val="nil"/>
              <w:left w:val="nil"/>
              <w:bottom w:val="single" w:sz="4" w:space="0" w:color="auto"/>
              <w:right w:val="single" w:sz="4" w:space="0" w:color="auto"/>
            </w:tcBorders>
            <w:vAlign w:val="bottom"/>
            <w:hideMark/>
          </w:tcPr>
          <w:p w14:paraId="3ED40C7A" w14:textId="77777777" w:rsidR="003E0728" w:rsidRPr="003E0728" w:rsidRDefault="003E0728" w:rsidP="003E0728">
            <w:pPr>
              <w:pStyle w:val="Tables"/>
            </w:pPr>
            <w:r w:rsidRPr="003E0728">
              <w:t>1.16</w:t>
            </w:r>
          </w:p>
        </w:tc>
        <w:tc>
          <w:tcPr>
            <w:tcW w:w="948" w:type="dxa"/>
            <w:tcBorders>
              <w:top w:val="nil"/>
              <w:left w:val="nil"/>
              <w:bottom w:val="single" w:sz="4" w:space="0" w:color="auto"/>
              <w:right w:val="single" w:sz="4" w:space="0" w:color="auto"/>
            </w:tcBorders>
            <w:vAlign w:val="bottom"/>
            <w:hideMark/>
          </w:tcPr>
          <w:p w14:paraId="67EF6FC5" w14:textId="77777777" w:rsidR="003E0728" w:rsidRPr="003E0728" w:rsidRDefault="003E0728" w:rsidP="003E0728">
            <w:pPr>
              <w:pStyle w:val="Tables"/>
            </w:pPr>
            <w:r w:rsidRPr="003E0728">
              <w:t>0.3</w:t>
            </w:r>
          </w:p>
        </w:tc>
      </w:tr>
    </w:tbl>
    <w:p w14:paraId="35D4259D" w14:textId="77777777" w:rsidR="00EE0179" w:rsidRDefault="00EE0179" w:rsidP="003E0728">
      <w:pPr>
        <w:pStyle w:val="NoSpacing"/>
        <w:spacing w:line="380" w:lineRule="exact"/>
        <w:jc w:val="center"/>
        <w:rPr>
          <w:rFonts w:ascii="Times New Roman" w:hAnsi="Times New Roman" w:cs="Times New Roman"/>
          <w:sz w:val="28"/>
          <w:szCs w:val="28"/>
        </w:rPr>
      </w:pPr>
    </w:p>
    <w:p w14:paraId="5C0B8A19" w14:textId="77777777" w:rsidR="00EE0179" w:rsidRDefault="00EE0179" w:rsidP="003E0728">
      <w:pPr>
        <w:pStyle w:val="NoSpacing"/>
        <w:spacing w:line="380" w:lineRule="exact"/>
        <w:jc w:val="center"/>
        <w:rPr>
          <w:rFonts w:ascii="Times New Roman" w:hAnsi="Times New Roman" w:cs="Times New Roman"/>
          <w:sz w:val="28"/>
          <w:szCs w:val="28"/>
        </w:rPr>
      </w:pPr>
    </w:p>
    <w:p w14:paraId="75136C0F" w14:textId="77777777" w:rsidR="00EE0179" w:rsidRDefault="00EE0179">
      <w:pPr>
        <w:rPr>
          <w:rFonts w:ascii="Times New Roman" w:hAnsi="Times New Roman" w:cs="Times New Roman"/>
          <w:sz w:val="28"/>
          <w:szCs w:val="28"/>
        </w:rPr>
      </w:pPr>
      <w:r>
        <w:rPr>
          <w:rFonts w:ascii="Times New Roman" w:hAnsi="Times New Roman" w:cs="Times New Roman"/>
          <w:sz w:val="28"/>
          <w:szCs w:val="28"/>
        </w:rPr>
        <w:br w:type="page"/>
      </w:r>
    </w:p>
    <w:p w14:paraId="28B74BCE" w14:textId="68DCAE31" w:rsidR="00426BDA" w:rsidRDefault="00426BDA" w:rsidP="003E0728">
      <w:pPr>
        <w:pStyle w:val="NoSpacing"/>
        <w:spacing w:line="380" w:lineRule="exact"/>
        <w:jc w:val="center"/>
        <w:rPr>
          <w:rFonts w:ascii="Times New Roman" w:hAnsi="Times New Roman" w:cs="Times New Roman"/>
          <w:sz w:val="28"/>
          <w:szCs w:val="28"/>
        </w:rPr>
      </w:pPr>
      <w:r w:rsidRPr="003E0728">
        <w:rPr>
          <w:rFonts w:ascii="Times New Roman" w:hAnsi="Times New Roman" w:cs="Times New Roman"/>
          <w:sz w:val="28"/>
          <w:szCs w:val="28"/>
        </w:rPr>
        <w:lastRenderedPageBreak/>
        <w:t>B.—Expenditure</w:t>
      </w:r>
    </w:p>
    <w:tbl>
      <w:tblPr>
        <w:tblW w:w="9249" w:type="dxa"/>
        <w:jc w:val="center"/>
        <w:tblLook w:val="04A0" w:firstRow="1" w:lastRow="0" w:firstColumn="1" w:lastColumn="0" w:noHBand="0" w:noVBand="1"/>
      </w:tblPr>
      <w:tblGrid>
        <w:gridCol w:w="2001"/>
        <w:gridCol w:w="1047"/>
        <w:gridCol w:w="1190"/>
        <w:gridCol w:w="984"/>
        <w:gridCol w:w="1396"/>
        <w:gridCol w:w="984"/>
        <w:gridCol w:w="1884"/>
      </w:tblGrid>
      <w:tr w:rsidR="003E0728" w:rsidRPr="003E0728" w14:paraId="4F9E9811" w14:textId="77777777" w:rsidTr="00E23521">
        <w:trPr>
          <w:trHeight w:val="397"/>
          <w:jc w:val="center"/>
        </w:trPr>
        <w:tc>
          <w:tcPr>
            <w:tcW w:w="2006" w:type="dxa"/>
            <w:tcBorders>
              <w:top w:val="single" w:sz="4" w:space="0" w:color="auto"/>
              <w:left w:val="single" w:sz="4" w:space="0" w:color="auto"/>
              <w:bottom w:val="single" w:sz="4" w:space="0" w:color="auto"/>
              <w:right w:val="single" w:sz="4" w:space="0" w:color="auto"/>
            </w:tcBorders>
            <w:noWrap/>
            <w:vAlign w:val="center"/>
            <w:hideMark/>
          </w:tcPr>
          <w:p w14:paraId="2F95146B" w14:textId="35764E5E" w:rsidR="003E0728" w:rsidRPr="00E23521" w:rsidRDefault="003E0728" w:rsidP="003E0728">
            <w:pPr>
              <w:pStyle w:val="Tables"/>
              <w:rPr>
                <w:b/>
                <w:bCs/>
              </w:rPr>
            </w:pPr>
          </w:p>
        </w:tc>
        <w:tc>
          <w:tcPr>
            <w:tcW w:w="2242" w:type="dxa"/>
            <w:gridSpan w:val="2"/>
            <w:tcBorders>
              <w:top w:val="single" w:sz="4" w:space="0" w:color="auto"/>
              <w:left w:val="nil"/>
              <w:bottom w:val="single" w:sz="4" w:space="0" w:color="auto"/>
              <w:right w:val="single" w:sz="4" w:space="0" w:color="auto"/>
            </w:tcBorders>
            <w:noWrap/>
            <w:vAlign w:val="center"/>
            <w:hideMark/>
          </w:tcPr>
          <w:p w14:paraId="053D1EEC" w14:textId="77777777" w:rsidR="003E0728" w:rsidRPr="00E23521" w:rsidRDefault="003E0728" w:rsidP="003E0728">
            <w:pPr>
              <w:pStyle w:val="Tables"/>
              <w:rPr>
                <w:b/>
                <w:bCs/>
              </w:rPr>
            </w:pPr>
            <w:r w:rsidRPr="00E23521">
              <w:rPr>
                <w:b/>
                <w:bCs/>
              </w:rPr>
              <w:t>1950-51</w:t>
            </w:r>
          </w:p>
        </w:tc>
        <w:tc>
          <w:tcPr>
            <w:tcW w:w="2126" w:type="dxa"/>
            <w:gridSpan w:val="2"/>
            <w:tcBorders>
              <w:top w:val="single" w:sz="4" w:space="0" w:color="auto"/>
              <w:left w:val="nil"/>
              <w:bottom w:val="single" w:sz="4" w:space="0" w:color="auto"/>
              <w:right w:val="single" w:sz="4" w:space="0" w:color="auto"/>
            </w:tcBorders>
            <w:noWrap/>
            <w:vAlign w:val="center"/>
            <w:hideMark/>
          </w:tcPr>
          <w:p w14:paraId="14D7F33E" w14:textId="77777777" w:rsidR="003E0728" w:rsidRPr="00E23521" w:rsidRDefault="003E0728" w:rsidP="003E0728">
            <w:pPr>
              <w:pStyle w:val="Tables"/>
              <w:rPr>
                <w:b/>
                <w:bCs/>
              </w:rPr>
            </w:pPr>
            <w:r w:rsidRPr="00E23521">
              <w:rPr>
                <w:b/>
                <w:bCs/>
              </w:rPr>
              <w:t>1951-52 (Revised Estimates)</w:t>
            </w:r>
          </w:p>
        </w:tc>
        <w:tc>
          <w:tcPr>
            <w:tcW w:w="2875" w:type="dxa"/>
            <w:gridSpan w:val="2"/>
            <w:tcBorders>
              <w:top w:val="single" w:sz="4" w:space="0" w:color="auto"/>
              <w:left w:val="nil"/>
              <w:bottom w:val="single" w:sz="4" w:space="0" w:color="auto"/>
              <w:right w:val="single" w:sz="4" w:space="0" w:color="auto"/>
            </w:tcBorders>
            <w:noWrap/>
            <w:vAlign w:val="center"/>
            <w:hideMark/>
          </w:tcPr>
          <w:p w14:paraId="3B9B4B25" w14:textId="77777777" w:rsidR="003E0728" w:rsidRPr="00E23521" w:rsidRDefault="003E0728" w:rsidP="003E0728">
            <w:pPr>
              <w:pStyle w:val="Tables"/>
              <w:rPr>
                <w:b/>
                <w:bCs/>
              </w:rPr>
            </w:pPr>
            <w:r w:rsidRPr="00E23521">
              <w:rPr>
                <w:b/>
                <w:bCs/>
              </w:rPr>
              <w:t>1952-53 (Budget Estimates)</w:t>
            </w:r>
          </w:p>
        </w:tc>
      </w:tr>
      <w:tr w:rsidR="003E0728" w:rsidRPr="003E0728" w14:paraId="6BC260F6" w14:textId="77777777" w:rsidTr="00E23521">
        <w:trPr>
          <w:trHeight w:val="397"/>
          <w:jc w:val="center"/>
        </w:trPr>
        <w:tc>
          <w:tcPr>
            <w:tcW w:w="2006" w:type="dxa"/>
            <w:tcBorders>
              <w:top w:val="nil"/>
              <w:left w:val="single" w:sz="4" w:space="0" w:color="auto"/>
              <w:bottom w:val="single" w:sz="4" w:space="0" w:color="auto"/>
              <w:right w:val="single" w:sz="4" w:space="0" w:color="auto"/>
            </w:tcBorders>
            <w:noWrap/>
            <w:vAlign w:val="center"/>
            <w:hideMark/>
          </w:tcPr>
          <w:p w14:paraId="123CA4E9" w14:textId="16A941A5" w:rsidR="003E0728" w:rsidRPr="00E23521" w:rsidRDefault="003E0728" w:rsidP="003E0728">
            <w:pPr>
              <w:pStyle w:val="Tables"/>
              <w:rPr>
                <w:b/>
                <w:bCs/>
              </w:rPr>
            </w:pPr>
          </w:p>
        </w:tc>
        <w:tc>
          <w:tcPr>
            <w:tcW w:w="1049" w:type="dxa"/>
            <w:tcBorders>
              <w:top w:val="nil"/>
              <w:left w:val="nil"/>
              <w:bottom w:val="single" w:sz="4" w:space="0" w:color="auto"/>
              <w:right w:val="single" w:sz="4" w:space="0" w:color="auto"/>
            </w:tcBorders>
            <w:noWrap/>
            <w:vAlign w:val="center"/>
            <w:hideMark/>
          </w:tcPr>
          <w:p w14:paraId="3B8F453A" w14:textId="77777777" w:rsidR="003E0728" w:rsidRPr="00E23521" w:rsidRDefault="003E0728" w:rsidP="003E0728">
            <w:pPr>
              <w:pStyle w:val="Tables"/>
              <w:rPr>
                <w:b/>
                <w:bCs/>
              </w:rPr>
            </w:pPr>
            <w:r w:rsidRPr="00E23521">
              <w:rPr>
                <w:b/>
                <w:bCs/>
              </w:rPr>
              <w:t>Rs. crores</w:t>
            </w:r>
          </w:p>
        </w:tc>
        <w:tc>
          <w:tcPr>
            <w:tcW w:w="1193" w:type="dxa"/>
            <w:tcBorders>
              <w:top w:val="nil"/>
              <w:left w:val="nil"/>
              <w:bottom w:val="single" w:sz="4" w:space="0" w:color="auto"/>
              <w:right w:val="single" w:sz="4" w:space="0" w:color="auto"/>
            </w:tcBorders>
            <w:noWrap/>
            <w:vAlign w:val="center"/>
            <w:hideMark/>
          </w:tcPr>
          <w:p w14:paraId="025F9FF6" w14:textId="77777777" w:rsidR="003E0728" w:rsidRPr="00E23521" w:rsidRDefault="003E0728" w:rsidP="003E0728">
            <w:pPr>
              <w:pStyle w:val="Tables"/>
              <w:rPr>
                <w:b/>
                <w:bCs/>
              </w:rPr>
            </w:pPr>
            <w:r w:rsidRPr="00E23521">
              <w:rPr>
                <w:b/>
                <w:bCs/>
              </w:rPr>
              <w:t>Per cent</w:t>
            </w:r>
          </w:p>
        </w:tc>
        <w:tc>
          <w:tcPr>
            <w:tcW w:w="727" w:type="dxa"/>
            <w:tcBorders>
              <w:top w:val="nil"/>
              <w:left w:val="nil"/>
              <w:bottom w:val="single" w:sz="4" w:space="0" w:color="auto"/>
              <w:right w:val="single" w:sz="4" w:space="0" w:color="auto"/>
            </w:tcBorders>
            <w:noWrap/>
            <w:vAlign w:val="center"/>
            <w:hideMark/>
          </w:tcPr>
          <w:p w14:paraId="29884456" w14:textId="77777777" w:rsidR="003E0728" w:rsidRPr="00E23521" w:rsidRDefault="003E0728" w:rsidP="003E0728">
            <w:pPr>
              <w:pStyle w:val="Tables"/>
              <w:rPr>
                <w:b/>
                <w:bCs/>
              </w:rPr>
            </w:pPr>
            <w:r w:rsidRPr="00E23521">
              <w:rPr>
                <w:b/>
                <w:bCs/>
              </w:rPr>
              <w:t>Rs. crores</w:t>
            </w:r>
          </w:p>
        </w:tc>
        <w:tc>
          <w:tcPr>
            <w:tcW w:w="1399" w:type="dxa"/>
            <w:tcBorders>
              <w:top w:val="nil"/>
              <w:left w:val="nil"/>
              <w:bottom w:val="single" w:sz="4" w:space="0" w:color="auto"/>
              <w:right w:val="single" w:sz="4" w:space="0" w:color="auto"/>
            </w:tcBorders>
            <w:noWrap/>
            <w:vAlign w:val="center"/>
            <w:hideMark/>
          </w:tcPr>
          <w:p w14:paraId="6BB251E9" w14:textId="77777777" w:rsidR="003E0728" w:rsidRPr="00E23521" w:rsidRDefault="003E0728" w:rsidP="003E0728">
            <w:pPr>
              <w:pStyle w:val="Tables"/>
              <w:rPr>
                <w:b/>
                <w:bCs/>
              </w:rPr>
            </w:pPr>
            <w:r w:rsidRPr="00E23521">
              <w:rPr>
                <w:b/>
                <w:bCs/>
              </w:rPr>
              <w:t>Per cent</w:t>
            </w:r>
          </w:p>
        </w:tc>
        <w:tc>
          <w:tcPr>
            <w:tcW w:w="986" w:type="dxa"/>
            <w:tcBorders>
              <w:top w:val="nil"/>
              <w:left w:val="nil"/>
              <w:bottom w:val="single" w:sz="4" w:space="0" w:color="auto"/>
              <w:right w:val="single" w:sz="4" w:space="0" w:color="auto"/>
            </w:tcBorders>
            <w:noWrap/>
            <w:vAlign w:val="center"/>
            <w:hideMark/>
          </w:tcPr>
          <w:p w14:paraId="32FD511B" w14:textId="77777777" w:rsidR="003E0728" w:rsidRPr="00E23521" w:rsidRDefault="003E0728" w:rsidP="003E0728">
            <w:pPr>
              <w:pStyle w:val="Tables"/>
              <w:rPr>
                <w:b/>
                <w:bCs/>
              </w:rPr>
            </w:pPr>
            <w:r w:rsidRPr="00E23521">
              <w:rPr>
                <w:b/>
                <w:bCs/>
              </w:rPr>
              <w:t>Rs. crores</w:t>
            </w:r>
          </w:p>
        </w:tc>
        <w:tc>
          <w:tcPr>
            <w:tcW w:w="1889" w:type="dxa"/>
            <w:tcBorders>
              <w:top w:val="nil"/>
              <w:left w:val="nil"/>
              <w:bottom w:val="single" w:sz="4" w:space="0" w:color="auto"/>
              <w:right w:val="single" w:sz="4" w:space="0" w:color="auto"/>
            </w:tcBorders>
            <w:noWrap/>
            <w:vAlign w:val="center"/>
            <w:hideMark/>
          </w:tcPr>
          <w:p w14:paraId="3B1D3D38" w14:textId="77777777" w:rsidR="003E0728" w:rsidRPr="00E23521" w:rsidRDefault="003E0728" w:rsidP="003E0728">
            <w:pPr>
              <w:pStyle w:val="Tables"/>
              <w:rPr>
                <w:b/>
                <w:bCs/>
              </w:rPr>
            </w:pPr>
            <w:r w:rsidRPr="00E23521">
              <w:rPr>
                <w:b/>
                <w:bCs/>
              </w:rPr>
              <w:t>Per cent</w:t>
            </w:r>
          </w:p>
        </w:tc>
      </w:tr>
      <w:tr w:rsidR="003E0728" w:rsidRPr="003E0728" w14:paraId="514029E2" w14:textId="77777777" w:rsidTr="00E23521">
        <w:trPr>
          <w:trHeight w:val="397"/>
          <w:jc w:val="center"/>
        </w:trPr>
        <w:tc>
          <w:tcPr>
            <w:tcW w:w="2006" w:type="dxa"/>
            <w:tcBorders>
              <w:top w:val="nil"/>
              <w:left w:val="single" w:sz="4" w:space="0" w:color="auto"/>
              <w:bottom w:val="single" w:sz="4" w:space="0" w:color="auto"/>
              <w:right w:val="single" w:sz="4" w:space="0" w:color="auto"/>
            </w:tcBorders>
            <w:noWrap/>
            <w:vAlign w:val="center"/>
            <w:hideMark/>
          </w:tcPr>
          <w:p w14:paraId="1B0EB27C" w14:textId="77777777" w:rsidR="003E0728" w:rsidRPr="003E0728" w:rsidRDefault="003E0728" w:rsidP="00E23521">
            <w:pPr>
              <w:pStyle w:val="Tables"/>
              <w:jc w:val="left"/>
            </w:pPr>
            <w:r w:rsidRPr="003E0728">
              <w:t>Total Expenditure</w:t>
            </w:r>
          </w:p>
        </w:tc>
        <w:tc>
          <w:tcPr>
            <w:tcW w:w="1049" w:type="dxa"/>
            <w:tcBorders>
              <w:top w:val="nil"/>
              <w:left w:val="nil"/>
              <w:bottom w:val="single" w:sz="4" w:space="0" w:color="auto"/>
              <w:right w:val="single" w:sz="4" w:space="0" w:color="auto"/>
            </w:tcBorders>
            <w:noWrap/>
            <w:vAlign w:val="center"/>
            <w:hideMark/>
          </w:tcPr>
          <w:p w14:paraId="1DE1EEEE" w14:textId="77777777" w:rsidR="003E0728" w:rsidRPr="003E0728" w:rsidRDefault="003E0728" w:rsidP="003E0728">
            <w:pPr>
              <w:pStyle w:val="Tables"/>
            </w:pPr>
            <w:r w:rsidRPr="003E0728">
              <w:t>351.44</w:t>
            </w:r>
          </w:p>
        </w:tc>
        <w:tc>
          <w:tcPr>
            <w:tcW w:w="1193" w:type="dxa"/>
            <w:tcBorders>
              <w:top w:val="nil"/>
              <w:left w:val="nil"/>
              <w:bottom w:val="single" w:sz="4" w:space="0" w:color="auto"/>
              <w:right w:val="single" w:sz="4" w:space="0" w:color="auto"/>
            </w:tcBorders>
            <w:noWrap/>
            <w:vAlign w:val="center"/>
            <w:hideMark/>
          </w:tcPr>
          <w:p w14:paraId="7F97D68E" w14:textId="77777777" w:rsidR="003E0728" w:rsidRPr="003E0728" w:rsidRDefault="003E0728" w:rsidP="003E0728">
            <w:pPr>
              <w:pStyle w:val="Tables"/>
            </w:pPr>
            <w:r w:rsidRPr="003E0728">
              <w:t>100</w:t>
            </w:r>
          </w:p>
        </w:tc>
        <w:tc>
          <w:tcPr>
            <w:tcW w:w="727" w:type="dxa"/>
            <w:tcBorders>
              <w:top w:val="nil"/>
              <w:left w:val="nil"/>
              <w:bottom w:val="single" w:sz="4" w:space="0" w:color="auto"/>
              <w:right w:val="single" w:sz="4" w:space="0" w:color="auto"/>
            </w:tcBorders>
            <w:noWrap/>
            <w:vAlign w:val="center"/>
            <w:hideMark/>
          </w:tcPr>
          <w:p w14:paraId="7F0F0B54" w14:textId="77777777" w:rsidR="003E0728" w:rsidRPr="003E0728" w:rsidRDefault="003E0728" w:rsidP="003E0728">
            <w:pPr>
              <w:pStyle w:val="Tables"/>
            </w:pPr>
            <w:r w:rsidRPr="003E0728">
              <w:t>405.06</w:t>
            </w:r>
          </w:p>
        </w:tc>
        <w:tc>
          <w:tcPr>
            <w:tcW w:w="1399" w:type="dxa"/>
            <w:tcBorders>
              <w:top w:val="nil"/>
              <w:left w:val="nil"/>
              <w:bottom w:val="single" w:sz="4" w:space="0" w:color="auto"/>
              <w:right w:val="single" w:sz="4" w:space="0" w:color="auto"/>
            </w:tcBorders>
            <w:noWrap/>
            <w:vAlign w:val="center"/>
            <w:hideMark/>
          </w:tcPr>
          <w:p w14:paraId="7F329E8E" w14:textId="77777777" w:rsidR="003E0728" w:rsidRPr="003E0728" w:rsidRDefault="003E0728" w:rsidP="003E0728">
            <w:pPr>
              <w:pStyle w:val="Tables"/>
            </w:pPr>
            <w:r w:rsidRPr="003E0728">
              <w:t>100</w:t>
            </w:r>
          </w:p>
        </w:tc>
        <w:tc>
          <w:tcPr>
            <w:tcW w:w="986" w:type="dxa"/>
            <w:tcBorders>
              <w:top w:val="nil"/>
              <w:left w:val="nil"/>
              <w:bottom w:val="single" w:sz="4" w:space="0" w:color="auto"/>
              <w:right w:val="single" w:sz="4" w:space="0" w:color="auto"/>
            </w:tcBorders>
            <w:noWrap/>
            <w:vAlign w:val="center"/>
            <w:hideMark/>
          </w:tcPr>
          <w:p w14:paraId="53F9B654" w14:textId="77777777" w:rsidR="003E0728" w:rsidRPr="003E0728" w:rsidRDefault="003E0728" w:rsidP="003E0728">
            <w:pPr>
              <w:pStyle w:val="Tables"/>
            </w:pPr>
            <w:r w:rsidRPr="003E0728">
              <w:t>401.25</w:t>
            </w:r>
          </w:p>
        </w:tc>
        <w:tc>
          <w:tcPr>
            <w:tcW w:w="1889" w:type="dxa"/>
            <w:tcBorders>
              <w:top w:val="nil"/>
              <w:left w:val="nil"/>
              <w:bottom w:val="single" w:sz="4" w:space="0" w:color="auto"/>
              <w:right w:val="single" w:sz="4" w:space="0" w:color="auto"/>
            </w:tcBorders>
            <w:noWrap/>
            <w:vAlign w:val="center"/>
            <w:hideMark/>
          </w:tcPr>
          <w:p w14:paraId="2DD4A163" w14:textId="77777777" w:rsidR="003E0728" w:rsidRPr="003E0728" w:rsidRDefault="003E0728" w:rsidP="003E0728">
            <w:pPr>
              <w:pStyle w:val="Tables"/>
            </w:pPr>
            <w:r w:rsidRPr="003E0728">
              <w:t>100</w:t>
            </w:r>
          </w:p>
        </w:tc>
      </w:tr>
      <w:tr w:rsidR="003E0728" w:rsidRPr="003E0728" w14:paraId="7CB17FAD" w14:textId="77777777" w:rsidTr="00E23521">
        <w:trPr>
          <w:trHeight w:val="397"/>
          <w:jc w:val="center"/>
        </w:trPr>
        <w:tc>
          <w:tcPr>
            <w:tcW w:w="2006" w:type="dxa"/>
            <w:tcBorders>
              <w:top w:val="nil"/>
              <w:left w:val="single" w:sz="4" w:space="0" w:color="auto"/>
              <w:bottom w:val="single" w:sz="4" w:space="0" w:color="auto"/>
              <w:right w:val="single" w:sz="4" w:space="0" w:color="auto"/>
            </w:tcBorders>
            <w:noWrap/>
            <w:vAlign w:val="center"/>
            <w:hideMark/>
          </w:tcPr>
          <w:p w14:paraId="2593918E" w14:textId="77777777" w:rsidR="003E0728" w:rsidRPr="003E0728" w:rsidRDefault="003E0728" w:rsidP="00E23521">
            <w:pPr>
              <w:pStyle w:val="Tables"/>
              <w:jc w:val="left"/>
            </w:pPr>
            <w:r w:rsidRPr="003E0728">
              <w:t>Direct Demands</w:t>
            </w:r>
          </w:p>
        </w:tc>
        <w:tc>
          <w:tcPr>
            <w:tcW w:w="1049" w:type="dxa"/>
            <w:tcBorders>
              <w:top w:val="nil"/>
              <w:left w:val="nil"/>
              <w:bottom w:val="single" w:sz="4" w:space="0" w:color="auto"/>
              <w:right w:val="single" w:sz="4" w:space="0" w:color="auto"/>
            </w:tcBorders>
            <w:noWrap/>
            <w:vAlign w:val="center"/>
            <w:hideMark/>
          </w:tcPr>
          <w:p w14:paraId="2943AEE2" w14:textId="295C0B6D" w:rsidR="003E0728" w:rsidRPr="003E0728" w:rsidRDefault="003E0728" w:rsidP="003E0728">
            <w:pPr>
              <w:pStyle w:val="Tables"/>
            </w:pPr>
            <w:r w:rsidRPr="003E0728">
              <w:t>12.5</w:t>
            </w:r>
            <w:r w:rsidR="00962925">
              <w:t>0</w:t>
            </w:r>
          </w:p>
        </w:tc>
        <w:tc>
          <w:tcPr>
            <w:tcW w:w="1193" w:type="dxa"/>
            <w:tcBorders>
              <w:top w:val="nil"/>
              <w:left w:val="nil"/>
              <w:bottom w:val="single" w:sz="4" w:space="0" w:color="auto"/>
              <w:right w:val="single" w:sz="4" w:space="0" w:color="auto"/>
            </w:tcBorders>
            <w:noWrap/>
            <w:vAlign w:val="center"/>
            <w:hideMark/>
          </w:tcPr>
          <w:p w14:paraId="2498D3B8" w14:textId="77777777" w:rsidR="003E0728" w:rsidRPr="003E0728" w:rsidRDefault="003E0728" w:rsidP="003E0728">
            <w:pPr>
              <w:pStyle w:val="Tables"/>
            </w:pPr>
            <w:r w:rsidRPr="003E0728">
              <w:t>3.6</w:t>
            </w:r>
          </w:p>
        </w:tc>
        <w:tc>
          <w:tcPr>
            <w:tcW w:w="727" w:type="dxa"/>
            <w:tcBorders>
              <w:top w:val="nil"/>
              <w:left w:val="nil"/>
              <w:bottom w:val="single" w:sz="4" w:space="0" w:color="auto"/>
              <w:right w:val="single" w:sz="4" w:space="0" w:color="auto"/>
            </w:tcBorders>
            <w:noWrap/>
            <w:vAlign w:val="center"/>
            <w:hideMark/>
          </w:tcPr>
          <w:p w14:paraId="15FEF57D" w14:textId="77777777" w:rsidR="003E0728" w:rsidRPr="003E0728" w:rsidRDefault="003E0728" w:rsidP="003E0728">
            <w:pPr>
              <w:pStyle w:val="Tables"/>
            </w:pPr>
            <w:r w:rsidRPr="003E0728">
              <w:t>16.95</w:t>
            </w:r>
          </w:p>
        </w:tc>
        <w:tc>
          <w:tcPr>
            <w:tcW w:w="1399" w:type="dxa"/>
            <w:tcBorders>
              <w:top w:val="nil"/>
              <w:left w:val="nil"/>
              <w:bottom w:val="single" w:sz="4" w:space="0" w:color="auto"/>
              <w:right w:val="single" w:sz="4" w:space="0" w:color="auto"/>
            </w:tcBorders>
            <w:noWrap/>
            <w:vAlign w:val="center"/>
            <w:hideMark/>
          </w:tcPr>
          <w:p w14:paraId="711C865D" w14:textId="77777777" w:rsidR="003E0728" w:rsidRPr="003E0728" w:rsidRDefault="003E0728" w:rsidP="003E0728">
            <w:pPr>
              <w:pStyle w:val="Tables"/>
            </w:pPr>
            <w:r w:rsidRPr="003E0728">
              <w:t>4.2</w:t>
            </w:r>
          </w:p>
        </w:tc>
        <w:tc>
          <w:tcPr>
            <w:tcW w:w="986" w:type="dxa"/>
            <w:tcBorders>
              <w:top w:val="nil"/>
              <w:left w:val="nil"/>
              <w:bottom w:val="single" w:sz="4" w:space="0" w:color="auto"/>
              <w:right w:val="single" w:sz="4" w:space="0" w:color="auto"/>
            </w:tcBorders>
            <w:noWrap/>
            <w:vAlign w:val="center"/>
            <w:hideMark/>
          </w:tcPr>
          <w:p w14:paraId="6E5B8256" w14:textId="77777777" w:rsidR="003E0728" w:rsidRPr="003E0728" w:rsidRDefault="003E0728" w:rsidP="003E0728">
            <w:pPr>
              <w:pStyle w:val="Tables"/>
            </w:pPr>
            <w:r w:rsidRPr="003E0728">
              <w:t>15.76</w:t>
            </w:r>
          </w:p>
        </w:tc>
        <w:tc>
          <w:tcPr>
            <w:tcW w:w="1889" w:type="dxa"/>
            <w:tcBorders>
              <w:top w:val="nil"/>
              <w:left w:val="nil"/>
              <w:bottom w:val="single" w:sz="4" w:space="0" w:color="auto"/>
              <w:right w:val="single" w:sz="4" w:space="0" w:color="auto"/>
            </w:tcBorders>
            <w:noWrap/>
            <w:vAlign w:val="center"/>
            <w:hideMark/>
          </w:tcPr>
          <w:p w14:paraId="47A41474" w14:textId="77777777" w:rsidR="003E0728" w:rsidRPr="003E0728" w:rsidRDefault="003E0728" w:rsidP="003E0728">
            <w:pPr>
              <w:pStyle w:val="Tables"/>
            </w:pPr>
            <w:r w:rsidRPr="003E0728">
              <w:t>3.9</w:t>
            </w:r>
          </w:p>
        </w:tc>
      </w:tr>
      <w:tr w:rsidR="003E0728" w:rsidRPr="003E0728" w14:paraId="22E2A123" w14:textId="77777777" w:rsidTr="00E23521">
        <w:trPr>
          <w:trHeight w:val="397"/>
          <w:jc w:val="center"/>
        </w:trPr>
        <w:tc>
          <w:tcPr>
            <w:tcW w:w="2006" w:type="dxa"/>
            <w:tcBorders>
              <w:top w:val="nil"/>
              <w:left w:val="single" w:sz="4" w:space="0" w:color="auto"/>
              <w:bottom w:val="single" w:sz="4" w:space="0" w:color="auto"/>
              <w:right w:val="single" w:sz="4" w:space="0" w:color="auto"/>
            </w:tcBorders>
            <w:noWrap/>
            <w:vAlign w:val="center"/>
            <w:hideMark/>
          </w:tcPr>
          <w:p w14:paraId="407C1260" w14:textId="77777777" w:rsidR="003E0728" w:rsidRPr="003E0728" w:rsidRDefault="003E0728" w:rsidP="00E23521">
            <w:pPr>
              <w:pStyle w:val="Tables"/>
              <w:jc w:val="left"/>
            </w:pPr>
            <w:r w:rsidRPr="003E0728">
              <w:t>Debt Services (b)</w:t>
            </w:r>
          </w:p>
        </w:tc>
        <w:tc>
          <w:tcPr>
            <w:tcW w:w="1049" w:type="dxa"/>
            <w:tcBorders>
              <w:top w:val="nil"/>
              <w:left w:val="nil"/>
              <w:bottom w:val="single" w:sz="4" w:space="0" w:color="auto"/>
              <w:right w:val="single" w:sz="4" w:space="0" w:color="auto"/>
            </w:tcBorders>
            <w:noWrap/>
            <w:vAlign w:val="center"/>
            <w:hideMark/>
          </w:tcPr>
          <w:p w14:paraId="72D9B088" w14:textId="77777777" w:rsidR="003E0728" w:rsidRPr="003E0728" w:rsidRDefault="003E0728" w:rsidP="003E0728">
            <w:pPr>
              <w:pStyle w:val="Tables"/>
            </w:pPr>
            <w:r w:rsidRPr="003E0728">
              <w:t>44.22</w:t>
            </w:r>
          </w:p>
        </w:tc>
        <w:tc>
          <w:tcPr>
            <w:tcW w:w="1193" w:type="dxa"/>
            <w:tcBorders>
              <w:top w:val="nil"/>
              <w:left w:val="nil"/>
              <w:bottom w:val="single" w:sz="4" w:space="0" w:color="auto"/>
              <w:right w:val="single" w:sz="4" w:space="0" w:color="auto"/>
            </w:tcBorders>
            <w:noWrap/>
            <w:vAlign w:val="center"/>
            <w:hideMark/>
          </w:tcPr>
          <w:p w14:paraId="2456526F" w14:textId="77777777" w:rsidR="003E0728" w:rsidRPr="003E0728" w:rsidRDefault="003E0728" w:rsidP="003E0728">
            <w:pPr>
              <w:pStyle w:val="Tables"/>
            </w:pPr>
            <w:r w:rsidRPr="003E0728">
              <w:t>12.6</w:t>
            </w:r>
          </w:p>
        </w:tc>
        <w:tc>
          <w:tcPr>
            <w:tcW w:w="727" w:type="dxa"/>
            <w:tcBorders>
              <w:top w:val="nil"/>
              <w:left w:val="nil"/>
              <w:bottom w:val="single" w:sz="4" w:space="0" w:color="auto"/>
              <w:right w:val="single" w:sz="4" w:space="0" w:color="auto"/>
            </w:tcBorders>
            <w:noWrap/>
            <w:vAlign w:val="center"/>
            <w:hideMark/>
          </w:tcPr>
          <w:p w14:paraId="1EA53E13" w14:textId="77777777" w:rsidR="003E0728" w:rsidRPr="003E0728" w:rsidRDefault="003E0728" w:rsidP="003E0728">
            <w:pPr>
              <w:pStyle w:val="Tables"/>
            </w:pPr>
            <w:r w:rsidRPr="003E0728">
              <w:t>46.84</w:t>
            </w:r>
          </w:p>
        </w:tc>
        <w:tc>
          <w:tcPr>
            <w:tcW w:w="1399" w:type="dxa"/>
            <w:tcBorders>
              <w:top w:val="nil"/>
              <w:left w:val="nil"/>
              <w:bottom w:val="single" w:sz="4" w:space="0" w:color="auto"/>
              <w:right w:val="single" w:sz="4" w:space="0" w:color="auto"/>
            </w:tcBorders>
            <w:noWrap/>
            <w:vAlign w:val="center"/>
            <w:hideMark/>
          </w:tcPr>
          <w:p w14:paraId="444B18E6" w14:textId="77777777" w:rsidR="003E0728" w:rsidRPr="003E0728" w:rsidRDefault="003E0728" w:rsidP="003E0728">
            <w:pPr>
              <w:pStyle w:val="Tables"/>
            </w:pPr>
            <w:r w:rsidRPr="003E0728">
              <w:t>11.6</w:t>
            </w:r>
          </w:p>
        </w:tc>
        <w:tc>
          <w:tcPr>
            <w:tcW w:w="986" w:type="dxa"/>
            <w:tcBorders>
              <w:top w:val="nil"/>
              <w:left w:val="nil"/>
              <w:bottom w:val="single" w:sz="4" w:space="0" w:color="auto"/>
              <w:right w:val="single" w:sz="4" w:space="0" w:color="auto"/>
            </w:tcBorders>
            <w:noWrap/>
            <w:vAlign w:val="center"/>
            <w:hideMark/>
          </w:tcPr>
          <w:p w14:paraId="1006F9A9" w14:textId="77777777" w:rsidR="003E0728" w:rsidRPr="003E0728" w:rsidRDefault="003E0728" w:rsidP="003E0728">
            <w:pPr>
              <w:pStyle w:val="Tables"/>
            </w:pPr>
            <w:r w:rsidRPr="003E0728">
              <w:t>48.24</w:t>
            </w:r>
          </w:p>
        </w:tc>
        <w:tc>
          <w:tcPr>
            <w:tcW w:w="1889" w:type="dxa"/>
            <w:tcBorders>
              <w:top w:val="nil"/>
              <w:left w:val="nil"/>
              <w:bottom w:val="single" w:sz="4" w:space="0" w:color="auto"/>
              <w:right w:val="single" w:sz="4" w:space="0" w:color="auto"/>
            </w:tcBorders>
            <w:noWrap/>
            <w:vAlign w:val="center"/>
            <w:hideMark/>
          </w:tcPr>
          <w:p w14:paraId="76A49485" w14:textId="77777777" w:rsidR="003E0728" w:rsidRPr="003E0728" w:rsidRDefault="003E0728" w:rsidP="003E0728">
            <w:pPr>
              <w:pStyle w:val="Tables"/>
            </w:pPr>
            <w:r w:rsidRPr="003E0728">
              <w:t>12</w:t>
            </w:r>
          </w:p>
        </w:tc>
      </w:tr>
      <w:tr w:rsidR="003E0728" w:rsidRPr="003E0728" w14:paraId="22135B48" w14:textId="77777777" w:rsidTr="00E23521">
        <w:trPr>
          <w:trHeight w:val="397"/>
          <w:jc w:val="center"/>
        </w:trPr>
        <w:tc>
          <w:tcPr>
            <w:tcW w:w="2006" w:type="dxa"/>
            <w:tcBorders>
              <w:top w:val="nil"/>
              <w:left w:val="single" w:sz="4" w:space="0" w:color="auto"/>
              <w:bottom w:val="single" w:sz="4" w:space="0" w:color="auto"/>
              <w:right w:val="single" w:sz="4" w:space="0" w:color="auto"/>
            </w:tcBorders>
            <w:noWrap/>
            <w:vAlign w:val="center"/>
            <w:hideMark/>
          </w:tcPr>
          <w:p w14:paraId="6B4C8811" w14:textId="77777777" w:rsidR="003E0728" w:rsidRPr="003E0728" w:rsidRDefault="003E0728" w:rsidP="00E23521">
            <w:pPr>
              <w:pStyle w:val="Tables"/>
              <w:jc w:val="left"/>
            </w:pPr>
            <w:r w:rsidRPr="003E0728">
              <w:t>Civil Administration</w:t>
            </w:r>
          </w:p>
        </w:tc>
        <w:tc>
          <w:tcPr>
            <w:tcW w:w="1049" w:type="dxa"/>
            <w:tcBorders>
              <w:top w:val="nil"/>
              <w:left w:val="nil"/>
              <w:bottom w:val="single" w:sz="4" w:space="0" w:color="auto"/>
              <w:right w:val="single" w:sz="4" w:space="0" w:color="auto"/>
            </w:tcBorders>
            <w:noWrap/>
            <w:vAlign w:val="center"/>
            <w:hideMark/>
          </w:tcPr>
          <w:p w14:paraId="720CD189" w14:textId="4B2F1363" w:rsidR="003E0728" w:rsidRPr="003E0728" w:rsidRDefault="003E0728" w:rsidP="003E0728">
            <w:pPr>
              <w:pStyle w:val="Tables"/>
            </w:pPr>
            <w:r w:rsidRPr="003E0728">
              <w:t>48.8</w:t>
            </w:r>
            <w:r w:rsidR="00962925">
              <w:t>0</w:t>
            </w:r>
          </w:p>
        </w:tc>
        <w:tc>
          <w:tcPr>
            <w:tcW w:w="1193" w:type="dxa"/>
            <w:tcBorders>
              <w:top w:val="nil"/>
              <w:left w:val="nil"/>
              <w:bottom w:val="single" w:sz="4" w:space="0" w:color="auto"/>
              <w:right w:val="single" w:sz="4" w:space="0" w:color="auto"/>
            </w:tcBorders>
            <w:noWrap/>
            <w:vAlign w:val="center"/>
            <w:hideMark/>
          </w:tcPr>
          <w:p w14:paraId="70CF5B32" w14:textId="77777777" w:rsidR="003E0728" w:rsidRPr="003E0728" w:rsidRDefault="003E0728" w:rsidP="003E0728">
            <w:pPr>
              <w:pStyle w:val="Tables"/>
            </w:pPr>
            <w:r w:rsidRPr="003E0728">
              <w:t>13.9</w:t>
            </w:r>
          </w:p>
        </w:tc>
        <w:tc>
          <w:tcPr>
            <w:tcW w:w="727" w:type="dxa"/>
            <w:tcBorders>
              <w:top w:val="nil"/>
              <w:left w:val="nil"/>
              <w:bottom w:val="single" w:sz="4" w:space="0" w:color="auto"/>
              <w:right w:val="single" w:sz="4" w:space="0" w:color="auto"/>
            </w:tcBorders>
            <w:noWrap/>
            <w:vAlign w:val="center"/>
            <w:hideMark/>
          </w:tcPr>
          <w:p w14:paraId="5DEA72B1" w14:textId="77777777" w:rsidR="003E0728" w:rsidRPr="003E0728" w:rsidRDefault="003E0728" w:rsidP="003E0728">
            <w:pPr>
              <w:pStyle w:val="Tables"/>
            </w:pPr>
            <w:r w:rsidRPr="003E0728">
              <w:t>56.66</w:t>
            </w:r>
          </w:p>
        </w:tc>
        <w:tc>
          <w:tcPr>
            <w:tcW w:w="1399" w:type="dxa"/>
            <w:tcBorders>
              <w:top w:val="nil"/>
              <w:left w:val="nil"/>
              <w:bottom w:val="single" w:sz="4" w:space="0" w:color="auto"/>
              <w:right w:val="single" w:sz="4" w:space="0" w:color="auto"/>
            </w:tcBorders>
            <w:noWrap/>
            <w:vAlign w:val="center"/>
            <w:hideMark/>
          </w:tcPr>
          <w:p w14:paraId="063ECEF0" w14:textId="076D6049" w:rsidR="003E0728" w:rsidRPr="003E0728" w:rsidRDefault="003E0728" w:rsidP="003E0728">
            <w:pPr>
              <w:pStyle w:val="Tables"/>
            </w:pPr>
            <w:r w:rsidRPr="003E0728">
              <w:t>14</w:t>
            </w:r>
            <w:r w:rsidR="00962925">
              <w:t>.0</w:t>
            </w:r>
          </w:p>
        </w:tc>
        <w:tc>
          <w:tcPr>
            <w:tcW w:w="986" w:type="dxa"/>
            <w:tcBorders>
              <w:top w:val="nil"/>
              <w:left w:val="nil"/>
              <w:bottom w:val="single" w:sz="4" w:space="0" w:color="auto"/>
              <w:right w:val="single" w:sz="4" w:space="0" w:color="auto"/>
            </w:tcBorders>
            <w:noWrap/>
            <w:vAlign w:val="center"/>
            <w:hideMark/>
          </w:tcPr>
          <w:p w14:paraId="32959079" w14:textId="77777777" w:rsidR="003E0728" w:rsidRPr="003E0728" w:rsidRDefault="003E0728" w:rsidP="003E0728">
            <w:pPr>
              <w:pStyle w:val="Tables"/>
            </w:pPr>
            <w:r w:rsidRPr="003E0728">
              <w:t>55.98</w:t>
            </w:r>
          </w:p>
        </w:tc>
        <w:tc>
          <w:tcPr>
            <w:tcW w:w="1889" w:type="dxa"/>
            <w:tcBorders>
              <w:top w:val="nil"/>
              <w:left w:val="nil"/>
              <w:bottom w:val="single" w:sz="4" w:space="0" w:color="auto"/>
              <w:right w:val="single" w:sz="4" w:space="0" w:color="auto"/>
            </w:tcBorders>
            <w:noWrap/>
            <w:vAlign w:val="center"/>
            <w:hideMark/>
          </w:tcPr>
          <w:p w14:paraId="2ED45025" w14:textId="77777777" w:rsidR="003E0728" w:rsidRPr="003E0728" w:rsidRDefault="003E0728" w:rsidP="003E0728">
            <w:pPr>
              <w:pStyle w:val="Tables"/>
            </w:pPr>
            <w:r w:rsidRPr="003E0728">
              <w:t>14</w:t>
            </w:r>
          </w:p>
        </w:tc>
      </w:tr>
      <w:tr w:rsidR="003E0728" w:rsidRPr="003E0728" w14:paraId="3F58CADC" w14:textId="77777777" w:rsidTr="00E23521">
        <w:trPr>
          <w:trHeight w:val="397"/>
          <w:jc w:val="center"/>
        </w:trPr>
        <w:tc>
          <w:tcPr>
            <w:tcW w:w="2006" w:type="dxa"/>
            <w:tcBorders>
              <w:top w:val="nil"/>
              <w:left w:val="single" w:sz="4" w:space="0" w:color="auto"/>
              <w:bottom w:val="single" w:sz="4" w:space="0" w:color="auto"/>
              <w:right w:val="single" w:sz="4" w:space="0" w:color="auto"/>
            </w:tcBorders>
            <w:noWrap/>
            <w:vAlign w:val="center"/>
            <w:hideMark/>
          </w:tcPr>
          <w:p w14:paraId="5BA1A9B4" w14:textId="77777777" w:rsidR="003E0728" w:rsidRPr="003E0728" w:rsidRDefault="003E0728" w:rsidP="00E23521">
            <w:pPr>
              <w:pStyle w:val="Tables"/>
              <w:jc w:val="left"/>
            </w:pPr>
            <w:r w:rsidRPr="003E0728">
              <w:t>Civil works (c)</w:t>
            </w:r>
          </w:p>
        </w:tc>
        <w:tc>
          <w:tcPr>
            <w:tcW w:w="1049" w:type="dxa"/>
            <w:tcBorders>
              <w:top w:val="nil"/>
              <w:left w:val="nil"/>
              <w:bottom w:val="single" w:sz="4" w:space="0" w:color="auto"/>
              <w:right w:val="single" w:sz="4" w:space="0" w:color="auto"/>
            </w:tcBorders>
            <w:noWrap/>
            <w:vAlign w:val="center"/>
            <w:hideMark/>
          </w:tcPr>
          <w:p w14:paraId="63F84258" w14:textId="77777777" w:rsidR="003E0728" w:rsidRPr="003E0728" w:rsidRDefault="003E0728" w:rsidP="003E0728">
            <w:pPr>
              <w:pStyle w:val="Tables"/>
            </w:pPr>
            <w:r w:rsidRPr="003E0728">
              <w:t>10.38</w:t>
            </w:r>
          </w:p>
        </w:tc>
        <w:tc>
          <w:tcPr>
            <w:tcW w:w="1193" w:type="dxa"/>
            <w:tcBorders>
              <w:top w:val="nil"/>
              <w:left w:val="nil"/>
              <w:bottom w:val="single" w:sz="4" w:space="0" w:color="auto"/>
              <w:right w:val="single" w:sz="4" w:space="0" w:color="auto"/>
            </w:tcBorders>
            <w:noWrap/>
            <w:vAlign w:val="center"/>
            <w:hideMark/>
          </w:tcPr>
          <w:p w14:paraId="46160FA5" w14:textId="77777777" w:rsidR="003E0728" w:rsidRPr="003E0728" w:rsidRDefault="003E0728" w:rsidP="003E0728">
            <w:pPr>
              <w:pStyle w:val="Tables"/>
            </w:pPr>
            <w:r w:rsidRPr="003E0728">
              <w:t>3</w:t>
            </w:r>
          </w:p>
        </w:tc>
        <w:tc>
          <w:tcPr>
            <w:tcW w:w="727" w:type="dxa"/>
            <w:tcBorders>
              <w:top w:val="nil"/>
              <w:left w:val="nil"/>
              <w:bottom w:val="single" w:sz="4" w:space="0" w:color="auto"/>
              <w:right w:val="single" w:sz="4" w:space="0" w:color="auto"/>
            </w:tcBorders>
            <w:noWrap/>
            <w:vAlign w:val="center"/>
            <w:hideMark/>
          </w:tcPr>
          <w:p w14:paraId="57631970" w14:textId="77777777" w:rsidR="003E0728" w:rsidRPr="003E0728" w:rsidRDefault="003E0728" w:rsidP="003E0728">
            <w:pPr>
              <w:pStyle w:val="Tables"/>
            </w:pPr>
            <w:r w:rsidRPr="003E0728">
              <w:t>13.25</w:t>
            </w:r>
          </w:p>
        </w:tc>
        <w:tc>
          <w:tcPr>
            <w:tcW w:w="1399" w:type="dxa"/>
            <w:tcBorders>
              <w:top w:val="nil"/>
              <w:left w:val="nil"/>
              <w:bottom w:val="single" w:sz="4" w:space="0" w:color="auto"/>
              <w:right w:val="single" w:sz="4" w:space="0" w:color="auto"/>
            </w:tcBorders>
            <w:noWrap/>
            <w:vAlign w:val="center"/>
            <w:hideMark/>
          </w:tcPr>
          <w:p w14:paraId="0FD3B821" w14:textId="77777777" w:rsidR="003E0728" w:rsidRPr="003E0728" w:rsidRDefault="003E0728" w:rsidP="003E0728">
            <w:pPr>
              <w:pStyle w:val="Tables"/>
            </w:pPr>
            <w:r w:rsidRPr="003E0728">
              <w:t>3.3</w:t>
            </w:r>
          </w:p>
        </w:tc>
        <w:tc>
          <w:tcPr>
            <w:tcW w:w="986" w:type="dxa"/>
            <w:tcBorders>
              <w:top w:val="nil"/>
              <w:left w:val="nil"/>
              <w:bottom w:val="single" w:sz="4" w:space="0" w:color="auto"/>
              <w:right w:val="single" w:sz="4" w:space="0" w:color="auto"/>
            </w:tcBorders>
            <w:noWrap/>
            <w:vAlign w:val="center"/>
            <w:hideMark/>
          </w:tcPr>
          <w:p w14:paraId="484B86AE" w14:textId="77777777" w:rsidR="003E0728" w:rsidRPr="003E0728" w:rsidRDefault="003E0728" w:rsidP="003E0728">
            <w:pPr>
              <w:pStyle w:val="Tables"/>
            </w:pPr>
            <w:r w:rsidRPr="003E0728">
              <w:t>14.96</w:t>
            </w:r>
          </w:p>
        </w:tc>
        <w:tc>
          <w:tcPr>
            <w:tcW w:w="1889" w:type="dxa"/>
            <w:tcBorders>
              <w:top w:val="nil"/>
              <w:left w:val="nil"/>
              <w:bottom w:val="single" w:sz="4" w:space="0" w:color="auto"/>
              <w:right w:val="single" w:sz="4" w:space="0" w:color="auto"/>
            </w:tcBorders>
            <w:noWrap/>
            <w:vAlign w:val="center"/>
            <w:hideMark/>
          </w:tcPr>
          <w:p w14:paraId="147AA000" w14:textId="77777777" w:rsidR="003E0728" w:rsidRPr="003E0728" w:rsidRDefault="003E0728" w:rsidP="003E0728">
            <w:pPr>
              <w:pStyle w:val="Tables"/>
            </w:pPr>
            <w:r w:rsidRPr="003E0728">
              <w:t>3.7</w:t>
            </w:r>
          </w:p>
        </w:tc>
      </w:tr>
      <w:tr w:rsidR="003E0728" w:rsidRPr="003E0728" w14:paraId="4F7955B4" w14:textId="77777777" w:rsidTr="00E23521">
        <w:trPr>
          <w:trHeight w:val="397"/>
          <w:jc w:val="center"/>
        </w:trPr>
        <w:tc>
          <w:tcPr>
            <w:tcW w:w="2006" w:type="dxa"/>
            <w:tcBorders>
              <w:top w:val="nil"/>
              <w:left w:val="single" w:sz="4" w:space="0" w:color="auto"/>
              <w:bottom w:val="single" w:sz="4" w:space="0" w:color="auto"/>
              <w:right w:val="single" w:sz="4" w:space="0" w:color="auto"/>
            </w:tcBorders>
            <w:noWrap/>
            <w:vAlign w:val="center"/>
            <w:hideMark/>
          </w:tcPr>
          <w:p w14:paraId="4C6B2FDD" w14:textId="77777777" w:rsidR="003E0728" w:rsidRPr="003E0728" w:rsidRDefault="003E0728" w:rsidP="00E23521">
            <w:pPr>
              <w:pStyle w:val="Tables"/>
              <w:jc w:val="left"/>
            </w:pPr>
            <w:r w:rsidRPr="003E0728">
              <w:t>Defence Services (net)</w:t>
            </w:r>
          </w:p>
        </w:tc>
        <w:tc>
          <w:tcPr>
            <w:tcW w:w="1049" w:type="dxa"/>
            <w:tcBorders>
              <w:top w:val="nil"/>
              <w:left w:val="nil"/>
              <w:bottom w:val="single" w:sz="4" w:space="0" w:color="auto"/>
              <w:right w:val="single" w:sz="4" w:space="0" w:color="auto"/>
            </w:tcBorders>
            <w:noWrap/>
            <w:vAlign w:val="center"/>
            <w:hideMark/>
          </w:tcPr>
          <w:p w14:paraId="4718183D" w14:textId="77777777" w:rsidR="003E0728" w:rsidRPr="003E0728" w:rsidRDefault="003E0728" w:rsidP="003E0728">
            <w:pPr>
              <w:pStyle w:val="Tables"/>
            </w:pPr>
            <w:r w:rsidRPr="003E0728">
              <w:t>164.13</w:t>
            </w:r>
          </w:p>
        </w:tc>
        <w:tc>
          <w:tcPr>
            <w:tcW w:w="1193" w:type="dxa"/>
            <w:tcBorders>
              <w:top w:val="nil"/>
              <w:left w:val="nil"/>
              <w:bottom w:val="single" w:sz="4" w:space="0" w:color="auto"/>
              <w:right w:val="single" w:sz="4" w:space="0" w:color="auto"/>
            </w:tcBorders>
            <w:noWrap/>
            <w:vAlign w:val="center"/>
            <w:hideMark/>
          </w:tcPr>
          <w:p w14:paraId="0266A5AB" w14:textId="77777777" w:rsidR="003E0728" w:rsidRPr="003E0728" w:rsidRDefault="003E0728" w:rsidP="003E0728">
            <w:pPr>
              <w:pStyle w:val="Tables"/>
            </w:pPr>
            <w:r w:rsidRPr="003E0728">
              <w:t>46.7</w:t>
            </w:r>
          </w:p>
        </w:tc>
        <w:tc>
          <w:tcPr>
            <w:tcW w:w="727" w:type="dxa"/>
            <w:tcBorders>
              <w:top w:val="nil"/>
              <w:left w:val="nil"/>
              <w:bottom w:val="single" w:sz="4" w:space="0" w:color="auto"/>
              <w:right w:val="single" w:sz="4" w:space="0" w:color="auto"/>
            </w:tcBorders>
            <w:noWrap/>
            <w:vAlign w:val="center"/>
            <w:hideMark/>
          </w:tcPr>
          <w:p w14:paraId="36EE4BDE" w14:textId="77777777" w:rsidR="003E0728" w:rsidRPr="003E0728" w:rsidRDefault="003E0728" w:rsidP="003E0728">
            <w:pPr>
              <w:pStyle w:val="Tables"/>
            </w:pPr>
            <w:r w:rsidRPr="003E0728">
              <w:t>181.24</w:t>
            </w:r>
          </w:p>
        </w:tc>
        <w:tc>
          <w:tcPr>
            <w:tcW w:w="1399" w:type="dxa"/>
            <w:tcBorders>
              <w:top w:val="nil"/>
              <w:left w:val="nil"/>
              <w:bottom w:val="single" w:sz="4" w:space="0" w:color="auto"/>
              <w:right w:val="single" w:sz="4" w:space="0" w:color="auto"/>
            </w:tcBorders>
            <w:noWrap/>
            <w:vAlign w:val="center"/>
            <w:hideMark/>
          </w:tcPr>
          <w:p w14:paraId="6EE146B6" w14:textId="77777777" w:rsidR="003E0728" w:rsidRPr="003E0728" w:rsidRDefault="003E0728" w:rsidP="003E0728">
            <w:pPr>
              <w:pStyle w:val="Tables"/>
            </w:pPr>
            <w:r w:rsidRPr="003E0728">
              <w:t>44.7</w:t>
            </w:r>
          </w:p>
        </w:tc>
        <w:tc>
          <w:tcPr>
            <w:tcW w:w="986" w:type="dxa"/>
            <w:tcBorders>
              <w:top w:val="nil"/>
              <w:left w:val="nil"/>
              <w:bottom w:val="single" w:sz="4" w:space="0" w:color="auto"/>
              <w:right w:val="single" w:sz="4" w:space="0" w:color="auto"/>
            </w:tcBorders>
            <w:noWrap/>
            <w:vAlign w:val="center"/>
            <w:hideMark/>
          </w:tcPr>
          <w:p w14:paraId="53629466" w14:textId="77777777" w:rsidR="003E0728" w:rsidRPr="003E0728" w:rsidRDefault="003E0728" w:rsidP="003E0728">
            <w:pPr>
              <w:pStyle w:val="Tables"/>
            </w:pPr>
            <w:r w:rsidRPr="003E0728">
              <w:t>197.95</w:t>
            </w:r>
          </w:p>
        </w:tc>
        <w:tc>
          <w:tcPr>
            <w:tcW w:w="1889" w:type="dxa"/>
            <w:tcBorders>
              <w:top w:val="nil"/>
              <w:left w:val="nil"/>
              <w:bottom w:val="single" w:sz="4" w:space="0" w:color="auto"/>
              <w:right w:val="single" w:sz="4" w:space="0" w:color="auto"/>
            </w:tcBorders>
            <w:noWrap/>
            <w:vAlign w:val="center"/>
            <w:hideMark/>
          </w:tcPr>
          <w:p w14:paraId="07E3F6A2" w14:textId="77777777" w:rsidR="003E0728" w:rsidRPr="003E0728" w:rsidRDefault="003E0728" w:rsidP="003E0728">
            <w:pPr>
              <w:pStyle w:val="Tables"/>
            </w:pPr>
            <w:r w:rsidRPr="003E0728">
              <w:t>49.3</w:t>
            </w:r>
          </w:p>
        </w:tc>
      </w:tr>
      <w:tr w:rsidR="003E0728" w:rsidRPr="003E0728" w14:paraId="717FB8C2" w14:textId="77777777" w:rsidTr="00E23521">
        <w:trPr>
          <w:trHeight w:val="397"/>
          <w:jc w:val="center"/>
        </w:trPr>
        <w:tc>
          <w:tcPr>
            <w:tcW w:w="2006" w:type="dxa"/>
            <w:tcBorders>
              <w:top w:val="nil"/>
              <w:left w:val="single" w:sz="4" w:space="0" w:color="auto"/>
              <w:bottom w:val="single" w:sz="4" w:space="0" w:color="auto"/>
              <w:right w:val="single" w:sz="4" w:space="0" w:color="auto"/>
            </w:tcBorders>
            <w:noWrap/>
            <w:vAlign w:val="center"/>
            <w:hideMark/>
          </w:tcPr>
          <w:p w14:paraId="7CD9C4B6" w14:textId="77777777" w:rsidR="003E0728" w:rsidRPr="003E0728" w:rsidRDefault="003E0728" w:rsidP="00E23521">
            <w:pPr>
              <w:pStyle w:val="Tables"/>
              <w:jc w:val="left"/>
            </w:pPr>
            <w:r w:rsidRPr="003E0728">
              <w:t>Grants to States (d)</w:t>
            </w:r>
          </w:p>
        </w:tc>
        <w:tc>
          <w:tcPr>
            <w:tcW w:w="1049" w:type="dxa"/>
            <w:tcBorders>
              <w:top w:val="nil"/>
              <w:left w:val="nil"/>
              <w:bottom w:val="single" w:sz="4" w:space="0" w:color="auto"/>
              <w:right w:val="single" w:sz="4" w:space="0" w:color="auto"/>
            </w:tcBorders>
            <w:noWrap/>
            <w:vAlign w:val="center"/>
            <w:hideMark/>
          </w:tcPr>
          <w:p w14:paraId="495C70A7" w14:textId="77777777" w:rsidR="003E0728" w:rsidRPr="003E0728" w:rsidRDefault="003E0728" w:rsidP="003E0728">
            <w:pPr>
              <w:pStyle w:val="Tables"/>
            </w:pPr>
            <w:r w:rsidRPr="003E0728">
              <w:t>15.58</w:t>
            </w:r>
          </w:p>
        </w:tc>
        <w:tc>
          <w:tcPr>
            <w:tcW w:w="1193" w:type="dxa"/>
            <w:tcBorders>
              <w:top w:val="nil"/>
              <w:left w:val="nil"/>
              <w:bottom w:val="single" w:sz="4" w:space="0" w:color="auto"/>
              <w:right w:val="single" w:sz="4" w:space="0" w:color="auto"/>
            </w:tcBorders>
            <w:noWrap/>
            <w:vAlign w:val="center"/>
            <w:hideMark/>
          </w:tcPr>
          <w:p w14:paraId="7A5A9E4A" w14:textId="77777777" w:rsidR="003E0728" w:rsidRPr="003E0728" w:rsidRDefault="003E0728" w:rsidP="003E0728">
            <w:pPr>
              <w:pStyle w:val="Tables"/>
            </w:pPr>
            <w:r w:rsidRPr="003E0728">
              <w:t>4.4</w:t>
            </w:r>
          </w:p>
        </w:tc>
        <w:tc>
          <w:tcPr>
            <w:tcW w:w="727" w:type="dxa"/>
            <w:tcBorders>
              <w:top w:val="nil"/>
              <w:left w:val="nil"/>
              <w:bottom w:val="single" w:sz="4" w:space="0" w:color="auto"/>
              <w:right w:val="single" w:sz="4" w:space="0" w:color="auto"/>
            </w:tcBorders>
            <w:noWrap/>
            <w:vAlign w:val="center"/>
            <w:hideMark/>
          </w:tcPr>
          <w:p w14:paraId="0177851B" w14:textId="77777777" w:rsidR="003E0728" w:rsidRPr="003E0728" w:rsidRDefault="003E0728" w:rsidP="003E0728">
            <w:pPr>
              <w:pStyle w:val="Tables"/>
            </w:pPr>
            <w:r w:rsidRPr="003E0728">
              <w:t>18.07</w:t>
            </w:r>
          </w:p>
        </w:tc>
        <w:tc>
          <w:tcPr>
            <w:tcW w:w="1399" w:type="dxa"/>
            <w:tcBorders>
              <w:top w:val="nil"/>
              <w:left w:val="nil"/>
              <w:bottom w:val="single" w:sz="4" w:space="0" w:color="auto"/>
              <w:right w:val="single" w:sz="4" w:space="0" w:color="auto"/>
            </w:tcBorders>
            <w:noWrap/>
            <w:vAlign w:val="center"/>
            <w:hideMark/>
          </w:tcPr>
          <w:p w14:paraId="613A18F9" w14:textId="77777777" w:rsidR="003E0728" w:rsidRPr="003E0728" w:rsidRDefault="003E0728" w:rsidP="003E0728">
            <w:pPr>
              <w:pStyle w:val="Tables"/>
            </w:pPr>
            <w:r w:rsidRPr="003E0728">
              <w:t>4.5</w:t>
            </w:r>
          </w:p>
        </w:tc>
        <w:tc>
          <w:tcPr>
            <w:tcW w:w="986" w:type="dxa"/>
            <w:tcBorders>
              <w:top w:val="nil"/>
              <w:left w:val="nil"/>
              <w:bottom w:val="single" w:sz="4" w:space="0" w:color="auto"/>
              <w:right w:val="single" w:sz="4" w:space="0" w:color="auto"/>
            </w:tcBorders>
            <w:noWrap/>
            <w:vAlign w:val="center"/>
            <w:hideMark/>
          </w:tcPr>
          <w:p w14:paraId="0CDD0332" w14:textId="77777777" w:rsidR="003E0728" w:rsidRPr="003E0728" w:rsidRDefault="003E0728" w:rsidP="003E0728">
            <w:pPr>
              <w:pStyle w:val="Tables"/>
            </w:pPr>
            <w:r w:rsidRPr="003E0728">
              <w:t>20.27</w:t>
            </w:r>
          </w:p>
        </w:tc>
        <w:tc>
          <w:tcPr>
            <w:tcW w:w="1889" w:type="dxa"/>
            <w:tcBorders>
              <w:top w:val="nil"/>
              <w:left w:val="nil"/>
              <w:bottom w:val="single" w:sz="4" w:space="0" w:color="auto"/>
              <w:right w:val="single" w:sz="4" w:space="0" w:color="auto"/>
            </w:tcBorders>
            <w:noWrap/>
            <w:vAlign w:val="center"/>
            <w:hideMark/>
          </w:tcPr>
          <w:p w14:paraId="15D041F9" w14:textId="77777777" w:rsidR="003E0728" w:rsidRPr="003E0728" w:rsidRDefault="003E0728" w:rsidP="003E0728">
            <w:pPr>
              <w:pStyle w:val="Tables"/>
            </w:pPr>
            <w:r w:rsidRPr="003E0728">
              <w:t>5.1</w:t>
            </w:r>
          </w:p>
        </w:tc>
      </w:tr>
    </w:tbl>
    <w:p w14:paraId="686D5BFD" w14:textId="06CA8645" w:rsidR="00426BDA" w:rsidRPr="000A6E2D" w:rsidRDefault="003E0728" w:rsidP="003E0728">
      <w:pPr>
        <w:pStyle w:val="Sources"/>
      </w:pPr>
      <w:r>
        <w:t xml:space="preserve">(a) </w:t>
      </w:r>
      <w:r w:rsidR="002F6F26" w:rsidRPr="000A6E2D">
        <w:t>Taxes on Income include corporation tax and taxes on income other than corporation tax, excluding States' share.</w:t>
      </w:r>
      <w:r w:rsidR="002F6F26" w:rsidRPr="000A6E2D">
        <w:br/>
        <w:t>(b) Excluding interest transferred to railways.</w:t>
      </w:r>
      <w:r w:rsidR="002F6F26" w:rsidRPr="000A6E2D">
        <w:br/>
        <w:t>(c) Including transfers to Road Fund.</w:t>
      </w:r>
      <w:r w:rsidR="002F6F26" w:rsidRPr="000A6E2D">
        <w:br/>
        <w:t>(d) Grants payable to the States under Articles 273 and 275 of the Constitution, Revenue Gap Grants and in 1952-53 grants-in-aid to Part C States.</w:t>
      </w:r>
    </w:p>
    <w:p w14:paraId="7B80A563" w14:textId="77777777" w:rsidR="002F6F26" w:rsidRPr="000A6E2D" w:rsidRDefault="002F6F26" w:rsidP="000A6E2D">
      <w:pPr>
        <w:pStyle w:val="NoSpacing"/>
        <w:spacing w:line="380" w:lineRule="exact"/>
        <w:jc w:val="both"/>
        <w:rPr>
          <w:rFonts w:ascii="Times New Roman" w:hAnsi="Times New Roman" w:cs="Times New Roman"/>
          <w:sz w:val="28"/>
          <w:szCs w:val="28"/>
        </w:rPr>
      </w:pPr>
    </w:p>
    <w:p w14:paraId="247B7AB6" w14:textId="2A9CCA33" w:rsidR="002F6F26" w:rsidRPr="000A6E2D" w:rsidRDefault="002F6F26" w:rsidP="00EE0179">
      <w:pPr>
        <w:pStyle w:val="ListParagraph"/>
        <w:numPr>
          <w:ilvl w:val="0"/>
          <w:numId w:val="29"/>
        </w:numPr>
        <w:spacing w:after="0" w:line="520" w:lineRule="exact"/>
        <w:ind w:left="0" w:firstLine="556"/>
        <w:jc w:val="both"/>
        <w:rPr>
          <w:rFonts w:ascii="Times New Roman" w:hAnsi="Times New Roman" w:cs="Times New Roman"/>
          <w:sz w:val="28"/>
          <w:szCs w:val="28"/>
        </w:rPr>
      </w:pPr>
      <w:r w:rsidRPr="000A6E2D">
        <w:rPr>
          <w:rFonts w:ascii="Times New Roman" w:hAnsi="Times New Roman" w:cs="Times New Roman"/>
          <w:sz w:val="28"/>
          <w:szCs w:val="28"/>
        </w:rPr>
        <w:t>The large surpluses in 1950-51 and 1951-52 were due mainly to the temporary rise of revenue under customs and partly to in- creases in taxation effected in 1951-52 with a view to securing a revenue surplus to finance part of the capital programme. The full impact on customs revenue of the post-Korean inflationary boom and of the increases effected in import and export duties during the course of 1950-51 was felt in 1951-52. Customs revenue increased from Rs. 157</w:t>
      </w:r>
      <w:r w:rsidR="0039143C">
        <w:rPr>
          <w:rFonts w:ascii="Times New Roman" w:hAnsi="Times New Roman" w:cs="Times New Roman"/>
          <w:sz w:val="28"/>
          <w:szCs w:val="28"/>
        </w:rPr>
        <w:t>.</w:t>
      </w:r>
      <w:r w:rsidRPr="000A6E2D">
        <w:rPr>
          <w:rFonts w:ascii="Times New Roman" w:hAnsi="Times New Roman" w:cs="Times New Roman"/>
          <w:sz w:val="28"/>
          <w:szCs w:val="28"/>
        </w:rPr>
        <w:t>2 crores in 1950-51 to Rs. 232 crores in 1951-52, but, with the reduction or abolition of export duties on a number of items, is estimated at Rs. 165 crores for 1952-53: at this figure it forms 40</w:t>
      </w:r>
      <w:r w:rsidR="0039143C">
        <w:rPr>
          <w:rFonts w:ascii="Times New Roman" w:hAnsi="Times New Roman" w:cs="Times New Roman"/>
          <w:sz w:val="28"/>
          <w:szCs w:val="28"/>
        </w:rPr>
        <w:t>.</w:t>
      </w:r>
      <w:r w:rsidRPr="000A6E2D">
        <w:rPr>
          <w:rFonts w:ascii="Times New Roman" w:hAnsi="Times New Roman" w:cs="Times New Roman"/>
          <w:sz w:val="28"/>
          <w:szCs w:val="28"/>
        </w:rPr>
        <w:t>7 per cent of total Central revenue compared to 49.8 per cent in 1937-38 and 38</w:t>
      </w:r>
      <w:r w:rsidR="0039143C">
        <w:rPr>
          <w:rFonts w:ascii="Times New Roman" w:hAnsi="Times New Roman" w:cs="Times New Roman"/>
          <w:sz w:val="28"/>
          <w:szCs w:val="28"/>
        </w:rPr>
        <w:t>.</w:t>
      </w:r>
      <w:r w:rsidRPr="000A6E2D">
        <w:rPr>
          <w:rFonts w:ascii="Times New Roman" w:hAnsi="Times New Roman" w:cs="Times New Roman"/>
          <w:sz w:val="28"/>
          <w:szCs w:val="28"/>
        </w:rPr>
        <w:t xml:space="preserve">3 per cent in 1950-51. The revenue from Central excise duties shows a steady increase each year, but taxes on income are expected to decline in 1952-53 as compared with the two previous years. No additional taxation was proposed in the budget for 1952-53. On the expenditure side, there is some rise in expenditure on </w:t>
      </w:r>
      <w:r w:rsidRPr="000A6E2D">
        <w:rPr>
          <w:rFonts w:ascii="Times New Roman" w:hAnsi="Times New Roman" w:cs="Times New Roman"/>
          <w:sz w:val="28"/>
          <w:szCs w:val="28"/>
        </w:rPr>
        <w:lastRenderedPageBreak/>
        <w:t>defence. While small variations are anticipated under other heads of civil expenditure in 1952-53, the main decrease is in respect of food subsidies</w:t>
      </w:r>
    </w:p>
    <w:p w14:paraId="364A91C5" w14:textId="77777777" w:rsidR="002F6F26" w:rsidRPr="000A6E2D" w:rsidRDefault="002F6F26" w:rsidP="00EE0179">
      <w:pPr>
        <w:pStyle w:val="ListParagraph"/>
        <w:numPr>
          <w:ilvl w:val="0"/>
          <w:numId w:val="29"/>
        </w:numPr>
        <w:spacing w:after="0" w:line="520" w:lineRule="exact"/>
        <w:ind w:left="0" w:firstLine="556"/>
        <w:jc w:val="both"/>
        <w:rPr>
          <w:rFonts w:ascii="Times New Roman" w:hAnsi="Times New Roman" w:cs="Times New Roman"/>
          <w:color w:val="1A1C1E"/>
          <w:sz w:val="28"/>
          <w:szCs w:val="28"/>
        </w:rPr>
      </w:pPr>
      <w:r w:rsidRPr="00135E21">
        <w:rPr>
          <w:rStyle w:val="ng-star-inserted1"/>
          <w:rFonts w:ascii="Times New Roman" w:eastAsiaTheme="majorEastAsia" w:hAnsi="Times New Roman" w:cs="Times New Roman"/>
          <w:i/>
          <w:iCs/>
          <w:color w:val="1A1C1E"/>
          <w:sz w:val="28"/>
          <w:szCs w:val="28"/>
        </w:rPr>
        <w:t>State Finances.—</w:t>
      </w:r>
      <w:r w:rsidRPr="000A6E2D">
        <w:rPr>
          <w:rStyle w:val="ng-star-inserted1"/>
          <w:rFonts w:ascii="Times New Roman" w:eastAsiaTheme="majorEastAsia" w:hAnsi="Times New Roman" w:cs="Times New Roman"/>
          <w:color w:val="1A1C1E"/>
          <w:sz w:val="28"/>
          <w:szCs w:val="28"/>
        </w:rPr>
        <w:t>The following table gives the combined picture of the revenue of the sixteen Part A and Part B States.</w:t>
      </w:r>
    </w:p>
    <w:p w14:paraId="6A6DEA21" w14:textId="77777777" w:rsidR="002F6F26" w:rsidRPr="000A6E2D" w:rsidRDefault="002F6F26" w:rsidP="00EE0179">
      <w:pPr>
        <w:pStyle w:val="NoSpacing"/>
        <w:spacing w:line="520" w:lineRule="exact"/>
        <w:ind w:left="720"/>
        <w:jc w:val="both"/>
        <w:rPr>
          <w:rFonts w:ascii="Times New Roman" w:hAnsi="Times New Roman" w:cs="Times New Roman"/>
          <w:sz w:val="28"/>
          <w:szCs w:val="28"/>
        </w:rPr>
      </w:pPr>
    </w:p>
    <w:p w14:paraId="45F736C1" w14:textId="41BDBCB8" w:rsidR="002F6F26" w:rsidRPr="00135E21" w:rsidRDefault="00135E21" w:rsidP="00135E21">
      <w:pPr>
        <w:pStyle w:val="NoSpacing"/>
        <w:spacing w:line="380" w:lineRule="exact"/>
        <w:ind w:left="720"/>
        <w:jc w:val="center"/>
        <w:rPr>
          <w:rFonts w:ascii="Times New Roman" w:hAnsi="Times New Roman" w:cs="Times New Roman"/>
          <w:sz w:val="28"/>
          <w:szCs w:val="28"/>
        </w:rPr>
      </w:pPr>
      <w:r>
        <w:rPr>
          <w:rFonts w:ascii="Times New Roman" w:hAnsi="Times New Roman" w:cs="Times New Roman"/>
          <w:sz w:val="28"/>
          <w:szCs w:val="28"/>
        </w:rPr>
        <w:t>P</w:t>
      </w:r>
      <w:r w:rsidR="002F6F26" w:rsidRPr="00135E21">
        <w:rPr>
          <w:rFonts w:ascii="Times New Roman" w:hAnsi="Times New Roman" w:cs="Times New Roman"/>
          <w:sz w:val="28"/>
          <w:szCs w:val="28"/>
        </w:rPr>
        <w:t>RINCIPAL HEADS OF STATE REVENUE</w:t>
      </w:r>
    </w:p>
    <w:p w14:paraId="44140413" w14:textId="77777777" w:rsidR="002F6F26" w:rsidRPr="000A6E2D" w:rsidRDefault="002F6F26" w:rsidP="000A6E2D">
      <w:pPr>
        <w:pStyle w:val="NoSpacing"/>
        <w:spacing w:line="380" w:lineRule="exact"/>
        <w:ind w:left="720"/>
        <w:jc w:val="both"/>
        <w:rPr>
          <w:rFonts w:ascii="Times New Roman" w:hAnsi="Times New Roman" w:cs="Times New Roman"/>
          <w:sz w:val="28"/>
          <w:szCs w:val="28"/>
        </w:rPr>
      </w:pPr>
    </w:p>
    <w:tbl>
      <w:tblPr>
        <w:tblStyle w:val="TableGrid"/>
        <w:tblW w:w="0" w:type="auto"/>
        <w:jc w:val="center"/>
        <w:tblLook w:val="04A0" w:firstRow="1" w:lastRow="0" w:firstColumn="1" w:lastColumn="0" w:noHBand="0" w:noVBand="1"/>
      </w:tblPr>
      <w:tblGrid>
        <w:gridCol w:w="3359"/>
        <w:gridCol w:w="1138"/>
        <w:gridCol w:w="890"/>
        <w:gridCol w:w="1161"/>
        <w:gridCol w:w="910"/>
        <w:gridCol w:w="1138"/>
        <w:gridCol w:w="890"/>
      </w:tblGrid>
      <w:tr w:rsidR="00F508FE" w:rsidRPr="000A6E2D" w14:paraId="4999A772" w14:textId="77777777" w:rsidTr="00E23521">
        <w:trPr>
          <w:trHeight w:val="397"/>
          <w:jc w:val="center"/>
        </w:trPr>
        <w:tc>
          <w:tcPr>
            <w:tcW w:w="0" w:type="auto"/>
          </w:tcPr>
          <w:p w14:paraId="5AF1782F" w14:textId="77777777" w:rsidR="00F508FE" w:rsidRPr="00E23521" w:rsidRDefault="00F508FE" w:rsidP="00135E21">
            <w:pPr>
              <w:pStyle w:val="Tables"/>
              <w:rPr>
                <w:b/>
                <w:bCs/>
              </w:rPr>
            </w:pPr>
          </w:p>
        </w:tc>
        <w:tc>
          <w:tcPr>
            <w:tcW w:w="0" w:type="auto"/>
            <w:gridSpan w:val="2"/>
          </w:tcPr>
          <w:p w14:paraId="1E4AE253" w14:textId="6B2394D8" w:rsidR="00F508FE" w:rsidRPr="00E23521" w:rsidRDefault="00F508FE" w:rsidP="00135E21">
            <w:pPr>
              <w:pStyle w:val="Tables"/>
              <w:rPr>
                <w:b/>
                <w:bCs/>
              </w:rPr>
            </w:pPr>
            <w:r w:rsidRPr="00E23521">
              <w:rPr>
                <w:b/>
                <w:bCs/>
              </w:rPr>
              <w:t>1950-51</w:t>
            </w:r>
          </w:p>
        </w:tc>
        <w:tc>
          <w:tcPr>
            <w:tcW w:w="0" w:type="auto"/>
            <w:gridSpan w:val="2"/>
          </w:tcPr>
          <w:p w14:paraId="7B550E3D" w14:textId="77777777" w:rsidR="00F508FE" w:rsidRPr="00E23521" w:rsidRDefault="00F508FE" w:rsidP="00135E21">
            <w:pPr>
              <w:pStyle w:val="Tables"/>
              <w:rPr>
                <w:b/>
                <w:bCs/>
              </w:rPr>
            </w:pPr>
            <w:r w:rsidRPr="00E23521">
              <w:rPr>
                <w:b/>
                <w:bCs/>
              </w:rPr>
              <w:t>1951-52</w:t>
            </w:r>
          </w:p>
          <w:p w14:paraId="5EF2D197" w14:textId="0C6A4629" w:rsidR="009B3F05" w:rsidRPr="00E23521" w:rsidRDefault="00F508FE" w:rsidP="00135E21">
            <w:pPr>
              <w:pStyle w:val="Tables"/>
              <w:rPr>
                <w:b/>
                <w:bCs/>
              </w:rPr>
            </w:pPr>
            <w:r w:rsidRPr="00E23521">
              <w:rPr>
                <w:b/>
                <w:bCs/>
              </w:rPr>
              <w:t>(Provisional Figu</w:t>
            </w:r>
            <w:r w:rsidR="009B3F05" w:rsidRPr="00E23521">
              <w:rPr>
                <w:b/>
                <w:bCs/>
              </w:rPr>
              <w:t>r</w:t>
            </w:r>
            <w:r w:rsidR="00135E21" w:rsidRPr="00E23521">
              <w:rPr>
                <w:b/>
                <w:bCs/>
              </w:rPr>
              <w:t>e</w:t>
            </w:r>
            <w:r w:rsidR="009B3F05" w:rsidRPr="00E23521">
              <w:rPr>
                <w:b/>
                <w:bCs/>
              </w:rPr>
              <w:t>s)</w:t>
            </w:r>
          </w:p>
        </w:tc>
        <w:tc>
          <w:tcPr>
            <w:tcW w:w="0" w:type="auto"/>
            <w:gridSpan w:val="2"/>
          </w:tcPr>
          <w:p w14:paraId="06EAF40C" w14:textId="77777777" w:rsidR="00F508FE" w:rsidRPr="00E23521" w:rsidRDefault="00F508FE" w:rsidP="00135E21">
            <w:pPr>
              <w:pStyle w:val="Tables"/>
              <w:rPr>
                <w:b/>
                <w:bCs/>
              </w:rPr>
            </w:pPr>
            <w:r w:rsidRPr="00E23521">
              <w:rPr>
                <w:b/>
                <w:bCs/>
              </w:rPr>
              <w:t>1952-53</w:t>
            </w:r>
          </w:p>
          <w:p w14:paraId="7B5366BF" w14:textId="10BE02B8" w:rsidR="009B3F05" w:rsidRPr="00E23521" w:rsidRDefault="009B3F05" w:rsidP="00135E21">
            <w:pPr>
              <w:pStyle w:val="Tables"/>
              <w:rPr>
                <w:b/>
                <w:bCs/>
              </w:rPr>
            </w:pPr>
            <w:r w:rsidRPr="00E23521">
              <w:rPr>
                <w:b/>
                <w:bCs/>
              </w:rPr>
              <w:t>(Budget Estimates)</w:t>
            </w:r>
          </w:p>
        </w:tc>
      </w:tr>
      <w:tr w:rsidR="007B1869" w:rsidRPr="000A6E2D" w14:paraId="2D87D732" w14:textId="77777777" w:rsidTr="00E23521">
        <w:trPr>
          <w:trHeight w:val="397"/>
          <w:jc w:val="center"/>
        </w:trPr>
        <w:tc>
          <w:tcPr>
            <w:tcW w:w="0" w:type="auto"/>
            <w:hideMark/>
          </w:tcPr>
          <w:p w14:paraId="48A1CE0E" w14:textId="77777777" w:rsidR="007B1869" w:rsidRPr="00E23521" w:rsidRDefault="007B1869" w:rsidP="00135E21">
            <w:pPr>
              <w:pStyle w:val="Tables"/>
              <w:rPr>
                <w:b/>
                <w:bCs/>
              </w:rPr>
            </w:pPr>
          </w:p>
        </w:tc>
        <w:tc>
          <w:tcPr>
            <w:tcW w:w="0" w:type="auto"/>
            <w:hideMark/>
          </w:tcPr>
          <w:p w14:paraId="026AC1E3" w14:textId="77777777" w:rsidR="007B1869" w:rsidRPr="00E23521" w:rsidRDefault="007B1869" w:rsidP="00135E21">
            <w:pPr>
              <w:pStyle w:val="Tables"/>
              <w:rPr>
                <w:b/>
                <w:bCs/>
              </w:rPr>
            </w:pPr>
            <w:r w:rsidRPr="00E23521">
              <w:rPr>
                <w:b/>
                <w:bCs/>
              </w:rPr>
              <w:t>Rs. crores</w:t>
            </w:r>
          </w:p>
        </w:tc>
        <w:tc>
          <w:tcPr>
            <w:tcW w:w="0" w:type="auto"/>
            <w:hideMark/>
          </w:tcPr>
          <w:p w14:paraId="549CC9ED" w14:textId="77777777" w:rsidR="007B1869" w:rsidRPr="00E23521" w:rsidRDefault="007B1869" w:rsidP="00135E21">
            <w:pPr>
              <w:pStyle w:val="Tables"/>
              <w:rPr>
                <w:b/>
                <w:bCs/>
              </w:rPr>
            </w:pPr>
            <w:r w:rsidRPr="00E23521">
              <w:rPr>
                <w:b/>
                <w:bCs/>
              </w:rPr>
              <w:t>Per cent</w:t>
            </w:r>
          </w:p>
        </w:tc>
        <w:tc>
          <w:tcPr>
            <w:tcW w:w="0" w:type="auto"/>
            <w:hideMark/>
          </w:tcPr>
          <w:p w14:paraId="1DFB663D" w14:textId="77777777" w:rsidR="007B1869" w:rsidRPr="00E23521" w:rsidRDefault="007B1869" w:rsidP="00135E21">
            <w:pPr>
              <w:pStyle w:val="Tables"/>
              <w:rPr>
                <w:b/>
                <w:bCs/>
              </w:rPr>
            </w:pPr>
            <w:r w:rsidRPr="00E23521">
              <w:rPr>
                <w:b/>
                <w:bCs/>
              </w:rPr>
              <w:t>Rs. crores</w:t>
            </w:r>
          </w:p>
        </w:tc>
        <w:tc>
          <w:tcPr>
            <w:tcW w:w="0" w:type="auto"/>
            <w:hideMark/>
          </w:tcPr>
          <w:p w14:paraId="508DF42C" w14:textId="77777777" w:rsidR="007B1869" w:rsidRPr="00E23521" w:rsidRDefault="007B1869" w:rsidP="00135E21">
            <w:pPr>
              <w:pStyle w:val="Tables"/>
              <w:rPr>
                <w:b/>
                <w:bCs/>
              </w:rPr>
            </w:pPr>
            <w:r w:rsidRPr="00E23521">
              <w:rPr>
                <w:b/>
                <w:bCs/>
              </w:rPr>
              <w:t>Per cent</w:t>
            </w:r>
          </w:p>
        </w:tc>
        <w:tc>
          <w:tcPr>
            <w:tcW w:w="0" w:type="auto"/>
            <w:hideMark/>
          </w:tcPr>
          <w:p w14:paraId="70DD16CB" w14:textId="77777777" w:rsidR="007B1869" w:rsidRPr="00E23521" w:rsidRDefault="007B1869" w:rsidP="00135E21">
            <w:pPr>
              <w:pStyle w:val="Tables"/>
              <w:rPr>
                <w:b/>
                <w:bCs/>
              </w:rPr>
            </w:pPr>
            <w:r w:rsidRPr="00E23521">
              <w:rPr>
                <w:b/>
                <w:bCs/>
              </w:rPr>
              <w:t>Rs. crores</w:t>
            </w:r>
          </w:p>
        </w:tc>
        <w:tc>
          <w:tcPr>
            <w:tcW w:w="0" w:type="auto"/>
            <w:hideMark/>
          </w:tcPr>
          <w:p w14:paraId="6CC06FA4" w14:textId="77777777" w:rsidR="007B1869" w:rsidRPr="00E23521" w:rsidRDefault="007B1869" w:rsidP="00135E21">
            <w:pPr>
              <w:pStyle w:val="Tables"/>
              <w:rPr>
                <w:b/>
                <w:bCs/>
              </w:rPr>
            </w:pPr>
            <w:r w:rsidRPr="00E23521">
              <w:rPr>
                <w:b/>
                <w:bCs/>
              </w:rPr>
              <w:t>Per cent</w:t>
            </w:r>
          </w:p>
        </w:tc>
      </w:tr>
      <w:tr w:rsidR="007B1869" w:rsidRPr="000A6E2D" w14:paraId="2E589F2F" w14:textId="77777777" w:rsidTr="00E23521">
        <w:trPr>
          <w:trHeight w:val="397"/>
          <w:jc w:val="center"/>
        </w:trPr>
        <w:tc>
          <w:tcPr>
            <w:tcW w:w="0" w:type="auto"/>
            <w:hideMark/>
          </w:tcPr>
          <w:p w14:paraId="4F57734D" w14:textId="77777777" w:rsidR="007B1869" w:rsidRPr="000A6E2D" w:rsidRDefault="007B1869" w:rsidP="00E23521">
            <w:pPr>
              <w:pStyle w:val="Tables"/>
              <w:jc w:val="left"/>
            </w:pPr>
            <w:r w:rsidRPr="000A6E2D">
              <w:t>Total Revenue</w:t>
            </w:r>
          </w:p>
        </w:tc>
        <w:tc>
          <w:tcPr>
            <w:tcW w:w="0" w:type="auto"/>
            <w:hideMark/>
          </w:tcPr>
          <w:p w14:paraId="68EF3E84" w14:textId="77777777" w:rsidR="007B1869" w:rsidRPr="000A6E2D" w:rsidRDefault="007B1869" w:rsidP="00135E21">
            <w:pPr>
              <w:pStyle w:val="Tables"/>
            </w:pPr>
            <w:r w:rsidRPr="000A6E2D">
              <w:t>382.90</w:t>
            </w:r>
          </w:p>
        </w:tc>
        <w:tc>
          <w:tcPr>
            <w:tcW w:w="0" w:type="auto"/>
            <w:hideMark/>
          </w:tcPr>
          <w:p w14:paraId="3D3E3D39" w14:textId="77777777" w:rsidR="007B1869" w:rsidRPr="000A6E2D" w:rsidRDefault="007B1869" w:rsidP="00135E21">
            <w:pPr>
              <w:pStyle w:val="Tables"/>
            </w:pPr>
            <w:r w:rsidRPr="000A6E2D">
              <w:t>100</w:t>
            </w:r>
          </w:p>
        </w:tc>
        <w:tc>
          <w:tcPr>
            <w:tcW w:w="0" w:type="auto"/>
            <w:hideMark/>
          </w:tcPr>
          <w:p w14:paraId="17BF836F" w14:textId="77777777" w:rsidR="007B1869" w:rsidRPr="000A6E2D" w:rsidRDefault="007B1869" w:rsidP="00135E21">
            <w:pPr>
              <w:pStyle w:val="Tables"/>
            </w:pPr>
            <w:r w:rsidRPr="000A6E2D">
              <w:t>406.66</w:t>
            </w:r>
          </w:p>
        </w:tc>
        <w:tc>
          <w:tcPr>
            <w:tcW w:w="0" w:type="auto"/>
            <w:hideMark/>
          </w:tcPr>
          <w:p w14:paraId="2921F6FE" w14:textId="77777777" w:rsidR="007B1869" w:rsidRPr="000A6E2D" w:rsidRDefault="007B1869" w:rsidP="00135E21">
            <w:pPr>
              <w:pStyle w:val="Tables"/>
            </w:pPr>
            <w:r w:rsidRPr="000A6E2D">
              <w:t>100</w:t>
            </w:r>
          </w:p>
        </w:tc>
        <w:tc>
          <w:tcPr>
            <w:tcW w:w="0" w:type="auto"/>
            <w:hideMark/>
          </w:tcPr>
          <w:p w14:paraId="170D348F" w14:textId="77777777" w:rsidR="007B1869" w:rsidRPr="000A6E2D" w:rsidRDefault="007B1869" w:rsidP="00135E21">
            <w:pPr>
              <w:pStyle w:val="Tables"/>
            </w:pPr>
            <w:r w:rsidRPr="000A6E2D">
              <w:t>415.99</w:t>
            </w:r>
          </w:p>
        </w:tc>
        <w:tc>
          <w:tcPr>
            <w:tcW w:w="0" w:type="auto"/>
            <w:hideMark/>
          </w:tcPr>
          <w:p w14:paraId="70A613F5" w14:textId="77777777" w:rsidR="007B1869" w:rsidRPr="000A6E2D" w:rsidRDefault="007B1869" w:rsidP="00135E21">
            <w:pPr>
              <w:pStyle w:val="Tables"/>
            </w:pPr>
            <w:r w:rsidRPr="000A6E2D">
              <w:t>100</w:t>
            </w:r>
          </w:p>
        </w:tc>
      </w:tr>
      <w:tr w:rsidR="007B1869" w:rsidRPr="000A6E2D" w14:paraId="0167A722" w14:textId="77777777" w:rsidTr="00E23521">
        <w:trPr>
          <w:trHeight w:val="397"/>
          <w:jc w:val="center"/>
        </w:trPr>
        <w:tc>
          <w:tcPr>
            <w:tcW w:w="0" w:type="auto"/>
            <w:hideMark/>
          </w:tcPr>
          <w:p w14:paraId="18DF873F" w14:textId="77777777" w:rsidR="007B1869" w:rsidRPr="000A6E2D" w:rsidRDefault="007B1869" w:rsidP="00E23521">
            <w:pPr>
              <w:pStyle w:val="Tables"/>
              <w:jc w:val="left"/>
            </w:pPr>
            <w:r w:rsidRPr="000A6E2D">
              <w:t>Land Revenue</w:t>
            </w:r>
          </w:p>
        </w:tc>
        <w:tc>
          <w:tcPr>
            <w:tcW w:w="0" w:type="auto"/>
            <w:hideMark/>
          </w:tcPr>
          <w:p w14:paraId="52544611" w14:textId="77777777" w:rsidR="007B1869" w:rsidRPr="000A6E2D" w:rsidRDefault="007B1869" w:rsidP="00135E21">
            <w:pPr>
              <w:pStyle w:val="Tables"/>
            </w:pPr>
            <w:r w:rsidRPr="000A6E2D">
              <w:t>49.59</w:t>
            </w:r>
          </w:p>
        </w:tc>
        <w:tc>
          <w:tcPr>
            <w:tcW w:w="0" w:type="auto"/>
            <w:hideMark/>
          </w:tcPr>
          <w:p w14:paraId="0610CD46" w14:textId="77777777" w:rsidR="007B1869" w:rsidRPr="000A6E2D" w:rsidRDefault="007B1869" w:rsidP="00135E21">
            <w:pPr>
              <w:pStyle w:val="Tables"/>
            </w:pPr>
            <w:r w:rsidRPr="000A6E2D">
              <w:t>13.0</w:t>
            </w:r>
          </w:p>
        </w:tc>
        <w:tc>
          <w:tcPr>
            <w:tcW w:w="0" w:type="auto"/>
            <w:hideMark/>
          </w:tcPr>
          <w:p w14:paraId="4D9FBAC4" w14:textId="77777777" w:rsidR="007B1869" w:rsidRPr="000A6E2D" w:rsidRDefault="007B1869" w:rsidP="00135E21">
            <w:pPr>
              <w:pStyle w:val="Tables"/>
            </w:pPr>
            <w:r w:rsidRPr="000A6E2D">
              <w:t>50.74</w:t>
            </w:r>
          </w:p>
        </w:tc>
        <w:tc>
          <w:tcPr>
            <w:tcW w:w="0" w:type="auto"/>
            <w:hideMark/>
          </w:tcPr>
          <w:p w14:paraId="03CCBDDC" w14:textId="77777777" w:rsidR="007B1869" w:rsidRPr="000A6E2D" w:rsidRDefault="007B1869" w:rsidP="00135E21">
            <w:pPr>
              <w:pStyle w:val="Tables"/>
            </w:pPr>
            <w:r w:rsidRPr="000A6E2D">
              <w:t>12.5</w:t>
            </w:r>
          </w:p>
        </w:tc>
        <w:tc>
          <w:tcPr>
            <w:tcW w:w="0" w:type="auto"/>
            <w:hideMark/>
          </w:tcPr>
          <w:p w14:paraId="609C4D6D" w14:textId="77777777" w:rsidR="007B1869" w:rsidRPr="000A6E2D" w:rsidRDefault="007B1869" w:rsidP="00135E21">
            <w:pPr>
              <w:pStyle w:val="Tables"/>
            </w:pPr>
            <w:r w:rsidRPr="000A6E2D">
              <w:t>60.90 (a)</w:t>
            </w:r>
          </w:p>
        </w:tc>
        <w:tc>
          <w:tcPr>
            <w:tcW w:w="0" w:type="auto"/>
            <w:hideMark/>
          </w:tcPr>
          <w:p w14:paraId="67534AC0" w14:textId="77777777" w:rsidR="007B1869" w:rsidRPr="000A6E2D" w:rsidRDefault="007B1869" w:rsidP="00135E21">
            <w:pPr>
              <w:pStyle w:val="Tables"/>
            </w:pPr>
            <w:r w:rsidRPr="000A6E2D">
              <w:t>14.6</w:t>
            </w:r>
          </w:p>
        </w:tc>
      </w:tr>
      <w:tr w:rsidR="007B1869" w:rsidRPr="000A6E2D" w14:paraId="2386A8A5" w14:textId="77777777" w:rsidTr="00E23521">
        <w:trPr>
          <w:trHeight w:val="397"/>
          <w:jc w:val="center"/>
        </w:trPr>
        <w:tc>
          <w:tcPr>
            <w:tcW w:w="0" w:type="auto"/>
            <w:hideMark/>
          </w:tcPr>
          <w:p w14:paraId="00836EBD" w14:textId="77777777" w:rsidR="007B1869" w:rsidRPr="000A6E2D" w:rsidRDefault="007B1869" w:rsidP="00E23521">
            <w:pPr>
              <w:pStyle w:val="Tables"/>
              <w:jc w:val="left"/>
            </w:pPr>
            <w:r w:rsidRPr="000A6E2D">
              <w:t>Sales Taxes (b)</w:t>
            </w:r>
          </w:p>
        </w:tc>
        <w:tc>
          <w:tcPr>
            <w:tcW w:w="0" w:type="auto"/>
            <w:hideMark/>
          </w:tcPr>
          <w:p w14:paraId="4D3C02A8" w14:textId="77777777" w:rsidR="007B1869" w:rsidRPr="000A6E2D" w:rsidRDefault="007B1869" w:rsidP="00135E21">
            <w:pPr>
              <w:pStyle w:val="Tables"/>
            </w:pPr>
            <w:r w:rsidRPr="000A6E2D">
              <w:t>59.62</w:t>
            </w:r>
          </w:p>
        </w:tc>
        <w:tc>
          <w:tcPr>
            <w:tcW w:w="0" w:type="auto"/>
            <w:hideMark/>
          </w:tcPr>
          <w:p w14:paraId="123EBCA3" w14:textId="77777777" w:rsidR="007B1869" w:rsidRPr="000A6E2D" w:rsidRDefault="007B1869" w:rsidP="00135E21">
            <w:pPr>
              <w:pStyle w:val="Tables"/>
            </w:pPr>
            <w:r w:rsidRPr="000A6E2D">
              <w:t>15.6</w:t>
            </w:r>
          </w:p>
        </w:tc>
        <w:tc>
          <w:tcPr>
            <w:tcW w:w="0" w:type="auto"/>
            <w:hideMark/>
          </w:tcPr>
          <w:p w14:paraId="0BD77D07" w14:textId="77777777" w:rsidR="007B1869" w:rsidRPr="000A6E2D" w:rsidRDefault="007B1869" w:rsidP="00135E21">
            <w:pPr>
              <w:pStyle w:val="Tables"/>
            </w:pPr>
            <w:r w:rsidRPr="000A6E2D">
              <w:t>59.55</w:t>
            </w:r>
          </w:p>
        </w:tc>
        <w:tc>
          <w:tcPr>
            <w:tcW w:w="0" w:type="auto"/>
            <w:hideMark/>
          </w:tcPr>
          <w:p w14:paraId="64E437C7" w14:textId="77777777" w:rsidR="007B1869" w:rsidRPr="000A6E2D" w:rsidRDefault="007B1869" w:rsidP="00135E21">
            <w:pPr>
              <w:pStyle w:val="Tables"/>
            </w:pPr>
            <w:r w:rsidRPr="000A6E2D">
              <w:t>14.6</w:t>
            </w:r>
          </w:p>
        </w:tc>
        <w:tc>
          <w:tcPr>
            <w:tcW w:w="0" w:type="auto"/>
            <w:hideMark/>
          </w:tcPr>
          <w:p w14:paraId="223CBD03" w14:textId="77777777" w:rsidR="007B1869" w:rsidRPr="000A6E2D" w:rsidRDefault="007B1869" w:rsidP="00135E21">
            <w:pPr>
              <w:pStyle w:val="Tables"/>
            </w:pPr>
            <w:r w:rsidRPr="000A6E2D">
              <w:t>59.10</w:t>
            </w:r>
          </w:p>
        </w:tc>
        <w:tc>
          <w:tcPr>
            <w:tcW w:w="0" w:type="auto"/>
            <w:hideMark/>
          </w:tcPr>
          <w:p w14:paraId="0F2BEF43" w14:textId="77777777" w:rsidR="007B1869" w:rsidRPr="000A6E2D" w:rsidRDefault="007B1869" w:rsidP="00135E21">
            <w:pPr>
              <w:pStyle w:val="Tables"/>
            </w:pPr>
            <w:r w:rsidRPr="000A6E2D">
              <w:t>14.2</w:t>
            </w:r>
          </w:p>
        </w:tc>
      </w:tr>
      <w:tr w:rsidR="007B1869" w:rsidRPr="000A6E2D" w14:paraId="7E856F78" w14:textId="77777777" w:rsidTr="00E23521">
        <w:trPr>
          <w:trHeight w:val="397"/>
          <w:jc w:val="center"/>
        </w:trPr>
        <w:tc>
          <w:tcPr>
            <w:tcW w:w="0" w:type="auto"/>
            <w:hideMark/>
          </w:tcPr>
          <w:p w14:paraId="00008A7A" w14:textId="77777777" w:rsidR="007B1869" w:rsidRPr="000A6E2D" w:rsidRDefault="007B1869" w:rsidP="00E23521">
            <w:pPr>
              <w:pStyle w:val="Tables"/>
              <w:jc w:val="left"/>
            </w:pPr>
            <w:r w:rsidRPr="000A6E2D">
              <w:t>State Excise</w:t>
            </w:r>
          </w:p>
        </w:tc>
        <w:tc>
          <w:tcPr>
            <w:tcW w:w="0" w:type="auto"/>
            <w:hideMark/>
          </w:tcPr>
          <w:p w14:paraId="2FCD1734" w14:textId="77777777" w:rsidR="007B1869" w:rsidRPr="000A6E2D" w:rsidRDefault="007B1869" w:rsidP="00135E21">
            <w:pPr>
              <w:pStyle w:val="Tables"/>
            </w:pPr>
            <w:r w:rsidRPr="000A6E2D">
              <w:t>47.34</w:t>
            </w:r>
          </w:p>
        </w:tc>
        <w:tc>
          <w:tcPr>
            <w:tcW w:w="0" w:type="auto"/>
            <w:hideMark/>
          </w:tcPr>
          <w:p w14:paraId="69FFF829" w14:textId="77777777" w:rsidR="007B1869" w:rsidRPr="000A6E2D" w:rsidRDefault="007B1869" w:rsidP="00135E21">
            <w:pPr>
              <w:pStyle w:val="Tables"/>
            </w:pPr>
            <w:r w:rsidRPr="000A6E2D">
              <w:t>12.4</w:t>
            </w:r>
          </w:p>
        </w:tc>
        <w:tc>
          <w:tcPr>
            <w:tcW w:w="0" w:type="auto"/>
            <w:hideMark/>
          </w:tcPr>
          <w:p w14:paraId="1BE03575" w14:textId="77777777" w:rsidR="007B1869" w:rsidRPr="000A6E2D" w:rsidRDefault="007B1869" w:rsidP="00135E21">
            <w:pPr>
              <w:pStyle w:val="Tables"/>
            </w:pPr>
            <w:r w:rsidRPr="000A6E2D">
              <w:t>48.93</w:t>
            </w:r>
          </w:p>
        </w:tc>
        <w:tc>
          <w:tcPr>
            <w:tcW w:w="0" w:type="auto"/>
            <w:hideMark/>
          </w:tcPr>
          <w:p w14:paraId="036F86F3" w14:textId="77777777" w:rsidR="007B1869" w:rsidRPr="000A6E2D" w:rsidRDefault="007B1869" w:rsidP="00135E21">
            <w:pPr>
              <w:pStyle w:val="Tables"/>
            </w:pPr>
            <w:r w:rsidRPr="000A6E2D">
              <w:t>12.0</w:t>
            </w:r>
          </w:p>
        </w:tc>
        <w:tc>
          <w:tcPr>
            <w:tcW w:w="0" w:type="auto"/>
            <w:hideMark/>
          </w:tcPr>
          <w:p w14:paraId="6898C9A7" w14:textId="77777777" w:rsidR="007B1869" w:rsidRPr="000A6E2D" w:rsidRDefault="007B1869" w:rsidP="00135E21">
            <w:pPr>
              <w:pStyle w:val="Tables"/>
            </w:pPr>
            <w:r w:rsidRPr="000A6E2D">
              <w:t>47.54</w:t>
            </w:r>
          </w:p>
        </w:tc>
        <w:tc>
          <w:tcPr>
            <w:tcW w:w="0" w:type="auto"/>
            <w:hideMark/>
          </w:tcPr>
          <w:p w14:paraId="487D0068" w14:textId="77777777" w:rsidR="007B1869" w:rsidRPr="000A6E2D" w:rsidRDefault="007B1869" w:rsidP="00135E21">
            <w:pPr>
              <w:pStyle w:val="Tables"/>
            </w:pPr>
            <w:r w:rsidRPr="000A6E2D">
              <w:t>11.4</w:t>
            </w:r>
          </w:p>
        </w:tc>
      </w:tr>
      <w:tr w:rsidR="007B1869" w:rsidRPr="000A6E2D" w14:paraId="77FDA406" w14:textId="77777777" w:rsidTr="00E23521">
        <w:trPr>
          <w:trHeight w:val="397"/>
          <w:jc w:val="center"/>
        </w:trPr>
        <w:tc>
          <w:tcPr>
            <w:tcW w:w="0" w:type="auto"/>
            <w:hideMark/>
          </w:tcPr>
          <w:p w14:paraId="601238B1" w14:textId="77777777" w:rsidR="007B1869" w:rsidRPr="000A6E2D" w:rsidRDefault="007B1869" w:rsidP="00E23521">
            <w:pPr>
              <w:pStyle w:val="Tables"/>
              <w:jc w:val="left"/>
            </w:pPr>
            <w:r w:rsidRPr="000A6E2D">
              <w:t>Stamps</w:t>
            </w:r>
          </w:p>
        </w:tc>
        <w:tc>
          <w:tcPr>
            <w:tcW w:w="0" w:type="auto"/>
            <w:hideMark/>
          </w:tcPr>
          <w:p w14:paraId="3615BFEF" w14:textId="77777777" w:rsidR="007B1869" w:rsidRPr="000A6E2D" w:rsidRDefault="007B1869" w:rsidP="00135E21">
            <w:pPr>
              <w:pStyle w:val="Tables"/>
            </w:pPr>
            <w:r w:rsidRPr="000A6E2D">
              <w:t>22.17</w:t>
            </w:r>
          </w:p>
        </w:tc>
        <w:tc>
          <w:tcPr>
            <w:tcW w:w="0" w:type="auto"/>
            <w:hideMark/>
          </w:tcPr>
          <w:p w14:paraId="7B71014C" w14:textId="67B410DF" w:rsidR="007B1869" w:rsidRPr="000A6E2D" w:rsidRDefault="007B1869" w:rsidP="00135E21">
            <w:pPr>
              <w:pStyle w:val="Tables"/>
            </w:pPr>
            <w:r w:rsidRPr="000A6E2D">
              <w:t>5.</w:t>
            </w:r>
            <w:r w:rsidR="0039143C">
              <w:t>3</w:t>
            </w:r>
          </w:p>
        </w:tc>
        <w:tc>
          <w:tcPr>
            <w:tcW w:w="0" w:type="auto"/>
            <w:hideMark/>
          </w:tcPr>
          <w:p w14:paraId="394BB9C5" w14:textId="77777777" w:rsidR="007B1869" w:rsidRPr="000A6E2D" w:rsidRDefault="007B1869" w:rsidP="00135E21">
            <w:pPr>
              <w:pStyle w:val="Tables"/>
            </w:pPr>
            <w:r w:rsidRPr="000A6E2D">
              <w:t>22.36</w:t>
            </w:r>
          </w:p>
        </w:tc>
        <w:tc>
          <w:tcPr>
            <w:tcW w:w="0" w:type="auto"/>
            <w:hideMark/>
          </w:tcPr>
          <w:p w14:paraId="29228978" w14:textId="77777777" w:rsidR="007B1869" w:rsidRPr="000A6E2D" w:rsidRDefault="007B1869" w:rsidP="00135E21">
            <w:pPr>
              <w:pStyle w:val="Tables"/>
            </w:pPr>
            <w:r w:rsidRPr="000A6E2D">
              <w:t>5.5</w:t>
            </w:r>
          </w:p>
        </w:tc>
        <w:tc>
          <w:tcPr>
            <w:tcW w:w="0" w:type="auto"/>
            <w:hideMark/>
          </w:tcPr>
          <w:p w14:paraId="2D007E56" w14:textId="77777777" w:rsidR="007B1869" w:rsidRPr="000A6E2D" w:rsidRDefault="007B1869" w:rsidP="00135E21">
            <w:pPr>
              <w:pStyle w:val="Tables"/>
            </w:pPr>
            <w:r w:rsidRPr="000A6E2D">
              <w:t>22.92</w:t>
            </w:r>
          </w:p>
        </w:tc>
        <w:tc>
          <w:tcPr>
            <w:tcW w:w="0" w:type="auto"/>
            <w:hideMark/>
          </w:tcPr>
          <w:p w14:paraId="06FB767F" w14:textId="77777777" w:rsidR="007B1869" w:rsidRPr="000A6E2D" w:rsidRDefault="007B1869" w:rsidP="00135E21">
            <w:pPr>
              <w:pStyle w:val="Tables"/>
            </w:pPr>
            <w:r w:rsidRPr="000A6E2D">
              <w:t>5.5</w:t>
            </w:r>
          </w:p>
        </w:tc>
      </w:tr>
      <w:tr w:rsidR="007B1869" w:rsidRPr="000A6E2D" w14:paraId="7E3F5E36" w14:textId="77777777" w:rsidTr="00E23521">
        <w:trPr>
          <w:trHeight w:val="397"/>
          <w:jc w:val="center"/>
        </w:trPr>
        <w:tc>
          <w:tcPr>
            <w:tcW w:w="0" w:type="auto"/>
            <w:hideMark/>
          </w:tcPr>
          <w:p w14:paraId="588A7BBB" w14:textId="77777777" w:rsidR="007B1869" w:rsidRPr="000A6E2D" w:rsidRDefault="007B1869" w:rsidP="00E23521">
            <w:pPr>
              <w:pStyle w:val="Tables"/>
              <w:jc w:val="left"/>
            </w:pPr>
            <w:r w:rsidRPr="000A6E2D">
              <w:t>Forests</w:t>
            </w:r>
          </w:p>
        </w:tc>
        <w:tc>
          <w:tcPr>
            <w:tcW w:w="0" w:type="auto"/>
            <w:hideMark/>
          </w:tcPr>
          <w:p w14:paraId="53B99105" w14:textId="77777777" w:rsidR="007B1869" w:rsidRPr="000A6E2D" w:rsidRDefault="007B1869" w:rsidP="00135E21">
            <w:pPr>
              <w:pStyle w:val="Tables"/>
            </w:pPr>
            <w:r w:rsidRPr="000A6E2D">
              <w:t>19.21</w:t>
            </w:r>
          </w:p>
        </w:tc>
        <w:tc>
          <w:tcPr>
            <w:tcW w:w="0" w:type="auto"/>
            <w:hideMark/>
          </w:tcPr>
          <w:p w14:paraId="10FD4FBA" w14:textId="77777777" w:rsidR="007B1869" w:rsidRPr="000A6E2D" w:rsidRDefault="007B1869" w:rsidP="00135E21">
            <w:pPr>
              <w:pStyle w:val="Tables"/>
            </w:pPr>
            <w:r w:rsidRPr="000A6E2D">
              <w:t>5.0</w:t>
            </w:r>
          </w:p>
        </w:tc>
        <w:tc>
          <w:tcPr>
            <w:tcW w:w="0" w:type="auto"/>
            <w:hideMark/>
          </w:tcPr>
          <w:p w14:paraId="60E83D0E" w14:textId="77777777" w:rsidR="007B1869" w:rsidRPr="000A6E2D" w:rsidRDefault="007B1869" w:rsidP="00135E21">
            <w:pPr>
              <w:pStyle w:val="Tables"/>
            </w:pPr>
            <w:r w:rsidRPr="000A6E2D">
              <w:t>21.15</w:t>
            </w:r>
          </w:p>
        </w:tc>
        <w:tc>
          <w:tcPr>
            <w:tcW w:w="0" w:type="auto"/>
            <w:hideMark/>
          </w:tcPr>
          <w:p w14:paraId="487B1B8D" w14:textId="77777777" w:rsidR="007B1869" w:rsidRPr="000A6E2D" w:rsidRDefault="007B1869" w:rsidP="00135E21">
            <w:pPr>
              <w:pStyle w:val="Tables"/>
            </w:pPr>
            <w:r w:rsidRPr="000A6E2D">
              <w:t>5.2</w:t>
            </w:r>
          </w:p>
        </w:tc>
        <w:tc>
          <w:tcPr>
            <w:tcW w:w="0" w:type="auto"/>
            <w:hideMark/>
          </w:tcPr>
          <w:p w14:paraId="35DCC56B" w14:textId="77777777" w:rsidR="007B1869" w:rsidRPr="000A6E2D" w:rsidRDefault="007B1869" w:rsidP="00135E21">
            <w:pPr>
              <w:pStyle w:val="Tables"/>
            </w:pPr>
            <w:r w:rsidRPr="000A6E2D">
              <w:t>20.14</w:t>
            </w:r>
          </w:p>
        </w:tc>
        <w:tc>
          <w:tcPr>
            <w:tcW w:w="0" w:type="auto"/>
            <w:hideMark/>
          </w:tcPr>
          <w:p w14:paraId="718E6180" w14:textId="77777777" w:rsidR="007B1869" w:rsidRPr="000A6E2D" w:rsidRDefault="007B1869" w:rsidP="00135E21">
            <w:pPr>
              <w:pStyle w:val="Tables"/>
            </w:pPr>
            <w:r w:rsidRPr="000A6E2D">
              <w:t>4.8</w:t>
            </w:r>
          </w:p>
        </w:tc>
      </w:tr>
      <w:tr w:rsidR="007B1869" w:rsidRPr="000A6E2D" w14:paraId="39343A19" w14:textId="77777777" w:rsidTr="00E23521">
        <w:trPr>
          <w:trHeight w:val="397"/>
          <w:jc w:val="center"/>
        </w:trPr>
        <w:tc>
          <w:tcPr>
            <w:tcW w:w="0" w:type="auto"/>
            <w:hideMark/>
          </w:tcPr>
          <w:p w14:paraId="600E416A" w14:textId="77777777" w:rsidR="007B1869" w:rsidRPr="000A6E2D" w:rsidRDefault="007B1869" w:rsidP="00E23521">
            <w:pPr>
              <w:pStyle w:val="Tables"/>
              <w:jc w:val="left"/>
            </w:pPr>
            <w:r w:rsidRPr="000A6E2D">
              <w:t>Irrigation</w:t>
            </w:r>
          </w:p>
        </w:tc>
        <w:tc>
          <w:tcPr>
            <w:tcW w:w="0" w:type="auto"/>
            <w:hideMark/>
          </w:tcPr>
          <w:p w14:paraId="1DF06CD5" w14:textId="77777777" w:rsidR="007B1869" w:rsidRPr="000A6E2D" w:rsidRDefault="007B1869" w:rsidP="00135E21">
            <w:pPr>
              <w:pStyle w:val="Tables"/>
            </w:pPr>
            <w:r w:rsidRPr="000A6E2D">
              <w:t>7.38</w:t>
            </w:r>
          </w:p>
        </w:tc>
        <w:tc>
          <w:tcPr>
            <w:tcW w:w="0" w:type="auto"/>
            <w:hideMark/>
          </w:tcPr>
          <w:p w14:paraId="2B8BDB61" w14:textId="77777777" w:rsidR="007B1869" w:rsidRPr="000A6E2D" w:rsidRDefault="007B1869" w:rsidP="00135E21">
            <w:pPr>
              <w:pStyle w:val="Tables"/>
            </w:pPr>
            <w:r w:rsidRPr="000A6E2D">
              <w:t>1.9</w:t>
            </w:r>
          </w:p>
        </w:tc>
        <w:tc>
          <w:tcPr>
            <w:tcW w:w="0" w:type="auto"/>
            <w:hideMark/>
          </w:tcPr>
          <w:p w14:paraId="2F6BF454" w14:textId="77777777" w:rsidR="007B1869" w:rsidRPr="000A6E2D" w:rsidRDefault="007B1869" w:rsidP="00135E21">
            <w:pPr>
              <w:pStyle w:val="Tables"/>
            </w:pPr>
            <w:r w:rsidRPr="000A6E2D">
              <w:t>8.40</w:t>
            </w:r>
          </w:p>
        </w:tc>
        <w:tc>
          <w:tcPr>
            <w:tcW w:w="0" w:type="auto"/>
            <w:hideMark/>
          </w:tcPr>
          <w:p w14:paraId="5B88F70E" w14:textId="77777777" w:rsidR="007B1869" w:rsidRPr="000A6E2D" w:rsidRDefault="007B1869" w:rsidP="00135E21">
            <w:pPr>
              <w:pStyle w:val="Tables"/>
            </w:pPr>
            <w:r w:rsidRPr="000A6E2D">
              <w:t>2.1</w:t>
            </w:r>
          </w:p>
        </w:tc>
        <w:tc>
          <w:tcPr>
            <w:tcW w:w="0" w:type="auto"/>
            <w:hideMark/>
          </w:tcPr>
          <w:p w14:paraId="307ACB4C" w14:textId="77777777" w:rsidR="007B1869" w:rsidRPr="000A6E2D" w:rsidRDefault="007B1869" w:rsidP="00135E21">
            <w:pPr>
              <w:pStyle w:val="Tables"/>
            </w:pPr>
            <w:r w:rsidRPr="000A6E2D">
              <w:t>8.27</w:t>
            </w:r>
          </w:p>
        </w:tc>
        <w:tc>
          <w:tcPr>
            <w:tcW w:w="0" w:type="auto"/>
            <w:hideMark/>
          </w:tcPr>
          <w:p w14:paraId="71D5FC12" w14:textId="77777777" w:rsidR="007B1869" w:rsidRPr="000A6E2D" w:rsidRDefault="007B1869" w:rsidP="00135E21">
            <w:pPr>
              <w:pStyle w:val="Tables"/>
            </w:pPr>
            <w:r w:rsidRPr="000A6E2D">
              <w:t>2.0</w:t>
            </w:r>
          </w:p>
        </w:tc>
      </w:tr>
      <w:tr w:rsidR="007B1869" w:rsidRPr="000A6E2D" w14:paraId="33748F60" w14:textId="77777777" w:rsidTr="00E23521">
        <w:trPr>
          <w:trHeight w:val="397"/>
          <w:jc w:val="center"/>
        </w:trPr>
        <w:tc>
          <w:tcPr>
            <w:tcW w:w="0" w:type="auto"/>
            <w:hideMark/>
          </w:tcPr>
          <w:p w14:paraId="23A598CA" w14:textId="77777777" w:rsidR="007B1869" w:rsidRPr="000A6E2D" w:rsidRDefault="007B1869" w:rsidP="00E23521">
            <w:pPr>
              <w:pStyle w:val="Tables"/>
              <w:jc w:val="left"/>
            </w:pPr>
            <w:r w:rsidRPr="000A6E2D">
              <w:t>Inter-State Transit Duties</w:t>
            </w:r>
          </w:p>
        </w:tc>
        <w:tc>
          <w:tcPr>
            <w:tcW w:w="0" w:type="auto"/>
            <w:hideMark/>
          </w:tcPr>
          <w:p w14:paraId="22E350B5" w14:textId="77777777" w:rsidR="007B1869" w:rsidRPr="000A6E2D" w:rsidRDefault="007B1869" w:rsidP="00135E21">
            <w:pPr>
              <w:pStyle w:val="Tables"/>
            </w:pPr>
            <w:r w:rsidRPr="000A6E2D">
              <w:t>9.31</w:t>
            </w:r>
          </w:p>
        </w:tc>
        <w:tc>
          <w:tcPr>
            <w:tcW w:w="0" w:type="auto"/>
            <w:hideMark/>
          </w:tcPr>
          <w:p w14:paraId="059BE2A2" w14:textId="77777777" w:rsidR="007B1869" w:rsidRPr="000A6E2D" w:rsidRDefault="007B1869" w:rsidP="00135E21">
            <w:pPr>
              <w:pStyle w:val="Tables"/>
            </w:pPr>
            <w:r w:rsidRPr="000A6E2D">
              <w:t>2.4</w:t>
            </w:r>
          </w:p>
        </w:tc>
        <w:tc>
          <w:tcPr>
            <w:tcW w:w="0" w:type="auto"/>
            <w:hideMark/>
          </w:tcPr>
          <w:p w14:paraId="48522124" w14:textId="77777777" w:rsidR="007B1869" w:rsidRPr="000A6E2D" w:rsidRDefault="007B1869" w:rsidP="00135E21">
            <w:pPr>
              <w:pStyle w:val="Tables"/>
            </w:pPr>
            <w:r w:rsidRPr="000A6E2D">
              <w:t>8.85</w:t>
            </w:r>
          </w:p>
        </w:tc>
        <w:tc>
          <w:tcPr>
            <w:tcW w:w="0" w:type="auto"/>
            <w:hideMark/>
          </w:tcPr>
          <w:p w14:paraId="11CE3613" w14:textId="77777777" w:rsidR="007B1869" w:rsidRPr="000A6E2D" w:rsidRDefault="007B1869" w:rsidP="00135E21">
            <w:pPr>
              <w:pStyle w:val="Tables"/>
            </w:pPr>
            <w:r w:rsidRPr="000A6E2D">
              <w:t>2.2</w:t>
            </w:r>
          </w:p>
        </w:tc>
        <w:tc>
          <w:tcPr>
            <w:tcW w:w="0" w:type="auto"/>
            <w:hideMark/>
          </w:tcPr>
          <w:p w14:paraId="2EFD4222" w14:textId="77777777" w:rsidR="007B1869" w:rsidRPr="000A6E2D" w:rsidRDefault="007B1869" w:rsidP="00135E21">
            <w:pPr>
              <w:pStyle w:val="Tables"/>
            </w:pPr>
            <w:r w:rsidRPr="000A6E2D">
              <w:t>6.38</w:t>
            </w:r>
          </w:p>
        </w:tc>
        <w:tc>
          <w:tcPr>
            <w:tcW w:w="0" w:type="auto"/>
            <w:hideMark/>
          </w:tcPr>
          <w:p w14:paraId="44DED3EA" w14:textId="77777777" w:rsidR="007B1869" w:rsidRPr="000A6E2D" w:rsidRDefault="007B1869" w:rsidP="00135E21">
            <w:pPr>
              <w:pStyle w:val="Tables"/>
            </w:pPr>
            <w:r w:rsidRPr="000A6E2D">
              <w:t>1.7</w:t>
            </w:r>
          </w:p>
        </w:tc>
      </w:tr>
      <w:tr w:rsidR="007B1869" w:rsidRPr="000A6E2D" w14:paraId="7CE10207" w14:textId="77777777" w:rsidTr="00E23521">
        <w:trPr>
          <w:trHeight w:val="397"/>
          <w:jc w:val="center"/>
        </w:trPr>
        <w:tc>
          <w:tcPr>
            <w:tcW w:w="0" w:type="auto"/>
            <w:hideMark/>
          </w:tcPr>
          <w:p w14:paraId="19AD27C6" w14:textId="77777777" w:rsidR="007B1869" w:rsidRPr="000A6E2D" w:rsidRDefault="007B1869" w:rsidP="00E23521">
            <w:pPr>
              <w:pStyle w:val="Tables"/>
              <w:jc w:val="left"/>
            </w:pPr>
            <w:r w:rsidRPr="000A6E2D">
              <w:t>Devolution of Revenue and Grants from the Centre</w:t>
            </w:r>
          </w:p>
        </w:tc>
        <w:tc>
          <w:tcPr>
            <w:tcW w:w="0" w:type="auto"/>
            <w:hideMark/>
          </w:tcPr>
          <w:p w14:paraId="22DB9EDD" w14:textId="77777777" w:rsidR="007B1869" w:rsidRPr="000A6E2D" w:rsidRDefault="007B1869" w:rsidP="00135E21">
            <w:pPr>
              <w:pStyle w:val="Tables"/>
            </w:pPr>
            <w:r w:rsidRPr="000A6E2D">
              <w:t>66.41</w:t>
            </w:r>
          </w:p>
        </w:tc>
        <w:tc>
          <w:tcPr>
            <w:tcW w:w="0" w:type="auto"/>
            <w:hideMark/>
          </w:tcPr>
          <w:p w14:paraId="5E6A4625" w14:textId="77777777" w:rsidR="007B1869" w:rsidRPr="000A6E2D" w:rsidRDefault="007B1869" w:rsidP="00135E21">
            <w:pPr>
              <w:pStyle w:val="Tables"/>
            </w:pPr>
            <w:r w:rsidRPr="000A6E2D">
              <w:t>17.4</w:t>
            </w:r>
          </w:p>
        </w:tc>
        <w:tc>
          <w:tcPr>
            <w:tcW w:w="0" w:type="auto"/>
            <w:hideMark/>
          </w:tcPr>
          <w:p w14:paraId="2E11ECAF" w14:textId="77777777" w:rsidR="007B1869" w:rsidRPr="000A6E2D" w:rsidRDefault="007B1869" w:rsidP="00135E21">
            <w:pPr>
              <w:pStyle w:val="Tables"/>
            </w:pPr>
            <w:r w:rsidRPr="000A6E2D">
              <w:t>76.30</w:t>
            </w:r>
          </w:p>
        </w:tc>
        <w:tc>
          <w:tcPr>
            <w:tcW w:w="0" w:type="auto"/>
            <w:hideMark/>
          </w:tcPr>
          <w:p w14:paraId="00B1B6FE" w14:textId="77777777" w:rsidR="007B1869" w:rsidRPr="000A6E2D" w:rsidRDefault="007B1869" w:rsidP="00135E21">
            <w:pPr>
              <w:pStyle w:val="Tables"/>
            </w:pPr>
            <w:r w:rsidRPr="000A6E2D">
              <w:t>18.8</w:t>
            </w:r>
          </w:p>
        </w:tc>
        <w:tc>
          <w:tcPr>
            <w:tcW w:w="0" w:type="auto"/>
            <w:hideMark/>
          </w:tcPr>
          <w:p w14:paraId="3CC5D157" w14:textId="77777777" w:rsidR="007B1869" w:rsidRPr="000A6E2D" w:rsidRDefault="007B1869" w:rsidP="00135E21">
            <w:pPr>
              <w:pStyle w:val="Tables"/>
            </w:pPr>
            <w:r w:rsidRPr="000A6E2D">
              <w:t>74.06</w:t>
            </w:r>
          </w:p>
        </w:tc>
        <w:tc>
          <w:tcPr>
            <w:tcW w:w="0" w:type="auto"/>
            <w:hideMark/>
          </w:tcPr>
          <w:p w14:paraId="0BFCD0C0" w14:textId="77777777" w:rsidR="007B1869" w:rsidRPr="000A6E2D" w:rsidRDefault="007B1869" w:rsidP="00135E21">
            <w:pPr>
              <w:pStyle w:val="Tables"/>
            </w:pPr>
            <w:r w:rsidRPr="000A6E2D">
              <w:t>17.7</w:t>
            </w:r>
          </w:p>
        </w:tc>
      </w:tr>
      <w:tr w:rsidR="007B1869" w:rsidRPr="000A6E2D" w14:paraId="65D7D59E" w14:textId="77777777" w:rsidTr="00E23521">
        <w:trPr>
          <w:trHeight w:val="397"/>
          <w:jc w:val="center"/>
        </w:trPr>
        <w:tc>
          <w:tcPr>
            <w:tcW w:w="0" w:type="auto"/>
            <w:hideMark/>
          </w:tcPr>
          <w:p w14:paraId="5F17D428" w14:textId="77777777" w:rsidR="007B1869" w:rsidRPr="000A6E2D" w:rsidRDefault="007B1869" w:rsidP="00E23521">
            <w:pPr>
              <w:pStyle w:val="Tables"/>
              <w:ind w:left="720"/>
              <w:jc w:val="left"/>
            </w:pPr>
            <w:r w:rsidRPr="000A6E2D">
              <w:t>Income-tax share</w:t>
            </w:r>
          </w:p>
        </w:tc>
        <w:tc>
          <w:tcPr>
            <w:tcW w:w="0" w:type="auto"/>
            <w:hideMark/>
          </w:tcPr>
          <w:p w14:paraId="3032E80F" w14:textId="77777777" w:rsidR="007B1869" w:rsidRPr="000A6E2D" w:rsidRDefault="007B1869" w:rsidP="00135E21">
            <w:pPr>
              <w:pStyle w:val="Tables"/>
            </w:pPr>
            <w:r w:rsidRPr="000A6E2D">
              <w:t>47.68</w:t>
            </w:r>
          </w:p>
        </w:tc>
        <w:tc>
          <w:tcPr>
            <w:tcW w:w="0" w:type="auto"/>
            <w:hideMark/>
          </w:tcPr>
          <w:p w14:paraId="2BFD6603" w14:textId="77777777" w:rsidR="007B1869" w:rsidRPr="000A6E2D" w:rsidRDefault="007B1869" w:rsidP="00135E21">
            <w:pPr>
              <w:pStyle w:val="Tables"/>
            </w:pPr>
            <w:r w:rsidRPr="000A6E2D">
              <w:t>12.5</w:t>
            </w:r>
          </w:p>
        </w:tc>
        <w:tc>
          <w:tcPr>
            <w:tcW w:w="0" w:type="auto"/>
            <w:hideMark/>
          </w:tcPr>
          <w:p w14:paraId="333F3D69" w14:textId="77777777" w:rsidR="007B1869" w:rsidRPr="000A6E2D" w:rsidRDefault="007B1869" w:rsidP="00135E21">
            <w:pPr>
              <w:pStyle w:val="Tables"/>
            </w:pPr>
            <w:r w:rsidRPr="000A6E2D">
              <w:t>52.60</w:t>
            </w:r>
          </w:p>
        </w:tc>
        <w:tc>
          <w:tcPr>
            <w:tcW w:w="0" w:type="auto"/>
            <w:hideMark/>
          </w:tcPr>
          <w:p w14:paraId="1C23A117" w14:textId="77777777" w:rsidR="007B1869" w:rsidRPr="000A6E2D" w:rsidRDefault="007B1869" w:rsidP="00135E21">
            <w:pPr>
              <w:pStyle w:val="Tables"/>
            </w:pPr>
            <w:r w:rsidRPr="000A6E2D">
              <w:t>12.9</w:t>
            </w:r>
          </w:p>
        </w:tc>
        <w:tc>
          <w:tcPr>
            <w:tcW w:w="0" w:type="auto"/>
            <w:hideMark/>
          </w:tcPr>
          <w:p w14:paraId="1DE7AED2" w14:textId="77777777" w:rsidR="007B1869" w:rsidRPr="000A6E2D" w:rsidRDefault="007B1869" w:rsidP="00135E21">
            <w:pPr>
              <w:pStyle w:val="Tables"/>
            </w:pPr>
            <w:r w:rsidRPr="000A6E2D">
              <w:t>50.80</w:t>
            </w:r>
          </w:p>
        </w:tc>
        <w:tc>
          <w:tcPr>
            <w:tcW w:w="0" w:type="auto"/>
            <w:hideMark/>
          </w:tcPr>
          <w:p w14:paraId="5C2A825B" w14:textId="77777777" w:rsidR="007B1869" w:rsidRPr="000A6E2D" w:rsidRDefault="007B1869" w:rsidP="00135E21">
            <w:pPr>
              <w:pStyle w:val="Tables"/>
            </w:pPr>
            <w:r w:rsidRPr="000A6E2D">
              <w:t>12.2</w:t>
            </w:r>
          </w:p>
        </w:tc>
      </w:tr>
      <w:tr w:rsidR="007B1869" w:rsidRPr="000A6E2D" w14:paraId="71C4E42E" w14:textId="77777777" w:rsidTr="00E23521">
        <w:trPr>
          <w:trHeight w:val="397"/>
          <w:jc w:val="center"/>
        </w:trPr>
        <w:tc>
          <w:tcPr>
            <w:tcW w:w="0" w:type="auto"/>
            <w:hideMark/>
          </w:tcPr>
          <w:p w14:paraId="242AF234" w14:textId="77777777" w:rsidR="007B1869" w:rsidRPr="000A6E2D" w:rsidRDefault="007B1869" w:rsidP="00E23521">
            <w:pPr>
              <w:pStyle w:val="Tables"/>
              <w:ind w:left="720"/>
              <w:jc w:val="left"/>
            </w:pPr>
            <w:r w:rsidRPr="000A6E2D">
              <w:t>Grants in lieu of Jute Duty share</w:t>
            </w:r>
          </w:p>
        </w:tc>
        <w:tc>
          <w:tcPr>
            <w:tcW w:w="0" w:type="auto"/>
            <w:hideMark/>
          </w:tcPr>
          <w:p w14:paraId="1E9A8CA2" w14:textId="77777777" w:rsidR="007B1869" w:rsidRPr="000A6E2D" w:rsidRDefault="007B1869" w:rsidP="00135E21">
            <w:pPr>
              <w:pStyle w:val="Tables"/>
            </w:pPr>
            <w:r w:rsidRPr="000A6E2D">
              <w:t>1.85</w:t>
            </w:r>
          </w:p>
        </w:tc>
        <w:tc>
          <w:tcPr>
            <w:tcW w:w="0" w:type="auto"/>
            <w:hideMark/>
          </w:tcPr>
          <w:p w14:paraId="2A11F13A" w14:textId="77777777" w:rsidR="007B1869" w:rsidRPr="000A6E2D" w:rsidRDefault="007B1869" w:rsidP="00135E21">
            <w:pPr>
              <w:pStyle w:val="Tables"/>
            </w:pPr>
            <w:r w:rsidRPr="000A6E2D">
              <w:t>0.5</w:t>
            </w:r>
          </w:p>
        </w:tc>
        <w:tc>
          <w:tcPr>
            <w:tcW w:w="0" w:type="auto"/>
            <w:hideMark/>
          </w:tcPr>
          <w:p w14:paraId="0D6017C3" w14:textId="77777777" w:rsidR="007B1869" w:rsidRPr="000A6E2D" w:rsidRDefault="007B1869" w:rsidP="00135E21">
            <w:pPr>
              <w:pStyle w:val="Tables"/>
            </w:pPr>
            <w:r w:rsidRPr="000A6E2D">
              <w:t>1.85</w:t>
            </w:r>
          </w:p>
        </w:tc>
        <w:tc>
          <w:tcPr>
            <w:tcW w:w="0" w:type="auto"/>
            <w:hideMark/>
          </w:tcPr>
          <w:p w14:paraId="3A7C5793" w14:textId="77777777" w:rsidR="007B1869" w:rsidRPr="000A6E2D" w:rsidRDefault="007B1869" w:rsidP="00135E21">
            <w:pPr>
              <w:pStyle w:val="Tables"/>
            </w:pPr>
            <w:r w:rsidRPr="000A6E2D">
              <w:t>0.5</w:t>
            </w:r>
          </w:p>
        </w:tc>
        <w:tc>
          <w:tcPr>
            <w:tcW w:w="0" w:type="auto"/>
            <w:hideMark/>
          </w:tcPr>
          <w:p w14:paraId="4F388409" w14:textId="77777777" w:rsidR="007B1869" w:rsidRPr="000A6E2D" w:rsidRDefault="007B1869" w:rsidP="00135E21">
            <w:pPr>
              <w:pStyle w:val="Tables"/>
            </w:pPr>
            <w:r w:rsidRPr="000A6E2D">
              <w:t>1.85</w:t>
            </w:r>
          </w:p>
        </w:tc>
        <w:tc>
          <w:tcPr>
            <w:tcW w:w="0" w:type="auto"/>
            <w:hideMark/>
          </w:tcPr>
          <w:p w14:paraId="462E1ABF" w14:textId="77777777" w:rsidR="007B1869" w:rsidRPr="000A6E2D" w:rsidRDefault="007B1869" w:rsidP="00135E21">
            <w:pPr>
              <w:pStyle w:val="Tables"/>
            </w:pPr>
            <w:r w:rsidRPr="000A6E2D">
              <w:t>0.4</w:t>
            </w:r>
          </w:p>
        </w:tc>
      </w:tr>
      <w:tr w:rsidR="007B1869" w:rsidRPr="000A6E2D" w14:paraId="7C6942E7" w14:textId="77777777" w:rsidTr="00E23521">
        <w:trPr>
          <w:trHeight w:val="397"/>
          <w:jc w:val="center"/>
        </w:trPr>
        <w:tc>
          <w:tcPr>
            <w:tcW w:w="0" w:type="auto"/>
            <w:hideMark/>
          </w:tcPr>
          <w:p w14:paraId="2972ADE7" w14:textId="77777777" w:rsidR="007B1869" w:rsidRPr="000A6E2D" w:rsidRDefault="007B1869" w:rsidP="00E23521">
            <w:pPr>
              <w:pStyle w:val="Tables"/>
              <w:ind w:left="720"/>
              <w:jc w:val="left"/>
            </w:pPr>
            <w:r w:rsidRPr="000A6E2D">
              <w:t>Other Grants</w:t>
            </w:r>
          </w:p>
        </w:tc>
        <w:tc>
          <w:tcPr>
            <w:tcW w:w="0" w:type="auto"/>
            <w:hideMark/>
          </w:tcPr>
          <w:p w14:paraId="2F862DB1" w14:textId="77777777" w:rsidR="007B1869" w:rsidRPr="000A6E2D" w:rsidRDefault="007B1869" w:rsidP="00135E21">
            <w:pPr>
              <w:pStyle w:val="Tables"/>
            </w:pPr>
            <w:r w:rsidRPr="000A6E2D">
              <w:t>16.88</w:t>
            </w:r>
          </w:p>
        </w:tc>
        <w:tc>
          <w:tcPr>
            <w:tcW w:w="0" w:type="auto"/>
            <w:hideMark/>
          </w:tcPr>
          <w:p w14:paraId="4993B0AC" w14:textId="77777777" w:rsidR="007B1869" w:rsidRPr="000A6E2D" w:rsidRDefault="007B1869" w:rsidP="00135E21">
            <w:pPr>
              <w:pStyle w:val="Tables"/>
            </w:pPr>
            <w:r w:rsidRPr="000A6E2D">
              <w:t>4.4</w:t>
            </w:r>
          </w:p>
        </w:tc>
        <w:tc>
          <w:tcPr>
            <w:tcW w:w="0" w:type="auto"/>
            <w:hideMark/>
          </w:tcPr>
          <w:p w14:paraId="41ED9A5D" w14:textId="77777777" w:rsidR="007B1869" w:rsidRPr="000A6E2D" w:rsidRDefault="007B1869" w:rsidP="00135E21">
            <w:pPr>
              <w:pStyle w:val="Tables"/>
            </w:pPr>
            <w:r w:rsidRPr="000A6E2D">
              <w:t>21.85</w:t>
            </w:r>
          </w:p>
        </w:tc>
        <w:tc>
          <w:tcPr>
            <w:tcW w:w="0" w:type="auto"/>
            <w:hideMark/>
          </w:tcPr>
          <w:p w14:paraId="5347C07E" w14:textId="77777777" w:rsidR="007B1869" w:rsidRPr="000A6E2D" w:rsidRDefault="007B1869" w:rsidP="00135E21">
            <w:pPr>
              <w:pStyle w:val="Tables"/>
            </w:pPr>
            <w:r w:rsidRPr="000A6E2D">
              <w:t>5.4</w:t>
            </w:r>
          </w:p>
        </w:tc>
        <w:tc>
          <w:tcPr>
            <w:tcW w:w="0" w:type="auto"/>
            <w:hideMark/>
          </w:tcPr>
          <w:p w14:paraId="02B09265" w14:textId="77777777" w:rsidR="007B1869" w:rsidRPr="000A6E2D" w:rsidRDefault="007B1869" w:rsidP="00135E21">
            <w:pPr>
              <w:pStyle w:val="Tables"/>
            </w:pPr>
            <w:r w:rsidRPr="000A6E2D">
              <w:t>21.41</w:t>
            </w:r>
          </w:p>
        </w:tc>
        <w:tc>
          <w:tcPr>
            <w:tcW w:w="0" w:type="auto"/>
            <w:hideMark/>
          </w:tcPr>
          <w:p w14:paraId="4AECE064" w14:textId="77777777" w:rsidR="007B1869" w:rsidRPr="000A6E2D" w:rsidRDefault="007B1869" w:rsidP="00135E21">
            <w:pPr>
              <w:pStyle w:val="Tables"/>
            </w:pPr>
            <w:r w:rsidRPr="000A6E2D">
              <w:t>5.1</w:t>
            </w:r>
          </w:p>
        </w:tc>
      </w:tr>
    </w:tbl>
    <w:p w14:paraId="7830F882" w14:textId="2472CCEF" w:rsidR="002F6F26" w:rsidRPr="000A6E2D" w:rsidRDefault="007B1869" w:rsidP="00135E21">
      <w:pPr>
        <w:pStyle w:val="Sources"/>
      </w:pPr>
      <w:r w:rsidRPr="000A6E2D">
        <w:t>Revenue and Expenditure exclude transfers from/to Revenue Reserve Funds.</w:t>
      </w:r>
      <w:r w:rsidRPr="000A6E2D">
        <w:br/>
        <w:t>(a) Includes Rs. 5.12 crores as a result of abolition of Zamindari in Uttar Pradesh.</w:t>
      </w:r>
      <w:r w:rsidRPr="000A6E2D">
        <w:br/>
        <w:t>(b) Include General Sales Tax and Tax on sale of motor spirit.</w:t>
      </w:r>
    </w:p>
    <w:p w14:paraId="434AAD6B" w14:textId="77777777" w:rsidR="007B1869" w:rsidRPr="000A6E2D" w:rsidRDefault="007B1869" w:rsidP="000A6E2D">
      <w:pPr>
        <w:pStyle w:val="NoSpacing"/>
        <w:spacing w:line="380" w:lineRule="exact"/>
        <w:jc w:val="both"/>
        <w:rPr>
          <w:rFonts w:ascii="Times New Roman" w:hAnsi="Times New Roman" w:cs="Times New Roman"/>
          <w:sz w:val="28"/>
          <w:szCs w:val="28"/>
        </w:rPr>
      </w:pPr>
    </w:p>
    <w:p w14:paraId="311C8DF4" w14:textId="0E8F75BC" w:rsidR="007B1869" w:rsidRPr="00135E21" w:rsidRDefault="007B1869" w:rsidP="00EE0179">
      <w:pPr>
        <w:pStyle w:val="ListParagraph"/>
        <w:numPr>
          <w:ilvl w:val="0"/>
          <w:numId w:val="29"/>
        </w:numPr>
        <w:spacing w:after="0" w:line="520" w:lineRule="exact"/>
        <w:ind w:left="0" w:firstLine="556"/>
        <w:jc w:val="both"/>
        <w:rPr>
          <w:rStyle w:val="ng-star-inserted1"/>
          <w:rFonts w:ascii="Times New Roman" w:eastAsiaTheme="majorEastAsia" w:hAnsi="Times New Roman" w:cs="Times New Roman"/>
          <w:color w:val="1A1C1E"/>
          <w:sz w:val="28"/>
          <w:szCs w:val="28"/>
        </w:rPr>
      </w:pPr>
      <w:r w:rsidRPr="00135E21">
        <w:rPr>
          <w:rStyle w:val="ng-star-inserted1"/>
          <w:rFonts w:ascii="Times New Roman" w:eastAsiaTheme="majorEastAsia" w:hAnsi="Times New Roman" w:cs="Times New Roman"/>
          <w:color w:val="1A1C1E"/>
          <w:sz w:val="28"/>
          <w:szCs w:val="28"/>
        </w:rPr>
        <w:t>The total revenue of all the States, allowing for transfers from revenue reserves and including the addition to revenue anticipated from tax proposals in the budgets for 1952-53, is Rs. 382.9 crores, Rs. 406</w:t>
      </w:r>
      <w:r w:rsidR="0039143C">
        <w:rPr>
          <w:rStyle w:val="ng-star-inserted1"/>
          <w:rFonts w:ascii="Times New Roman" w:eastAsiaTheme="majorEastAsia" w:hAnsi="Times New Roman" w:cs="Times New Roman"/>
          <w:color w:val="1A1C1E"/>
          <w:sz w:val="28"/>
          <w:szCs w:val="28"/>
        </w:rPr>
        <w:t>.</w:t>
      </w:r>
      <w:r w:rsidRPr="00135E21">
        <w:rPr>
          <w:rStyle w:val="ng-star-inserted1"/>
          <w:rFonts w:ascii="Times New Roman" w:eastAsiaTheme="majorEastAsia" w:hAnsi="Times New Roman" w:cs="Times New Roman"/>
          <w:color w:val="1A1C1E"/>
          <w:sz w:val="28"/>
          <w:szCs w:val="28"/>
        </w:rPr>
        <w:t>7 crores and Rs. 416 crores in 1950-51, 1951-52 and 1952-53 respectively. Total expenditure in the respective years is Rs. 380</w:t>
      </w:r>
      <w:r w:rsidR="0039143C">
        <w:rPr>
          <w:rStyle w:val="ng-star-inserted1"/>
          <w:rFonts w:ascii="Times New Roman" w:eastAsiaTheme="majorEastAsia" w:hAnsi="Times New Roman" w:cs="Times New Roman"/>
          <w:color w:val="1A1C1E"/>
          <w:sz w:val="28"/>
          <w:szCs w:val="28"/>
        </w:rPr>
        <w:t>.</w:t>
      </w:r>
      <w:r w:rsidRPr="00135E21">
        <w:rPr>
          <w:rStyle w:val="ng-star-inserted1"/>
          <w:rFonts w:ascii="Times New Roman" w:eastAsiaTheme="majorEastAsia" w:hAnsi="Times New Roman" w:cs="Times New Roman"/>
          <w:color w:val="1A1C1E"/>
          <w:sz w:val="28"/>
          <w:szCs w:val="28"/>
        </w:rPr>
        <w:t>6 crores, Rs. 401</w:t>
      </w:r>
      <w:r w:rsidR="0039143C">
        <w:rPr>
          <w:rStyle w:val="ng-star-inserted1"/>
          <w:rFonts w:ascii="Times New Roman" w:eastAsiaTheme="majorEastAsia" w:hAnsi="Times New Roman" w:cs="Times New Roman"/>
          <w:color w:val="1A1C1E"/>
          <w:sz w:val="28"/>
          <w:szCs w:val="28"/>
        </w:rPr>
        <w:t>.</w:t>
      </w:r>
      <w:r w:rsidRPr="00135E21">
        <w:rPr>
          <w:rStyle w:val="ng-star-inserted1"/>
          <w:rFonts w:ascii="Times New Roman" w:eastAsiaTheme="majorEastAsia" w:hAnsi="Times New Roman" w:cs="Times New Roman"/>
          <w:color w:val="1A1C1E"/>
          <w:sz w:val="28"/>
          <w:szCs w:val="28"/>
        </w:rPr>
        <w:t>7 crores and Rs. 435</w:t>
      </w:r>
      <w:r w:rsidR="0039143C">
        <w:rPr>
          <w:rStyle w:val="ng-star-inserted1"/>
          <w:rFonts w:ascii="Times New Roman" w:eastAsiaTheme="majorEastAsia" w:hAnsi="Times New Roman" w:cs="Times New Roman"/>
          <w:color w:val="1A1C1E"/>
          <w:sz w:val="28"/>
          <w:szCs w:val="28"/>
        </w:rPr>
        <w:t>.</w:t>
      </w:r>
      <w:r w:rsidRPr="00135E21">
        <w:rPr>
          <w:rStyle w:val="ng-star-inserted1"/>
          <w:rFonts w:ascii="Times New Roman" w:eastAsiaTheme="majorEastAsia" w:hAnsi="Times New Roman" w:cs="Times New Roman"/>
          <w:color w:val="1A1C1E"/>
          <w:sz w:val="28"/>
          <w:szCs w:val="28"/>
        </w:rPr>
        <w:t>3 crores, leaving surpluses of Rs. 2</w:t>
      </w:r>
      <w:r w:rsidR="0039143C">
        <w:rPr>
          <w:rStyle w:val="ng-star-inserted1"/>
          <w:rFonts w:ascii="Times New Roman" w:eastAsiaTheme="majorEastAsia" w:hAnsi="Times New Roman" w:cs="Times New Roman"/>
          <w:color w:val="1A1C1E"/>
          <w:sz w:val="28"/>
          <w:szCs w:val="28"/>
        </w:rPr>
        <w:t>.</w:t>
      </w:r>
      <w:r w:rsidRPr="00135E21">
        <w:rPr>
          <w:rStyle w:val="ng-star-inserted1"/>
          <w:rFonts w:ascii="Times New Roman" w:eastAsiaTheme="majorEastAsia" w:hAnsi="Times New Roman" w:cs="Times New Roman"/>
          <w:color w:val="1A1C1E"/>
          <w:sz w:val="28"/>
          <w:szCs w:val="28"/>
        </w:rPr>
        <w:t xml:space="preserve">29 </w:t>
      </w:r>
      <w:r w:rsidRPr="00135E21">
        <w:rPr>
          <w:rStyle w:val="ng-star-inserted1"/>
          <w:rFonts w:ascii="Times New Roman" w:eastAsiaTheme="majorEastAsia" w:hAnsi="Times New Roman" w:cs="Times New Roman"/>
          <w:color w:val="1A1C1E"/>
          <w:sz w:val="28"/>
          <w:szCs w:val="28"/>
        </w:rPr>
        <w:lastRenderedPageBreak/>
        <w:t>crores and Rs. 4</w:t>
      </w:r>
      <w:r w:rsidR="0039143C">
        <w:rPr>
          <w:rStyle w:val="ng-star-inserted1"/>
          <w:rFonts w:ascii="Times New Roman" w:eastAsiaTheme="majorEastAsia" w:hAnsi="Times New Roman" w:cs="Times New Roman"/>
          <w:color w:val="1A1C1E"/>
          <w:sz w:val="28"/>
          <w:szCs w:val="28"/>
        </w:rPr>
        <w:t>.</w:t>
      </w:r>
      <w:r w:rsidRPr="00135E21">
        <w:rPr>
          <w:rStyle w:val="ng-star-inserted1"/>
          <w:rFonts w:ascii="Times New Roman" w:eastAsiaTheme="majorEastAsia" w:hAnsi="Times New Roman" w:cs="Times New Roman"/>
          <w:color w:val="1A1C1E"/>
          <w:sz w:val="28"/>
          <w:szCs w:val="28"/>
        </w:rPr>
        <w:t>93 crores in 1950-51 and 1951-52 and a deficit of Rs. 19</w:t>
      </w:r>
      <w:r w:rsidR="0039143C">
        <w:rPr>
          <w:rStyle w:val="ng-star-inserted1"/>
          <w:rFonts w:ascii="Times New Roman" w:eastAsiaTheme="majorEastAsia" w:hAnsi="Times New Roman" w:cs="Times New Roman"/>
          <w:color w:val="1A1C1E"/>
          <w:sz w:val="28"/>
          <w:szCs w:val="28"/>
        </w:rPr>
        <w:t>.</w:t>
      </w:r>
      <w:r w:rsidRPr="00135E21">
        <w:rPr>
          <w:rStyle w:val="ng-star-inserted1"/>
          <w:rFonts w:ascii="Times New Roman" w:eastAsiaTheme="majorEastAsia" w:hAnsi="Times New Roman" w:cs="Times New Roman"/>
          <w:color w:val="1A1C1E"/>
          <w:sz w:val="28"/>
          <w:szCs w:val="28"/>
        </w:rPr>
        <w:t>3 crores in 1952-53.</w:t>
      </w:r>
    </w:p>
    <w:p w14:paraId="2F7E87D5" w14:textId="3879FEAD" w:rsidR="007B1869" w:rsidRPr="00135E21" w:rsidRDefault="007B1869" w:rsidP="00EE0179">
      <w:pPr>
        <w:pStyle w:val="ListParagraph"/>
        <w:numPr>
          <w:ilvl w:val="0"/>
          <w:numId w:val="29"/>
        </w:numPr>
        <w:spacing w:after="0" w:line="520" w:lineRule="exact"/>
        <w:ind w:left="0" w:firstLine="556"/>
        <w:jc w:val="both"/>
        <w:rPr>
          <w:rStyle w:val="ng-star-inserted1"/>
          <w:rFonts w:ascii="Times New Roman" w:eastAsiaTheme="majorEastAsia" w:hAnsi="Times New Roman" w:cs="Times New Roman"/>
          <w:color w:val="1A1C1E"/>
          <w:sz w:val="28"/>
          <w:szCs w:val="28"/>
        </w:rPr>
      </w:pPr>
      <w:r w:rsidRPr="00135E21">
        <w:rPr>
          <w:rStyle w:val="ng-star-inserted1"/>
          <w:rFonts w:ascii="Times New Roman" w:eastAsiaTheme="majorEastAsia" w:hAnsi="Times New Roman" w:cs="Times New Roman"/>
          <w:i/>
          <w:iCs/>
          <w:color w:val="1A1C1E"/>
          <w:sz w:val="28"/>
          <w:szCs w:val="28"/>
        </w:rPr>
        <w:t>Transfer of resources to States.—</w:t>
      </w:r>
      <w:r w:rsidRPr="00135E21">
        <w:rPr>
          <w:rStyle w:val="ng-star-inserted1"/>
          <w:rFonts w:ascii="Times New Roman" w:eastAsiaTheme="majorEastAsia" w:hAnsi="Times New Roman" w:cs="Times New Roman"/>
          <w:color w:val="1A1C1E"/>
          <w:sz w:val="28"/>
          <w:szCs w:val="28"/>
        </w:rPr>
        <w:t>The States' share of income- tax, grants under Articles 273 and 275 and “revenue gap grants” amount to a total of Rs. 62</w:t>
      </w:r>
      <w:r w:rsidR="0039143C">
        <w:rPr>
          <w:rStyle w:val="ng-star-inserted1"/>
          <w:rFonts w:ascii="Times New Roman" w:eastAsiaTheme="majorEastAsia" w:hAnsi="Times New Roman" w:cs="Times New Roman"/>
          <w:color w:val="1A1C1E"/>
          <w:sz w:val="28"/>
          <w:szCs w:val="28"/>
        </w:rPr>
        <w:t>.</w:t>
      </w:r>
      <w:r w:rsidRPr="00135E21">
        <w:rPr>
          <w:rStyle w:val="ng-star-inserted1"/>
          <w:rFonts w:ascii="Times New Roman" w:eastAsiaTheme="majorEastAsia" w:hAnsi="Times New Roman" w:cs="Times New Roman"/>
          <w:color w:val="1A1C1E"/>
          <w:sz w:val="28"/>
          <w:szCs w:val="28"/>
        </w:rPr>
        <w:t>4 crores in 1950-51 and Rs. 70</w:t>
      </w:r>
      <w:r w:rsidR="0039143C">
        <w:rPr>
          <w:rStyle w:val="ng-star-inserted1"/>
          <w:rFonts w:ascii="Times New Roman" w:eastAsiaTheme="majorEastAsia" w:hAnsi="Times New Roman" w:cs="Times New Roman"/>
          <w:color w:val="1A1C1E"/>
          <w:sz w:val="28"/>
          <w:szCs w:val="28"/>
        </w:rPr>
        <w:t>.</w:t>
      </w:r>
      <w:r w:rsidRPr="00135E21">
        <w:rPr>
          <w:rStyle w:val="ng-star-inserted1"/>
          <w:rFonts w:ascii="Times New Roman" w:eastAsiaTheme="majorEastAsia" w:hAnsi="Times New Roman" w:cs="Times New Roman"/>
          <w:color w:val="1A1C1E"/>
          <w:sz w:val="28"/>
          <w:szCs w:val="28"/>
        </w:rPr>
        <w:t>8 crores in 1951-52, forming 16</w:t>
      </w:r>
      <w:r w:rsidR="0039143C">
        <w:rPr>
          <w:rStyle w:val="ng-star-inserted1"/>
          <w:rFonts w:ascii="Times New Roman" w:eastAsiaTheme="majorEastAsia" w:hAnsi="Times New Roman" w:cs="Times New Roman"/>
          <w:color w:val="1A1C1E"/>
          <w:sz w:val="28"/>
          <w:szCs w:val="28"/>
        </w:rPr>
        <w:t>.</w:t>
      </w:r>
      <w:r w:rsidRPr="00135E21">
        <w:rPr>
          <w:rStyle w:val="ng-star-inserted1"/>
          <w:rFonts w:ascii="Times New Roman" w:eastAsiaTheme="majorEastAsia" w:hAnsi="Times New Roman" w:cs="Times New Roman"/>
          <w:color w:val="1A1C1E"/>
          <w:sz w:val="28"/>
          <w:szCs w:val="28"/>
        </w:rPr>
        <w:t>3 per cent and 17</w:t>
      </w:r>
      <w:r w:rsidR="0039143C">
        <w:rPr>
          <w:rStyle w:val="ng-star-inserted1"/>
          <w:rFonts w:ascii="Times New Roman" w:eastAsiaTheme="majorEastAsia" w:hAnsi="Times New Roman" w:cs="Times New Roman"/>
          <w:color w:val="1A1C1E"/>
          <w:sz w:val="28"/>
          <w:szCs w:val="28"/>
        </w:rPr>
        <w:t>.</w:t>
      </w:r>
      <w:r w:rsidRPr="00135E21">
        <w:rPr>
          <w:rStyle w:val="ng-star-inserted1"/>
          <w:rFonts w:ascii="Times New Roman" w:eastAsiaTheme="majorEastAsia" w:hAnsi="Times New Roman" w:cs="Times New Roman"/>
          <w:color w:val="1A1C1E"/>
          <w:sz w:val="28"/>
          <w:szCs w:val="28"/>
        </w:rPr>
        <w:t>4 per cent respectively, of the total State revenues in the two years. The share of Part B States at Rs. 11</w:t>
      </w:r>
      <w:r w:rsidR="0039143C">
        <w:rPr>
          <w:rStyle w:val="ng-star-inserted1"/>
          <w:rFonts w:ascii="Times New Roman" w:eastAsiaTheme="majorEastAsia" w:hAnsi="Times New Roman" w:cs="Times New Roman"/>
          <w:color w:val="1A1C1E"/>
          <w:sz w:val="28"/>
          <w:szCs w:val="28"/>
        </w:rPr>
        <w:t>.</w:t>
      </w:r>
      <w:r w:rsidRPr="00135E21">
        <w:rPr>
          <w:rStyle w:val="ng-star-inserted1"/>
          <w:rFonts w:ascii="Times New Roman" w:eastAsiaTheme="majorEastAsia" w:hAnsi="Times New Roman" w:cs="Times New Roman"/>
          <w:color w:val="1A1C1E"/>
          <w:sz w:val="28"/>
          <w:szCs w:val="28"/>
        </w:rPr>
        <w:t>6 crores, mostly in “revenue gap grants”, forms 11</w:t>
      </w:r>
      <w:r w:rsidR="0039143C">
        <w:rPr>
          <w:rStyle w:val="ng-star-inserted1"/>
          <w:rFonts w:ascii="Times New Roman" w:eastAsiaTheme="majorEastAsia" w:hAnsi="Times New Roman" w:cs="Times New Roman"/>
          <w:color w:val="1A1C1E"/>
          <w:sz w:val="28"/>
          <w:szCs w:val="28"/>
        </w:rPr>
        <w:t>.</w:t>
      </w:r>
      <w:r w:rsidRPr="00135E21">
        <w:rPr>
          <w:rStyle w:val="ng-star-inserted1"/>
          <w:rFonts w:ascii="Times New Roman" w:eastAsiaTheme="majorEastAsia" w:hAnsi="Times New Roman" w:cs="Times New Roman"/>
          <w:color w:val="1A1C1E"/>
          <w:sz w:val="28"/>
          <w:szCs w:val="28"/>
        </w:rPr>
        <w:t>4 per cent of their revenue, and of Part A States, at Rs. 59</w:t>
      </w:r>
      <w:r w:rsidR="0039143C">
        <w:rPr>
          <w:rStyle w:val="ng-star-inserted1"/>
          <w:rFonts w:ascii="Times New Roman" w:eastAsiaTheme="majorEastAsia" w:hAnsi="Times New Roman" w:cs="Times New Roman"/>
          <w:color w:val="1A1C1E"/>
          <w:sz w:val="28"/>
          <w:szCs w:val="28"/>
        </w:rPr>
        <w:t>.</w:t>
      </w:r>
      <w:r w:rsidRPr="00135E21">
        <w:rPr>
          <w:rStyle w:val="ng-star-inserted1"/>
          <w:rFonts w:ascii="Times New Roman" w:eastAsiaTheme="majorEastAsia" w:hAnsi="Times New Roman" w:cs="Times New Roman"/>
          <w:color w:val="1A1C1E"/>
          <w:sz w:val="28"/>
          <w:szCs w:val="28"/>
        </w:rPr>
        <w:t>2 crores</w:t>
      </w:r>
      <w:r w:rsidR="0039143C">
        <w:rPr>
          <w:rStyle w:val="ng-star-inserted1"/>
          <w:rFonts w:ascii="Times New Roman" w:eastAsiaTheme="majorEastAsia" w:hAnsi="Times New Roman" w:cs="Times New Roman"/>
          <w:color w:val="1A1C1E"/>
          <w:sz w:val="28"/>
          <w:szCs w:val="28"/>
        </w:rPr>
        <w:t>,</w:t>
      </w:r>
      <w:r w:rsidRPr="00135E21">
        <w:rPr>
          <w:rStyle w:val="ng-star-inserted1"/>
          <w:rFonts w:ascii="Times New Roman" w:eastAsiaTheme="majorEastAsia" w:hAnsi="Times New Roman" w:cs="Times New Roman"/>
          <w:color w:val="1A1C1E"/>
          <w:sz w:val="28"/>
          <w:szCs w:val="28"/>
        </w:rPr>
        <w:t xml:space="preserve"> is 19</w:t>
      </w:r>
      <w:r w:rsidR="0039143C">
        <w:rPr>
          <w:rStyle w:val="ng-star-inserted1"/>
          <w:rFonts w:ascii="Times New Roman" w:eastAsiaTheme="majorEastAsia" w:hAnsi="Times New Roman" w:cs="Times New Roman"/>
          <w:color w:val="1A1C1E"/>
          <w:sz w:val="28"/>
          <w:szCs w:val="28"/>
        </w:rPr>
        <w:t>.</w:t>
      </w:r>
      <w:r w:rsidRPr="00135E21">
        <w:rPr>
          <w:rStyle w:val="ng-star-inserted1"/>
          <w:rFonts w:ascii="Times New Roman" w:eastAsiaTheme="majorEastAsia" w:hAnsi="Times New Roman" w:cs="Times New Roman"/>
          <w:color w:val="1A1C1E"/>
          <w:sz w:val="28"/>
          <w:szCs w:val="28"/>
        </w:rPr>
        <w:t>4 per cent of their revenue for 1951-52. The total devolution of revenue and grants-in-aid to States formed 13</w:t>
      </w:r>
      <w:r w:rsidR="0039143C">
        <w:rPr>
          <w:rStyle w:val="ng-star-inserted1"/>
          <w:rFonts w:ascii="Times New Roman" w:eastAsiaTheme="majorEastAsia" w:hAnsi="Times New Roman" w:cs="Times New Roman"/>
          <w:color w:val="1A1C1E"/>
          <w:sz w:val="28"/>
          <w:szCs w:val="28"/>
        </w:rPr>
        <w:t>.</w:t>
      </w:r>
      <w:r w:rsidRPr="00135E21">
        <w:rPr>
          <w:rStyle w:val="ng-star-inserted1"/>
          <w:rFonts w:ascii="Times New Roman" w:eastAsiaTheme="majorEastAsia" w:hAnsi="Times New Roman" w:cs="Times New Roman"/>
          <w:color w:val="1A1C1E"/>
          <w:sz w:val="28"/>
          <w:szCs w:val="28"/>
        </w:rPr>
        <w:t>6 per cent and 12</w:t>
      </w:r>
      <w:r w:rsidR="0039143C">
        <w:rPr>
          <w:rStyle w:val="ng-star-inserted1"/>
          <w:rFonts w:ascii="Times New Roman" w:eastAsiaTheme="majorEastAsia" w:hAnsi="Times New Roman" w:cs="Times New Roman"/>
          <w:color w:val="1A1C1E"/>
          <w:sz w:val="28"/>
          <w:szCs w:val="28"/>
        </w:rPr>
        <w:t>.</w:t>
      </w:r>
      <w:r w:rsidRPr="00135E21">
        <w:rPr>
          <w:rStyle w:val="ng-star-inserted1"/>
          <w:rFonts w:ascii="Times New Roman" w:eastAsiaTheme="majorEastAsia" w:hAnsi="Times New Roman" w:cs="Times New Roman"/>
          <w:color w:val="1A1C1E"/>
          <w:sz w:val="28"/>
          <w:szCs w:val="28"/>
        </w:rPr>
        <w:t>8 per cent of Central revenues in 1950-51 and 1951-52 respectively. Details of resources transferred to the States are given in tables 9 and 10 of Appendix IX.</w:t>
      </w:r>
    </w:p>
    <w:p w14:paraId="242DC714" w14:textId="4304BDD3" w:rsidR="007B1869" w:rsidRPr="00135E21" w:rsidRDefault="007B1869" w:rsidP="00EE0179">
      <w:pPr>
        <w:pStyle w:val="ListParagraph"/>
        <w:numPr>
          <w:ilvl w:val="0"/>
          <w:numId w:val="29"/>
        </w:numPr>
        <w:spacing w:after="0" w:line="520" w:lineRule="exact"/>
        <w:ind w:left="0" w:firstLine="556"/>
        <w:jc w:val="both"/>
        <w:rPr>
          <w:rStyle w:val="ng-star-inserted1"/>
          <w:rFonts w:ascii="Times New Roman" w:eastAsiaTheme="majorEastAsia" w:hAnsi="Times New Roman" w:cs="Times New Roman"/>
          <w:color w:val="1A1C1E"/>
          <w:sz w:val="28"/>
          <w:szCs w:val="28"/>
        </w:rPr>
      </w:pPr>
      <w:r w:rsidRPr="00135E21">
        <w:rPr>
          <w:rStyle w:val="ng-star-inserted1"/>
          <w:rFonts w:ascii="Times New Roman" w:eastAsiaTheme="majorEastAsia" w:hAnsi="Times New Roman" w:cs="Times New Roman"/>
          <w:i/>
          <w:iCs/>
          <w:color w:val="1A1C1E"/>
          <w:sz w:val="28"/>
          <w:szCs w:val="28"/>
        </w:rPr>
        <w:t>State revenues.—</w:t>
      </w:r>
      <w:r w:rsidRPr="00135E21">
        <w:rPr>
          <w:rStyle w:val="ng-star-inserted1"/>
          <w:rFonts w:ascii="Times New Roman" w:eastAsiaTheme="majorEastAsia" w:hAnsi="Times New Roman" w:cs="Times New Roman"/>
          <w:color w:val="1A1C1E"/>
          <w:sz w:val="28"/>
          <w:szCs w:val="28"/>
        </w:rPr>
        <w:t>In 1950-51 and 1951-52 the States did not resort to any important additional taxation. In the current year, however, several States have taken action with a view to increasing their resources through additional taxation. Some additional revenue from new taxes and increases in existing taxes is expected in Bombay, Madras, Uttar Pradesh, Punjab, Hyderabad and a few other States. Among the measures of additional taxation taken or contemplated are the adoption of multi-point general sales tax in place of single point tax, enhancement of sales tax on motor spirit, increase in rates of motor vehicles taxation, levy of surcharges on land revenue and bus passenger fares, etc.</w:t>
      </w:r>
    </w:p>
    <w:p w14:paraId="0B3B15CC" w14:textId="43AC9C0B" w:rsidR="007B1869" w:rsidRPr="00135E21" w:rsidRDefault="007B1869" w:rsidP="00EE0179">
      <w:pPr>
        <w:pStyle w:val="ListParagraph"/>
        <w:numPr>
          <w:ilvl w:val="0"/>
          <w:numId w:val="29"/>
        </w:numPr>
        <w:spacing w:after="0" w:line="520" w:lineRule="exact"/>
        <w:ind w:left="0" w:firstLine="556"/>
        <w:jc w:val="both"/>
        <w:rPr>
          <w:rStyle w:val="ng-star-inserted1"/>
          <w:rFonts w:ascii="Times New Roman" w:eastAsiaTheme="majorEastAsia" w:hAnsi="Times New Roman" w:cs="Times New Roman"/>
          <w:color w:val="1A1C1E"/>
          <w:sz w:val="28"/>
          <w:szCs w:val="28"/>
        </w:rPr>
      </w:pPr>
      <w:r w:rsidRPr="00135E21">
        <w:rPr>
          <w:rStyle w:val="ng-star-inserted1"/>
          <w:rFonts w:ascii="Times New Roman" w:eastAsiaTheme="majorEastAsia" w:hAnsi="Times New Roman" w:cs="Times New Roman"/>
          <w:color w:val="1A1C1E"/>
          <w:sz w:val="28"/>
          <w:szCs w:val="28"/>
        </w:rPr>
        <w:t xml:space="preserve">Taking all the States together, on the basis of 1951-52 figures, sales taxes (including the tax on motor spirit) emerge as the most important single head of revenue for the States, followed as a close second by income-tax (i.e. the share of Central income-tax, and agricultural income-tax). Land revenue and excise are of about equal importance, each somewhat less than sales taxes and income-tax. The </w:t>
      </w:r>
      <w:r w:rsidRPr="00135E21">
        <w:rPr>
          <w:rStyle w:val="ng-star-inserted1"/>
          <w:rFonts w:ascii="Times New Roman" w:eastAsiaTheme="majorEastAsia" w:hAnsi="Times New Roman" w:cs="Times New Roman"/>
          <w:color w:val="1A1C1E"/>
          <w:sz w:val="28"/>
          <w:szCs w:val="28"/>
        </w:rPr>
        <w:lastRenderedPageBreak/>
        <w:t>percentage shares of sales tax, income-tax, land revenue and excise in the aggregate revenue of all State revenues are 14</w:t>
      </w:r>
      <w:r w:rsidR="004E6DF4">
        <w:rPr>
          <w:rStyle w:val="ng-star-inserted1"/>
          <w:rFonts w:ascii="Times New Roman" w:eastAsiaTheme="majorEastAsia" w:hAnsi="Times New Roman" w:cs="Times New Roman"/>
          <w:color w:val="1A1C1E"/>
          <w:sz w:val="28"/>
          <w:szCs w:val="28"/>
        </w:rPr>
        <w:t>.</w:t>
      </w:r>
      <w:r w:rsidRPr="00135E21">
        <w:rPr>
          <w:rStyle w:val="ng-star-inserted1"/>
          <w:rFonts w:ascii="Times New Roman" w:eastAsiaTheme="majorEastAsia" w:hAnsi="Times New Roman" w:cs="Times New Roman"/>
          <w:color w:val="1A1C1E"/>
          <w:sz w:val="28"/>
          <w:szCs w:val="28"/>
        </w:rPr>
        <w:t>6, 14, 12</w:t>
      </w:r>
      <w:r w:rsidR="004E6DF4">
        <w:rPr>
          <w:rStyle w:val="ng-star-inserted1"/>
          <w:rFonts w:ascii="Times New Roman" w:eastAsiaTheme="majorEastAsia" w:hAnsi="Times New Roman" w:cs="Times New Roman"/>
          <w:color w:val="1A1C1E"/>
          <w:sz w:val="28"/>
          <w:szCs w:val="28"/>
        </w:rPr>
        <w:t>.</w:t>
      </w:r>
      <w:r w:rsidRPr="00135E21">
        <w:rPr>
          <w:rStyle w:val="ng-star-inserted1"/>
          <w:rFonts w:ascii="Times New Roman" w:eastAsiaTheme="majorEastAsia" w:hAnsi="Times New Roman" w:cs="Times New Roman"/>
          <w:color w:val="1A1C1E"/>
          <w:sz w:val="28"/>
          <w:szCs w:val="28"/>
        </w:rPr>
        <w:t>5 and 12 respectively. Total tax revenue raised by the States forms 56</w:t>
      </w:r>
      <w:r w:rsidR="004E6DF4">
        <w:rPr>
          <w:rStyle w:val="ng-star-inserted1"/>
          <w:rFonts w:ascii="Times New Roman" w:eastAsiaTheme="majorEastAsia" w:hAnsi="Times New Roman" w:cs="Times New Roman"/>
          <w:color w:val="1A1C1E"/>
          <w:sz w:val="28"/>
          <w:szCs w:val="28"/>
        </w:rPr>
        <w:t>.</w:t>
      </w:r>
      <w:r w:rsidRPr="00135E21">
        <w:rPr>
          <w:rStyle w:val="ng-star-inserted1"/>
          <w:rFonts w:ascii="Times New Roman" w:eastAsiaTheme="majorEastAsia" w:hAnsi="Times New Roman" w:cs="Times New Roman"/>
          <w:color w:val="1A1C1E"/>
          <w:sz w:val="28"/>
          <w:szCs w:val="28"/>
        </w:rPr>
        <w:t>4 per cent of their total revenue, income-tax receipts from the Centre 12</w:t>
      </w:r>
      <w:r w:rsidR="004E6DF4">
        <w:rPr>
          <w:rStyle w:val="ng-star-inserted1"/>
          <w:rFonts w:ascii="Times New Roman" w:eastAsiaTheme="majorEastAsia" w:hAnsi="Times New Roman" w:cs="Times New Roman"/>
          <w:color w:val="1A1C1E"/>
          <w:sz w:val="28"/>
          <w:szCs w:val="28"/>
        </w:rPr>
        <w:t>.</w:t>
      </w:r>
      <w:r w:rsidRPr="00135E21">
        <w:rPr>
          <w:rStyle w:val="ng-star-inserted1"/>
          <w:rFonts w:ascii="Times New Roman" w:eastAsiaTheme="majorEastAsia" w:hAnsi="Times New Roman" w:cs="Times New Roman"/>
          <w:color w:val="1A1C1E"/>
          <w:sz w:val="28"/>
          <w:szCs w:val="28"/>
        </w:rPr>
        <w:t>9 per cent and Central subventions and grants of all kinds 5</w:t>
      </w:r>
      <w:r w:rsidR="004E6DF4">
        <w:rPr>
          <w:rStyle w:val="ng-star-inserted1"/>
          <w:rFonts w:ascii="Times New Roman" w:eastAsiaTheme="majorEastAsia" w:hAnsi="Times New Roman" w:cs="Times New Roman"/>
          <w:color w:val="1A1C1E"/>
          <w:sz w:val="28"/>
          <w:szCs w:val="28"/>
        </w:rPr>
        <w:t>.</w:t>
      </w:r>
      <w:r w:rsidRPr="00135E21">
        <w:rPr>
          <w:rStyle w:val="ng-star-inserted1"/>
          <w:rFonts w:ascii="Times New Roman" w:eastAsiaTheme="majorEastAsia" w:hAnsi="Times New Roman" w:cs="Times New Roman"/>
          <w:color w:val="1A1C1E"/>
          <w:sz w:val="28"/>
          <w:szCs w:val="28"/>
        </w:rPr>
        <w:t>8 per cent.</w:t>
      </w:r>
    </w:p>
    <w:p w14:paraId="3FD9D07D" w14:textId="41472FD2" w:rsidR="00EF1136" w:rsidRPr="00135E21" w:rsidRDefault="007B1869" w:rsidP="00EE0179">
      <w:pPr>
        <w:pStyle w:val="ListParagraph"/>
        <w:numPr>
          <w:ilvl w:val="0"/>
          <w:numId w:val="29"/>
        </w:numPr>
        <w:spacing w:after="0" w:line="520" w:lineRule="exact"/>
        <w:ind w:left="0" w:firstLine="556"/>
        <w:jc w:val="both"/>
        <w:rPr>
          <w:rStyle w:val="ng-star-inserted1"/>
          <w:rFonts w:ascii="Times New Roman" w:eastAsiaTheme="majorEastAsia" w:hAnsi="Times New Roman" w:cs="Times New Roman"/>
          <w:color w:val="1A1C1E"/>
          <w:sz w:val="28"/>
          <w:szCs w:val="28"/>
        </w:rPr>
      </w:pPr>
      <w:r w:rsidRPr="00135E21">
        <w:rPr>
          <w:rStyle w:val="ng-star-inserted1"/>
          <w:rFonts w:ascii="Times New Roman" w:eastAsiaTheme="majorEastAsia" w:hAnsi="Times New Roman" w:cs="Times New Roman"/>
          <w:i/>
          <w:iCs/>
          <w:color w:val="1A1C1E"/>
          <w:sz w:val="28"/>
          <w:szCs w:val="28"/>
        </w:rPr>
        <w:t>Comparative Revenue Pattern of Part A and B States.—</w:t>
      </w:r>
      <w:r w:rsidRPr="00135E21">
        <w:rPr>
          <w:rStyle w:val="ng-star-inserted1"/>
          <w:rFonts w:ascii="Times New Roman" w:eastAsiaTheme="majorEastAsia" w:hAnsi="Times New Roman" w:cs="Times New Roman"/>
          <w:color w:val="1A1C1E"/>
          <w:sz w:val="28"/>
          <w:szCs w:val="28"/>
        </w:rPr>
        <w:t>The revenue pattern has important differences as between Part A and</w:t>
      </w:r>
      <w:r w:rsidR="00EF1136" w:rsidRPr="00135E21">
        <w:rPr>
          <w:rStyle w:val="ng-star-inserted1"/>
          <w:rFonts w:ascii="Times New Roman" w:eastAsiaTheme="majorEastAsia" w:hAnsi="Times New Roman" w:cs="Times New Roman"/>
          <w:color w:val="1A1C1E"/>
          <w:sz w:val="28"/>
          <w:szCs w:val="28"/>
        </w:rPr>
        <w:t xml:space="preserve"> Part B States. For Part A States, income-tax and the sales tax are the most important sources of revenue, followed by land revenue and excise. For Bombay and Madras, the sales tax is the largest single revenue item. On the other hand, land revenue and excise are the mainstay of the finances of Part B States, these together forming 35</w:t>
      </w:r>
      <w:r w:rsidR="004E6DF4">
        <w:rPr>
          <w:rStyle w:val="ng-star-inserted1"/>
          <w:rFonts w:ascii="Times New Roman" w:eastAsiaTheme="majorEastAsia" w:hAnsi="Times New Roman" w:cs="Times New Roman"/>
          <w:color w:val="1A1C1E"/>
          <w:sz w:val="28"/>
          <w:szCs w:val="28"/>
        </w:rPr>
        <w:t>.</w:t>
      </w:r>
      <w:r w:rsidR="00EF1136" w:rsidRPr="00135E21">
        <w:rPr>
          <w:rStyle w:val="ng-star-inserted1"/>
          <w:rFonts w:ascii="Times New Roman" w:eastAsiaTheme="majorEastAsia" w:hAnsi="Times New Roman" w:cs="Times New Roman"/>
          <w:color w:val="1A1C1E"/>
          <w:sz w:val="28"/>
          <w:szCs w:val="28"/>
        </w:rPr>
        <w:t>6 per cent of their total revenue for 1951-52 as against 20</w:t>
      </w:r>
      <w:r w:rsidR="004E6DF4">
        <w:rPr>
          <w:rStyle w:val="ng-star-inserted1"/>
          <w:rFonts w:ascii="Times New Roman" w:eastAsiaTheme="majorEastAsia" w:hAnsi="Times New Roman" w:cs="Times New Roman"/>
          <w:color w:val="1A1C1E"/>
          <w:sz w:val="28"/>
          <w:szCs w:val="28"/>
        </w:rPr>
        <w:t>.</w:t>
      </w:r>
      <w:r w:rsidR="00EF1136" w:rsidRPr="00135E21">
        <w:rPr>
          <w:rStyle w:val="ng-star-inserted1"/>
          <w:rFonts w:ascii="Times New Roman" w:eastAsiaTheme="majorEastAsia" w:hAnsi="Times New Roman" w:cs="Times New Roman"/>
          <w:color w:val="1A1C1E"/>
          <w:sz w:val="28"/>
          <w:szCs w:val="28"/>
        </w:rPr>
        <w:t xml:space="preserve">8 per cent for Part A States. Excise is the largest single source of revenue for Hyderabad, Mysore and the Patiala and East Punjab States Union, sales tax for Travancore-Cochin, while land revenue occupies a similar place in the revenue systems of the other </w:t>
      </w:r>
      <w:r w:rsidR="00C36560" w:rsidRPr="00135E21">
        <w:rPr>
          <w:rStyle w:val="ng-star-inserted1"/>
          <w:rFonts w:ascii="Times New Roman" w:eastAsiaTheme="majorEastAsia" w:hAnsi="Times New Roman" w:cs="Times New Roman"/>
          <w:color w:val="1A1C1E"/>
          <w:sz w:val="28"/>
          <w:szCs w:val="28"/>
        </w:rPr>
        <w:t>three</w:t>
      </w:r>
      <w:r w:rsidR="00C36560">
        <w:rPr>
          <w:rStyle w:val="ng-star-inserted1"/>
          <w:rFonts w:ascii="Times New Roman" w:eastAsiaTheme="majorEastAsia" w:hAnsi="Times New Roman" w:cs="Times New Roman"/>
          <w:color w:val="1A1C1E"/>
          <w:sz w:val="28"/>
          <w:szCs w:val="28"/>
        </w:rPr>
        <w:t xml:space="preserve"> </w:t>
      </w:r>
      <w:r w:rsidR="00C36560" w:rsidRPr="00135E21">
        <w:rPr>
          <w:rStyle w:val="ng-star-inserted1"/>
          <w:rFonts w:ascii="Times New Roman" w:eastAsiaTheme="majorEastAsia" w:hAnsi="Times New Roman" w:cs="Times New Roman"/>
          <w:color w:val="1A1C1E"/>
          <w:sz w:val="28"/>
          <w:szCs w:val="28"/>
        </w:rPr>
        <w:t>Part</w:t>
      </w:r>
      <w:r w:rsidR="00EF1136" w:rsidRPr="00135E21">
        <w:rPr>
          <w:rStyle w:val="ng-star-inserted1"/>
          <w:rFonts w:ascii="Times New Roman" w:eastAsiaTheme="majorEastAsia" w:hAnsi="Times New Roman" w:cs="Times New Roman"/>
          <w:color w:val="1A1C1E"/>
          <w:sz w:val="28"/>
          <w:szCs w:val="28"/>
        </w:rPr>
        <w:t xml:space="preserve"> B States. Inter-state transit duties, which are to be re-placed by sales tax and other measures, yield sizeable revenues for Hyderabad, Rajasthan and Madhya Bharat, amounting to Rs. 8</w:t>
      </w:r>
      <w:r w:rsidR="00C36560">
        <w:rPr>
          <w:rStyle w:val="ng-star-inserted1"/>
          <w:rFonts w:ascii="Times New Roman" w:eastAsiaTheme="majorEastAsia" w:hAnsi="Times New Roman" w:cs="Times New Roman"/>
          <w:color w:val="1A1C1E"/>
          <w:sz w:val="28"/>
          <w:szCs w:val="28"/>
        </w:rPr>
        <w:t>.</w:t>
      </w:r>
      <w:r w:rsidR="00EF1136" w:rsidRPr="00135E21">
        <w:rPr>
          <w:rStyle w:val="ng-star-inserted1"/>
          <w:rFonts w:ascii="Times New Roman" w:eastAsiaTheme="majorEastAsia" w:hAnsi="Times New Roman" w:cs="Times New Roman"/>
          <w:color w:val="1A1C1E"/>
          <w:sz w:val="28"/>
          <w:szCs w:val="28"/>
        </w:rPr>
        <w:t>7 crores in 1950-51 and 8</w:t>
      </w:r>
      <w:r w:rsidR="00C36560">
        <w:rPr>
          <w:rStyle w:val="ng-star-inserted1"/>
          <w:rFonts w:ascii="Times New Roman" w:eastAsiaTheme="majorEastAsia" w:hAnsi="Times New Roman" w:cs="Times New Roman"/>
          <w:color w:val="1A1C1E"/>
          <w:sz w:val="28"/>
          <w:szCs w:val="28"/>
        </w:rPr>
        <w:t>.</w:t>
      </w:r>
      <w:r w:rsidR="00EF1136" w:rsidRPr="00135E21">
        <w:rPr>
          <w:rStyle w:val="ng-star-inserted1"/>
          <w:rFonts w:ascii="Times New Roman" w:eastAsiaTheme="majorEastAsia" w:hAnsi="Times New Roman" w:cs="Times New Roman"/>
          <w:color w:val="1A1C1E"/>
          <w:sz w:val="28"/>
          <w:szCs w:val="28"/>
        </w:rPr>
        <w:t>5 crores in 1951-52. The total yield from the sales tax for all Part B States is Rs. 7</w:t>
      </w:r>
      <w:r w:rsidR="00E23521">
        <w:rPr>
          <w:rStyle w:val="ng-star-inserted1"/>
          <w:rFonts w:ascii="Times New Roman" w:eastAsiaTheme="majorEastAsia" w:hAnsi="Times New Roman" w:cs="Times New Roman"/>
          <w:color w:val="1A1C1E"/>
          <w:sz w:val="28"/>
          <w:szCs w:val="28"/>
        </w:rPr>
        <w:t xml:space="preserve">½ </w:t>
      </w:r>
      <w:r w:rsidR="00EF1136" w:rsidRPr="00135E21">
        <w:rPr>
          <w:rStyle w:val="ng-star-inserted1"/>
          <w:rFonts w:ascii="Times New Roman" w:eastAsiaTheme="majorEastAsia" w:hAnsi="Times New Roman" w:cs="Times New Roman"/>
          <w:color w:val="1A1C1E"/>
          <w:sz w:val="28"/>
          <w:szCs w:val="28"/>
        </w:rPr>
        <w:t>crores; this source is yet to be developed, particularly in Rajasthan, Madhya Bharat and Saurashtra. Among Part B States, only Travancore-Cochin derives an appreciable revenue from agricultural income-tax which over a large part of the State is integrated with the land revenue system.</w:t>
      </w:r>
    </w:p>
    <w:p w14:paraId="34E9A947" w14:textId="63025611" w:rsidR="002F6F26" w:rsidRPr="00135E21" w:rsidRDefault="00EF1136" w:rsidP="00EE0179">
      <w:pPr>
        <w:pStyle w:val="ListParagraph"/>
        <w:numPr>
          <w:ilvl w:val="0"/>
          <w:numId w:val="29"/>
        </w:numPr>
        <w:spacing w:after="0" w:line="520" w:lineRule="exact"/>
        <w:ind w:left="0" w:firstLine="556"/>
        <w:jc w:val="both"/>
        <w:rPr>
          <w:rFonts w:ascii="Times New Roman" w:hAnsi="Times New Roman" w:cs="Times New Roman"/>
          <w:sz w:val="28"/>
          <w:szCs w:val="28"/>
        </w:rPr>
      </w:pPr>
      <w:r w:rsidRPr="00135E21">
        <w:rPr>
          <w:rStyle w:val="ng-star-inserted1"/>
          <w:rFonts w:ascii="Times New Roman" w:eastAsiaTheme="majorEastAsia" w:hAnsi="Times New Roman" w:cs="Times New Roman"/>
          <w:i/>
          <w:iCs/>
          <w:color w:val="1A1C1E"/>
          <w:sz w:val="28"/>
          <w:szCs w:val="28"/>
        </w:rPr>
        <w:t>State Expenditure.—</w:t>
      </w:r>
      <w:r w:rsidRPr="00135E21">
        <w:rPr>
          <w:rStyle w:val="ng-star-inserted1"/>
          <w:rFonts w:ascii="Times New Roman" w:eastAsiaTheme="majorEastAsia" w:hAnsi="Times New Roman" w:cs="Times New Roman"/>
          <w:color w:val="1A1C1E"/>
          <w:sz w:val="28"/>
          <w:szCs w:val="28"/>
        </w:rPr>
        <w:t>We now turn to an examination of the pattern of expenditure in the States. The following table shows the principal heads of State expenditure and their share of total expenditure in the three years</w:t>
      </w:r>
      <w:r w:rsidR="00327EEA" w:rsidRPr="00135E21">
        <w:rPr>
          <w:rStyle w:val="ng-star-inserted1"/>
          <w:rFonts w:ascii="Times New Roman" w:eastAsiaTheme="majorEastAsia" w:hAnsi="Times New Roman" w:cs="Times New Roman"/>
          <w:color w:val="1A1C1E"/>
          <w:sz w:val="28"/>
          <w:szCs w:val="28"/>
        </w:rPr>
        <w:t xml:space="preserve">  </w:t>
      </w:r>
      <w:r w:rsidRPr="00135E21">
        <w:rPr>
          <w:rStyle w:val="ng-star-inserted1"/>
          <w:rFonts w:ascii="Times New Roman" w:eastAsiaTheme="majorEastAsia" w:hAnsi="Times New Roman" w:cs="Times New Roman"/>
          <w:color w:val="1A1C1E"/>
          <w:sz w:val="28"/>
          <w:szCs w:val="28"/>
        </w:rPr>
        <w:t xml:space="preserve"> 1950</w:t>
      </w:r>
      <w:r w:rsidR="00327EEA" w:rsidRPr="00135E21">
        <w:rPr>
          <w:rStyle w:val="ng-star-inserted1"/>
          <w:rFonts w:ascii="Times New Roman" w:eastAsiaTheme="majorEastAsia" w:hAnsi="Times New Roman" w:cs="Times New Roman"/>
          <w:color w:val="1A1C1E"/>
          <w:sz w:val="28"/>
          <w:szCs w:val="28"/>
        </w:rPr>
        <w:t>-</w:t>
      </w:r>
      <w:r w:rsidRPr="00135E21">
        <w:rPr>
          <w:rStyle w:val="ng-star-inserted1"/>
          <w:rFonts w:ascii="Times New Roman" w:eastAsiaTheme="majorEastAsia" w:hAnsi="Times New Roman" w:cs="Times New Roman"/>
          <w:color w:val="1A1C1E"/>
          <w:sz w:val="28"/>
          <w:szCs w:val="28"/>
        </w:rPr>
        <w:t>51, 1951-52 and 1952-53.</w:t>
      </w:r>
    </w:p>
    <w:p w14:paraId="137352A8" w14:textId="77777777" w:rsidR="002F6F26" w:rsidRPr="000A6E2D" w:rsidRDefault="002F6F26" w:rsidP="000A6E2D">
      <w:pPr>
        <w:pStyle w:val="NoSpacing"/>
        <w:spacing w:line="380" w:lineRule="exact"/>
        <w:jc w:val="both"/>
        <w:rPr>
          <w:rFonts w:ascii="Times New Roman" w:hAnsi="Times New Roman" w:cs="Times New Roman"/>
          <w:sz w:val="28"/>
          <w:szCs w:val="28"/>
        </w:rPr>
      </w:pPr>
    </w:p>
    <w:p w14:paraId="4895C713" w14:textId="6A1D173D" w:rsidR="00EE0179" w:rsidRDefault="00EE0179">
      <w:pPr>
        <w:rPr>
          <w:rFonts w:ascii="Times New Roman" w:hAnsi="Times New Roman" w:cs="Times New Roman"/>
          <w:sz w:val="28"/>
          <w:szCs w:val="28"/>
        </w:rPr>
      </w:pPr>
    </w:p>
    <w:p w14:paraId="7FA67681" w14:textId="6F7A798B" w:rsidR="002F6F26" w:rsidRPr="004115A6" w:rsidRDefault="00EF1136" w:rsidP="004115A6">
      <w:pPr>
        <w:pStyle w:val="NoSpacing"/>
        <w:spacing w:line="380" w:lineRule="exact"/>
        <w:jc w:val="center"/>
        <w:rPr>
          <w:rFonts w:ascii="Times New Roman" w:hAnsi="Times New Roman" w:cs="Times New Roman"/>
          <w:sz w:val="28"/>
          <w:szCs w:val="28"/>
        </w:rPr>
      </w:pPr>
      <w:r w:rsidRPr="004115A6">
        <w:rPr>
          <w:rFonts w:ascii="Times New Roman" w:hAnsi="Times New Roman" w:cs="Times New Roman"/>
          <w:sz w:val="28"/>
          <w:szCs w:val="28"/>
        </w:rPr>
        <w:t>PRINCIPAL HEADS</w:t>
      </w:r>
      <w:r w:rsidR="004115A6" w:rsidRPr="004115A6">
        <w:rPr>
          <w:rFonts w:ascii="Times New Roman" w:hAnsi="Times New Roman" w:cs="Times New Roman"/>
          <w:sz w:val="28"/>
          <w:szCs w:val="28"/>
        </w:rPr>
        <w:t xml:space="preserve"> OF EXPENDITURE</w:t>
      </w:r>
    </w:p>
    <w:p w14:paraId="5F93D193" w14:textId="77777777" w:rsidR="004115A6" w:rsidRDefault="004115A6" w:rsidP="000A6E2D">
      <w:pPr>
        <w:pStyle w:val="NoSpacing"/>
        <w:spacing w:line="380" w:lineRule="exact"/>
        <w:jc w:val="both"/>
        <w:rPr>
          <w:rFonts w:ascii="Times New Roman" w:hAnsi="Times New Roman" w:cs="Times New Roman"/>
          <w:b/>
          <w:bCs/>
          <w:sz w:val="28"/>
          <w:szCs w:val="28"/>
        </w:rPr>
      </w:pPr>
    </w:p>
    <w:tbl>
      <w:tblPr>
        <w:tblW w:w="10421" w:type="dxa"/>
        <w:jc w:val="center"/>
        <w:tblLook w:val="04A0" w:firstRow="1" w:lastRow="0" w:firstColumn="1" w:lastColumn="0" w:noHBand="0" w:noVBand="1"/>
      </w:tblPr>
      <w:tblGrid>
        <w:gridCol w:w="3020"/>
        <w:gridCol w:w="1370"/>
        <w:gridCol w:w="1097"/>
        <w:gridCol w:w="1348"/>
        <w:gridCol w:w="1119"/>
        <w:gridCol w:w="1348"/>
        <w:gridCol w:w="1119"/>
      </w:tblGrid>
      <w:tr w:rsidR="004115A6" w:rsidRPr="004115A6" w14:paraId="664E6825" w14:textId="77777777" w:rsidTr="00E23521">
        <w:trPr>
          <w:trHeight w:val="397"/>
          <w:jc w:val="center"/>
        </w:trPr>
        <w:tc>
          <w:tcPr>
            <w:tcW w:w="3020" w:type="dxa"/>
            <w:tcBorders>
              <w:top w:val="single" w:sz="4" w:space="0" w:color="auto"/>
              <w:left w:val="single" w:sz="4" w:space="0" w:color="auto"/>
              <w:bottom w:val="single" w:sz="4" w:space="0" w:color="auto"/>
              <w:right w:val="single" w:sz="4" w:space="0" w:color="auto"/>
            </w:tcBorders>
            <w:noWrap/>
            <w:vAlign w:val="center"/>
            <w:hideMark/>
          </w:tcPr>
          <w:p w14:paraId="054F3F91" w14:textId="31117115" w:rsidR="004115A6" w:rsidRPr="00E23521" w:rsidRDefault="004115A6" w:rsidP="004115A6">
            <w:pPr>
              <w:pStyle w:val="Tables"/>
              <w:rPr>
                <w:b/>
                <w:bCs/>
              </w:rPr>
            </w:pPr>
          </w:p>
        </w:tc>
        <w:tc>
          <w:tcPr>
            <w:tcW w:w="2467" w:type="dxa"/>
            <w:gridSpan w:val="2"/>
            <w:tcBorders>
              <w:top w:val="single" w:sz="4" w:space="0" w:color="auto"/>
              <w:left w:val="nil"/>
              <w:bottom w:val="single" w:sz="4" w:space="0" w:color="auto"/>
              <w:right w:val="single" w:sz="4" w:space="0" w:color="auto"/>
            </w:tcBorders>
            <w:noWrap/>
            <w:vAlign w:val="center"/>
            <w:hideMark/>
          </w:tcPr>
          <w:p w14:paraId="4C4650B4" w14:textId="77777777" w:rsidR="004115A6" w:rsidRPr="00E23521" w:rsidRDefault="004115A6" w:rsidP="004115A6">
            <w:pPr>
              <w:pStyle w:val="Tables"/>
              <w:rPr>
                <w:b/>
                <w:bCs/>
              </w:rPr>
            </w:pPr>
            <w:r w:rsidRPr="00E23521">
              <w:rPr>
                <w:b/>
                <w:bCs/>
              </w:rPr>
              <w:t>1950-51</w:t>
            </w:r>
          </w:p>
        </w:tc>
        <w:tc>
          <w:tcPr>
            <w:tcW w:w="2467" w:type="dxa"/>
            <w:gridSpan w:val="2"/>
            <w:tcBorders>
              <w:top w:val="single" w:sz="4" w:space="0" w:color="auto"/>
              <w:left w:val="nil"/>
              <w:bottom w:val="single" w:sz="4" w:space="0" w:color="auto"/>
              <w:right w:val="single" w:sz="4" w:space="0" w:color="auto"/>
            </w:tcBorders>
            <w:noWrap/>
            <w:vAlign w:val="center"/>
            <w:hideMark/>
          </w:tcPr>
          <w:p w14:paraId="4092D79E" w14:textId="77777777" w:rsidR="004115A6" w:rsidRPr="00E23521" w:rsidRDefault="004115A6" w:rsidP="004115A6">
            <w:pPr>
              <w:pStyle w:val="Tables"/>
              <w:rPr>
                <w:b/>
                <w:bCs/>
              </w:rPr>
            </w:pPr>
            <w:r w:rsidRPr="00E23521">
              <w:rPr>
                <w:b/>
                <w:bCs/>
              </w:rPr>
              <w:t>1951-52 (Provisional Figures)</w:t>
            </w:r>
          </w:p>
        </w:tc>
        <w:tc>
          <w:tcPr>
            <w:tcW w:w="2467" w:type="dxa"/>
            <w:gridSpan w:val="2"/>
            <w:tcBorders>
              <w:top w:val="single" w:sz="4" w:space="0" w:color="auto"/>
              <w:left w:val="nil"/>
              <w:bottom w:val="single" w:sz="4" w:space="0" w:color="auto"/>
              <w:right w:val="single" w:sz="4" w:space="0" w:color="auto"/>
            </w:tcBorders>
            <w:noWrap/>
            <w:vAlign w:val="center"/>
            <w:hideMark/>
          </w:tcPr>
          <w:p w14:paraId="5C669426" w14:textId="77777777" w:rsidR="004115A6" w:rsidRPr="00E23521" w:rsidRDefault="004115A6" w:rsidP="004115A6">
            <w:pPr>
              <w:pStyle w:val="Tables"/>
              <w:rPr>
                <w:b/>
                <w:bCs/>
              </w:rPr>
            </w:pPr>
            <w:r w:rsidRPr="00E23521">
              <w:rPr>
                <w:b/>
                <w:bCs/>
              </w:rPr>
              <w:t>1952-53 (Budget Estimates)</w:t>
            </w:r>
          </w:p>
        </w:tc>
      </w:tr>
      <w:tr w:rsidR="004115A6" w:rsidRPr="004115A6" w14:paraId="29257274" w14:textId="77777777" w:rsidTr="00E23521">
        <w:trPr>
          <w:trHeight w:val="397"/>
          <w:jc w:val="center"/>
        </w:trPr>
        <w:tc>
          <w:tcPr>
            <w:tcW w:w="3020" w:type="dxa"/>
            <w:tcBorders>
              <w:top w:val="nil"/>
              <w:left w:val="single" w:sz="4" w:space="0" w:color="auto"/>
              <w:bottom w:val="single" w:sz="4" w:space="0" w:color="auto"/>
              <w:right w:val="single" w:sz="4" w:space="0" w:color="auto"/>
            </w:tcBorders>
            <w:noWrap/>
            <w:vAlign w:val="center"/>
            <w:hideMark/>
          </w:tcPr>
          <w:p w14:paraId="68FE3452" w14:textId="18293C55" w:rsidR="004115A6" w:rsidRPr="00E23521" w:rsidRDefault="004115A6" w:rsidP="004115A6">
            <w:pPr>
              <w:pStyle w:val="Tables"/>
              <w:rPr>
                <w:b/>
                <w:bCs/>
              </w:rPr>
            </w:pPr>
          </w:p>
        </w:tc>
        <w:tc>
          <w:tcPr>
            <w:tcW w:w="1370" w:type="dxa"/>
            <w:tcBorders>
              <w:top w:val="nil"/>
              <w:left w:val="nil"/>
              <w:bottom w:val="single" w:sz="4" w:space="0" w:color="auto"/>
              <w:right w:val="single" w:sz="4" w:space="0" w:color="auto"/>
            </w:tcBorders>
            <w:noWrap/>
            <w:vAlign w:val="center"/>
            <w:hideMark/>
          </w:tcPr>
          <w:p w14:paraId="7B2A28AB" w14:textId="77777777" w:rsidR="004115A6" w:rsidRPr="00E23521" w:rsidRDefault="004115A6" w:rsidP="004115A6">
            <w:pPr>
              <w:pStyle w:val="Tables"/>
              <w:rPr>
                <w:b/>
                <w:bCs/>
              </w:rPr>
            </w:pPr>
            <w:r w:rsidRPr="00E23521">
              <w:rPr>
                <w:b/>
                <w:bCs/>
              </w:rPr>
              <w:t>Rs. Crores</w:t>
            </w:r>
          </w:p>
        </w:tc>
        <w:tc>
          <w:tcPr>
            <w:tcW w:w="1097" w:type="dxa"/>
            <w:tcBorders>
              <w:top w:val="nil"/>
              <w:left w:val="nil"/>
              <w:bottom w:val="single" w:sz="4" w:space="0" w:color="auto"/>
              <w:right w:val="single" w:sz="4" w:space="0" w:color="auto"/>
            </w:tcBorders>
            <w:noWrap/>
            <w:vAlign w:val="center"/>
            <w:hideMark/>
          </w:tcPr>
          <w:p w14:paraId="1B672421" w14:textId="77777777" w:rsidR="004115A6" w:rsidRPr="00E23521" w:rsidRDefault="004115A6" w:rsidP="004115A6">
            <w:pPr>
              <w:pStyle w:val="Tables"/>
              <w:rPr>
                <w:b/>
                <w:bCs/>
              </w:rPr>
            </w:pPr>
            <w:r w:rsidRPr="00E23521">
              <w:rPr>
                <w:b/>
                <w:bCs/>
              </w:rPr>
              <w:t>Per cent</w:t>
            </w:r>
          </w:p>
        </w:tc>
        <w:tc>
          <w:tcPr>
            <w:tcW w:w="1348" w:type="dxa"/>
            <w:tcBorders>
              <w:top w:val="nil"/>
              <w:left w:val="nil"/>
              <w:bottom w:val="single" w:sz="4" w:space="0" w:color="auto"/>
              <w:right w:val="single" w:sz="4" w:space="0" w:color="auto"/>
            </w:tcBorders>
            <w:noWrap/>
            <w:vAlign w:val="center"/>
            <w:hideMark/>
          </w:tcPr>
          <w:p w14:paraId="5EE1D124" w14:textId="77777777" w:rsidR="004115A6" w:rsidRPr="00E23521" w:rsidRDefault="004115A6" w:rsidP="004115A6">
            <w:pPr>
              <w:pStyle w:val="Tables"/>
              <w:rPr>
                <w:b/>
                <w:bCs/>
              </w:rPr>
            </w:pPr>
            <w:r w:rsidRPr="00E23521">
              <w:rPr>
                <w:b/>
                <w:bCs/>
              </w:rPr>
              <w:t>Rs. crores</w:t>
            </w:r>
          </w:p>
        </w:tc>
        <w:tc>
          <w:tcPr>
            <w:tcW w:w="1119" w:type="dxa"/>
            <w:tcBorders>
              <w:top w:val="nil"/>
              <w:left w:val="nil"/>
              <w:bottom w:val="single" w:sz="4" w:space="0" w:color="auto"/>
              <w:right w:val="single" w:sz="4" w:space="0" w:color="auto"/>
            </w:tcBorders>
            <w:noWrap/>
            <w:vAlign w:val="center"/>
            <w:hideMark/>
          </w:tcPr>
          <w:p w14:paraId="1821330A" w14:textId="77777777" w:rsidR="004115A6" w:rsidRPr="00E23521" w:rsidRDefault="004115A6" w:rsidP="004115A6">
            <w:pPr>
              <w:pStyle w:val="Tables"/>
              <w:rPr>
                <w:b/>
                <w:bCs/>
              </w:rPr>
            </w:pPr>
            <w:r w:rsidRPr="00E23521">
              <w:rPr>
                <w:b/>
                <w:bCs/>
              </w:rPr>
              <w:t>Per cent</w:t>
            </w:r>
          </w:p>
        </w:tc>
        <w:tc>
          <w:tcPr>
            <w:tcW w:w="1348" w:type="dxa"/>
            <w:tcBorders>
              <w:top w:val="nil"/>
              <w:left w:val="nil"/>
              <w:bottom w:val="single" w:sz="4" w:space="0" w:color="auto"/>
              <w:right w:val="single" w:sz="4" w:space="0" w:color="auto"/>
            </w:tcBorders>
            <w:noWrap/>
            <w:vAlign w:val="center"/>
            <w:hideMark/>
          </w:tcPr>
          <w:p w14:paraId="4CAFBBC2" w14:textId="77777777" w:rsidR="004115A6" w:rsidRPr="00E23521" w:rsidRDefault="004115A6" w:rsidP="004115A6">
            <w:pPr>
              <w:pStyle w:val="Tables"/>
              <w:rPr>
                <w:b/>
                <w:bCs/>
              </w:rPr>
            </w:pPr>
            <w:r w:rsidRPr="00E23521">
              <w:rPr>
                <w:b/>
                <w:bCs/>
              </w:rPr>
              <w:t>Rs. crores</w:t>
            </w:r>
          </w:p>
        </w:tc>
        <w:tc>
          <w:tcPr>
            <w:tcW w:w="1119" w:type="dxa"/>
            <w:tcBorders>
              <w:top w:val="nil"/>
              <w:left w:val="nil"/>
              <w:bottom w:val="single" w:sz="4" w:space="0" w:color="auto"/>
              <w:right w:val="single" w:sz="4" w:space="0" w:color="auto"/>
            </w:tcBorders>
            <w:noWrap/>
            <w:vAlign w:val="center"/>
            <w:hideMark/>
          </w:tcPr>
          <w:p w14:paraId="0CC2D301" w14:textId="77777777" w:rsidR="004115A6" w:rsidRPr="00E23521" w:rsidRDefault="004115A6" w:rsidP="004115A6">
            <w:pPr>
              <w:pStyle w:val="Tables"/>
              <w:rPr>
                <w:b/>
                <w:bCs/>
              </w:rPr>
            </w:pPr>
            <w:r w:rsidRPr="00E23521">
              <w:rPr>
                <w:b/>
                <w:bCs/>
              </w:rPr>
              <w:t>Per cent</w:t>
            </w:r>
          </w:p>
        </w:tc>
      </w:tr>
      <w:tr w:rsidR="004115A6" w:rsidRPr="004115A6" w14:paraId="0168DA76" w14:textId="77777777" w:rsidTr="00E23521">
        <w:trPr>
          <w:trHeight w:val="397"/>
          <w:jc w:val="center"/>
        </w:trPr>
        <w:tc>
          <w:tcPr>
            <w:tcW w:w="3020" w:type="dxa"/>
            <w:tcBorders>
              <w:top w:val="nil"/>
              <w:left w:val="single" w:sz="4" w:space="0" w:color="auto"/>
              <w:bottom w:val="single" w:sz="4" w:space="0" w:color="auto"/>
              <w:right w:val="single" w:sz="4" w:space="0" w:color="auto"/>
            </w:tcBorders>
            <w:noWrap/>
            <w:vAlign w:val="center"/>
            <w:hideMark/>
          </w:tcPr>
          <w:p w14:paraId="1CA4A29C" w14:textId="77777777" w:rsidR="004115A6" w:rsidRPr="004115A6" w:rsidRDefault="004115A6" w:rsidP="00E23521">
            <w:pPr>
              <w:pStyle w:val="Tables"/>
              <w:jc w:val="left"/>
            </w:pPr>
            <w:r w:rsidRPr="004115A6">
              <w:t>Total Revenue Expenditure</w:t>
            </w:r>
          </w:p>
        </w:tc>
        <w:tc>
          <w:tcPr>
            <w:tcW w:w="1370" w:type="dxa"/>
            <w:tcBorders>
              <w:top w:val="nil"/>
              <w:left w:val="nil"/>
              <w:bottom w:val="single" w:sz="4" w:space="0" w:color="auto"/>
              <w:right w:val="single" w:sz="4" w:space="0" w:color="auto"/>
            </w:tcBorders>
            <w:noWrap/>
            <w:vAlign w:val="center"/>
            <w:hideMark/>
          </w:tcPr>
          <w:p w14:paraId="72FF05AC" w14:textId="77777777" w:rsidR="004115A6" w:rsidRPr="004115A6" w:rsidRDefault="004115A6" w:rsidP="004115A6">
            <w:pPr>
              <w:pStyle w:val="Tables"/>
            </w:pPr>
            <w:r w:rsidRPr="004115A6">
              <w:t>384.61</w:t>
            </w:r>
          </w:p>
        </w:tc>
        <w:tc>
          <w:tcPr>
            <w:tcW w:w="1097" w:type="dxa"/>
            <w:tcBorders>
              <w:top w:val="nil"/>
              <w:left w:val="nil"/>
              <w:bottom w:val="single" w:sz="4" w:space="0" w:color="auto"/>
              <w:right w:val="single" w:sz="4" w:space="0" w:color="auto"/>
            </w:tcBorders>
            <w:noWrap/>
            <w:vAlign w:val="center"/>
            <w:hideMark/>
          </w:tcPr>
          <w:p w14:paraId="3C8990DE" w14:textId="77777777" w:rsidR="004115A6" w:rsidRPr="004115A6" w:rsidRDefault="004115A6" w:rsidP="004115A6">
            <w:pPr>
              <w:pStyle w:val="Tables"/>
            </w:pPr>
            <w:r w:rsidRPr="004115A6">
              <w:t>100</w:t>
            </w:r>
          </w:p>
        </w:tc>
        <w:tc>
          <w:tcPr>
            <w:tcW w:w="1348" w:type="dxa"/>
            <w:tcBorders>
              <w:top w:val="nil"/>
              <w:left w:val="nil"/>
              <w:bottom w:val="single" w:sz="4" w:space="0" w:color="auto"/>
              <w:right w:val="single" w:sz="4" w:space="0" w:color="auto"/>
            </w:tcBorders>
            <w:noWrap/>
            <w:vAlign w:val="center"/>
            <w:hideMark/>
          </w:tcPr>
          <w:p w14:paraId="04877862" w14:textId="77777777" w:rsidR="004115A6" w:rsidRPr="004115A6" w:rsidRDefault="004115A6" w:rsidP="004115A6">
            <w:pPr>
              <w:pStyle w:val="Tables"/>
            </w:pPr>
            <w:r w:rsidRPr="004115A6">
              <w:t>408.78</w:t>
            </w:r>
          </w:p>
        </w:tc>
        <w:tc>
          <w:tcPr>
            <w:tcW w:w="1119" w:type="dxa"/>
            <w:tcBorders>
              <w:top w:val="nil"/>
              <w:left w:val="nil"/>
              <w:bottom w:val="single" w:sz="4" w:space="0" w:color="auto"/>
              <w:right w:val="single" w:sz="4" w:space="0" w:color="auto"/>
            </w:tcBorders>
            <w:noWrap/>
            <w:vAlign w:val="center"/>
            <w:hideMark/>
          </w:tcPr>
          <w:p w14:paraId="5C21F202" w14:textId="77777777" w:rsidR="004115A6" w:rsidRPr="004115A6" w:rsidRDefault="004115A6" w:rsidP="004115A6">
            <w:pPr>
              <w:pStyle w:val="Tables"/>
            </w:pPr>
            <w:r w:rsidRPr="004115A6">
              <w:t>100</w:t>
            </w:r>
          </w:p>
        </w:tc>
        <w:tc>
          <w:tcPr>
            <w:tcW w:w="1348" w:type="dxa"/>
            <w:tcBorders>
              <w:top w:val="nil"/>
              <w:left w:val="nil"/>
              <w:bottom w:val="single" w:sz="4" w:space="0" w:color="auto"/>
              <w:right w:val="single" w:sz="4" w:space="0" w:color="auto"/>
            </w:tcBorders>
            <w:noWrap/>
            <w:vAlign w:val="center"/>
            <w:hideMark/>
          </w:tcPr>
          <w:p w14:paraId="1D4E2F97" w14:textId="332CFDBB" w:rsidR="004115A6" w:rsidRPr="004115A6" w:rsidRDefault="004115A6" w:rsidP="004115A6">
            <w:pPr>
              <w:pStyle w:val="Tables"/>
            </w:pPr>
            <w:r w:rsidRPr="004115A6">
              <w:t>437.8</w:t>
            </w:r>
            <w:r w:rsidR="00C36560">
              <w:t>0</w:t>
            </w:r>
          </w:p>
        </w:tc>
        <w:tc>
          <w:tcPr>
            <w:tcW w:w="1119" w:type="dxa"/>
            <w:tcBorders>
              <w:top w:val="nil"/>
              <w:left w:val="nil"/>
              <w:bottom w:val="single" w:sz="4" w:space="0" w:color="auto"/>
              <w:right w:val="single" w:sz="4" w:space="0" w:color="auto"/>
            </w:tcBorders>
            <w:noWrap/>
            <w:vAlign w:val="center"/>
            <w:hideMark/>
          </w:tcPr>
          <w:p w14:paraId="5B8466CE" w14:textId="77777777" w:rsidR="004115A6" w:rsidRPr="004115A6" w:rsidRDefault="004115A6" w:rsidP="004115A6">
            <w:pPr>
              <w:pStyle w:val="Tables"/>
            </w:pPr>
            <w:r w:rsidRPr="004115A6">
              <w:t>100</w:t>
            </w:r>
          </w:p>
        </w:tc>
      </w:tr>
      <w:tr w:rsidR="004115A6" w:rsidRPr="004115A6" w14:paraId="0BC7404C" w14:textId="77777777" w:rsidTr="00E23521">
        <w:trPr>
          <w:trHeight w:val="397"/>
          <w:jc w:val="center"/>
        </w:trPr>
        <w:tc>
          <w:tcPr>
            <w:tcW w:w="3020" w:type="dxa"/>
            <w:tcBorders>
              <w:top w:val="nil"/>
              <w:left w:val="single" w:sz="4" w:space="0" w:color="auto"/>
              <w:bottom w:val="single" w:sz="4" w:space="0" w:color="auto"/>
              <w:right w:val="single" w:sz="4" w:space="0" w:color="auto"/>
            </w:tcBorders>
            <w:noWrap/>
            <w:vAlign w:val="center"/>
            <w:hideMark/>
          </w:tcPr>
          <w:p w14:paraId="2E918A61" w14:textId="77777777" w:rsidR="004115A6" w:rsidRPr="004115A6" w:rsidRDefault="004115A6" w:rsidP="00E23521">
            <w:pPr>
              <w:pStyle w:val="Tables"/>
              <w:jc w:val="left"/>
            </w:pPr>
            <w:r w:rsidRPr="004115A6">
              <w:t>Cost of Tax Collection</w:t>
            </w:r>
          </w:p>
        </w:tc>
        <w:tc>
          <w:tcPr>
            <w:tcW w:w="1370" w:type="dxa"/>
            <w:tcBorders>
              <w:top w:val="nil"/>
              <w:left w:val="nil"/>
              <w:bottom w:val="single" w:sz="4" w:space="0" w:color="auto"/>
              <w:right w:val="single" w:sz="4" w:space="0" w:color="auto"/>
            </w:tcBorders>
            <w:noWrap/>
            <w:vAlign w:val="center"/>
            <w:hideMark/>
          </w:tcPr>
          <w:p w14:paraId="207676D8" w14:textId="77777777" w:rsidR="004115A6" w:rsidRPr="004115A6" w:rsidRDefault="004115A6" w:rsidP="004115A6">
            <w:pPr>
              <w:pStyle w:val="Tables"/>
            </w:pPr>
            <w:r w:rsidRPr="004115A6">
              <w:t>32.56</w:t>
            </w:r>
          </w:p>
        </w:tc>
        <w:tc>
          <w:tcPr>
            <w:tcW w:w="1097" w:type="dxa"/>
            <w:tcBorders>
              <w:top w:val="nil"/>
              <w:left w:val="nil"/>
              <w:bottom w:val="single" w:sz="4" w:space="0" w:color="auto"/>
              <w:right w:val="single" w:sz="4" w:space="0" w:color="auto"/>
            </w:tcBorders>
            <w:noWrap/>
            <w:vAlign w:val="center"/>
            <w:hideMark/>
          </w:tcPr>
          <w:p w14:paraId="7BBA0602" w14:textId="77777777" w:rsidR="004115A6" w:rsidRPr="004115A6" w:rsidRDefault="004115A6" w:rsidP="004115A6">
            <w:pPr>
              <w:pStyle w:val="Tables"/>
            </w:pPr>
            <w:r w:rsidRPr="004115A6">
              <w:t>8.5</w:t>
            </w:r>
          </w:p>
        </w:tc>
        <w:tc>
          <w:tcPr>
            <w:tcW w:w="1348" w:type="dxa"/>
            <w:tcBorders>
              <w:top w:val="nil"/>
              <w:left w:val="nil"/>
              <w:bottom w:val="single" w:sz="4" w:space="0" w:color="auto"/>
              <w:right w:val="single" w:sz="4" w:space="0" w:color="auto"/>
            </w:tcBorders>
            <w:noWrap/>
            <w:vAlign w:val="center"/>
            <w:hideMark/>
          </w:tcPr>
          <w:p w14:paraId="2A857280" w14:textId="7EA09039" w:rsidR="004115A6" w:rsidRPr="004115A6" w:rsidRDefault="004115A6" w:rsidP="004115A6">
            <w:pPr>
              <w:pStyle w:val="Tables"/>
            </w:pPr>
            <w:r w:rsidRPr="004115A6">
              <w:t>35.5</w:t>
            </w:r>
            <w:r w:rsidR="00C36560">
              <w:t>0</w:t>
            </w:r>
          </w:p>
        </w:tc>
        <w:tc>
          <w:tcPr>
            <w:tcW w:w="1119" w:type="dxa"/>
            <w:tcBorders>
              <w:top w:val="nil"/>
              <w:left w:val="nil"/>
              <w:bottom w:val="single" w:sz="4" w:space="0" w:color="auto"/>
              <w:right w:val="single" w:sz="4" w:space="0" w:color="auto"/>
            </w:tcBorders>
            <w:noWrap/>
            <w:vAlign w:val="center"/>
            <w:hideMark/>
          </w:tcPr>
          <w:p w14:paraId="5C866CCB" w14:textId="77777777" w:rsidR="004115A6" w:rsidRPr="004115A6" w:rsidRDefault="004115A6" w:rsidP="004115A6">
            <w:pPr>
              <w:pStyle w:val="Tables"/>
            </w:pPr>
            <w:r w:rsidRPr="004115A6">
              <w:t>8.8</w:t>
            </w:r>
          </w:p>
        </w:tc>
        <w:tc>
          <w:tcPr>
            <w:tcW w:w="1348" w:type="dxa"/>
            <w:tcBorders>
              <w:top w:val="nil"/>
              <w:left w:val="nil"/>
              <w:bottom w:val="single" w:sz="4" w:space="0" w:color="auto"/>
              <w:right w:val="single" w:sz="4" w:space="0" w:color="auto"/>
            </w:tcBorders>
            <w:noWrap/>
            <w:vAlign w:val="center"/>
            <w:hideMark/>
          </w:tcPr>
          <w:p w14:paraId="2C088ED9" w14:textId="77777777" w:rsidR="004115A6" w:rsidRPr="004115A6" w:rsidRDefault="004115A6" w:rsidP="004115A6">
            <w:pPr>
              <w:pStyle w:val="Tables"/>
            </w:pPr>
            <w:r w:rsidRPr="004115A6">
              <w:t>39.31</w:t>
            </w:r>
          </w:p>
        </w:tc>
        <w:tc>
          <w:tcPr>
            <w:tcW w:w="1119" w:type="dxa"/>
            <w:tcBorders>
              <w:top w:val="nil"/>
              <w:left w:val="nil"/>
              <w:bottom w:val="single" w:sz="4" w:space="0" w:color="auto"/>
              <w:right w:val="single" w:sz="4" w:space="0" w:color="auto"/>
            </w:tcBorders>
            <w:noWrap/>
            <w:vAlign w:val="center"/>
            <w:hideMark/>
          </w:tcPr>
          <w:p w14:paraId="5F5CF246" w14:textId="2FEEBFFC" w:rsidR="004115A6" w:rsidRPr="004115A6" w:rsidRDefault="004115A6" w:rsidP="004115A6">
            <w:pPr>
              <w:pStyle w:val="Tables"/>
            </w:pPr>
            <w:r w:rsidRPr="004115A6">
              <w:t>9</w:t>
            </w:r>
            <w:r w:rsidR="00C36560">
              <w:t>.0</w:t>
            </w:r>
          </w:p>
        </w:tc>
      </w:tr>
      <w:tr w:rsidR="004115A6" w:rsidRPr="004115A6" w14:paraId="44B25D72" w14:textId="77777777" w:rsidTr="00E23521">
        <w:trPr>
          <w:trHeight w:val="397"/>
          <w:jc w:val="center"/>
        </w:trPr>
        <w:tc>
          <w:tcPr>
            <w:tcW w:w="3020" w:type="dxa"/>
            <w:tcBorders>
              <w:top w:val="nil"/>
              <w:left w:val="single" w:sz="4" w:space="0" w:color="auto"/>
              <w:bottom w:val="single" w:sz="4" w:space="0" w:color="auto"/>
              <w:right w:val="single" w:sz="4" w:space="0" w:color="auto"/>
            </w:tcBorders>
            <w:noWrap/>
            <w:vAlign w:val="center"/>
            <w:hideMark/>
          </w:tcPr>
          <w:p w14:paraId="75FA676B" w14:textId="77777777" w:rsidR="004115A6" w:rsidRPr="004115A6" w:rsidRDefault="004115A6" w:rsidP="00E23521">
            <w:pPr>
              <w:pStyle w:val="Tables"/>
              <w:jc w:val="left"/>
            </w:pPr>
            <w:r w:rsidRPr="004115A6">
              <w:t>Irrigation</w:t>
            </w:r>
          </w:p>
        </w:tc>
        <w:tc>
          <w:tcPr>
            <w:tcW w:w="1370" w:type="dxa"/>
            <w:tcBorders>
              <w:top w:val="nil"/>
              <w:left w:val="nil"/>
              <w:bottom w:val="single" w:sz="4" w:space="0" w:color="auto"/>
              <w:right w:val="single" w:sz="4" w:space="0" w:color="auto"/>
            </w:tcBorders>
            <w:noWrap/>
            <w:vAlign w:val="center"/>
            <w:hideMark/>
          </w:tcPr>
          <w:p w14:paraId="225E5C79" w14:textId="77777777" w:rsidR="004115A6" w:rsidRPr="004115A6" w:rsidRDefault="004115A6" w:rsidP="004115A6">
            <w:pPr>
              <w:pStyle w:val="Tables"/>
            </w:pPr>
            <w:r w:rsidRPr="004115A6">
              <w:t>8.55</w:t>
            </w:r>
          </w:p>
        </w:tc>
        <w:tc>
          <w:tcPr>
            <w:tcW w:w="1097" w:type="dxa"/>
            <w:tcBorders>
              <w:top w:val="nil"/>
              <w:left w:val="nil"/>
              <w:bottom w:val="single" w:sz="4" w:space="0" w:color="auto"/>
              <w:right w:val="single" w:sz="4" w:space="0" w:color="auto"/>
            </w:tcBorders>
            <w:noWrap/>
            <w:vAlign w:val="center"/>
            <w:hideMark/>
          </w:tcPr>
          <w:p w14:paraId="190E5751" w14:textId="77777777" w:rsidR="004115A6" w:rsidRPr="004115A6" w:rsidRDefault="004115A6" w:rsidP="004115A6">
            <w:pPr>
              <w:pStyle w:val="Tables"/>
            </w:pPr>
            <w:r w:rsidRPr="004115A6">
              <w:t>2.2</w:t>
            </w:r>
          </w:p>
        </w:tc>
        <w:tc>
          <w:tcPr>
            <w:tcW w:w="1348" w:type="dxa"/>
            <w:tcBorders>
              <w:top w:val="nil"/>
              <w:left w:val="nil"/>
              <w:bottom w:val="single" w:sz="4" w:space="0" w:color="auto"/>
              <w:right w:val="single" w:sz="4" w:space="0" w:color="auto"/>
            </w:tcBorders>
            <w:noWrap/>
            <w:vAlign w:val="center"/>
            <w:hideMark/>
          </w:tcPr>
          <w:p w14:paraId="56386B3B" w14:textId="77777777" w:rsidR="004115A6" w:rsidRPr="004115A6" w:rsidRDefault="004115A6" w:rsidP="004115A6">
            <w:pPr>
              <w:pStyle w:val="Tables"/>
            </w:pPr>
            <w:r w:rsidRPr="004115A6">
              <w:t>12.29</w:t>
            </w:r>
          </w:p>
        </w:tc>
        <w:tc>
          <w:tcPr>
            <w:tcW w:w="1119" w:type="dxa"/>
            <w:tcBorders>
              <w:top w:val="nil"/>
              <w:left w:val="nil"/>
              <w:bottom w:val="single" w:sz="4" w:space="0" w:color="auto"/>
              <w:right w:val="single" w:sz="4" w:space="0" w:color="auto"/>
            </w:tcBorders>
            <w:noWrap/>
            <w:vAlign w:val="center"/>
            <w:hideMark/>
          </w:tcPr>
          <w:p w14:paraId="4D76A819" w14:textId="77777777" w:rsidR="004115A6" w:rsidRPr="004115A6" w:rsidRDefault="004115A6" w:rsidP="004115A6">
            <w:pPr>
              <w:pStyle w:val="Tables"/>
            </w:pPr>
            <w:r w:rsidRPr="004115A6">
              <w:t>3.1</w:t>
            </w:r>
          </w:p>
        </w:tc>
        <w:tc>
          <w:tcPr>
            <w:tcW w:w="1348" w:type="dxa"/>
            <w:tcBorders>
              <w:top w:val="nil"/>
              <w:left w:val="nil"/>
              <w:bottom w:val="single" w:sz="4" w:space="0" w:color="auto"/>
              <w:right w:val="single" w:sz="4" w:space="0" w:color="auto"/>
            </w:tcBorders>
            <w:noWrap/>
            <w:vAlign w:val="center"/>
            <w:hideMark/>
          </w:tcPr>
          <w:p w14:paraId="5C1BB5F9" w14:textId="77777777" w:rsidR="004115A6" w:rsidRPr="004115A6" w:rsidRDefault="004115A6" w:rsidP="004115A6">
            <w:pPr>
              <w:pStyle w:val="Tables"/>
            </w:pPr>
            <w:r w:rsidRPr="004115A6">
              <w:t>11.86</w:t>
            </w:r>
          </w:p>
        </w:tc>
        <w:tc>
          <w:tcPr>
            <w:tcW w:w="1119" w:type="dxa"/>
            <w:tcBorders>
              <w:top w:val="nil"/>
              <w:left w:val="nil"/>
              <w:bottom w:val="single" w:sz="4" w:space="0" w:color="auto"/>
              <w:right w:val="single" w:sz="4" w:space="0" w:color="auto"/>
            </w:tcBorders>
            <w:noWrap/>
            <w:vAlign w:val="center"/>
            <w:hideMark/>
          </w:tcPr>
          <w:p w14:paraId="2E210B11" w14:textId="77777777" w:rsidR="004115A6" w:rsidRPr="004115A6" w:rsidRDefault="004115A6" w:rsidP="004115A6">
            <w:pPr>
              <w:pStyle w:val="Tables"/>
            </w:pPr>
            <w:r w:rsidRPr="004115A6">
              <w:t>2.7</w:t>
            </w:r>
          </w:p>
        </w:tc>
      </w:tr>
      <w:tr w:rsidR="004115A6" w:rsidRPr="004115A6" w14:paraId="25350270" w14:textId="77777777" w:rsidTr="00E23521">
        <w:trPr>
          <w:trHeight w:val="397"/>
          <w:jc w:val="center"/>
        </w:trPr>
        <w:tc>
          <w:tcPr>
            <w:tcW w:w="3020" w:type="dxa"/>
            <w:tcBorders>
              <w:top w:val="nil"/>
              <w:left w:val="single" w:sz="4" w:space="0" w:color="auto"/>
              <w:bottom w:val="single" w:sz="4" w:space="0" w:color="auto"/>
              <w:right w:val="single" w:sz="4" w:space="0" w:color="auto"/>
            </w:tcBorders>
            <w:noWrap/>
            <w:vAlign w:val="center"/>
            <w:hideMark/>
          </w:tcPr>
          <w:p w14:paraId="09B7C931" w14:textId="77777777" w:rsidR="004115A6" w:rsidRPr="004115A6" w:rsidRDefault="004115A6" w:rsidP="00E23521">
            <w:pPr>
              <w:pStyle w:val="Tables"/>
              <w:jc w:val="left"/>
            </w:pPr>
            <w:r w:rsidRPr="004115A6">
              <w:t>Debt Services (a)</w:t>
            </w:r>
          </w:p>
        </w:tc>
        <w:tc>
          <w:tcPr>
            <w:tcW w:w="1370" w:type="dxa"/>
            <w:tcBorders>
              <w:top w:val="nil"/>
              <w:left w:val="nil"/>
              <w:bottom w:val="single" w:sz="4" w:space="0" w:color="auto"/>
              <w:right w:val="single" w:sz="4" w:space="0" w:color="auto"/>
            </w:tcBorders>
            <w:noWrap/>
            <w:vAlign w:val="center"/>
            <w:hideMark/>
          </w:tcPr>
          <w:p w14:paraId="6AAE0A0E" w14:textId="77777777" w:rsidR="004115A6" w:rsidRPr="004115A6" w:rsidRDefault="004115A6" w:rsidP="004115A6">
            <w:pPr>
              <w:pStyle w:val="Tables"/>
            </w:pPr>
            <w:r w:rsidRPr="004115A6">
              <w:t>14.86</w:t>
            </w:r>
          </w:p>
        </w:tc>
        <w:tc>
          <w:tcPr>
            <w:tcW w:w="1097" w:type="dxa"/>
            <w:tcBorders>
              <w:top w:val="nil"/>
              <w:left w:val="nil"/>
              <w:bottom w:val="single" w:sz="4" w:space="0" w:color="auto"/>
              <w:right w:val="single" w:sz="4" w:space="0" w:color="auto"/>
            </w:tcBorders>
            <w:noWrap/>
            <w:vAlign w:val="center"/>
            <w:hideMark/>
          </w:tcPr>
          <w:p w14:paraId="31C4B033" w14:textId="77777777" w:rsidR="004115A6" w:rsidRPr="004115A6" w:rsidRDefault="004115A6" w:rsidP="004115A6">
            <w:pPr>
              <w:pStyle w:val="Tables"/>
            </w:pPr>
            <w:r w:rsidRPr="004115A6">
              <w:t>3.9</w:t>
            </w:r>
          </w:p>
        </w:tc>
        <w:tc>
          <w:tcPr>
            <w:tcW w:w="1348" w:type="dxa"/>
            <w:tcBorders>
              <w:top w:val="nil"/>
              <w:left w:val="nil"/>
              <w:bottom w:val="single" w:sz="4" w:space="0" w:color="auto"/>
              <w:right w:val="single" w:sz="4" w:space="0" w:color="auto"/>
            </w:tcBorders>
            <w:noWrap/>
            <w:vAlign w:val="center"/>
            <w:hideMark/>
          </w:tcPr>
          <w:p w14:paraId="61A86AB1" w14:textId="77777777" w:rsidR="004115A6" w:rsidRPr="004115A6" w:rsidRDefault="004115A6" w:rsidP="004115A6">
            <w:pPr>
              <w:pStyle w:val="Tables"/>
            </w:pPr>
            <w:r w:rsidRPr="004115A6">
              <w:t>19.29</w:t>
            </w:r>
          </w:p>
        </w:tc>
        <w:tc>
          <w:tcPr>
            <w:tcW w:w="1119" w:type="dxa"/>
            <w:tcBorders>
              <w:top w:val="nil"/>
              <w:left w:val="nil"/>
              <w:bottom w:val="single" w:sz="4" w:space="0" w:color="auto"/>
              <w:right w:val="single" w:sz="4" w:space="0" w:color="auto"/>
            </w:tcBorders>
            <w:noWrap/>
            <w:vAlign w:val="center"/>
            <w:hideMark/>
          </w:tcPr>
          <w:p w14:paraId="15120429" w14:textId="77777777" w:rsidR="004115A6" w:rsidRPr="004115A6" w:rsidRDefault="004115A6" w:rsidP="004115A6">
            <w:pPr>
              <w:pStyle w:val="Tables"/>
            </w:pPr>
            <w:r w:rsidRPr="004115A6">
              <w:t>4.8</w:t>
            </w:r>
          </w:p>
        </w:tc>
        <w:tc>
          <w:tcPr>
            <w:tcW w:w="1348" w:type="dxa"/>
            <w:tcBorders>
              <w:top w:val="nil"/>
              <w:left w:val="nil"/>
              <w:bottom w:val="single" w:sz="4" w:space="0" w:color="auto"/>
              <w:right w:val="single" w:sz="4" w:space="0" w:color="auto"/>
            </w:tcBorders>
            <w:noWrap/>
            <w:vAlign w:val="center"/>
            <w:hideMark/>
          </w:tcPr>
          <w:p w14:paraId="6F365609" w14:textId="77777777" w:rsidR="004115A6" w:rsidRPr="004115A6" w:rsidRDefault="004115A6" w:rsidP="004115A6">
            <w:pPr>
              <w:pStyle w:val="Tables"/>
            </w:pPr>
            <w:r w:rsidRPr="004115A6">
              <w:t>21.79</w:t>
            </w:r>
          </w:p>
        </w:tc>
        <w:tc>
          <w:tcPr>
            <w:tcW w:w="1119" w:type="dxa"/>
            <w:tcBorders>
              <w:top w:val="nil"/>
              <w:left w:val="nil"/>
              <w:bottom w:val="single" w:sz="4" w:space="0" w:color="auto"/>
              <w:right w:val="single" w:sz="4" w:space="0" w:color="auto"/>
            </w:tcBorders>
            <w:noWrap/>
            <w:vAlign w:val="center"/>
            <w:hideMark/>
          </w:tcPr>
          <w:p w14:paraId="128F7981" w14:textId="65B3EE1A" w:rsidR="004115A6" w:rsidRPr="004115A6" w:rsidRDefault="004115A6" w:rsidP="004115A6">
            <w:pPr>
              <w:pStyle w:val="Tables"/>
            </w:pPr>
            <w:r w:rsidRPr="004115A6">
              <w:t>5</w:t>
            </w:r>
            <w:r w:rsidR="00C36560">
              <w:t>.0</w:t>
            </w:r>
          </w:p>
        </w:tc>
      </w:tr>
      <w:tr w:rsidR="004115A6" w:rsidRPr="004115A6" w14:paraId="6771CD4C" w14:textId="77777777" w:rsidTr="00E23521">
        <w:trPr>
          <w:trHeight w:val="397"/>
          <w:jc w:val="center"/>
        </w:trPr>
        <w:tc>
          <w:tcPr>
            <w:tcW w:w="3020" w:type="dxa"/>
            <w:tcBorders>
              <w:top w:val="nil"/>
              <w:left w:val="single" w:sz="4" w:space="0" w:color="auto"/>
              <w:bottom w:val="single" w:sz="4" w:space="0" w:color="auto"/>
              <w:right w:val="single" w:sz="4" w:space="0" w:color="auto"/>
            </w:tcBorders>
            <w:noWrap/>
            <w:vAlign w:val="center"/>
            <w:hideMark/>
          </w:tcPr>
          <w:p w14:paraId="7DAB3B7B" w14:textId="77777777" w:rsidR="004115A6" w:rsidRPr="004115A6" w:rsidRDefault="004115A6" w:rsidP="00E23521">
            <w:pPr>
              <w:pStyle w:val="Tables"/>
              <w:jc w:val="left"/>
            </w:pPr>
            <w:r w:rsidRPr="004115A6">
              <w:t>Administrative Services</w:t>
            </w:r>
          </w:p>
        </w:tc>
        <w:tc>
          <w:tcPr>
            <w:tcW w:w="1370" w:type="dxa"/>
            <w:tcBorders>
              <w:top w:val="nil"/>
              <w:left w:val="nil"/>
              <w:bottom w:val="single" w:sz="4" w:space="0" w:color="auto"/>
              <w:right w:val="single" w:sz="4" w:space="0" w:color="auto"/>
            </w:tcBorders>
            <w:noWrap/>
            <w:vAlign w:val="center"/>
            <w:hideMark/>
          </w:tcPr>
          <w:p w14:paraId="2D15D1C0" w14:textId="778346A1" w:rsidR="004115A6" w:rsidRPr="004115A6" w:rsidRDefault="004115A6" w:rsidP="004115A6">
            <w:pPr>
              <w:pStyle w:val="Tables"/>
            </w:pPr>
            <w:r w:rsidRPr="004115A6">
              <w:t>100.8</w:t>
            </w:r>
            <w:r w:rsidR="00C36560">
              <w:t>0</w:t>
            </w:r>
          </w:p>
        </w:tc>
        <w:tc>
          <w:tcPr>
            <w:tcW w:w="1097" w:type="dxa"/>
            <w:tcBorders>
              <w:top w:val="nil"/>
              <w:left w:val="nil"/>
              <w:bottom w:val="single" w:sz="4" w:space="0" w:color="auto"/>
              <w:right w:val="single" w:sz="4" w:space="0" w:color="auto"/>
            </w:tcBorders>
            <w:noWrap/>
            <w:vAlign w:val="center"/>
            <w:hideMark/>
          </w:tcPr>
          <w:p w14:paraId="391C742A" w14:textId="77777777" w:rsidR="004115A6" w:rsidRPr="004115A6" w:rsidRDefault="004115A6" w:rsidP="004115A6">
            <w:pPr>
              <w:pStyle w:val="Tables"/>
            </w:pPr>
            <w:r w:rsidRPr="004115A6">
              <w:t>26.2</w:t>
            </w:r>
          </w:p>
        </w:tc>
        <w:tc>
          <w:tcPr>
            <w:tcW w:w="1348" w:type="dxa"/>
            <w:tcBorders>
              <w:top w:val="nil"/>
              <w:left w:val="nil"/>
              <w:bottom w:val="single" w:sz="4" w:space="0" w:color="auto"/>
              <w:right w:val="single" w:sz="4" w:space="0" w:color="auto"/>
            </w:tcBorders>
            <w:noWrap/>
            <w:vAlign w:val="center"/>
            <w:hideMark/>
          </w:tcPr>
          <w:p w14:paraId="13A138B1" w14:textId="77777777" w:rsidR="004115A6" w:rsidRPr="004115A6" w:rsidRDefault="004115A6" w:rsidP="004115A6">
            <w:pPr>
              <w:pStyle w:val="Tables"/>
            </w:pPr>
            <w:r w:rsidRPr="004115A6">
              <w:t>106.09</w:t>
            </w:r>
          </w:p>
        </w:tc>
        <w:tc>
          <w:tcPr>
            <w:tcW w:w="1119" w:type="dxa"/>
            <w:tcBorders>
              <w:top w:val="nil"/>
              <w:left w:val="nil"/>
              <w:bottom w:val="single" w:sz="4" w:space="0" w:color="auto"/>
              <w:right w:val="single" w:sz="4" w:space="0" w:color="auto"/>
            </w:tcBorders>
            <w:noWrap/>
            <w:vAlign w:val="center"/>
            <w:hideMark/>
          </w:tcPr>
          <w:p w14:paraId="2B089214" w14:textId="77777777" w:rsidR="004115A6" w:rsidRPr="004115A6" w:rsidRDefault="004115A6" w:rsidP="004115A6">
            <w:pPr>
              <w:pStyle w:val="Tables"/>
            </w:pPr>
            <w:r w:rsidRPr="004115A6">
              <w:t>26.4</w:t>
            </w:r>
          </w:p>
        </w:tc>
        <w:tc>
          <w:tcPr>
            <w:tcW w:w="1348" w:type="dxa"/>
            <w:tcBorders>
              <w:top w:val="nil"/>
              <w:left w:val="nil"/>
              <w:bottom w:val="single" w:sz="4" w:space="0" w:color="auto"/>
              <w:right w:val="single" w:sz="4" w:space="0" w:color="auto"/>
            </w:tcBorders>
            <w:noWrap/>
            <w:vAlign w:val="center"/>
            <w:hideMark/>
          </w:tcPr>
          <w:p w14:paraId="02D8D074" w14:textId="77777777" w:rsidR="004115A6" w:rsidRPr="004115A6" w:rsidRDefault="004115A6" w:rsidP="004115A6">
            <w:pPr>
              <w:pStyle w:val="Tables"/>
            </w:pPr>
            <w:r w:rsidRPr="004115A6">
              <w:t>104.58</w:t>
            </w:r>
          </w:p>
        </w:tc>
        <w:tc>
          <w:tcPr>
            <w:tcW w:w="1119" w:type="dxa"/>
            <w:tcBorders>
              <w:top w:val="nil"/>
              <w:left w:val="nil"/>
              <w:bottom w:val="single" w:sz="4" w:space="0" w:color="auto"/>
              <w:right w:val="single" w:sz="4" w:space="0" w:color="auto"/>
            </w:tcBorders>
            <w:noWrap/>
            <w:vAlign w:val="center"/>
            <w:hideMark/>
          </w:tcPr>
          <w:p w14:paraId="52C194AF" w14:textId="77777777" w:rsidR="004115A6" w:rsidRPr="004115A6" w:rsidRDefault="004115A6" w:rsidP="004115A6">
            <w:pPr>
              <w:pStyle w:val="Tables"/>
            </w:pPr>
            <w:r w:rsidRPr="004115A6">
              <w:t>23.9</w:t>
            </w:r>
          </w:p>
        </w:tc>
      </w:tr>
      <w:tr w:rsidR="004115A6" w:rsidRPr="004115A6" w14:paraId="6F0DDEC6" w14:textId="77777777" w:rsidTr="00E23521">
        <w:trPr>
          <w:trHeight w:val="397"/>
          <w:jc w:val="center"/>
        </w:trPr>
        <w:tc>
          <w:tcPr>
            <w:tcW w:w="3020" w:type="dxa"/>
            <w:tcBorders>
              <w:top w:val="nil"/>
              <w:left w:val="single" w:sz="4" w:space="0" w:color="auto"/>
              <w:bottom w:val="single" w:sz="4" w:space="0" w:color="auto"/>
              <w:right w:val="single" w:sz="4" w:space="0" w:color="auto"/>
            </w:tcBorders>
            <w:noWrap/>
            <w:vAlign w:val="center"/>
            <w:hideMark/>
          </w:tcPr>
          <w:p w14:paraId="13DDD7A5" w14:textId="77777777" w:rsidR="004115A6" w:rsidRPr="004115A6" w:rsidRDefault="004115A6" w:rsidP="00E23521">
            <w:pPr>
              <w:pStyle w:val="Tables"/>
              <w:ind w:left="720"/>
              <w:jc w:val="left"/>
            </w:pPr>
            <w:r w:rsidRPr="004115A6">
              <w:t>Police</w:t>
            </w:r>
          </w:p>
        </w:tc>
        <w:tc>
          <w:tcPr>
            <w:tcW w:w="1370" w:type="dxa"/>
            <w:tcBorders>
              <w:top w:val="nil"/>
              <w:left w:val="nil"/>
              <w:bottom w:val="single" w:sz="4" w:space="0" w:color="auto"/>
              <w:right w:val="single" w:sz="4" w:space="0" w:color="auto"/>
            </w:tcBorders>
            <w:noWrap/>
            <w:vAlign w:val="center"/>
            <w:hideMark/>
          </w:tcPr>
          <w:p w14:paraId="40A69228" w14:textId="02397C30" w:rsidR="004115A6" w:rsidRPr="004115A6" w:rsidRDefault="004115A6" w:rsidP="004115A6">
            <w:pPr>
              <w:pStyle w:val="Tables"/>
            </w:pPr>
            <w:r w:rsidRPr="004115A6">
              <w:t>51.8</w:t>
            </w:r>
            <w:r w:rsidR="00C36560">
              <w:t>0</w:t>
            </w:r>
          </w:p>
        </w:tc>
        <w:tc>
          <w:tcPr>
            <w:tcW w:w="1097" w:type="dxa"/>
            <w:tcBorders>
              <w:top w:val="nil"/>
              <w:left w:val="nil"/>
              <w:bottom w:val="single" w:sz="4" w:space="0" w:color="auto"/>
              <w:right w:val="single" w:sz="4" w:space="0" w:color="auto"/>
            </w:tcBorders>
            <w:noWrap/>
            <w:vAlign w:val="center"/>
            <w:hideMark/>
          </w:tcPr>
          <w:p w14:paraId="5141F1BB" w14:textId="1209020E" w:rsidR="004115A6" w:rsidRPr="004115A6" w:rsidRDefault="004115A6" w:rsidP="004115A6">
            <w:pPr>
              <w:pStyle w:val="Tables"/>
            </w:pPr>
            <w:r w:rsidRPr="004115A6">
              <w:t>13.</w:t>
            </w:r>
            <w:r w:rsidR="00C36560">
              <w:t>5</w:t>
            </w:r>
          </w:p>
        </w:tc>
        <w:tc>
          <w:tcPr>
            <w:tcW w:w="1348" w:type="dxa"/>
            <w:tcBorders>
              <w:top w:val="nil"/>
              <w:left w:val="nil"/>
              <w:bottom w:val="single" w:sz="4" w:space="0" w:color="auto"/>
              <w:right w:val="single" w:sz="4" w:space="0" w:color="auto"/>
            </w:tcBorders>
            <w:noWrap/>
            <w:vAlign w:val="center"/>
            <w:hideMark/>
          </w:tcPr>
          <w:p w14:paraId="69E36DAB" w14:textId="77777777" w:rsidR="004115A6" w:rsidRPr="004115A6" w:rsidRDefault="004115A6" w:rsidP="004115A6">
            <w:pPr>
              <w:pStyle w:val="Tables"/>
            </w:pPr>
            <w:r w:rsidRPr="004115A6">
              <w:t>53.71</w:t>
            </w:r>
          </w:p>
        </w:tc>
        <w:tc>
          <w:tcPr>
            <w:tcW w:w="1119" w:type="dxa"/>
            <w:tcBorders>
              <w:top w:val="nil"/>
              <w:left w:val="nil"/>
              <w:bottom w:val="single" w:sz="4" w:space="0" w:color="auto"/>
              <w:right w:val="single" w:sz="4" w:space="0" w:color="auto"/>
            </w:tcBorders>
            <w:noWrap/>
            <w:vAlign w:val="center"/>
            <w:hideMark/>
          </w:tcPr>
          <w:p w14:paraId="54F3380C" w14:textId="77777777" w:rsidR="004115A6" w:rsidRPr="004115A6" w:rsidRDefault="004115A6" w:rsidP="004115A6">
            <w:pPr>
              <w:pStyle w:val="Tables"/>
            </w:pPr>
            <w:r w:rsidRPr="004115A6">
              <w:t>13.4</w:t>
            </w:r>
          </w:p>
        </w:tc>
        <w:tc>
          <w:tcPr>
            <w:tcW w:w="1348" w:type="dxa"/>
            <w:tcBorders>
              <w:top w:val="nil"/>
              <w:left w:val="nil"/>
              <w:bottom w:val="single" w:sz="4" w:space="0" w:color="auto"/>
              <w:right w:val="single" w:sz="4" w:space="0" w:color="auto"/>
            </w:tcBorders>
            <w:noWrap/>
            <w:vAlign w:val="center"/>
            <w:hideMark/>
          </w:tcPr>
          <w:p w14:paraId="11BA1907" w14:textId="4091C485" w:rsidR="004115A6" w:rsidRPr="004115A6" w:rsidRDefault="004115A6" w:rsidP="004115A6">
            <w:pPr>
              <w:pStyle w:val="Tables"/>
            </w:pPr>
            <w:r w:rsidRPr="004115A6">
              <w:t>52.5</w:t>
            </w:r>
            <w:r w:rsidR="00C36560">
              <w:t>0</w:t>
            </w:r>
          </w:p>
        </w:tc>
        <w:tc>
          <w:tcPr>
            <w:tcW w:w="1119" w:type="dxa"/>
            <w:tcBorders>
              <w:top w:val="nil"/>
              <w:left w:val="nil"/>
              <w:bottom w:val="single" w:sz="4" w:space="0" w:color="auto"/>
              <w:right w:val="single" w:sz="4" w:space="0" w:color="auto"/>
            </w:tcBorders>
            <w:noWrap/>
            <w:vAlign w:val="center"/>
            <w:hideMark/>
          </w:tcPr>
          <w:p w14:paraId="2B5ECDE7" w14:textId="3193EB66" w:rsidR="004115A6" w:rsidRPr="004115A6" w:rsidRDefault="004115A6" w:rsidP="004115A6">
            <w:pPr>
              <w:pStyle w:val="Tables"/>
            </w:pPr>
            <w:r w:rsidRPr="004115A6">
              <w:t>12</w:t>
            </w:r>
            <w:r w:rsidR="00C36560">
              <w:t>.0</w:t>
            </w:r>
          </w:p>
        </w:tc>
      </w:tr>
      <w:tr w:rsidR="004115A6" w:rsidRPr="004115A6" w14:paraId="4C5EF55C" w14:textId="77777777" w:rsidTr="00E23521">
        <w:trPr>
          <w:trHeight w:val="397"/>
          <w:jc w:val="center"/>
        </w:trPr>
        <w:tc>
          <w:tcPr>
            <w:tcW w:w="3020" w:type="dxa"/>
            <w:tcBorders>
              <w:top w:val="nil"/>
              <w:left w:val="single" w:sz="4" w:space="0" w:color="auto"/>
              <w:bottom w:val="single" w:sz="4" w:space="0" w:color="auto"/>
              <w:right w:val="single" w:sz="4" w:space="0" w:color="auto"/>
            </w:tcBorders>
            <w:noWrap/>
            <w:vAlign w:val="center"/>
            <w:hideMark/>
          </w:tcPr>
          <w:p w14:paraId="02283331" w14:textId="77777777" w:rsidR="004115A6" w:rsidRPr="004115A6" w:rsidRDefault="004115A6" w:rsidP="00E23521">
            <w:pPr>
              <w:pStyle w:val="Tables"/>
              <w:ind w:left="720"/>
              <w:jc w:val="left"/>
            </w:pPr>
            <w:r w:rsidRPr="004115A6">
              <w:t>General Administration</w:t>
            </w:r>
          </w:p>
        </w:tc>
        <w:tc>
          <w:tcPr>
            <w:tcW w:w="1370" w:type="dxa"/>
            <w:tcBorders>
              <w:top w:val="nil"/>
              <w:left w:val="nil"/>
              <w:bottom w:val="single" w:sz="4" w:space="0" w:color="auto"/>
              <w:right w:val="single" w:sz="4" w:space="0" w:color="auto"/>
            </w:tcBorders>
            <w:noWrap/>
            <w:vAlign w:val="center"/>
            <w:hideMark/>
          </w:tcPr>
          <w:p w14:paraId="5B408995" w14:textId="77777777" w:rsidR="004115A6" w:rsidRPr="004115A6" w:rsidRDefault="004115A6" w:rsidP="004115A6">
            <w:pPr>
              <w:pStyle w:val="Tables"/>
            </w:pPr>
            <w:r w:rsidRPr="004115A6">
              <w:t>31.23</w:t>
            </w:r>
          </w:p>
        </w:tc>
        <w:tc>
          <w:tcPr>
            <w:tcW w:w="1097" w:type="dxa"/>
            <w:tcBorders>
              <w:top w:val="nil"/>
              <w:left w:val="nil"/>
              <w:bottom w:val="single" w:sz="4" w:space="0" w:color="auto"/>
              <w:right w:val="single" w:sz="4" w:space="0" w:color="auto"/>
            </w:tcBorders>
            <w:noWrap/>
            <w:vAlign w:val="center"/>
            <w:hideMark/>
          </w:tcPr>
          <w:p w14:paraId="55EB0E78" w14:textId="77777777" w:rsidR="004115A6" w:rsidRPr="004115A6" w:rsidRDefault="004115A6" w:rsidP="004115A6">
            <w:pPr>
              <w:pStyle w:val="Tables"/>
            </w:pPr>
            <w:r w:rsidRPr="004115A6">
              <w:t>8.1</w:t>
            </w:r>
          </w:p>
        </w:tc>
        <w:tc>
          <w:tcPr>
            <w:tcW w:w="1348" w:type="dxa"/>
            <w:tcBorders>
              <w:top w:val="nil"/>
              <w:left w:val="nil"/>
              <w:bottom w:val="single" w:sz="4" w:space="0" w:color="auto"/>
              <w:right w:val="single" w:sz="4" w:space="0" w:color="auto"/>
            </w:tcBorders>
            <w:noWrap/>
            <w:vAlign w:val="center"/>
            <w:hideMark/>
          </w:tcPr>
          <w:p w14:paraId="3596ED4F" w14:textId="77777777" w:rsidR="004115A6" w:rsidRPr="004115A6" w:rsidRDefault="004115A6" w:rsidP="004115A6">
            <w:pPr>
              <w:pStyle w:val="Tables"/>
            </w:pPr>
            <w:r w:rsidRPr="004115A6">
              <w:t>33.84</w:t>
            </w:r>
          </w:p>
        </w:tc>
        <w:tc>
          <w:tcPr>
            <w:tcW w:w="1119" w:type="dxa"/>
            <w:tcBorders>
              <w:top w:val="nil"/>
              <w:left w:val="nil"/>
              <w:bottom w:val="single" w:sz="4" w:space="0" w:color="auto"/>
              <w:right w:val="single" w:sz="4" w:space="0" w:color="auto"/>
            </w:tcBorders>
            <w:noWrap/>
            <w:vAlign w:val="center"/>
            <w:hideMark/>
          </w:tcPr>
          <w:p w14:paraId="7A1AAFC2" w14:textId="77777777" w:rsidR="004115A6" w:rsidRPr="004115A6" w:rsidRDefault="004115A6" w:rsidP="004115A6">
            <w:pPr>
              <w:pStyle w:val="Tables"/>
            </w:pPr>
            <w:r w:rsidRPr="004115A6">
              <w:t>8.4</w:t>
            </w:r>
          </w:p>
        </w:tc>
        <w:tc>
          <w:tcPr>
            <w:tcW w:w="1348" w:type="dxa"/>
            <w:tcBorders>
              <w:top w:val="nil"/>
              <w:left w:val="nil"/>
              <w:bottom w:val="single" w:sz="4" w:space="0" w:color="auto"/>
              <w:right w:val="single" w:sz="4" w:space="0" w:color="auto"/>
            </w:tcBorders>
            <w:noWrap/>
            <w:vAlign w:val="center"/>
            <w:hideMark/>
          </w:tcPr>
          <w:p w14:paraId="6CD5B14A" w14:textId="77777777" w:rsidR="004115A6" w:rsidRPr="004115A6" w:rsidRDefault="004115A6" w:rsidP="004115A6">
            <w:pPr>
              <w:pStyle w:val="Tables"/>
            </w:pPr>
            <w:r w:rsidRPr="004115A6">
              <w:t>33.71</w:t>
            </w:r>
          </w:p>
        </w:tc>
        <w:tc>
          <w:tcPr>
            <w:tcW w:w="1119" w:type="dxa"/>
            <w:tcBorders>
              <w:top w:val="nil"/>
              <w:left w:val="nil"/>
              <w:bottom w:val="single" w:sz="4" w:space="0" w:color="auto"/>
              <w:right w:val="single" w:sz="4" w:space="0" w:color="auto"/>
            </w:tcBorders>
            <w:noWrap/>
            <w:vAlign w:val="center"/>
            <w:hideMark/>
          </w:tcPr>
          <w:p w14:paraId="5CFF61FC" w14:textId="77777777" w:rsidR="004115A6" w:rsidRPr="004115A6" w:rsidRDefault="004115A6" w:rsidP="004115A6">
            <w:pPr>
              <w:pStyle w:val="Tables"/>
            </w:pPr>
            <w:r w:rsidRPr="004115A6">
              <w:t>7.7</w:t>
            </w:r>
          </w:p>
        </w:tc>
      </w:tr>
      <w:tr w:rsidR="004115A6" w:rsidRPr="004115A6" w14:paraId="726A0ECF" w14:textId="77777777" w:rsidTr="00E23521">
        <w:trPr>
          <w:trHeight w:val="397"/>
          <w:jc w:val="center"/>
        </w:trPr>
        <w:tc>
          <w:tcPr>
            <w:tcW w:w="3020" w:type="dxa"/>
            <w:tcBorders>
              <w:top w:val="nil"/>
              <w:left w:val="single" w:sz="4" w:space="0" w:color="auto"/>
              <w:bottom w:val="single" w:sz="4" w:space="0" w:color="auto"/>
              <w:right w:val="single" w:sz="4" w:space="0" w:color="auto"/>
            </w:tcBorders>
            <w:noWrap/>
            <w:vAlign w:val="center"/>
            <w:hideMark/>
          </w:tcPr>
          <w:p w14:paraId="71F7AB14" w14:textId="77777777" w:rsidR="004115A6" w:rsidRPr="004115A6" w:rsidRDefault="004115A6" w:rsidP="00E23521">
            <w:pPr>
              <w:pStyle w:val="Tables"/>
              <w:jc w:val="left"/>
            </w:pPr>
            <w:r w:rsidRPr="004115A6">
              <w:t>Social Services</w:t>
            </w:r>
          </w:p>
        </w:tc>
        <w:tc>
          <w:tcPr>
            <w:tcW w:w="1370" w:type="dxa"/>
            <w:tcBorders>
              <w:top w:val="nil"/>
              <w:left w:val="nil"/>
              <w:bottom w:val="single" w:sz="4" w:space="0" w:color="auto"/>
              <w:right w:val="single" w:sz="4" w:space="0" w:color="auto"/>
            </w:tcBorders>
            <w:noWrap/>
            <w:vAlign w:val="center"/>
            <w:hideMark/>
          </w:tcPr>
          <w:p w14:paraId="456B043E" w14:textId="77777777" w:rsidR="004115A6" w:rsidRPr="004115A6" w:rsidRDefault="004115A6" w:rsidP="004115A6">
            <w:pPr>
              <w:pStyle w:val="Tables"/>
            </w:pPr>
            <w:r w:rsidRPr="004115A6">
              <w:t>112.07</w:t>
            </w:r>
          </w:p>
        </w:tc>
        <w:tc>
          <w:tcPr>
            <w:tcW w:w="1097" w:type="dxa"/>
            <w:tcBorders>
              <w:top w:val="nil"/>
              <w:left w:val="nil"/>
              <w:bottom w:val="single" w:sz="4" w:space="0" w:color="auto"/>
              <w:right w:val="single" w:sz="4" w:space="0" w:color="auto"/>
            </w:tcBorders>
            <w:noWrap/>
            <w:vAlign w:val="center"/>
            <w:hideMark/>
          </w:tcPr>
          <w:p w14:paraId="358EA09B" w14:textId="77777777" w:rsidR="004115A6" w:rsidRPr="004115A6" w:rsidRDefault="004115A6" w:rsidP="004115A6">
            <w:pPr>
              <w:pStyle w:val="Tables"/>
            </w:pPr>
            <w:r w:rsidRPr="004115A6">
              <w:t>29.1</w:t>
            </w:r>
          </w:p>
        </w:tc>
        <w:tc>
          <w:tcPr>
            <w:tcW w:w="1348" w:type="dxa"/>
            <w:tcBorders>
              <w:top w:val="nil"/>
              <w:left w:val="nil"/>
              <w:bottom w:val="single" w:sz="4" w:space="0" w:color="auto"/>
              <w:right w:val="single" w:sz="4" w:space="0" w:color="auto"/>
            </w:tcBorders>
            <w:noWrap/>
            <w:vAlign w:val="center"/>
            <w:hideMark/>
          </w:tcPr>
          <w:p w14:paraId="3BB42B3B" w14:textId="77777777" w:rsidR="004115A6" w:rsidRPr="004115A6" w:rsidRDefault="004115A6" w:rsidP="004115A6">
            <w:pPr>
              <w:pStyle w:val="Tables"/>
            </w:pPr>
            <w:r w:rsidRPr="004115A6">
              <w:t>116.26</w:t>
            </w:r>
          </w:p>
        </w:tc>
        <w:tc>
          <w:tcPr>
            <w:tcW w:w="1119" w:type="dxa"/>
            <w:tcBorders>
              <w:top w:val="nil"/>
              <w:left w:val="nil"/>
              <w:bottom w:val="single" w:sz="4" w:space="0" w:color="auto"/>
              <w:right w:val="single" w:sz="4" w:space="0" w:color="auto"/>
            </w:tcBorders>
            <w:noWrap/>
            <w:vAlign w:val="center"/>
            <w:hideMark/>
          </w:tcPr>
          <w:p w14:paraId="09EB56DF" w14:textId="76DBEA9E" w:rsidR="004115A6" w:rsidRPr="004115A6" w:rsidRDefault="004115A6" w:rsidP="004115A6">
            <w:pPr>
              <w:pStyle w:val="Tables"/>
            </w:pPr>
            <w:r w:rsidRPr="004115A6">
              <w:t>29</w:t>
            </w:r>
            <w:r w:rsidR="00C36560">
              <w:t>.0</w:t>
            </w:r>
          </w:p>
        </w:tc>
        <w:tc>
          <w:tcPr>
            <w:tcW w:w="1348" w:type="dxa"/>
            <w:tcBorders>
              <w:top w:val="nil"/>
              <w:left w:val="nil"/>
              <w:bottom w:val="single" w:sz="4" w:space="0" w:color="auto"/>
              <w:right w:val="single" w:sz="4" w:space="0" w:color="auto"/>
            </w:tcBorders>
            <w:noWrap/>
            <w:vAlign w:val="center"/>
            <w:hideMark/>
          </w:tcPr>
          <w:p w14:paraId="247053B9" w14:textId="77777777" w:rsidR="004115A6" w:rsidRPr="004115A6" w:rsidRDefault="004115A6" w:rsidP="004115A6">
            <w:pPr>
              <w:pStyle w:val="Tables"/>
            </w:pPr>
            <w:r w:rsidRPr="004115A6">
              <w:t>128.92</w:t>
            </w:r>
          </w:p>
        </w:tc>
        <w:tc>
          <w:tcPr>
            <w:tcW w:w="1119" w:type="dxa"/>
            <w:tcBorders>
              <w:top w:val="nil"/>
              <w:left w:val="nil"/>
              <w:bottom w:val="single" w:sz="4" w:space="0" w:color="auto"/>
              <w:right w:val="single" w:sz="4" w:space="0" w:color="auto"/>
            </w:tcBorders>
            <w:noWrap/>
            <w:vAlign w:val="center"/>
            <w:hideMark/>
          </w:tcPr>
          <w:p w14:paraId="0448A838" w14:textId="77777777" w:rsidR="004115A6" w:rsidRPr="004115A6" w:rsidRDefault="004115A6" w:rsidP="004115A6">
            <w:pPr>
              <w:pStyle w:val="Tables"/>
            </w:pPr>
            <w:r w:rsidRPr="004115A6">
              <w:t>29.4</w:t>
            </w:r>
          </w:p>
        </w:tc>
      </w:tr>
      <w:tr w:rsidR="004115A6" w:rsidRPr="004115A6" w14:paraId="4C5BD36A" w14:textId="77777777" w:rsidTr="00E23521">
        <w:trPr>
          <w:trHeight w:val="397"/>
          <w:jc w:val="center"/>
        </w:trPr>
        <w:tc>
          <w:tcPr>
            <w:tcW w:w="3020" w:type="dxa"/>
            <w:tcBorders>
              <w:top w:val="nil"/>
              <w:left w:val="single" w:sz="4" w:space="0" w:color="auto"/>
              <w:bottom w:val="single" w:sz="4" w:space="0" w:color="auto"/>
              <w:right w:val="single" w:sz="4" w:space="0" w:color="auto"/>
            </w:tcBorders>
            <w:noWrap/>
            <w:vAlign w:val="center"/>
            <w:hideMark/>
          </w:tcPr>
          <w:p w14:paraId="69C70A51" w14:textId="77777777" w:rsidR="004115A6" w:rsidRPr="004115A6" w:rsidRDefault="004115A6" w:rsidP="00E23521">
            <w:pPr>
              <w:pStyle w:val="Tables"/>
              <w:ind w:left="720"/>
              <w:jc w:val="left"/>
            </w:pPr>
            <w:r w:rsidRPr="004115A6">
              <w:t>Education</w:t>
            </w:r>
          </w:p>
        </w:tc>
        <w:tc>
          <w:tcPr>
            <w:tcW w:w="1370" w:type="dxa"/>
            <w:tcBorders>
              <w:top w:val="nil"/>
              <w:left w:val="nil"/>
              <w:bottom w:val="single" w:sz="4" w:space="0" w:color="auto"/>
              <w:right w:val="single" w:sz="4" w:space="0" w:color="auto"/>
            </w:tcBorders>
            <w:noWrap/>
            <w:vAlign w:val="center"/>
            <w:hideMark/>
          </w:tcPr>
          <w:p w14:paraId="13E3ADA7" w14:textId="77777777" w:rsidR="004115A6" w:rsidRPr="004115A6" w:rsidRDefault="004115A6" w:rsidP="004115A6">
            <w:pPr>
              <w:pStyle w:val="Tables"/>
            </w:pPr>
            <w:r w:rsidRPr="004115A6">
              <w:t>57.91</w:t>
            </w:r>
          </w:p>
        </w:tc>
        <w:tc>
          <w:tcPr>
            <w:tcW w:w="1097" w:type="dxa"/>
            <w:tcBorders>
              <w:top w:val="nil"/>
              <w:left w:val="nil"/>
              <w:bottom w:val="single" w:sz="4" w:space="0" w:color="auto"/>
              <w:right w:val="single" w:sz="4" w:space="0" w:color="auto"/>
            </w:tcBorders>
            <w:noWrap/>
            <w:vAlign w:val="center"/>
            <w:hideMark/>
          </w:tcPr>
          <w:p w14:paraId="2089AC8C" w14:textId="77777777" w:rsidR="004115A6" w:rsidRPr="004115A6" w:rsidRDefault="004115A6" w:rsidP="004115A6">
            <w:pPr>
              <w:pStyle w:val="Tables"/>
            </w:pPr>
            <w:r w:rsidRPr="004115A6">
              <w:t>15.1</w:t>
            </w:r>
          </w:p>
        </w:tc>
        <w:tc>
          <w:tcPr>
            <w:tcW w:w="1348" w:type="dxa"/>
            <w:tcBorders>
              <w:top w:val="nil"/>
              <w:left w:val="nil"/>
              <w:bottom w:val="single" w:sz="4" w:space="0" w:color="auto"/>
              <w:right w:val="single" w:sz="4" w:space="0" w:color="auto"/>
            </w:tcBorders>
            <w:noWrap/>
            <w:vAlign w:val="center"/>
            <w:hideMark/>
          </w:tcPr>
          <w:p w14:paraId="5CAD3845" w14:textId="77777777" w:rsidR="004115A6" w:rsidRPr="004115A6" w:rsidRDefault="004115A6" w:rsidP="004115A6">
            <w:pPr>
              <w:pStyle w:val="Tables"/>
            </w:pPr>
            <w:r w:rsidRPr="004115A6">
              <w:t>60.18</w:t>
            </w:r>
          </w:p>
        </w:tc>
        <w:tc>
          <w:tcPr>
            <w:tcW w:w="1119" w:type="dxa"/>
            <w:tcBorders>
              <w:top w:val="nil"/>
              <w:left w:val="nil"/>
              <w:bottom w:val="single" w:sz="4" w:space="0" w:color="auto"/>
              <w:right w:val="single" w:sz="4" w:space="0" w:color="auto"/>
            </w:tcBorders>
            <w:noWrap/>
            <w:vAlign w:val="center"/>
            <w:hideMark/>
          </w:tcPr>
          <w:p w14:paraId="7C549EDB" w14:textId="2F0727E2" w:rsidR="004115A6" w:rsidRPr="004115A6" w:rsidRDefault="004115A6" w:rsidP="004115A6">
            <w:pPr>
              <w:pStyle w:val="Tables"/>
            </w:pPr>
            <w:r w:rsidRPr="004115A6">
              <w:t>15</w:t>
            </w:r>
            <w:r w:rsidR="00C36560">
              <w:t>.0</w:t>
            </w:r>
          </w:p>
        </w:tc>
        <w:tc>
          <w:tcPr>
            <w:tcW w:w="1348" w:type="dxa"/>
            <w:tcBorders>
              <w:top w:val="nil"/>
              <w:left w:val="nil"/>
              <w:bottom w:val="single" w:sz="4" w:space="0" w:color="auto"/>
              <w:right w:val="single" w:sz="4" w:space="0" w:color="auto"/>
            </w:tcBorders>
            <w:noWrap/>
            <w:vAlign w:val="center"/>
            <w:hideMark/>
          </w:tcPr>
          <w:p w14:paraId="555F380F" w14:textId="77777777" w:rsidR="004115A6" w:rsidRPr="004115A6" w:rsidRDefault="004115A6" w:rsidP="004115A6">
            <w:pPr>
              <w:pStyle w:val="Tables"/>
            </w:pPr>
            <w:r w:rsidRPr="004115A6">
              <w:t>67.02</w:t>
            </w:r>
          </w:p>
        </w:tc>
        <w:tc>
          <w:tcPr>
            <w:tcW w:w="1119" w:type="dxa"/>
            <w:tcBorders>
              <w:top w:val="nil"/>
              <w:left w:val="nil"/>
              <w:bottom w:val="single" w:sz="4" w:space="0" w:color="auto"/>
              <w:right w:val="single" w:sz="4" w:space="0" w:color="auto"/>
            </w:tcBorders>
            <w:noWrap/>
            <w:vAlign w:val="center"/>
            <w:hideMark/>
          </w:tcPr>
          <w:p w14:paraId="40F68512" w14:textId="77777777" w:rsidR="004115A6" w:rsidRPr="004115A6" w:rsidRDefault="004115A6" w:rsidP="004115A6">
            <w:pPr>
              <w:pStyle w:val="Tables"/>
            </w:pPr>
            <w:r w:rsidRPr="004115A6">
              <w:t>15.3</w:t>
            </w:r>
          </w:p>
        </w:tc>
      </w:tr>
      <w:tr w:rsidR="004115A6" w:rsidRPr="004115A6" w14:paraId="7256E8B5" w14:textId="77777777" w:rsidTr="00E23521">
        <w:trPr>
          <w:trHeight w:val="397"/>
          <w:jc w:val="center"/>
        </w:trPr>
        <w:tc>
          <w:tcPr>
            <w:tcW w:w="3020" w:type="dxa"/>
            <w:tcBorders>
              <w:top w:val="nil"/>
              <w:left w:val="single" w:sz="4" w:space="0" w:color="auto"/>
              <w:bottom w:val="single" w:sz="4" w:space="0" w:color="auto"/>
              <w:right w:val="single" w:sz="4" w:space="0" w:color="auto"/>
            </w:tcBorders>
            <w:noWrap/>
            <w:vAlign w:val="center"/>
            <w:hideMark/>
          </w:tcPr>
          <w:p w14:paraId="79CA551B" w14:textId="77777777" w:rsidR="004115A6" w:rsidRPr="004115A6" w:rsidRDefault="004115A6" w:rsidP="00E23521">
            <w:pPr>
              <w:pStyle w:val="Tables"/>
              <w:ind w:left="720"/>
              <w:jc w:val="left"/>
            </w:pPr>
            <w:r w:rsidRPr="004115A6">
              <w:t>Medical and Public Health</w:t>
            </w:r>
          </w:p>
        </w:tc>
        <w:tc>
          <w:tcPr>
            <w:tcW w:w="1370" w:type="dxa"/>
            <w:tcBorders>
              <w:top w:val="nil"/>
              <w:left w:val="nil"/>
              <w:bottom w:val="single" w:sz="4" w:space="0" w:color="auto"/>
              <w:right w:val="single" w:sz="4" w:space="0" w:color="auto"/>
            </w:tcBorders>
            <w:noWrap/>
            <w:vAlign w:val="center"/>
            <w:hideMark/>
          </w:tcPr>
          <w:p w14:paraId="622FF793" w14:textId="725DEDEA" w:rsidR="004115A6" w:rsidRPr="004115A6" w:rsidRDefault="004115A6" w:rsidP="004115A6">
            <w:pPr>
              <w:pStyle w:val="Tables"/>
            </w:pPr>
            <w:r w:rsidRPr="004115A6">
              <w:t>26.1</w:t>
            </w:r>
            <w:r w:rsidR="00C36560">
              <w:t>0</w:t>
            </w:r>
          </w:p>
        </w:tc>
        <w:tc>
          <w:tcPr>
            <w:tcW w:w="1097" w:type="dxa"/>
            <w:tcBorders>
              <w:top w:val="nil"/>
              <w:left w:val="nil"/>
              <w:bottom w:val="single" w:sz="4" w:space="0" w:color="auto"/>
              <w:right w:val="single" w:sz="4" w:space="0" w:color="auto"/>
            </w:tcBorders>
            <w:noWrap/>
            <w:vAlign w:val="center"/>
            <w:hideMark/>
          </w:tcPr>
          <w:p w14:paraId="6539AB86" w14:textId="77777777" w:rsidR="004115A6" w:rsidRPr="004115A6" w:rsidRDefault="004115A6" w:rsidP="004115A6">
            <w:pPr>
              <w:pStyle w:val="Tables"/>
            </w:pPr>
            <w:r w:rsidRPr="004115A6">
              <w:t>6.8</w:t>
            </w:r>
          </w:p>
        </w:tc>
        <w:tc>
          <w:tcPr>
            <w:tcW w:w="1348" w:type="dxa"/>
            <w:tcBorders>
              <w:top w:val="nil"/>
              <w:left w:val="nil"/>
              <w:bottom w:val="single" w:sz="4" w:space="0" w:color="auto"/>
              <w:right w:val="single" w:sz="4" w:space="0" w:color="auto"/>
            </w:tcBorders>
            <w:noWrap/>
            <w:vAlign w:val="center"/>
            <w:hideMark/>
          </w:tcPr>
          <w:p w14:paraId="70762DCF" w14:textId="77777777" w:rsidR="004115A6" w:rsidRPr="004115A6" w:rsidRDefault="004115A6" w:rsidP="004115A6">
            <w:pPr>
              <w:pStyle w:val="Tables"/>
            </w:pPr>
            <w:r w:rsidRPr="004115A6">
              <w:t>28.88</w:t>
            </w:r>
          </w:p>
        </w:tc>
        <w:tc>
          <w:tcPr>
            <w:tcW w:w="1119" w:type="dxa"/>
            <w:tcBorders>
              <w:top w:val="nil"/>
              <w:left w:val="nil"/>
              <w:bottom w:val="single" w:sz="4" w:space="0" w:color="auto"/>
              <w:right w:val="single" w:sz="4" w:space="0" w:color="auto"/>
            </w:tcBorders>
            <w:noWrap/>
            <w:vAlign w:val="center"/>
            <w:hideMark/>
          </w:tcPr>
          <w:p w14:paraId="00C86141" w14:textId="77777777" w:rsidR="004115A6" w:rsidRPr="004115A6" w:rsidRDefault="004115A6" w:rsidP="004115A6">
            <w:pPr>
              <w:pStyle w:val="Tables"/>
            </w:pPr>
            <w:r w:rsidRPr="004115A6">
              <w:t>7.2</w:t>
            </w:r>
          </w:p>
        </w:tc>
        <w:tc>
          <w:tcPr>
            <w:tcW w:w="1348" w:type="dxa"/>
            <w:tcBorders>
              <w:top w:val="nil"/>
              <w:left w:val="nil"/>
              <w:bottom w:val="single" w:sz="4" w:space="0" w:color="auto"/>
              <w:right w:val="single" w:sz="4" w:space="0" w:color="auto"/>
            </w:tcBorders>
            <w:noWrap/>
            <w:vAlign w:val="center"/>
            <w:hideMark/>
          </w:tcPr>
          <w:p w14:paraId="2247A241" w14:textId="77777777" w:rsidR="004115A6" w:rsidRPr="004115A6" w:rsidRDefault="004115A6" w:rsidP="004115A6">
            <w:pPr>
              <w:pStyle w:val="Tables"/>
            </w:pPr>
            <w:r w:rsidRPr="004115A6">
              <w:t>31.26</w:t>
            </w:r>
          </w:p>
        </w:tc>
        <w:tc>
          <w:tcPr>
            <w:tcW w:w="1119" w:type="dxa"/>
            <w:tcBorders>
              <w:top w:val="nil"/>
              <w:left w:val="nil"/>
              <w:bottom w:val="single" w:sz="4" w:space="0" w:color="auto"/>
              <w:right w:val="single" w:sz="4" w:space="0" w:color="auto"/>
            </w:tcBorders>
            <w:noWrap/>
            <w:vAlign w:val="center"/>
            <w:hideMark/>
          </w:tcPr>
          <w:p w14:paraId="31284E77" w14:textId="77777777" w:rsidR="004115A6" w:rsidRPr="004115A6" w:rsidRDefault="004115A6" w:rsidP="004115A6">
            <w:pPr>
              <w:pStyle w:val="Tables"/>
            </w:pPr>
            <w:r w:rsidRPr="004115A6">
              <w:t>7.1</w:t>
            </w:r>
          </w:p>
        </w:tc>
      </w:tr>
      <w:tr w:rsidR="004115A6" w:rsidRPr="004115A6" w14:paraId="7D0CC148" w14:textId="77777777" w:rsidTr="00E23521">
        <w:trPr>
          <w:trHeight w:val="397"/>
          <w:jc w:val="center"/>
        </w:trPr>
        <w:tc>
          <w:tcPr>
            <w:tcW w:w="3020" w:type="dxa"/>
            <w:tcBorders>
              <w:top w:val="nil"/>
              <w:left w:val="single" w:sz="4" w:space="0" w:color="auto"/>
              <w:bottom w:val="single" w:sz="4" w:space="0" w:color="auto"/>
              <w:right w:val="single" w:sz="4" w:space="0" w:color="auto"/>
            </w:tcBorders>
            <w:noWrap/>
            <w:vAlign w:val="center"/>
            <w:hideMark/>
          </w:tcPr>
          <w:p w14:paraId="0B2A562A" w14:textId="77777777" w:rsidR="004115A6" w:rsidRPr="004115A6" w:rsidRDefault="004115A6" w:rsidP="00E23521">
            <w:pPr>
              <w:pStyle w:val="Tables"/>
              <w:jc w:val="left"/>
            </w:pPr>
            <w:r w:rsidRPr="004115A6">
              <w:t>Civil Works</w:t>
            </w:r>
          </w:p>
        </w:tc>
        <w:tc>
          <w:tcPr>
            <w:tcW w:w="1370" w:type="dxa"/>
            <w:tcBorders>
              <w:top w:val="nil"/>
              <w:left w:val="nil"/>
              <w:bottom w:val="single" w:sz="4" w:space="0" w:color="auto"/>
              <w:right w:val="single" w:sz="4" w:space="0" w:color="auto"/>
            </w:tcBorders>
            <w:noWrap/>
            <w:vAlign w:val="center"/>
            <w:hideMark/>
          </w:tcPr>
          <w:p w14:paraId="7238426D" w14:textId="77777777" w:rsidR="004115A6" w:rsidRPr="004115A6" w:rsidRDefault="004115A6" w:rsidP="004115A6">
            <w:pPr>
              <w:pStyle w:val="Tables"/>
            </w:pPr>
            <w:r w:rsidRPr="004115A6">
              <w:t>40.99</w:t>
            </w:r>
          </w:p>
        </w:tc>
        <w:tc>
          <w:tcPr>
            <w:tcW w:w="1097" w:type="dxa"/>
            <w:tcBorders>
              <w:top w:val="nil"/>
              <w:left w:val="nil"/>
              <w:bottom w:val="single" w:sz="4" w:space="0" w:color="auto"/>
              <w:right w:val="single" w:sz="4" w:space="0" w:color="auto"/>
            </w:tcBorders>
            <w:noWrap/>
            <w:vAlign w:val="center"/>
            <w:hideMark/>
          </w:tcPr>
          <w:p w14:paraId="73594023" w14:textId="77777777" w:rsidR="004115A6" w:rsidRPr="004115A6" w:rsidRDefault="004115A6" w:rsidP="004115A6">
            <w:pPr>
              <w:pStyle w:val="Tables"/>
            </w:pPr>
            <w:r w:rsidRPr="004115A6">
              <w:t>10.7</w:t>
            </w:r>
          </w:p>
        </w:tc>
        <w:tc>
          <w:tcPr>
            <w:tcW w:w="1348" w:type="dxa"/>
            <w:tcBorders>
              <w:top w:val="nil"/>
              <w:left w:val="nil"/>
              <w:bottom w:val="single" w:sz="4" w:space="0" w:color="auto"/>
              <w:right w:val="single" w:sz="4" w:space="0" w:color="auto"/>
            </w:tcBorders>
            <w:noWrap/>
            <w:vAlign w:val="center"/>
            <w:hideMark/>
          </w:tcPr>
          <w:p w14:paraId="41FE7853" w14:textId="77777777" w:rsidR="004115A6" w:rsidRPr="004115A6" w:rsidRDefault="004115A6" w:rsidP="004115A6">
            <w:pPr>
              <w:pStyle w:val="Tables"/>
            </w:pPr>
            <w:r w:rsidRPr="004115A6">
              <w:t>43.02</w:t>
            </w:r>
          </w:p>
        </w:tc>
        <w:tc>
          <w:tcPr>
            <w:tcW w:w="1119" w:type="dxa"/>
            <w:tcBorders>
              <w:top w:val="nil"/>
              <w:left w:val="nil"/>
              <w:bottom w:val="single" w:sz="4" w:space="0" w:color="auto"/>
              <w:right w:val="single" w:sz="4" w:space="0" w:color="auto"/>
            </w:tcBorders>
            <w:noWrap/>
            <w:vAlign w:val="center"/>
            <w:hideMark/>
          </w:tcPr>
          <w:p w14:paraId="5A5ADA7F" w14:textId="77777777" w:rsidR="004115A6" w:rsidRPr="004115A6" w:rsidRDefault="004115A6" w:rsidP="004115A6">
            <w:pPr>
              <w:pStyle w:val="Tables"/>
            </w:pPr>
            <w:r w:rsidRPr="004115A6">
              <w:t>10.7</w:t>
            </w:r>
          </w:p>
        </w:tc>
        <w:tc>
          <w:tcPr>
            <w:tcW w:w="1348" w:type="dxa"/>
            <w:tcBorders>
              <w:top w:val="nil"/>
              <w:left w:val="nil"/>
              <w:bottom w:val="single" w:sz="4" w:space="0" w:color="auto"/>
              <w:right w:val="single" w:sz="4" w:space="0" w:color="auto"/>
            </w:tcBorders>
            <w:noWrap/>
            <w:vAlign w:val="center"/>
            <w:hideMark/>
          </w:tcPr>
          <w:p w14:paraId="6A7D2BE0" w14:textId="77777777" w:rsidR="004115A6" w:rsidRPr="004115A6" w:rsidRDefault="004115A6" w:rsidP="004115A6">
            <w:pPr>
              <w:pStyle w:val="Tables"/>
            </w:pPr>
            <w:r w:rsidRPr="004115A6">
              <w:t>56.29</w:t>
            </w:r>
          </w:p>
        </w:tc>
        <w:tc>
          <w:tcPr>
            <w:tcW w:w="1119" w:type="dxa"/>
            <w:tcBorders>
              <w:top w:val="nil"/>
              <w:left w:val="nil"/>
              <w:bottom w:val="single" w:sz="4" w:space="0" w:color="auto"/>
              <w:right w:val="single" w:sz="4" w:space="0" w:color="auto"/>
            </w:tcBorders>
            <w:noWrap/>
            <w:vAlign w:val="center"/>
            <w:hideMark/>
          </w:tcPr>
          <w:p w14:paraId="5F09263C" w14:textId="77777777" w:rsidR="004115A6" w:rsidRPr="004115A6" w:rsidRDefault="004115A6" w:rsidP="004115A6">
            <w:pPr>
              <w:pStyle w:val="Tables"/>
            </w:pPr>
            <w:r w:rsidRPr="004115A6">
              <w:t>12.9</w:t>
            </w:r>
          </w:p>
        </w:tc>
      </w:tr>
    </w:tbl>
    <w:p w14:paraId="71DD6E14" w14:textId="77777777" w:rsidR="004115A6" w:rsidRDefault="00C62E12" w:rsidP="004115A6">
      <w:pPr>
        <w:pStyle w:val="Sources"/>
      </w:pPr>
      <w:r w:rsidRPr="000A6E2D">
        <w:t>“Administrative Services" include General Administration, Administration of Justice,</w:t>
      </w:r>
      <w:r w:rsidR="004115A6">
        <w:t xml:space="preserve"> </w:t>
      </w:r>
      <w:r w:rsidR="004115A6" w:rsidRPr="000A6E2D">
        <w:t>Jails and Convict Settlements, Police and Ports and Pilotage.</w:t>
      </w:r>
    </w:p>
    <w:p w14:paraId="60BF22B6" w14:textId="56D4E01D" w:rsidR="004115A6" w:rsidRDefault="00C62E12" w:rsidP="004115A6">
      <w:pPr>
        <w:pStyle w:val="Sources"/>
      </w:pPr>
      <w:r w:rsidRPr="000A6E2D">
        <w:t>"Social Services" include Scientific Departments, Education, Medical, Public Health,</w:t>
      </w:r>
      <w:r w:rsidR="004115A6">
        <w:t xml:space="preserve"> </w:t>
      </w:r>
      <w:r w:rsidR="004115A6" w:rsidRPr="000A6E2D">
        <w:t>Agriculture, Veterinary and Co-operation.</w:t>
      </w:r>
    </w:p>
    <w:p w14:paraId="50A8CC81" w14:textId="1FA37803" w:rsidR="002F6F26" w:rsidRPr="000A6E2D" w:rsidRDefault="00C62E12" w:rsidP="004115A6">
      <w:pPr>
        <w:pStyle w:val="Sources"/>
      </w:pPr>
      <w:r w:rsidRPr="000A6E2D">
        <w:t>(a) Including interest on capital in respect of irrigation, electricity schemes, other</w:t>
      </w:r>
      <w:r w:rsidR="004115A6">
        <w:t xml:space="preserve"> </w:t>
      </w:r>
      <w:r w:rsidR="004115A6" w:rsidRPr="000A6E2D">
        <w:t>Government Commercial Departments and undertakings, forests, etc.</w:t>
      </w:r>
    </w:p>
    <w:p w14:paraId="40F54706" w14:textId="77777777" w:rsidR="00C62E12" w:rsidRPr="000A6E2D" w:rsidRDefault="00C62E12" w:rsidP="000A6E2D">
      <w:pPr>
        <w:pStyle w:val="NoSpacing"/>
        <w:spacing w:line="380" w:lineRule="exact"/>
        <w:jc w:val="both"/>
        <w:rPr>
          <w:rFonts w:ascii="Times New Roman" w:hAnsi="Times New Roman" w:cs="Times New Roman"/>
          <w:sz w:val="28"/>
          <w:szCs w:val="28"/>
        </w:rPr>
      </w:pPr>
    </w:p>
    <w:p w14:paraId="773ACE22" w14:textId="03D15B01" w:rsidR="002A6022" w:rsidRPr="000A6E2D" w:rsidRDefault="002A6022" w:rsidP="00EE0179">
      <w:pPr>
        <w:pStyle w:val="ListParagraph"/>
        <w:numPr>
          <w:ilvl w:val="0"/>
          <w:numId w:val="29"/>
        </w:numPr>
        <w:spacing w:after="0" w:line="520" w:lineRule="exact"/>
        <w:ind w:left="0" w:firstLine="556"/>
        <w:jc w:val="both"/>
        <w:rPr>
          <w:rFonts w:ascii="Times New Roman" w:hAnsi="Times New Roman" w:cs="Times New Roman"/>
          <w:sz w:val="28"/>
          <w:szCs w:val="28"/>
        </w:rPr>
      </w:pPr>
      <w:r w:rsidRPr="000A6E2D">
        <w:rPr>
          <w:rFonts w:ascii="Times New Roman" w:hAnsi="Times New Roman" w:cs="Times New Roman"/>
          <w:sz w:val="28"/>
          <w:szCs w:val="28"/>
        </w:rPr>
        <w:t xml:space="preserve">The foregoing figures of expenditure indicate that expenditure on social services is somewhat larger than on administrative services: education and police each accounts for about one-half of the expenditure in respect of these two categories of services respectively. A reference to table 7 of Appendix IX will indicate that while administrative services represent a somewhat larger share of expenditure in Part A States than in Part B States, the share of tax collection costs is more in Part B States. The percentage share of administrative services in total expenditure is relatively high </w:t>
      </w:r>
      <w:r w:rsidRPr="000A6E2D">
        <w:rPr>
          <w:rFonts w:ascii="Times New Roman" w:hAnsi="Times New Roman" w:cs="Times New Roman"/>
          <w:sz w:val="28"/>
          <w:szCs w:val="28"/>
        </w:rPr>
        <w:lastRenderedPageBreak/>
        <w:t>for Saurashtra, Punjab, Patiala and East Punjab States Union and Rajasthan, while in respect of social services, Mysore has the highest percentage share of all.</w:t>
      </w:r>
    </w:p>
    <w:p w14:paraId="2602EA82" w14:textId="15A51993" w:rsidR="002A6022" w:rsidRPr="000A6E2D" w:rsidRDefault="002A6022" w:rsidP="00EE0179">
      <w:pPr>
        <w:pStyle w:val="ListParagraph"/>
        <w:numPr>
          <w:ilvl w:val="0"/>
          <w:numId w:val="29"/>
        </w:numPr>
        <w:spacing w:after="0" w:line="520" w:lineRule="exact"/>
        <w:ind w:left="0" w:firstLine="556"/>
        <w:jc w:val="both"/>
        <w:rPr>
          <w:rFonts w:ascii="Times New Roman" w:hAnsi="Times New Roman" w:cs="Times New Roman"/>
          <w:sz w:val="28"/>
          <w:szCs w:val="28"/>
        </w:rPr>
      </w:pPr>
      <w:r w:rsidRPr="004115A6">
        <w:rPr>
          <w:rFonts w:ascii="Times New Roman" w:hAnsi="Times New Roman" w:cs="Times New Roman"/>
          <w:i/>
          <w:iCs/>
          <w:sz w:val="28"/>
          <w:szCs w:val="28"/>
        </w:rPr>
        <w:t>General picture of Public Revenue.—</w:t>
      </w:r>
      <w:r w:rsidRPr="000A6E2D">
        <w:rPr>
          <w:rFonts w:ascii="Times New Roman" w:hAnsi="Times New Roman" w:cs="Times New Roman"/>
          <w:sz w:val="28"/>
          <w:szCs w:val="28"/>
        </w:rPr>
        <w:t>The following table gives the composition of the combined Central and State revenue according to main heads.</w:t>
      </w:r>
    </w:p>
    <w:p w14:paraId="53E1A0CD" w14:textId="77777777" w:rsidR="00EE0179" w:rsidRDefault="002A6022" w:rsidP="004115A6">
      <w:pPr>
        <w:pStyle w:val="NoSpacing"/>
        <w:spacing w:line="380" w:lineRule="exact"/>
        <w:jc w:val="center"/>
        <w:rPr>
          <w:rFonts w:ascii="Times New Roman" w:hAnsi="Times New Roman" w:cs="Times New Roman"/>
          <w:sz w:val="28"/>
          <w:szCs w:val="28"/>
        </w:rPr>
      </w:pPr>
      <w:r w:rsidRPr="004115A6">
        <w:rPr>
          <w:rFonts w:ascii="Times New Roman" w:hAnsi="Times New Roman" w:cs="Times New Roman"/>
          <w:sz w:val="28"/>
          <w:szCs w:val="28"/>
        </w:rPr>
        <w:t>PRINCIPAL HEADS OF REVENUE</w:t>
      </w:r>
      <w:r w:rsidRPr="004115A6">
        <w:rPr>
          <w:rFonts w:ascii="Times New Roman" w:hAnsi="Times New Roman" w:cs="Times New Roman"/>
          <w:sz w:val="28"/>
          <w:szCs w:val="28"/>
        </w:rPr>
        <w:br/>
        <w:t>(Central and State)</w:t>
      </w:r>
      <w:r w:rsidRPr="004115A6">
        <w:rPr>
          <w:rFonts w:ascii="Times New Roman" w:hAnsi="Times New Roman" w:cs="Times New Roman"/>
          <w:sz w:val="28"/>
          <w:szCs w:val="28"/>
        </w:rPr>
        <w:br/>
      </w:r>
    </w:p>
    <w:p w14:paraId="40F677B3" w14:textId="77777777" w:rsidR="00EE0179" w:rsidRDefault="00EE0179" w:rsidP="004115A6">
      <w:pPr>
        <w:pStyle w:val="NoSpacing"/>
        <w:spacing w:line="380" w:lineRule="exact"/>
        <w:jc w:val="center"/>
        <w:rPr>
          <w:rFonts w:ascii="Times New Roman" w:hAnsi="Times New Roman" w:cs="Times New Roman"/>
          <w:sz w:val="28"/>
          <w:szCs w:val="28"/>
        </w:rPr>
      </w:pPr>
    </w:p>
    <w:p w14:paraId="622EC3C2" w14:textId="11E2B2EA" w:rsidR="00C62E12" w:rsidRDefault="002A6022" w:rsidP="004115A6">
      <w:pPr>
        <w:pStyle w:val="NoSpacing"/>
        <w:spacing w:line="380" w:lineRule="exact"/>
        <w:jc w:val="center"/>
        <w:rPr>
          <w:rFonts w:ascii="Times New Roman" w:hAnsi="Times New Roman" w:cs="Times New Roman"/>
          <w:sz w:val="28"/>
          <w:szCs w:val="28"/>
        </w:rPr>
      </w:pPr>
      <w:r w:rsidRPr="004115A6">
        <w:rPr>
          <w:rFonts w:ascii="Times New Roman" w:hAnsi="Times New Roman" w:cs="Times New Roman"/>
          <w:sz w:val="28"/>
          <w:szCs w:val="28"/>
        </w:rPr>
        <w:t>A.—T</w:t>
      </w:r>
      <w:r w:rsidR="004115A6">
        <w:rPr>
          <w:rFonts w:ascii="Times New Roman" w:hAnsi="Times New Roman" w:cs="Times New Roman"/>
          <w:sz w:val="28"/>
          <w:szCs w:val="28"/>
        </w:rPr>
        <w:t>OTAL REVENUE</w:t>
      </w:r>
    </w:p>
    <w:p w14:paraId="6CD52243" w14:textId="77777777" w:rsidR="004115A6" w:rsidRPr="004115A6" w:rsidRDefault="004115A6" w:rsidP="004115A6">
      <w:pPr>
        <w:pStyle w:val="NoSpacing"/>
        <w:spacing w:line="380" w:lineRule="exact"/>
        <w:jc w:val="center"/>
        <w:rPr>
          <w:rFonts w:ascii="Times New Roman" w:hAnsi="Times New Roman" w:cs="Times New Roman"/>
          <w:sz w:val="28"/>
          <w:szCs w:val="28"/>
        </w:rPr>
      </w:pPr>
    </w:p>
    <w:tbl>
      <w:tblPr>
        <w:tblStyle w:val="TableGrid"/>
        <w:tblW w:w="10243" w:type="dxa"/>
        <w:jc w:val="center"/>
        <w:tblLook w:val="04A0" w:firstRow="1" w:lastRow="0" w:firstColumn="1" w:lastColumn="0" w:noHBand="0" w:noVBand="1"/>
      </w:tblPr>
      <w:tblGrid>
        <w:gridCol w:w="2263"/>
        <w:gridCol w:w="1418"/>
        <w:gridCol w:w="1417"/>
        <w:gridCol w:w="1418"/>
        <w:gridCol w:w="1137"/>
        <w:gridCol w:w="1438"/>
        <w:gridCol w:w="1152"/>
      </w:tblGrid>
      <w:tr w:rsidR="00724782" w:rsidRPr="000A6E2D" w14:paraId="4278D2B2" w14:textId="77777777" w:rsidTr="00E23521">
        <w:trPr>
          <w:trHeight w:val="397"/>
          <w:jc w:val="center"/>
        </w:trPr>
        <w:tc>
          <w:tcPr>
            <w:tcW w:w="2263" w:type="dxa"/>
            <w:vAlign w:val="center"/>
          </w:tcPr>
          <w:p w14:paraId="4A133A7A" w14:textId="77777777" w:rsidR="00724782" w:rsidRPr="00E23521" w:rsidRDefault="00724782" w:rsidP="004115A6">
            <w:pPr>
              <w:pStyle w:val="Tables"/>
              <w:rPr>
                <w:b/>
                <w:bCs/>
              </w:rPr>
            </w:pPr>
          </w:p>
        </w:tc>
        <w:tc>
          <w:tcPr>
            <w:tcW w:w="2835" w:type="dxa"/>
            <w:gridSpan w:val="2"/>
            <w:vAlign w:val="center"/>
          </w:tcPr>
          <w:p w14:paraId="37D9DDBA" w14:textId="0B81E3C3" w:rsidR="00724782" w:rsidRPr="00E23521" w:rsidRDefault="00724782" w:rsidP="004115A6">
            <w:pPr>
              <w:pStyle w:val="Tables"/>
              <w:rPr>
                <w:b/>
                <w:bCs/>
              </w:rPr>
            </w:pPr>
            <w:r w:rsidRPr="00E23521">
              <w:rPr>
                <w:b/>
                <w:bCs/>
              </w:rPr>
              <w:t>1950-51</w:t>
            </w:r>
          </w:p>
        </w:tc>
        <w:tc>
          <w:tcPr>
            <w:tcW w:w="2555" w:type="dxa"/>
            <w:gridSpan w:val="2"/>
            <w:vAlign w:val="center"/>
          </w:tcPr>
          <w:p w14:paraId="19C6259F" w14:textId="2579E1F7" w:rsidR="00724782" w:rsidRPr="00E23521" w:rsidRDefault="00724782" w:rsidP="004115A6">
            <w:pPr>
              <w:pStyle w:val="Tables"/>
              <w:rPr>
                <w:b/>
                <w:bCs/>
              </w:rPr>
            </w:pPr>
            <w:r w:rsidRPr="00E23521">
              <w:rPr>
                <w:b/>
                <w:bCs/>
              </w:rPr>
              <w:t>1951-52</w:t>
            </w:r>
          </w:p>
        </w:tc>
        <w:tc>
          <w:tcPr>
            <w:tcW w:w="0" w:type="auto"/>
            <w:gridSpan w:val="2"/>
            <w:vAlign w:val="center"/>
          </w:tcPr>
          <w:p w14:paraId="0537A31A" w14:textId="4FC2E38B" w:rsidR="00724782" w:rsidRPr="00E23521" w:rsidRDefault="00724782" w:rsidP="004115A6">
            <w:pPr>
              <w:pStyle w:val="Tables"/>
              <w:rPr>
                <w:b/>
                <w:bCs/>
              </w:rPr>
            </w:pPr>
            <w:r w:rsidRPr="00E23521">
              <w:rPr>
                <w:b/>
                <w:bCs/>
              </w:rPr>
              <w:t>1952-53</w:t>
            </w:r>
          </w:p>
        </w:tc>
      </w:tr>
      <w:tr w:rsidR="004115A6" w:rsidRPr="000A6E2D" w14:paraId="4E6EAF65" w14:textId="4C59A778" w:rsidTr="00E23521">
        <w:trPr>
          <w:trHeight w:val="397"/>
          <w:jc w:val="center"/>
        </w:trPr>
        <w:tc>
          <w:tcPr>
            <w:tcW w:w="2263" w:type="dxa"/>
            <w:vAlign w:val="center"/>
            <w:hideMark/>
          </w:tcPr>
          <w:p w14:paraId="64C999F9" w14:textId="77777777" w:rsidR="004115A6" w:rsidRPr="00E23521" w:rsidRDefault="004115A6" w:rsidP="004115A6">
            <w:pPr>
              <w:pStyle w:val="Tables"/>
              <w:rPr>
                <w:b/>
                <w:bCs/>
              </w:rPr>
            </w:pPr>
          </w:p>
        </w:tc>
        <w:tc>
          <w:tcPr>
            <w:tcW w:w="1418" w:type="dxa"/>
            <w:vAlign w:val="center"/>
            <w:hideMark/>
          </w:tcPr>
          <w:p w14:paraId="52952650" w14:textId="668E1533" w:rsidR="004115A6" w:rsidRPr="00E23521" w:rsidRDefault="004115A6" w:rsidP="004115A6">
            <w:pPr>
              <w:pStyle w:val="Tables"/>
              <w:rPr>
                <w:b/>
                <w:bCs/>
              </w:rPr>
            </w:pPr>
            <w:r w:rsidRPr="00E23521">
              <w:rPr>
                <w:b/>
                <w:bCs/>
              </w:rPr>
              <w:t>Rs. Crores</w:t>
            </w:r>
          </w:p>
        </w:tc>
        <w:tc>
          <w:tcPr>
            <w:tcW w:w="1417" w:type="dxa"/>
            <w:vAlign w:val="center"/>
          </w:tcPr>
          <w:p w14:paraId="0F978398" w14:textId="7F026405" w:rsidR="004115A6" w:rsidRPr="00E23521" w:rsidRDefault="004115A6" w:rsidP="004115A6">
            <w:pPr>
              <w:pStyle w:val="Tables"/>
              <w:rPr>
                <w:b/>
                <w:bCs/>
              </w:rPr>
            </w:pPr>
            <w:r w:rsidRPr="00E23521">
              <w:rPr>
                <w:b/>
                <w:bCs/>
              </w:rPr>
              <w:t>Per cent</w:t>
            </w:r>
          </w:p>
        </w:tc>
        <w:tc>
          <w:tcPr>
            <w:tcW w:w="1418" w:type="dxa"/>
            <w:vAlign w:val="center"/>
          </w:tcPr>
          <w:p w14:paraId="4AB0B555" w14:textId="72326A55" w:rsidR="004115A6" w:rsidRPr="00E23521" w:rsidRDefault="004115A6" w:rsidP="004115A6">
            <w:pPr>
              <w:pStyle w:val="Tables"/>
              <w:rPr>
                <w:b/>
                <w:bCs/>
              </w:rPr>
            </w:pPr>
            <w:r w:rsidRPr="00E23521">
              <w:rPr>
                <w:b/>
                <w:bCs/>
              </w:rPr>
              <w:t>Rs. Crores</w:t>
            </w:r>
          </w:p>
        </w:tc>
        <w:tc>
          <w:tcPr>
            <w:tcW w:w="1137" w:type="dxa"/>
            <w:vAlign w:val="center"/>
          </w:tcPr>
          <w:p w14:paraId="10AE7888" w14:textId="13263232" w:rsidR="004115A6" w:rsidRPr="00E23521" w:rsidRDefault="004115A6" w:rsidP="004115A6">
            <w:pPr>
              <w:pStyle w:val="Tables"/>
              <w:rPr>
                <w:b/>
                <w:bCs/>
              </w:rPr>
            </w:pPr>
            <w:r w:rsidRPr="00E23521">
              <w:rPr>
                <w:b/>
                <w:bCs/>
              </w:rPr>
              <w:t>Per cent</w:t>
            </w:r>
          </w:p>
        </w:tc>
        <w:tc>
          <w:tcPr>
            <w:tcW w:w="0" w:type="auto"/>
            <w:vAlign w:val="center"/>
          </w:tcPr>
          <w:p w14:paraId="4217C934" w14:textId="38FC60DD" w:rsidR="004115A6" w:rsidRPr="00E23521" w:rsidRDefault="004115A6" w:rsidP="004115A6">
            <w:pPr>
              <w:pStyle w:val="Tables"/>
              <w:rPr>
                <w:b/>
                <w:bCs/>
              </w:rPr>
            </w:pPr>
            <w:r w:rsidRPr="00E23521">
              <w:rPr>
                <w:b/>
                <w:bCs/>
              </w:rPr>
              <w:t>Rs. Crores</w:t>
            </w:r>
          </w:p>
        </w:tc>
        <w:tc>
          <w:tcPr>
            <w:tcW w:w="0" w:type="auto"/>
            <w:vAlign w:val="center"/>
          </w:tcPr>
          <w:p w14:paraId="267A805C" w14:textId="451CD906" w:rsidR="004115A6" w:rsidRPr="00E23521" w:rsidRDefault="004115A6" w:rsidP="004115A6">
            <w:pPr>
              <w:pStyle w:val="Tables"/>
              <w:rPr>
                <w:b/>
                <w:bCs/>
              </w:rPr>
            </w:pPr>
            <w:r w:rsidRPr="00E23521">
              <w:rPr>
                <w:b/>
                <w:bCs/>
              </w:rPr>
              <w:t>Per cent</w:t>
            </w:r>
          </w:p>
        </w:tc>
      </w:tr>
      <w:tr w:rsidR="004115A6" w:rsidRPr="000A6E2D" w14:paraId="459D5C6C" w14:textId="449B1420" w:rsidTr="00E23521">
        <w:trPr>
          <w:trHeight w:val="397"/>
          <w:jc w:val="center"/>
        </w:trPr>
        <w:tc>
          <w:tcPr>
            <w:tcW w:w="2263" w:type="dxa"/>
            <w:vAlign w:val="center"/>
            <w:hideMark/>
          </w:tcPr>
          <w:p w14:paraId="074B8F62" w14:textId="77777777" w:rsidR="004115A6" w:rsidRPr="000A6E2D" w:rsidRDefault="004115A6" w:rsidP="00E23521">
            <w:pPr>
              <w:pStyle w:val="Tables"/>
              <w:jc w:val="left"/>
            </w:pPr>
            <w:r w:rsidRPr="000A6E2D">
              <w:t>Total Revenue</w:t>
            </w:r>
          </w:p>
        </w:tc>
        <w:tc>
          <w:tcPr>
            <w:tcW w:w="1418" w:type="dxa"/>
            <w:vAlign w:val="center"/>
            <w:hideMark/>
          </w:tcPr>
          <w:p w14:paraId="78C86655" w14:textId="77777777" w:rsidR="004115A6" w:rsidRPr="000A6E2D" w:rsidRDefault="004115A6" w:rsidP="004115A6">
            <w:pPr>
              <w:pStyle w:val="Tables"/>
            </w:pPr>
            <w:r w:rsidRPr="000A6E2D">
              <w:t>755.08</w:t>
            </w:r>
          </w:p>
        </w:tc>
        <w:tc>
          <w:tcPr>
            <w:tcW w:w="1417" w:type="dxa"/>
            <w:vAlign w:val="center"/>
            <w:hideMark/>
          </w:tcPr>
          <w:p w14:paraId="3B0AD2E0" w14:textId="77777777" w:rsidR="004115A6" w:rsidRPr="000A6E2D" w:rsidRDefault="004115A6" w:rsidP="004115A6">
            <w:pPr>
              <w:pStyle w:val="Tables"/>
            </w:pPr>
            <w:r w:rsidRPr="000A6E2D">
              <w:t>100</w:t>
            </w:r>
          </w:p>
        </w:tc>
        <w:tc>
          <w:tcPr>
            <w:tcW w:w="1418" w:type="dxa"/>
            <w:vAlign w:val="center"/>
            <w:hideMark/>
          </w:tcPr>
          <w:p w14:paraId="2948A8ED" w14:textId="77777777" w:rsidR="004115A6" w:rsidRPr="000A6E2D" w:rsidRDefault="004115A6" w:rsidP="004115A6">
            <w:pPr>
              <w:pStyle w:val="Tables"/>
            </w:pPr>
            <w:r w:rsidRPr="000A6E2D">
              <w:t>863.83</w:t>
            </w:r>
          </w:p>
        </w:tc>
        <w:tc>
          <w:tcPr>
            <w:tcW w:w="1137" w:type="dxa"/>
            <w:vAlign w:val="center"/>
            <w:hideMark/>
          </w:tcPr>
          <w:p w14:paraId="638565DC" w14:textId="77777777" w:rsidR="004115A6" w:rsidRPr="000A6E2D" w:rsidRDefault="004115A6" w:rsidP="004115A6">
            <w:pPr>
              <w:pStyle w:val="Tables"/>
            </w:pPr>
            <w:r w:rsidRPr="000A6E2D">
              <w:t>100</w:t>
            </w:r>
          </w:p>
        </w:tc>
        <w:tc>
          <w:tcPr>
            <w:tcW w:w="0" w:type="auto"/>
            <w:vAlign w:val="center"/>
            <w:hideMark/>
          </w:tcPr>
          <w:p w14:paraId="0FA199FE" w14:textId="77777777" w:rsidR="004115A6" w:rsidRPr="000A6E2D" w:rsidRDefault="004115A6" w:rsidP="004115A6">
            <w:pPr>
              <w:pStyle w:val="Tables"/>
            </w:pPr>
            <w:r w:rsidRPr="000A6E2D">
              <w:t>781.14</w:t>
            </w:r>
          </w:p>
        </w:tc>
        <w:tc>
          <w:tcPr>
            <w:tcW w:w="0" w:type="auto"/>
            <w:vAlign w:val="center"/>
          </w:tcPr>
          <w:p w14:paraId="0C5FED24" w14:textId="165BD2B1" w:rsidR="004115A6" w:rsidRPr="000A6E2D" w:rsidRDefault="004115A6" w:rsidP="004115A6">
            <w:pPr>
              <w:pStyle w:val="Tables"/>
            </w:pPr>
            <w:r w:rsidRPr="000A6E2D">
              <w:t>100</w:t>
            </w:r>
          </w:p>
        </w:tc>
      </w:tr>
      <w:tr w:rsidR="004115A6" w:rsidRPr="000A6E2D" w14:paraId="1C3BD9DB" w14:textId="57192590" w:rsidTr="00E23521">
        <w:trPr>
          <w:trHeight w:val="397"/>
          <w:jc w:val="center"/>
        </w:trPr>
        <w:tc>
          <w:tcPr>
            <w:tcW w:w="2263" w:type="dxa"/>
            <w:vAlign w:val="center"/>
            <w:hideMark/>
          </w:tcPr>
          <w:p w14:paraId="40EF6916" w14:textId="77777777" w:rsidR="004115A6" w:rsidRPr="000A6E2D" w:rsidRDefault="004115A6" w:rsidP="00E23521">
            <w:pPr>
              <w:pStyle w:val="Tables"/>
              <w:jc w:val="left"/>
            </w:pPr>
            <w:r w:rsidRPr="000A6E2D">
              <w:t>Taxes on Income*</w:t>
            </w:r>
          </w:p>
        </w:tc>
        <w:tc>
          <w:tcPr>
            <w:tcW w:w="1418" w:type="dxa"/>
            <w:vAlign w:val="center"/>
            <w:hideMark/>
          </w:tcPr>
          <w:p w14:paraId="3B9F4044" w14:textId="77777777" w:rsidR="004115A6" w:rsidRPr="000A6E2D" w:rsidRDefault="004115A6" w:rsidP="004115A6">
            <w:pPr>
              <w:pStyle w:val="Tables"/>
            </w:pPr>
            <w:r w:rsidRPr="000A6E2D">
              <w:t>177.31</w:t>
            </w:r>
          </w:p>
        </w:tc>
        <w:tc>
          <w:tcPr>
            <w:tcW w:w="1417" w:type="dxa"/>
            <w:vAlign w:val="center"/>
            <w:hideMark/>
          </w:tcPr>
          <w:p w14:paraId="67715149" w14:textId="77777777" w:rsidR="004115A6" w:rsidRPr="000A6E2D" w:rsidRDefault="004115A6" w:rsidP="004115A6">
            <w:pPr>
              <w:pStyle w:val="Tables"/>
            </w:pPr>
            <w:r w:rsidRPr="000A6E2D">
              <w:t>23.5</w:t>
            </w:r>
          </w:p>
        </w:tc>
        <w:tc>
          <w:tcPr>
            <w:tcW w:w="1418" w:type="dxa"/>
            <w:vAlign w:val="center"/>
            <w:hideMark/>
          </w:tcPr>
          <w:p w14:paraId="01483C88" w14:textId="77777777" w:rsidR="004115A6" w:rsidRPr="000A6E2D" w:rsidRDefault="004115A6" w:rsidP="004115A6">
            <w:pPr>
              <w:pStyle w:val="Tables"/>
            </w:pPr>
            <w:r w:rsidRPr="000A6E2D">
              <w:t>179.39</w:t>
            </w:r>
          </w:p>
        </w:tc>
        <w:tc>
          <w:tcPr>
            <w:tcW w:w="1137" w:type="dxa"/>
            <w:vAlign w:val="center"/>
            <w:hideMark/>
          </w:tcPr>
          <w:p w14:paraId="4B46ED2B" w14:textId="77777777" w:rsidR="004115A6" w:rsidRPr="000A6E2D" w:rsidRDefault="004115A6" w:rsidP="004115A6">
            <w:pPr>
              <w:pStyle w:val="Tables"/>
            </w:pPr>
            <w:r w:rsidRPr="000A6E2D">
              <w:t>20.8</w:t>
            </w:r>
          </w:p>
        </w:tc>
        <w:tc>
          <w:tcPr>
            <w:tcW w:w="0" w:type="auto"/>
            <w:vAlign w:val="center"/>
            <w:hideMark/>
          </w:tcPr>
          <w:p w14:paraId="7B057A90" w14:textId="77777777" w:rsidR="004115A6" w:rsidRPr="000A6E2D" w:rsidRDefault="004115A6" w:rsidP="004115A6">
            <w:pPr>
              <w:pStyle w:val="Tables"/>
            </w:pPr>
            <w:r w:rsidRPr="000A6E2D">
              <w:t>158.98</w:t>
            </w:r>
          </w:p>
        </w:tc>
        <w:tc>
          <w:tcPr>
            <w:tcW w:w="0" w:type="auto"/>
            <w:vAlign w:val="center"/>
          </w:tcPr>
          <w:p w14:paraId="7AC2FAF2" w14:textId="3051BA61" w:rsidR="004115A6" w:rsidRPr="000A6E2D" w:rsidRDefault="004115A6" w:rsidP="004115A6">
            <w:pPr>
              <w:pStyle w:val="Tables"/>
            </w:pPr>
            <w:r w:rsidRPr="000A6E2D">
              <w:t>20.4</w:t>
            </w:r>
          </w:p>
        </w:tc>
      </w:tr>
      <w:tr w:rsidR="004115A6" w:rsidRPr="000A6E2D" w14:paraId="79197AD0" w14:textId="25221CDD" w:rsidTr="00E23521">
        <w:trPr>
          <w:trHeight w:val="397"/>
          <w:jc w:val="center"/>
        </w:trPr>
        <w:tc>
          <w:tcPr>
            <w:tcW w:w="2263" w:type="dxa"/>
            <w:vAlign w:val="center"/>
            <w:hideMark/>
          </w:tcPr>
          <w:p w14:paraId="3F215DA2" w14:textId="77777777" w:rsidR="004115A6" w:rsidRPr="000A6E2D" w:rsidRDefault="004115A6" w:rsidP="00E23521">
            <w:pPr>
              <w:pStyle w:val="Tables"/>
              <w:jc w:val="left"/>
            </w:pPr>
            <w:r w:rsidRPr="000A6E2D">
              <w:t>Customs</w:t>
            </w:r>
          </w:p>
        </w:tc>
        <w:tc>
          <w:tcPr>
            <w:tcW w:w="1418" w:type="dxa"/>
            <w:vAlign w:val="center"/>
            <w:hideMark/>
          </w:tcPr>
          <w:p w14:paraId="7E11D6BB" w14:textId="77777777" w:rsidR="004115A6" w:rsidRPr="000A6E2D" w:rsidRDefault="004115A6" w:rsidP="004115A6">
            <w:pPr>
              <w:pStyle w:val="Tables"/>
            </w:pPr>
            <w:r w:rsidRPr="000A6E2D">
              <w:t>157.15</w:t>
            </w:r>
          </w:p>
        </w:tc>
        <w:tc>
          <w:tcPr>
            <w:tcW w:w="1417" w:type="dxa"/>
            <w:vAlign w:val="center"/>
            <w:hideMark/>
          </w:tcPr>
          <w:p w14:paraId="0D67BDB2" w14:textId="77777777" w:rsidR="004115A6" w:rsidRPr="000A6E2D" w:rsidRDefault="004115A6" w:rsidP="004115A6">
            <w:pPr>
              <w:pStyle w:val="Tables"/>
            </w:pPr>
            <w:r w:rsidRPr="000A6E2D">
              <w:t>20.8</w:t>
            </w:r>
          </w:p>
        </w:tc>
        <w:tc>
          <w:tcPr>
            <w:tcW w:w="1418" w:type="dxa"/>
            <w:vAlign w:val="center"/>
            <w:hideMark/>
          </w:tcPr>
          <w:p w14:paraId="5FE50F95" w14:textId="77777777" w:rsidR="004115A6" w:rsidRPr="000A6E2D" w:rsidRDefault="004115A6" w:rsidP="004115A6">
            <w:pPr>
              <w:pStyle w:val="Tables"/>
            </w:pPr>
            <w:r w:rsidRPr="000A6E2D">
              <w:t>232.00</w:t>
            </w:r>
          </w:p>
        </w:tc>
        <w:tc>
          <w:tcPr>
            <w:tcW w:w="1137" w:type="dxa"/>
            <w:vAlign w:val="center"/>
            <w:hideMark/>
          </w:tcPr>
          <w:p w14:paraId="7193B0A0" w14:textId="77777777" w:rsidR="004115A6" w:rsidRPr="000A6E2D" w:rsidRDefault="004115A6" w:rsidP="004115A6">
            <w:pPr>
              <w:pStyle w:val="Tables"/>
            </w:pPr>
            <w:r w:rsidRPr="000A6E2D">
              <w:t>26.9</w:t>
            </w:r>
          </w:p>
        </w:tc>
        <w:tc>
          <w:tcPr>
            <w:tcW w:w="0" w:type="auto"/>
            <w:vAlign w:val="center"/>
            <w:hideMark/>
          </w:tcPr>
          <w:p w14:paraId="49EBE0BC" w14:textId="77777777" w:rsidR="004115A6" w:rsidRPr="000A6E2D" w:rsidRDefault="004115A6" w:rsidP="004115A6">
            <w:pPr>
              <w:pStyle w:val="Tables"/>
            </w:pPr>
            <w:r w:rsidRPr="000A6E2D">
              <w:t>165.00</w:t>
            </w:r>
          </w:p>
        </w:tc>
        <w:tc>
          <w:tcPr>
            <w:tcW w:w="0" w:type="auto"/>
            <w:vAlign w:val="center"/>
          </w:tcPr>
          <w:p w14:paraId="28BA0302" w14:textId="6241F51E" w:rsidR="004115A6" w:rsidRPr="000A6E2D" w:rsidRDefault="004115A6" w:rsidP="004115A6">
            <w:pPr>
              <w:pStyle w:val="Tables"/>
            </w:pPr>
            <w:r w:rsidRPr="000A6E2D">
              <w:t>21.1</w:t>
            </w:r>
          </w:p>
        </w:tc>
      </w:tr>
      <w:tr w:rsidR="004115A6" w:rsidRPr="000A6E2D" w14:paraId="3E9C5A2A" w14:textId="03122A77" w:rsidTr="00E23521">
        <w:trPr>
          <w:trHeight w:val="397"/>
          <w:jc w:val="center"/>
        </w:trPr>
        <w:tc>
          <w:tcPr>
            <w:tcW w:w="2263" w:type="dxa"/>
            <w:vAlign w:val="center"/>
            <w:hideMark/>
          </w:tcPr>
          <w:p w14:paraId="61897AB1" w14:textId="77777777" w:rsidR="004115A6" w:rsidRPr="000A6E2D" w:rsidRDefault="004115A6" w:rsidP="00E23521">
            <w:pPr>
              <w:pStyle w:val="Tables"/>
              <w:jc w:val="left"/>
            </w:pPr>
            <w:r w:rsidRPr="000A6E2D">
              <w:t>Central Excise</w:t>
            </w:r>
          </w:p>
        </w:tc>
        <w:tc>
          <w:tcPr>
            <w:tcW w:w="1418" w:type="dxa"/>
            <w:vAlign w:val="center"/>
            <w:hideMark/>
          </w:tcPr>
          <w:p w14:paraId="7234BF53" w14:textId="77777777" w:rsidR="004115A6" w:rsidRPr="000A6E2D" w:rsidRDefault="004115A6" w:rsidP="004115A6">
            <w:pPr>
              <w:pStyle w:val="Tables"/>
            </w:pPr>
            <w:r w:rsidRPr="000A6E2D">
              <w:t>67.54</w:t>
            </w:r>
          </w:p>
        </w:tc>
        <w:tc>
          <w:tcPr>
            <w:tcW w:w="1417" w:type="dxa"/>
            <w:vAlign w:val="center"/>
            <w:hideMark/>
          </w:tcPr>
          <w:p w14:paraId="6C9CC9FC" w14:textId="77777777" w:rsidR="004115A6" w:rsidRPr="000A6E2D" w:rsidRDefault="004115A6" w:rsidP="004115A6">
            <w:pPr>
              <w:pStyle w:val="Tables"/>
            </w:pPr>
            <w:r w:rsidRPr="000A6E2D">
              <w:t>8.4</w:t>
            </w:r>
          </w:p>
        </w:tc>
        <w:tc>
          <w:tcPr>
            <w:tcW w:w="1418" w:type="dxa"/>
            <w:vAlign w:val="center"/>
            <w:hideMark/>
          </w:tcPr>
          <w:p w14:paraId="55FDCC0C" w14:textId="77777777" w:rsidR="004115A6" w:rsidRPr="000A6E2D" w:rsidRDefault="004115A6" w:rsidP="004115A6">
            <w:pPr>
              <w:pStyle w:val="Tables"/>
            </w:pPr>
            <w:r w:rsidRPr="000A6E2D">
              <w:t>84.30</w:t>
            </w:r>
          </w:p>
        </w:tc>
        <w:tc>
          <w:tcPr>
            <w:tcW w:w="1137" w:type="dxa"/>
            <w:vAlign w:val="center"/>
            <w:hideMark/>
          </w:tcPr>
          <w:p w14:paraId="0489B9CF" w14:textId="77777777" w:rsidR="004115A6" w:rsidRPr="000A6E2D" w:rsidRDefault="004115A6" w:rsidP="004115A6">
            <w:pPr>
              <w:pStyle w:val="Tables"/>
            </w:pPr>
            <w:r w:rsidRPr="000A6E2D">
              <w:t>9.8</w:t>
            </w:r>
          </w:p>
        </w:tc>
        <w:tc>
          <w:tcPr>
            <w:tcW w:w="0" w:type="auto"/>
            <w:vAlign w:val="center"/>
            <w:hideMark/>
          </w:tcPr>
          <w:p w14:paraId="32A9FEAF" w14:textId="77777777" w:rsidR="004115A6" w:rsidRPr="000A6E2D" w:rsidRDefault="004115A6" w:rsidP="004115A6">
            <w:pPr>
              <w:pStyle w:val="Tables"/>
            </w:pPr>
            <w:r w:rsidRPr="000A6E2D">
              <w:t>86.00</w:t>
            </w:r>
          </w:p>
        </w:tc>
        <w:tc>
          <w:tcPr>
            <w:tcW w:w="0" w:type="auto"/>
            <w:vAlign w:val="center"/>
          </w:tcPr>
          <w:p w14:paraId="6AF3B653" w14:textId="6ACEAD44" w:rsidR="004115A6" w:rsidRPr="000A6E2D" w:rsidRDefault="004115A6" w:rsidP="004115A6">
            <w:pPr>
              <w:pStyle w:val="Tables"/>
            </w:pPr>
            <w:r w:rsidRPr="000A6E2D">
              <w:t>11.0</w:t>
            </w:r>
          </w:p>
        </w:tc>
      </w:tr>
      <w:tr w:rsidR="004115A6" w:rsidRPr="000A6E2D" w14:paraId="5BAFC68B" w14:textId="22A6769B" w:rsidTr="00E23521">
        <w:trPr>
          <w:trHeight w:val="397"/>
          <w:jc w:val="center"/>
        </w:trPr>
        <w:tc>
          <w:tcPr>
            <w:tcW w:w="2263" w:type="dxa"/>
            <w:vAlign w:val="center"/>
            <w:hideMark/>
          </w:tcPr>
          <w:p w14:paraId="0F3BC7E4" w14:textId="77777777" w:rsidR="004115A6" w:rsidRPr="000A6E2D" w:rsidRDefault="004115A6" w:rsidP="00E23521">
            <w:pPr>
              <w:pStyle w:val="Tables"/>
              <w:jc w:val="left"/>
            </w:pPr>
            <w:r w:rsidRPr="000A6E2D">
              <w:t>State Excise</w:t>
            </w:r>
          </w:p>
        </w:tc>
        <w:tc>
          <w:tcPr>
            <w:tcW w:w="1418" w:type="dxa"/>
            <w:vAlign w:val="center"/>
            <w:hideMark/>
          </w:tcPr>
          <w:p w14:paraId="03702603" w14:textId="77777777" w:rsidR="004115A6" w:rsidRPr="000A6E2D" w:rsidRDefault="004115A6" w:rsidP="004115A6">
            <w:pPr>
              <w:pStyle w:val="Tables"/>
            </w:pPr>
            <w:r w:rsidRPr="000A6E2D">
              <w:t>49.40</w:t>
            </w:r>
          </w:p>
        </w:tc>
        <w:tc>
          <w:tcPr>
            <w:tcW w:w="1417" w:type="dxa"/>
            <w:vAlign w:val="center"/>
            <w:hideMark/>
          </w:tcPr>
          <w:p w14:paraId="006EECB4" w14:textId="77777777" w:rsidR="004115A6" w:rsidRPr="000A6E2D" w:rsidRDefault="004115A6" w:rsidP="004115A6">
            <w:pPr>
              <w:pStyle w:val="Tables"/>
            </w:pPr>
            <w:r w:rsidRPr="000A6E2D">
              <w:t>6.5</w:t>
            </w:r>
          </w:p>
        </w:tc>
        <w:tc>
          <w:tcPr>
            <w:tcW w:w="1418" w:type="dxa"/>
            <w:vAlign w:val="center"/>
            <w:hideMark/>
          </w:tcPr>
          <w:p w14:paraId="3A7B5DED" w14:textId="77777777" w:rsidR="004115A6" w:rsidRPr="000A6E2D" w:rsidRDefault="004115A6" w:rsidP="004115A6">
            <w:pPr>
              <w:pStyle w:val="Tables"/>
            </w:pPr>
            <w:r w:rsidRPr="000A6E2D">
              <w:t>50.94</w:t>
            </w:r>
          </w:p>
        </w:tc>
        <w:tc>
          <w:tcPr>
            <w:tcW w:w="1137" w:type="dxa"/>
            <w:vAlign w:val="center"/>
            <w:hideMark/>
          </w:tcPr>
          <w:p w14:paraId="29CF3134" w14:textId="77777777" w:rsidR="004115A6" w:rsidRPr="000A6E2D" w:rsidRDefault="004115A6" w:rsidP="004115A6">
            <w:pPr>
              <w:pStyle w:val="Tables"/>
            </w:pPr>
            <w:r w:rsidRPr="000A6E2D">
              <w:t>5.9</w:t>
            </w:r>
          </w:p>
        </w:tc>
        <w:tc>
          <w:tcPr>
            <w:tcW w:w="0" w:type="auto"/>
            <w:vAlign w:val="center"/>
            <w:hideMark/>
          </w:tcPr>
          <w:p w14:paraId="0C9F709C" w14:textId="77777777" w:rsidR="004115A6" w:rsidRPr="000A6E2D" w:rsidRDefault="004115A6" w:rsidP="004115A6">
            <w:pPr>
              <w:pStyle w:val="Tables"/>
            </w:pPr>
            <w:r w:rsidRPr="000A6E2D">
              <w:t>47.61</w:t>
            </w:r>
          </w:p>
        </w:tc>
        <w:tc>
          <w:tcPr>
            <w:tcW w:w="0" w:type="auto"/>
            <w:vAlign w:val="center"/>
          </w:tcPr>
          <w:p w14:paraId="6720EACD" w14:textId="229A471B" w:rsidR="004115A6" w:rsidRPr="000A6E2D" w:rsidRDefault="004115A6" w:rsidP="004115A6">
            <w:pPr>
              <w:pStyle w:val="Tables"/>
            </w:pPr>
            <w:r w:rsidRPr="000A6E2D">
              <w:t>6.1</w:t>
            </w:r>
          </w:p>
        </w:tc>
      </w:tr>
      <w:tr w:rsidR="004115A6" w:rsidRPr="000A6E2D" w14:paraId="23C0DB4A" w14:textId="74DCBA26" w:rsidTr="00E23521">
        <w:trPr>
          <w:trHeight w:val="397"/>
          <w:jc w:val="center"/>
        </w:trPr>
        <w:tc>
          <w:tcPr>
            <w:tcW w:w="2263" w:type="dxa"/>
            <w:vAlign w:val="center"/>
            <w:hideMark/>
          </w:tcPr>
          <w:p w14:paraId="0160B358" w14:textId="77777777" w:rsidR="004115A6" w:rsidRPr="000A6E2D" w:rsidRDefault="004115A6" w:rsidP="00E23521">
            <w:pPr>
              <w:pStyle w:val="Tables"/>
              <w:jc w:val="left"/>
            </w:pPr>
            <w:r w:rsidRPr="000A6E2D">
              <w:t>Land Revenue</w:t>
            </w:r>
          </w:p>
        </w:tc>
        <w:tc>
          <w:tcPr>
            <w:tcW w:w="1418" w:type="dxa"/>
            <w:vAlign w:val="center"/>
            <w:hideMark/>
          </w:tcPr>
          <w:p w14:paraId="75CCD935" w14:textId="77777777" w:rsidR="004115A6" w:rsidRPr="000A6E2D" w:rsidRDefault="004115A6" w:rsidP="004115A6">
            <w:pPr>
              <w:pStyle w:val="Tables"/>
            </w:pPr>
            <w:r w:rsidRPr="000A6E2D">
              <w:t>51.59</w:t>
            </w:r>
          </w:p>
        </w:tc>
        <w:tc>
          <w:tcPr>
            <w:tcW w:w="1417" w:type="dxa"/>
            <w:vAlign w:val="center"/>
            <w:hideMark/>
          </w:tcPr>
          <w:p w14:paraId="4EB5C6D5" w14:textId="77777777" w:rsidR="004115A6" w:rsidRPr="000A6E2D" w:rsidRDefault="004115A6" w:rsidP="004115A6">
            <w:pPr>
              <w:pStyle w:val="Tables"/>
            </w:pPr>
            <w:r w:rsidRPr="000A6E2D">
              <w:t>6.8</w:t>
            </w:r>
          </w:p>
        </w:tc>
        <w:tc>
          <w:tcPr>
            <w:tcW w:w="1418" w:type="dxa"/>
            <w:vAlign w:val="center"/>
            <w:hideMark/>
          </w:tcPr>
          <w:p w14:paraId="2E99B312" w14:textId="77777777" w:rsidR="004115A6" w:rsidRPr="000A6E2D" w:rsidRDefault="004115A6" w:rsidP="004115A6">
            <w:pPr>
              <w:pStyle w:val="Tables"/>
            </w:pPr>
            <w:r w:rsidRPr="000A6E2D">
              <w:t>53.14</w:t>
            </w:r>
          </w:p>
        </w:tc>
        <w:tc>
          <w:tcPr>
            <w:tcW w:w="1137" w:type="dxa"/>
            <w:vAlign w:val="center"/>
            <w:hideMark/>
          </w:tcPr>
          <w:p w14:paraId="59777D46" w14:textId="77777777" w:rsidR="004115A6" w:rsidRPr="000A6E2D" w:rsidRDefault="004115A6" w:rsidP="004115A6">
            <w:pPr>
              <w:pStyle w:val="Tables"/>
            </w:pPr>
            <w:r w:rsidRPr="000A6E2D">
              <w:t>6.2</w:t>
            </w:r>
          </w:p>
        </w:tc>
        <w:tc>
          <w:tcPr>
            <w:tcW w:w="0" w:type="auto"/>
            <w:vAlign w:val="center"/>
            <w:hideMark/>
          </w:tcPr>
          <w:p w14:paraId="580DC80F" w14:textId="77777777" w:rsidR="004115A6" w:rsidRPr="000A6E2D" w:rsidRDefault="004115A6" w:rsidP="004115A6">
            <w:pPr>
              <w:pStyle w:val="Tables"/>
            </w:pPr>
            <w:r w:rsidRPr="000A6E2D">
              <w:t>61.63</w:t>
            </w:r>
          </w:p>
        </w:tc>
        <w:tc>
          <w:tcPr>
            <w:tcW w:w="0" w:type="auto"/>
            <w:vAlign w:val="center"/>
          </w:tcPr>
          <w:p w14:paraId="52DE316D" w14:textId="6205CF8D" w:rsidR="004115A6" w:rsidRPr="000A6E2D" w:rsidRDefault="004115A6" w:rsidP="004115A6">
            <w:pPr>
              <w:pStyle w:val="Tables"/>
            </w:pPr>
            <w:r w:rsidRPr="000A6E2D">
              <w:t>7.9</w:t>
            </w:r>
          </w:p>
        </w:tc>
      </w:tr>
      <w:tr w:rsidR="004115A6" w:rsidRPr="000A6E2D" w14:paraId="01A542CC" w14:textId="311AF28C" w:rsidTr="00E23521">
        <w:trPr>
          <w:trHeight w:val="397"/>
          <w:jc w:val="center"/>
        </w:trPr>
        <w:tc>
          <w:tcPr>
            <w:tcW w:w="2263" w:type="dxa"/>
            <w:vAlign w:val="center"/>
            <w:hideMark/>
          </w:tcPr>
          <w:p w14:paraId="38A978AE" w14:textId="77777777" w:rsidR="004115A6" w:rsidRPr="000A6E2D" w:rsidRDefault="004115A6" w:rsidP="00E23521">
            <w:pPr>
              <w:pStyle w:val="Tables"/>
              <w:jc w:val="left"/>
            </w:pPr>
            <w:r w:rsidRPr="000A6E2D">
              <w:t>Stamps</w:t>
            </w:r>
          </w:p>
        </w:tc>
        <w:tc>
          <w:tcPr>
            <w:tcW w:w="1418" w:type="dxa"/>
            <w:vAlign w:val="center"/>
            <w:hideMark/>
          </w:tcPr>
          <w:p w14:paraId="58877A09" w14:textId="77777777" w:rsidR="004115A6" w:rsidRPr="000A6E2D" w:rsidRDefault="004115A6" w:rsidP="004115A6">
            <w:pPr>
              <w:pStyle w:val="Tables"/>
            </w:pPr>
            <w:r w:rsidRPr="000A6E2D">
              <w:t>23.94</w:t>
            </w:r>
          </w:p>
        </w:tc>
        <w:tc>
          <w:tcPr>
            <w:tcW w:w="1417" w:type="dxa"/>
            <w:vAlign w:val="center"/>
            <w:hideMark/>
          </w:tcPr>
          <w:p w14:paraId="60618867" w14:textId="77777777" w:rsidR="004115A6" w:rsidRPr="000A6E2D" w:rsidRDefault="004115A6" w:rsidP="004115A6">
            <w:pPr>
              <w:pStyle w:val="Tables"/>
            </w:pPr>
            <w:r w:rsidRPr="000A6E2D">
              <w:t>3.2</w:t>
            </w:r>
          </w:p>
        </w:tc>
        <w:tc>
          <w:tcPr>
            <w:tcW w:w="1418" w:type="dxa"/>
            <w:vAlign w:val="center"/>
            <w:hideMark/>
          </w:tcPr>
          <w:p w14:paraId="18BACF28" w14:textId="77777777" w:rsidR="004115A6" w:rsidRPr="000A6E2D" w:rsidRDefault="004115A6" w:rsidP="004115A6">
            <w:pPr>
              <w:pStyle w:val="Tables"/>
            </w:pPr>
            <w:r w:rsidRPr="000A6E2D">
              <w:t>24.19</w:t>
            </w:r>
          </w:p>
        </w:tc>
        <w:tc>
          <w:tcPr>
            <w:tcW w:w="1137" w:type="dxa"/>
            <w:vAlign w:val="center"/>
            <w:hideMark/>
          </w:tcPr>
          <w:p w14:paraId="51A9EF0C" w14:textId="77777777" w:rsidR="004115A6" w:rsidRPr="000A6E2D" w:rsidRDefault="004115A6" w:rsidP="004115A6">
            <w:pPr>
              <w:pStyle w:val="Tables"/>
            </w:pPr>
            <w:r w:rsidRPr="000A6E2D">
              <w:t>2.8</w:t>
            </w:r>
          </w:p>
        </w:tc>
        <w:tc>
          <w:tcPr>
            <w:tcW w:w="0" w:type="auto"/>
            <w:vAlign w:val="center"/>
            <w:hideMark/>
          </w:tcPr>
          <w:p w14:paraId="7F447E11" w14:textId="77777777" w:rsidR="004115A6" w:rsidRPr="000A6E2D" w:rsidRDefault="004115A6" w:rsidP="004115A6">
            <w:pPr>
              <w:pStyle w:val="Tables"/>
            </w:pPr>
            <w:r w:rsidRPr="000A6E2D">
              <w:t>24.11</w:t>
            </w:r>
          </w:p>
        </w:tc>
        <w:tc>
          <w:tcPr>
            <w:tcW w:w="0" w:type="auto"/>
            <w:vAlign w:val="center"/>
          </w:tcPr>
          <w:p w14:paraId="71D7B76D" w14:textId="3656A801" w:rsidR="004115A6" w:rsidRPr="000A6E2D" w:rsidRDefault="004115A6" w:rsidP="004115A6">
            <w:pPr>
              <w:pStyle w:val="Tables"/>
            </w:pPr>
            <w:r w:rsidRPr="000A6E2D">
              <w:t>3.1</w:t>
            </w:r>
          </w:p>
        </w:tc>
      </w:tr>
      <w:tr w:rsidR="004115A6" w:rsidRPr="000A6E2D" w14:paraId="357D7660" w14:textId="7BA4D73E" w:rsidTr="00E23521">
        <w:trPr>
          <w:trHeight w:val="397"/>
          <w:jc w:val="center"/>
        </w:trPr>
        <w:tc>
          <w:tcPr>
            <w:tcW w:w="2263" w:type="dxa"/>
            <w:vAlign w:val="center"/>
            <w:hideMark/>
          </w:tcPr>
          <w:p w14:paraId="3C003FE3" w14:textId="77777777" w:rsidR="004115A6" w:rsidRPr="000A6E2D" w:rsidRDefault="004115A6" w:rsidP="00E23521">
            <w:pPr>
              <w:pStyle w:val="Tables"/>
              <w:jc w:val="left"/>
            </w:pPr>
            <w:r w:rsidRPr="000A6E2D">
              <w:t>Forests</w:t>
            </w:r>
          </w:p>
        </w:tc>
        <w:tc>
          <w:tcPr>
            <w:tcW w:w="1418" w:type="dxa"/>
            <w:vAlign w:val="center"/>
            <w:hideMark/>
          </w:tcPr>
          <w:p w14:paraId="709FAEA5" w14:textId="77777777" w:rsidR="004115A6" w:rsidRPr="000A6E2D" w:rsidRDefault="004115A6" w:rsidP="004115A6">
            <w:pPr>
              <w:pStyle w:val="Tables"/>
            </w:pPr>
            <w:r w:rsidRPr="000A6E2D">
              <w:t>21.54</w:t>
            </w:r>
          </w:p>
        </w:tc>
        <w:tc>
          <w:tcPr>
            <w:tcW w:w="1417" w:type="dxa"/>
            <w:vAlign w:val="center"/>
            <w:hideMark/>
          </w:tcPr>
          <w:p w14:paraId="38FBEAAD" w14:textId="77777777" w:rsidR="004115A6" w:rsidRPr="000A6E2D" w:rsidRDefault="004115A6" w:rsidP="004115A6">
            <w:pPr>
              <w:pStyle w:val="Tables"/>
            </w:pPr>
            <w:r w:rsidRPr="000A6E2D">
              <w:t>2.9</w:t>
            </w:r>
          </w:p>
        </w:tc>
        <w:tc>
          <w:tcPr>
            <w:tcW w:w="1418" w:type="dxa"/>
            <w:vAlign w:val="center"/>
            <w:hideMark/>
          </w:tcPr>
          <w:p w14:paraId="3366B6B4" w14:textId="77777777" w:rsidR="004115A6" w:rsidRPr="000A6E2D" w:rsidRDefault="004115A6" w:rsidP="004115A6">
            <w:pPr>
              <w:pStyle w:val="Tables"/>
            </w:pPr>
            <w:r w:rsidRPr="000A6E2D">
              <w:t>23.68</w:t>
            </w:r>
          </w:p>
        </w:tc>
        <w:tc>
          <w:tcPr>
            <w:tcW w:w="1137" w:type="dxa"/>
            <w:vAlign w:val="center"/>
            <w:hideMark/>
          </w:tcPr>
          <w:p w14:paraId="067BF8A7" w14:textId="77777777" w:rsidR="004115A6" w:rsidRPr="000A6E2D" w:rsidRDefault="004115A6" w:rsidP="004115A6">
            <w:pPr>
              <w:pStyle w:val="Tables"/>
            </w:pPr>
            <w:r w:rsidRPr="000A6E2D">
              <w:t>2.7</w:t>
            </w:r>
          </w:p>
        </w:tc>
        <w:tc>
          <w:tcPr>
            <w:tcW w:w="0" w:type="auto"/>
            <w:vAlign w:val="center"/>
            <w:hideMark/>
          </w:tcPr>
          <w:p w14:paraId="5CFEC94D" w14:textId="77777777" w:rsidR="004115A6" w:rsidRPr="000A6E2D" w:rsidRDefault="004115A6" w:rsidP="004115A6">
            <w:pPr>
              <w:pStyle w:val="Tables"/>
            </w:pPr>
            <w:r w:rsidRPr="000A6E2D">
              <w:t>21.17</w:t>
            </w:r>
          </w:p>
        </w:tc>
        <w:tc>
          <w:tcPr>
            <w:tcW w:w="0" w:type="auto"/>
            <w:vAlign w:val="center"/>
          </w:tcPr>
          <w:p w14:paraId="7DE24F18" w14:textId="544B03D1" w:rsidR="004115A6" w:rsidRPr="000A6E2D" w:rsidRDefault="004115A6" w:rsidP="004115A6">
            <w:pPr>
              <w:pStyle w:val="Tables"/>
            </w:pPr>
            <w:r w:rsidRPr="000A6E2D">
              <w:t>2.7</w:t>
            </w:r>
          </w:p>
        </w:tc>
      </w:tr>
      <w:tr w:rsidR="004115A6" w:rsidRPr="000A6E2D" w14:paraId="3AAA196C" w14:textId="6E01495F" w:rsidTr="00E23521">
        <w:trPr>
          <w:trHeight w:val="397"/>
          <w:jc w:val="center"/>
        </w:trPr>
        <w:tc>
          <w:tcPr>
            <w:tcW w:w="2263" w:type="dxa"/>
            <w:vAlign w:val="center"/>
            <w:hideMark/>
          </w:tcPr>
          <w:p w14:paraId="29330DD4" w14:textId="77777777" w:rsidR="004115A6" w:rsidRPr="000A6E2D" w:rsidRDefault="004115A6" w:rsidP="00E23521">
            <w:pPr>
              <w:pStyle w:val="Tables"/>
              <w:jc w:val="left"/>
            </w:pPr>
            <w:r w:rsidRPr="000A6E2D">
              <w:t>Sales Tax</w:t>
            </w:r>
          </w:p>
        </w:tc>
        <w:tc>
          <w:tcPr>
            <w:tcW w:w="1418" w:type="dxa"/>
            <w:vAlign w:val="center"/>
            <w:hideMark/>
          </w:tcPr>
          <w:p w14:paraId="26A64666" w14:textId="77777777" w:rsidR="004115A6" w:rsidRPr="000A6E2D" w:rsidRDefault="004115A6" w:rsidP="004115A6">
            <w:pPr>
              <w:pStyle w:val="Tables"/>
            </w:pPr>
            <w:r w:rsidRPr="000A6E2D">
              <w:t>55.42</w:t>
            </w:r>
          </w:p>
        </w:tc>
        <w:tc>
          <w:tcPr>
            <w:tcW w:w="1417" w:type="dxa"/>
            <w:vAlign w:val="center"/>
            <w:hideMark/>
          </w:tcPr>
          <w:p w14:paraId="53E77C5D" w14:textId="77777777" w:rsidR="004115A6" w:rsidRPr="000A6E2D" w:rsidRDefault="004115A6" w:rsidP="004115A6">
            <w:pPr>
              <w:pStyle w:val="Tables"/>
            </w:pPr>
            <w:r w:rsidRPr="000A6E2D">
              <w:t>7.3</w:t>
            </w:r>
          </w:p>
        </w:tc>
        <w:tc>
          <w:tcPr>
            <w:tcW w:w="1418" w:type="dxa"/>
            <w:vAlign w:val="center"/>
            <w:hideMark/>
          </w:tcPr>
          <w:p w14:paraId="729AD64C" w14:textId="77777777" w:rsidR="004115A6" w:rsidRPr="000A6E2D" w:rsidRDefault="004115A6" w:rsidP="004115A6">
            <w:pPr>
              <w:pStyle w:val="Tables"/>
            </w:pPr>
            <w:r w:rsidRPr="000A6E2D">
              <w:t>52.45</w:t>
            </w:r>
          </w:p>
        </w:tc>
        <w:tc>
          <w:tcPr>
            <w:tcW w:w="1137" w:type="dxa"/>
            <w:vAlign w:val="center"/>
            <w:hideMark/>
          </w:tcPr>
          <w:p w14:paraId="391C0BA2" w14:textId="77777777" w:rsidR="004115A6" w:rsidRPr="000A6E2D" w:rsidRDefault="004115A6" w:rsidP="004115A6">
            <w:pPr>
              <w:pStyle w:val="Tables"/>
            </w:pPr>
            <w:r w:rsidRPr="000A6E2D">
              <w:t>6.1</w:t>
            </w:r>
          </w:p>
        </w:tc>
        <w:tc>
          <w:tcPr>
            <w:tcW w:w="0" w:type="auto"/>
            <w:vAlign w:val="center"/>
            <w:hideMark/>
          </w:tcPr>
          <w:p w14:paraId="03F72098" w14:textId="77777777" w:rsidR="004115A6" w:rsidRPr="000A6E2D" w:rsidRDefault="004115A6" w:rsidP="004115A6">
            <w:pPr>
              <w:pStyle w:val="Tables"/>
            </w:pPr>
            <w:r w:rsidRPr="000A6E2D">
              <w:t>52.72</w:t>
            </w:r>
          </w:p>
        </w:tc>
        <w:tc>
          <w:tcPr>
            <w:tcW w:w="0" w:type="auto"/>
            <w:vAlign w:val="center"/>
          </w:tcPr>
          <w:p w14:paraId="4268B2E1" w14:textId="0A8E5460" w:rsidR="004115A6" w:rsidRPr="000A6E2D" w:rsidRDefault="004115A6" w:rsidP="004115A6">
            <w:pPr>
              <w:pStyle w:val="Tables"/>
            </w:pPr>
            <w:r w:rsidRPr="000A6E2D">
              <w:t>6.7</w:t>
            </w:r>
          </w:p>
        </w:tc>
      </w:tr>
      <w:tr w:rsidR="004115A6" w:rsidRPr="000A6E2D" w14:paraId="08CE9C88" w14:textId="45A334D5" w:rsidTr="00E23521">
        <w:trPr>
          <w:trHeight w:val="397"/>
          <w:jc w:val="center"/>
        </w:trPr>
        <w:tc>
          <w:tcPr>
            <w:tcW w:w="2263" w:type="dxa"/>
            <w:vAlign w:val="center"/>
            <w:hideMark/>
          </w:tcPr>
          <w:p w14:paraId="2A9E1289" w14:textId="77777777" w:rsidR="004115A6" w:rsidRPr="000A6E2D" w:rsidRDefault="004115A6" w:rsidP="00E23521">
            <w:pPr>
              <w:pStyle w:val="Tables"/>
              <w:jc w:val="left"/>
            </w:pPr>
            <w:r w:rsidRPr="000A6E2D">
              <w:t>Inter State Transit Duties</w:t>
            </w:r>
          </w:p>
        </w:tc>
        <w:tc>
          <w:tcPr>
            <w:tcW w:w="1418" w:type="dxa"/>
            <w:vAlign w:val="center"/>
            <w:hideMark/>
          </w:tcPr>
          <w:p w14:paraId="0D39E47E" w14:textId="77777777" w:rsidR="004115A6" w:rsidRPr="000A6E2D" w:rsidRDefault="004115A6" w:rsidP="004115A6">
            <w:pPr>
              <w:pStyle w:val="Tables"/>
            </w:pPr>
            <w:r w:rsidRPr="000A6E2D">
              <w:t>9.31</w:t>
            </w:r>
          </w:p>
        </w:tc>
        <w:tc>
          <w:tcPr>
            <w:tcW w:w="1417" w:type="dxa"/>
            <w:vAlign w:val="center"/>
            <w:hideMark/>
          </w:tcPr>
          <w:p w14:paraId="00FF7DA2" w14:textId="77777777" w:rsidR="004115A6" w:rsidRPr="000A6E2D" w:rsidRDefault="004115A6" w:rsidP="004115A6">
            <w:pPr>
              <w:pStyle w:val="Tables"/>
            </w:pPr>
            <w:r w:rsidRPr="000A6E2D">
              <w:t>1.2</w:t>
            </w:r>
          </w:p>
        </w:tc>
        <w:tc>
          <w:tcPr>
            <w:tcW w:w="1418" w:type="dxa"/>
            <w:vAlign w:val="center"/>
            <w:hideMark/>
          </w:tcPr>
          <w:p w14:paraId="64836ABE" w14:textId="77777777" w:rsidR="004115A6" w:rsidRPr="000A6E2D" w:rsidRDefault="004115A6" w:rsidP="004115A6">
            <w:pPr>
              <w:pStyle w:val="Tables"/>
            </w:pPr>
            <w:r w:rsidRPr="000A6E2D">
              <w:t>8.85</w:t>
            </w:r>
          </w:p>
        </w:tc>
        <w:tc>
          <w:tcPr>
            <w:tcW w:w="1137" w:type="dxa"/>
            <w:vAlign w:val="center"/>
            <w:hideMark/>
          </w:tcPr>
          <w:p w14:paraId="20A2F263" w14:textId="77777777" w:rsidR="004115A6" w:rsidRPr="000A6E2D" w:rsidRDefault="004115A6" w:rsidP="004115A6">
            <w:pPr>
              <w:pStyle w:val="Tables"/>
            </w:pPr>
            <w:r w:rsidRPr="000A6E2D">
              <w:t>1.0</w:t>
            </w:r>
          </w:p>
        </w:tc>
        <w:tc>
          <w:tcPr>
            <w:tcW w:w="0" w:type="auto"/>
            <w:vAlign w:val="center"/>
            <w:hideMark/>
          </w:tcPr>
          <w:p w14:paraId="26398C78" w14:textId="77777777" w:rsidR="004115A6" w:rsidRPr="000A6E2D" w:rsidRDefault="004115A6" w:rsidP="004115A6">
            <w:pPr>
              <w:pStyle w:val="Tables"/>
            </w:pPr>
            <w:r w:rsidRPr="000A6E2D">
              <w:t>6.88</w:t>
            </w:r>
          </w:p>
        </w:tc>
        <w:tc>
          <w:tcPr>
            <w:tcW w:w="0" w:type="auto"/>
            <w:vAlign w:val="center"/>
          </w:tcPr>
          <w:p w14:paraId="212EBA14" w14:textId="7445C104" w:rsidR="004115A6" w:rsidRPr="000A6E2D" w:rsidRDefault="004115A6" w:rsidP="004115A6">
            <w:pPr>
              <w:pStyle w:val="Tables"/>
            </w:pPr>
            <w:r w:rsidRPr="000A6E2D">
              <w:t>0.9</w:t>
            </w:r>
          </w:p>
        </w:tc>
      </w:tr>
      <w:tr w:rsidR="004115A6" w:rsidRPr="000A6E2D" w14:paraId="195235B5" w14:textId="18A55DEC" w:rsidTr="00E23521">
        <w:trPr>
          <w:trHeight w:val="397"/>
          <w:jc w:val="center"/>
        </w:trPr>
        <w:tc>
          <w:tcPr>
            <w:tcW w:w="2263" w:type="dxa"/>
            <w:vAlign w:val="center"/>
            <w:hideMark/>
          </w:tcPr>
          <w:p w14:paraId="7957C513" w14:textId="77777777" w:rsidR="004115A6" w:rsidRPr="000A6E2D" w:rsidRDefault="004115A6" w:rsidP="00E23521">
            <w:pPr>
              <w:pStyle w:val="Tables"/>
              <w:jc w:val="left"/>
            </w:pPr>
            <w:r w:rsidRPr="000A6E2D">
              <w:t>Irrigation</w:t>
            </w:r>
          </w:p>
        </w:tc>
        <w:tc>
          <w:tcPr>
            <w:tcW w:w="1418" w:type="dxa"/>
            <w:vAlign w:val="center"/>
            <w:hideMark/>
          </w:tcPr>
          <w:p w14:paraId="37306888" w14:textId="77777777" w:rsidR="004115A6" w:rsidRPr="000A6E2D" w:rsidRDefault="004115A6" w:rsidP="004115A6">
            <w:pPr>
              <w:pStyle w:val="Tables"/>
            </w:pPr>
            <w:r w:rsidRPr="000A6E2D">
              <w:t>7.40</w:t>
            </w:r>
          </w:p>
        </w:tc>
        <w:tc>
          <w:tcPr>
            <w:tcW w:w="1417" w:type="dxa"/>
            <w:vAlign w:val="center"/>
            <w:hideMark/>
          </w:tcPr>
          <w:p w14:paraId="57270258" w14:textId="77777777" w:rsidR="004115A6" w:rsidRPr="000A6E2D" w:rsidRDefault="004115A6" w:rsidP="004115A6">
            <w:pPr>
              <w:pStyle w:val="Tables"/>
            </w:pPr>
            <w:r w:rsidRPr="000A6E2D">
              <w:t>1.0</w:t>
            </w:r>
          </w:p>
        </w:tc>
        <w:tc>
          <w:tcPr>
            <w:tcW w:w="1418" w:type="dxa"/>
            <w:vAlign w:val="center"/>
            <w:hideMark/>
          </w:tcPr>
          <w:p w14:paraId="0E91DB1D" w14:textId="77777777" w:rsidR="004115A6" w:rsidRPr="000A6E2D" w:rsidRDefault="004115A6" w:rsidP="004115A6">
            <w:pPr>
              <w:pStyle w:val="Tables"/>
            </w:pPr>
            <w:r w:rsidRPr="000A6E2D">
              <w:t>8.41</w:t>
            </w:r>
          </w:p>
        </w:tc>
        <w:tc>
          <w:tcPr>
            <w:tcW w:w="1137" w:type="dxa"/>
            <w:vAlign w:val="center"/>
            <w:hideMark/>
          </w:tcPr>
          <w:p w14:paraId="0C8FA5A7" w14:textId="77777777" w:rsidR="004115A6" w:rsidRPr="000A6E2D" w:rsidRDefault="004115A6" w:rsidP="004115A6">
            <w:pPr>
              <w:pStyle w:val="Tables"/>
            </w:pPr>
            <w:r w:rsidRPr="000A6E2D">
              <w:t>1.0</w:t>
            </w:r>
          </w:p>
        </w:tc>
        <w:tc>
          <w:tcPr>
            <w:tcW w:w="0" w:type="auto"/>
            <w:vAlign w:val="center"/>
            <w:hideMark/>
          </w:tcPr>
          <w:p w14:paraId="7DD2C165" w14:textId="77777777" w:rsidR="004115A6" w:rsidRPr="000A6E2D" w:rsidRDefault="004115A6" w:rsidP="004115A6">
            <w:pPr>
              <w:pStyle w:val="Tables"/>
            </w:pPr>
            <w:r w:rsidRPr="000A6E2D">
              <w:t>8.28</w:t>
            </w:r>
          </w:p>
        </w:tc>
        <w:tc>
          <w:tcPr>
            <w:tcW w:w="0" w:type="auto"/>
            <w:vAlign w:val="center"/>
          </w:tcPr>
          <w:p w14:paraId="1B10D33F" w14:textId="06ACF973" w:rsidR="004115A6" w:rsidRPr="000A6E2D" w:rsidRDefault="004115A6" w:rsidP="004115A6">
            <w:pPr>
              <w:pStyle w:val="Tables"/>
            </w:pPr>
            <w:r w:rsidRPr="000A6E2D">
              <w:t>1.1</w:t>
            </w:r>
          </w:p>
        </w:tc>
      </w:tr>
    </w:tbl>
    <w:p w14:paraId="64ED4042" w14:textId="5C212FF4" w:rsidR="002F6F26" w:rsidRPr="000A6E2D" w:rsidRDefault="009D36E1" w:rsidP="004115A6">
      <w:pPr>
        <w:pStyle w:val="Sources"/>
      </w:pPr>
      <w:r w:rsidRPr="000A6E2D">
        <w:t>* Including Agricultural Income-tax.</w:t>
      </w:r>
    </w:p>
    <w:p w14:paraId="3B53B281" w14:textId="77777777" w:rsidR="00EE0179" w:rsidRDefault="00EE0179" w:rsidP="004115A6">
      <w:pPr>
        <w:spacing w:after="0" w:line="380" w:lineRule="exact"/>
        <w:jc w:val="center"/>
        <w:rPr>
          <w:rFonts w:ascii="Times New Roman" w:hAnsi="Times New Roman" w:cs="Times New Roman"/>
          <w:sz w:val="28"/>
          <w:szCs w:val="28"/>
        </w:rPr>
      </w:pPr>
    </w:p>
    <w:p w14:paraId="686E92D7" w14:textId="77777777" w:rsidR="00EE0179" w:rsidRDefault="00EE0179" w:rsidP="004115A6">
      <w:pPr>
        <w:spacing w:after="0" w:line="380" w:lineRule="exact"/>
        <w:jc w:val="center"/>
        <w:rPr>
          <w:rFonts w:ascii="Times New Roman" w:hAnsi="Times New Roman" w:cs="Times New Roman"/>
          <w:sz w:val="28"/>
          <w:szCs w:val="28"/>
        </w:rPr>
      </w:pPr>
    </w:p>
    <w:p w14:paraId="3A3ADE61" w14:textId="77777777" w:rsidR="00EE0179" w:rsidRDefault="00EE0179" w:rsidP="004115A6">
      <w:pPr>
        <w:spacing w:after="0" w:line="380" w:lineRule="exact"/>
        <w:jc w:val="center"/>
        <w:rPr>
          <w:rFonts w:ascii="Times New Roman" w:hAnsi="Times New Roman" w:cs="Times New Roman"/>
          <w:sz w:val="28"/>
          <w:szCs w:val="28"/>
        </w:rPr>
      </w:pPr>
    </w:p>
    <w:p w14:paraId="6BEA3FC9" w14:textId="77777777" w:rsidR="00EE0179" w:rsidRDefault="00EE0179">
      <w:pPr>
        <w:rPr>
          <w:rFonts w:ascii="Times New Roman" w:hAnsi="Times New Roman" w:cs="Times New Roman"/>
          <w:sz w:val="28"/>
          <w:szCs w:val="28"/>
        </w:rPr>
      </w:pPr>
      <w:r>
        <w:rPr>
          <w:rFonts w:ascii="Times New Roman" w:hAnsi="Times New Roman" w:cs="Times New Roman"/>
          <w:sz w:val="28"/>
          <w:szCs w:val="28"/>
        </w:rPr>
        <w:br w:type="page"/>
      </w:r>
    </w:p>
    <w:p w14:paraId="386A4B0A" w14:textId="14506974" w:rsidR="002F6F26" w:rsidRPr="004115A6" w:rsidRDefault="009D36E1" w:rsidP="004115A6">
      <w:pPr>
        <w:spacing w:after="0" w:line="380" w:lineRule="exact"/>
        <w:jc w:val="center"/>
        <w:rPr>
          <w:rFonts w:ascii="Times New Roman" w:hAnsi="Times New Roman" w:cs="Times New Roman"/>
          <w:sz w:val="28"/>
          <w:szCs w:val="28"/>
        </w:rPr>
      </w:pPr>
      <w:r w:rsidRPr="004115A6">
        <w:rPr>
          <w:rFonts w:ascii="Times New Roman" w:hAnsi="Times New Roman" w:cs="Times New Roman"/>
          <w:sz w:val="28"/>
          <w:szCs w:val="28"/>
        </w:rPr>
        <w:lastRenderedPageBreak/>
        <w:t>B.—TAX REVENUE</w:t>
      </w:r>
    </w:p>
    <w:p w14:paraId="7B3E1381" w14:textId="77777777" w:rsidR="004115A6" w:rsidRPr="000A6E2D" w:rsidRDefault="004115A6" w:rsidP="000A6E2D">
      <w:pPr>
        <w:spacing w:after="0" w:line="380" w:lineRule="exact"/>
        <w:jc w:val="both"/>
        <w:rPr>
          <w:rFonts w:ascii="Times New Roman" w:hAnsi="Times New Roman" w:cs="Times New Roman"/>
          <w:b/>
          <w:bCs/>
          <w:sz w:val="28"/>
          <w:szCs w:val="28"/>
        </w:rPr>
      </w:pPr>
    </w:p>
    <w:tbl>
      <w:tblPr>
        <w:tblStyle w:val="TableGrid"/>
        <w:tblW w:w="10252" w:type="dxa"/>
        <w:jc w:val="center"/>
        <w:tblLook w:val="04A0" w:firstRow="1" w:lastRow="0" w:firstColumn="1" w:lastColumn="0" w:noHBand="0" w:noVBand="1"/>
      </w:tblPr>
      <w:tblGrid>
        <w:gridCol w:w="2536"/>
        <w:gridCol w:w="1429"/>
        <w:gridCol w:w="1143"/>
        <w:gridCol w:w="1429"/>
        <w:gridCol w:w="1143"/>
        <w:gridCol w:w="1429"/>
        <w:gridCol w:w="1143"/>
      </w:tblGrid>
      <w:tr w:rsidR="00A97297" w:rsidRPr="000A6E2D" w14:paraId="0BF9A928" w14:textId="77777777" w:rsidTr="00E23521">
        <w:trPr>
          <w:trHeight w:val="397"/>
          <w:jc w:val="center"/>
        </w:trPr>
        <w:tc>
          <w:tcPr>
            <w:tcW w:w="2536" w:type="dxa"/>
            <w:vAlign w:val="center"/>
          </w:tcPr>
          <w:p w14:paraId="0E307EA6" w14:textId="77777777" w:rsidR="00A97297" w:rsidRPr="000A6E2D" w:rsidRDefault="00A97297" w:rsidP="004115A6">
            <w:pPr>
              <w:pStyle w:val="Tables"/>
            </w:pPr>
          </w:p>
        </w:tc>
        <w:tc>
          <w:tcPr>
            <w:tcW w:w="0" w:type="auto"/>
            <w:gridSpan w:val="2"/>
            <w:vAlign w:val="center"/>
          </w:tcPr>
          <w:p w14:paraId="75775E6C" w14:textId="07C39141" w:rsidR="00A97297" w:rsidRPr="00E23521" w:rsidRDefault="00A97297" w:rsidP="004115A6">
            <w:pPr>
              <w:pStyle w:val="Tables"/>
              <w:rPr>
                <w:b/>
                <w:bCs/>
              </w:rPr>
            </w:pPr>
            <w:r w:rsidRPr="00E23521">
              <w:rPr>
                <w:b/>
                <w:bCs/>
              </w:rPr>
              <w:t>1950-51</w:t>
            </w:r>
          </w:p>
        </w:tc>
        <w:tc>
          <w:tcPr>
            <w:tcW w:w="0" w:type="auto"/>
            <w:gridSpan w:val="2"/>
            <w:vAlign w:val="center"/>
          </w:tcPr>
          <w:p w14:paraId="7F6E574E" w14:textId="5E1C3162" w:rsidR="00A97297" w:rsidRPr="00E23521" w:rsidRDefault="00A97297" w:rsidP="004115A6">
            <w:pPr>
              <w:pStyle w:val="Tables"/>
              <w:rPr>
                <w:b/>
                <w:bCs/>
              </w:rPr>
            </w:pPr>
            <w:r w:rsidRPr="00E23521">
              <w:rPr>
                <w:b/>
                <w:bCs/>
              </w:rPr>
              <w:t>1951-52</w:t>
            </w:r>
          </w:p>
        </w:tc>
        <w:tc>
          <w:tcPr>
            <w:tcW w:w="0" w:type="auto"/>
            <w:gridSpan w:val="2"/>
            <w:vAlign w:val="center"/>
          </w:tcPr>
          <w:p w14:paraId="47185820" w14:textId="4E3F9929" w:rsidR="00A97297" w:rsidRPr="00E23521" w:rsidRDefault="00A97297" w:rsidP="004115A6">
            <w:pPr>
              <w:pStyle w:val="Tables"/>
              <w:rPr>
                <w:b/>
                <w:bCs/>
              </w:rPr>
            </w:pPr>
            <w:r w:rsidRPr="00E23521">
              <w:rPr>
                <w:b/>
                <w:bCs/>
              </w:rPr>
              <w:t>1952-53</w:t>
            </w:r>
          </w:p>
        </w:tc>
      </w:tr>
      <w:tr w:rsidR="004115A6" w:rsidRPr="000A6E2D" w14:paraId="2333AB69" w14:textId="15FC9063" w:rsidTr="00E23521">
        <w:trPr>
          <w:trHeight w:val="397"/>
          <w:jc w:val="center"/>
        </w:trPr>
        <w:tc>
          <w:tcPr>
            <w:tcW w:w="2536" w:type="dxa"/>
            <w:vAlign w:val="center"/>
            <w:hideMark/>
          </w:tcPr>
          <w:p w14:paraId="65D54C55" w14:textId="77777777" w:rsidR="004115A6" w:rsidRPr="000A6E2D" w:rsidRDefault="004115A6" w:rsidP="004115A6">
            <w:pPr>
              <w:pStyle w:val="Tables"/>
            </w:pPr>
          </w:p>
        </w:tc>
        <w:tc>
          <w:tcPr>
            <w:tcW w:w="0" w:type="auto"/>
            <w:vAlign w:val="center"/>
          </w:tcPr>
          <w:p w14:paraId="22AC256D" w14:textId="5ED5F9AD" w:rsidR="004115A6" w:rsidRPr="00E23521" w:rsidRDefault="004115A6" w:rsidP="004115A6">
            <w:pPr>
              <w:pStyle w:val="Tables"/>
              <w:rPr>
                <w:b/>
                <w:bCs/>
              </w:rPr>
            </w:pPr>
            <w:r w:rsidRPr="00E23521">
              <w:rPr>
                <w:b/>
                <w:bCs/>
              </w:rPr>
              <w:t>Rs. Crores</w:t>
            </w:r>
          </w:p>
        </w:tc>
        <w:tc>
          <w:tcPr>
            <w:tcW w:w="0" w:type="auto"/>
            <w:vAlign w:val="center"/>
          </w:tcPr>
          <w:p w14:paraId="64E46521" w14:textId="51D83ADD" w:rsidR="004115A6" w:rsidRPr="00E23521" w:rsidRDefault="004115A6" w:rsidP="004115A6">
            <w:pPr>
              <w:pStyle w:val="Tables"/>
              <w:rPr>
                <w:b/>
                <w:bCs/>
              </w:rPr>
            </w:pPr>
            <w:r w:rsidRPr="00E23521">
              <w:rPr>
                <w:b/>
                <w:bCs/>
              </w:rPr>
              <w:t>Per cent</w:t>
            </w:r>
          </w:p>
        </w:tc>
        <w:tc>
          <w:tcPr>
            <w:tcW w:w="0" w:type="auto"/>
            <w:vAlign w:val="center"/>
          </w:tcPr>
          <w:p w14:paraId="56A8FB3E" w14:textId="35B0FDE5" w:rsidR="004115A6" w:rsidRPr="00E23521" w:rsidRDefault="004115A6" w:rsidP="004115A6">
            <w:pPr>
              <w:pStyle w:val="Tables"/>
              <w:rPr>
                <w:b/>
                <w:bCs/>
              </w:rPr>
            </w:pPr>
            <w:r w:rsidRPr="00E23521">
              <w:rPr>
                <w:b/>
                <w:bCs/>
              </w:rPr>
              <w:t>Rs. Crores</w:t>
            </w:r>
          </w:p>
        </w:tc>
        <w:tc>
          <w:tcPr>
            <w:tcW w:w="0" w:type="auto"/>
            <w:vAlign w:val="center"/>
          </w:tcPr>
          <w:p w14:paraId="49303A14" w14:textId="62091BE5" w:rsidR="004115A6" w:rsidRPr="00E23521" w:rsidRDefault="004115A6" w:rsidP="004115A6">
            <w:pPr>
              <w:pStyle w:val="Tables"/>
              <w:rPr>
                <w:b/>
                <w:bCs/>
              </w:rPr>
            </w:pPr>
            <w:r w:rsidRPr="00E23521">
              <w:rPr>
                <w:b/>
                <w:bCs/>
              </w:rPr>
              <w:t>Per cent</w:t>
            </w:r>
          </w:p>
        </w:tc>
        <w:tc>
          <w:tcPr>
            <w:tcW w:w="0" w:type="auto"/>
            <w:vAlign w:val="center"/>
          </w:tcPr>
          <w:p w14:paraId="3F532516" w14:textId="4FF0BA80" w:rsidR="004115A6" w:rsidRPr="00E23521" w:rsidRDefault="004115A6" w:rsidP="004115A6">
            <w:pPr>
              <w:pStyle w:val="Tables"/>
              <w:rPr>
                <w:b/>
                <w:bCs/>
              </w:rPr>
            </w:pPr>
            <w:r w:rsidRPr="00E23521">
              <w:rPr>
                <w:b/>
                <w:bCs/>
              </w:rPr>
              <w:t>Rs. Crores</w:t>
            </w:r>
          </w:p>
        </w:tc>
        <w:tc>
          <w:tcPr>
            <w:tcW w:w="0" w:type="auto"/>
            <w:vAlign w:val="center"/>
          </w:tcPr>
          <w:p w14:paraId="153BDC11" w14:textId="612F9BC3" w:rsidR="004115A6" w:rsidRPr="00E23521" w:rsidRDefault="004115A6" w:rsidP="004115A6">
            <w:pPr>
              <w:pStyle w:val="Tables"/>
              <w:rPr>
                <w:b/>
                <w:bCs/>
              </w:rPr>
            </w:pPr>
            <w:r w:rsidRPr="00E23521">
              <w:rPr>
                <w:b/>
                <w:bCs/>
              </w:rPr>
              <w:t>Per cent</w:t>
            </w:r>
          </w:p>
        </w:tc>
      </w:tr>
      <w:tr w:rsidR="004115A6" w:rsidRPr="000A6E2D" w14:paraId="7E76E5B7" w14:textId="34763132" w:rsidTr="00E23521">
        <w:trPr>
          <w:trHeight w:val="397"/>
          <w:jc w:val="center"/>
        </w:trPr>
        <w:tc>
          <w:tcPr>
            <w:tcW w:w="2536" w:type="dxa"/>
            <w:vAlign w:val="center"/>
            <w:hideMark/>
          </w:tcPr>
          <w:p w14:paraId="1043ADA5" w14:textId="77777777" w:rsidR="004115A6" w:rsidRPr="000A6E2D" w:rsidRDefault="004115A6" w:rsidP="00E23521">
            <w:pPr>
              <w:pStyle w:val="Tables"/>
              <w:jc w:val="left"/>
            </w:pPr>
            <w:r w:rsidRPr="000A6E2D">
              <w:t>Total Tax Revenue</w:t>
            </w:r>
          </w:p>
        </w:tc>
        <w:tc>
          <w:tcPr>
            <w:tcW w:w="0" w:type="auto"/>
            <w:vAlign w:val="center"/>
            <w:hideMark/>
          </w:tcPr>
          <w:p w14:paraId="0F6945E5" w14:textId="77777777" w:rsidR="004115A6" w:rsidRPr="000A6E2D" w:rsidRDefault="004115A6" w:rsidP="004115A6">
            <w:pPr>
              <w:pStyle w:val="Tables"/>
            </w:pPr>
            <w:r w:rsidRPr="000A6E2D">
              <w:t>629.48</w:t>
            </w:r>
          </w:p>
        </w:tc>
        <w:tc>
          <w:tcPr>
            <w:tcW w:w="0" w:type="auto"/>
            <w:vAlign w:val="center"/>
            <w:hideMark/>
          </w:tcPr>
          <w:p w14:paraId="54AB2973" w14:textId="77777777" w:rsidR="004115A6" w:rsidRPr="000A6E2D" w:rsidRDefault="004115A6" w:rsidP="004115A6">
            <w:pPr>
              <w:pStyle w:val="Tables"/>
            </w:pPr>
            <w:r w:rsidRPr="000A6E2D">
              <w:t>100</w:t>
            </w:r>
          </w:p>
        </w:tc>
        <w:tc>
          <w:tcPr>
            <w:tcW w:w="0" w:type="auto"/>
            <w:vAlign w:val="center"/>
            <w:hideMark/>
          </w:tcPr>
          <w:p w14:paraId="4561F0A7" w14:textId="77777777" w:rsidR="004115A6" w:rsidRPr="000A6E2D" w:rsidRDefault="004115A6" w:rsidP="004115A6">
            <w:pPr>
              <w:pStyle w:val="Tables"/>
            </w:pPr>
            <w:r w:rsidRPr="000A6E2D">
              <w:t>730.61</w:t>
            </w:r>
          </w:p>
        </w:tc>
        <w:tc>
          <w:tcPr>
            <w:tcW w:w="0" w:type="auto"/>
            <w:vAlign w:val="center"/>
            <w:hideMark/>
          </w:tcPr>
          <w:p w14:paraId="595A0245" w14:textId="77777777" w:rsidR="004115A6" w:rsidRPr="000A6E2D" w:rsidRDefault="004115A6" w:rsidP="004115A6">
            <w:pPr>
              <w:pStyle w:val="Tables"/>
            </w:pPr>
            <w:r w:rsidRPr="000A6E2D">
              <w:t>100</w:t>
            </w:r>
          </w:p>
        </w:tc>
        <w:tc>
          <w:tcPr>
            <w:tcW w:w="0" w:type="auto"/>
            <w:vAlign w:val="center"/>
            <w:hideMark/>
          </w:tcPr>
          <w:p w14:paraId="6D15F578" w14:textId="690F6FF1" w:rsidR="004115A6" w:rsidRPr="000A6E2D" w:rsidRDefault="004115A6" w:rsidP="004115A6">
            <w:pPr>
              <w:pStyle w:val="Tables"/>
            </w:pPr>
            <w:r w:rsidRPr="000A6E2D">
              <w:t>646.35</w:t>
            </w:r>
          </w:p>
        </w:tc>
        <w:tc>
          <w:tcPr>
            <w:tcW w:w="0" w:type="auto"/>
            <w:vAlign w:val="center"/>
          </w:tcPr>
          <w:p w14:paraId="354A2DC5" w14:textId="192CB762" w:rsidR="004115A6" w:rsidRPr="000A6E2D" w:rsidRDefault="004115A6" w:rsidP="004115A6">
            <w:pPr>
              <w:pStyle w:val="Tables"/>
            </w:pPr>
            <w:r w:rsidRPr="000A6E2D">
              <w:t>100</w:t>
            </w:r>
          </w:p>
        </w:tc>
      </w:tr>
      <w:tr w:rsidR="004115A6" w:rsidRPr="000A6E2D" w14:paraId="7854D4E2" w14:textId="79CAB9E7" w:rsidTr="00E23521">
        <w:trPr>
          <w:trHeight w:val="397"/>
          <w:jc w:val="center"/>
        </w:trPr>
        <w:tc>
          <w:tcPr>
            <w:tcW w:w="2536" w:type="dxa"/>
            <w:vAlign w:val="center"/>
            <w:hideMark/>
          </w:tcPr>
          <w:p w14:paraId="325797B1" w14:textId="77777777" w:rsidR="004115A6" w:rsidRPr="000A6E2D" w:rsidRDefault="004115A6" w:rsidP="00E23521">
            <w:pPr>
              <w:pStyle w:val="Tables"/>
              <w:jc w:val="left"/>
            </w:pPr>
            <w:r w:rsidRPr="000A6E2D">
              <w:t>Taxes on Income*</w:t>
            </w:r>
          </w:p>
        </w:tc>
        <w:tc>
          <w:tcPr>
            <w:tcW w:w="0" w:type="auto"/>
            <w:vAlign w:val="center"/>
            <w:hideMark/>
          </w:tcPr>
          <w:p w14:paraId="65631EAA" w14:textId="77777777" w:rsidR="004115A6" w:rsidRPr="000A6E2D" w:rsidRDefault="004115A6" w:rsidP="004115A6">
            <w:pPr>
              <w:pStyle w:val="Tables"/>
            </w:pPr>
            <w:r w:rsidRPr="000A6E2D">
              <w:t>177.31</w:t>
            </w:r>
          </w:p>
        </w:tc>
        <w:tc>
          <w:tcPr>
            <w:tcW w:w="0" w:type="auto"/>
            <w:vAlign w:val="center"/>
            <w:hideMark/>
          </w:tcPr>
          <w:p w14:paraId="269C56E5" w14:textId="77777777" w:rsidR="004115A6" w:rsidRPr="000A6E2D" w:rsidRDefault="004115A6" w:rsidP="004115A6">
            <w:pPr>
              <w:pStyle w:val="Tables"/>
            </w:pPr>
            <w:r w:rsidRPr="000A6E2D">
              <w:t>28.2</w:t>
            </w:r>
          </w:p>
        </w:tc>
        <w:tc>
          <w:tcPr>
            <w:tcW w:w="0" w:type="auto"/>
            <w:vAlign w:val="center"/>
            <w:hideMark/>
          </w:tcPr>
          <w:p w14:paraId="56BE61B0" w14:textId="77777777" w:rsidR="004115A6" w:rsidRPr="000A6E2D" w:rsidRDefault="004115A6" w:rsidP="004115A6">
            <w:pPr>
              <w:pStyle w:val="Tables"/>
            </w:pPr>
            <w:r w:rsidRPr="000A6E2D">
              <w:t>179.39</w:t>
            </w:r>
          </w:p>
        </w:tc>
        <w:tc>
          <w:tcPr>
            <w:tcW w:w="0" w:type="auto"/>
            <w:vAlign w:val="center"/>
            <w:hideMark/>
          </w:tcPr>
          <w:p w14:paraId="60B67640" w14:textId="77777777" w:rsidR="004115A6" w:rsidRPr="000A6E2D" w:rsidRDefault="004115A6" w:rsidP="004115A6">
            <w:pPr>
              <w:pStyle w:val="Tables"/>
            </w:pPr>
            <w:r w:rsidRPr="000A6E2D">
              <w:t>24.6</w:t>
            </w:r>
          </w:p>
        </w:tc>
        <w:tc>
          <w:tcPr>
            <w:tcW w:w="0" w:type="auto"/>
            <w:vAlign w:val="center"/>
            <w:hideMark/>
          </w:tcPr>
          <w:p w14:paraId="52E362DF" w14:textId="793B0F77" w:rsidR="004115A6" w:rsidRPr="000A6E2D" w:rsidRDefault="004115A6" w:rsidP="004115A6">
            <w:pPr>
              <w:pStyle w:val="Tables"/>
            </w:pPr>
            <w:r w:rsidRPr="000A6E2D">
              <w:t>158.98</w:t>
            </w:r>
          </w:p>
        </w:tc>
        <w:tc>
          <w:tcPr>
            <w:tcW w:w="0" w:type="auto"/>
            <w:vAlign w:val="center"/>
          </w:tcPr>
          <w:p w14:paraId="714ABCDD" w14:textId="51A12299" w:rsidR="004115A6" w:rsidRPr="000A6E2D" w:rsidRDefault="004115A6" w:rsidP="004115A6">
            <w:pPr>
              <w:pStyle w:val="Tables"/>
            </w:pPr>
            <w:r w:rsidRPr="000A6E2D">
              <w:t>24.6</w:t>
            </w:r>
          </w:p>
        </w:tc>
      </w:tr>
      <w:tr w:rsidR="004115A6" w:rsidRPr="000A6E2D" w14:paraId="09ED276D" w14:textId="5B3C647E" w:rsidTr="00E23521">
        <w:trPr>
          <w:trHeight w:val="397"/>
          <w:jc w:val="center"/>
        </w:trPr>
        <w:tc>
          <w:tcPr>
            <w:tcW w:w="2536" w:type="dxa"/>
            <w:vAlign w:val="center"/>
            <w:hideMark/>
          </w:tcPr>
          <w:p w14:paraId="6977D411" w14:textId="77777777" w:rsidR="004115A6" w:rsidRPr="000A6E2D" w:rsidRDefault="004115A6" w:rsidP="00E23521">
            <w:pPr>
              <w:pStyle w:val="Tables"/>
              <w:jc w:val="left"/>
            </w:pPr>
            <w:r w:rsidRPr="000A6E2D">
              <w:t>Customs</w:t>
            </w:r>
          </w:p>
        </w:tc>
        <w:tc>
          <w:tcPr>
            <w:tcW w:w="0" w:type="auto"/>
            <w:vAlign w:val="center"/>
            <w:hideMark/>
          </w:tcPr>
          <w:p w14:paraId="350F74A8" w14:textId="77777777" w:rsidR="004115A6" w:rsidRPr="000A6E2D" w:rsidRDefault="004115A6" w:rsidP="004115A6">
            <w:pPr>
              <w:pStyle w:val="Tables"/>
            </w:pPr>
            <w:r w:rsidRPr="000A6E2D">
              <w:t>157.15</w:t>
            </w:r>
          </w:p>
        </w:tc>
        <w:tc>
          <w:tcPr>
            <w:tcW w:w="0" w:type="auto"/>
            <w:vAlign w:val="center"/>
            <w:hideMark/>
          </w:tcPr>
          <w:p w14:paraId="2CFB1AC3" w14:textId="77777777" w:rsidR="004115A6" w:rsidRPr="000A6E2D" w:rsidRDefault="004115A6" w:rsidP="004115A6">
            <w:pPr>
              <w:pStyle w:val="Tables"/>
            </w:pPr>
            <w:r w:rsidRPr="000A6E2D">
              <w:t>25.0</w:t>
            </w:r>
          </w:p>
        </w:tc>
        <w:tc>
          <w:tcPr>
            <w:tcW w:w="0" w:type="auto"/>
            <w:vAlign w:val="center"/>
            <w:hideMark/>
          </w:tcPr>
          <w:p w14:paraId="383E7A7D" w14:textId="77777777" w:rsidR="004115A6" w:rsidRPr="000A6E2D" w:rsidRDefault="004115A6" w:rsidP="004115A6">
            <w:pPr>
              <w:pStyle w:val="Tables"/>
            </w:pPr>
            <w:r w:rsidRPr="000A6E2D">
              <w:t>232.00</w:t>
            </w:r>
          </w:p>
        </w:tc>
        <w:tc>
          <w:tcPr>
            <w:tcW w:w="0" w:type="auto"/>
            <w:vAlign w:val="center"/>
            <w:hideMark/>
          </w:tcPr>
          <w:p w14:paraId="4FEDEA78" w14:textId="77777777" w:rsidR="004115A6" w:rsidRPr="000A6E2D" w:rsidRDefault="004115A6" w:rsidP="004115A6">
            <w:pPr>
              <w:pStyle w:val="Tables"/>
            </w:pPr>
            <w:r w:rsidRPr="000A6E2D">
              <w:t>31.7</w:t>
            </w:r>
          </w:p>
        </w:tc>
        <w:tc>
          <w:tcPr>
            <w:tcW w:w="0" w:type="auto"/>
            <w:vAlign w:val="center"/>
            <w:hideMark/>
          </w:tcPr>
          <w:p w14:paraId="7548EE5C" w14:textId="7FD724BB" w:rsidR="004115A6" w:rsidRPr="000A6E2D" w:rsidRDefault="004115A6" w:rsidP="004115A6">
            <w:pPr>
              <w:pStyle w:val="Tables"/>
            </w:pPr>
            <w:r w:rsidRPr="000A6E2D">
              <w:t>165.00</w:t>
            </w:r>
          </w:p>
        </w:tc>
        <w:tc>
          <w:tcPr>
            <w:tcW w:w="0" w:type="auto"/>
            <w:vAlign w:val="center"/>
          </w:tcPr>
          <w:p w14:paraId="36E81981" w14:textId="547897D1" w:rsidR="004115A6" w:rsidRPr="000A6E2D" w:rsidRDefault="004115A6" w:rsidP="004115A6">
            <w:pPr>
              <w:pStyle w:val="Tables"/>
            </w:pPr>
            <w:r w:rsidRPr="000A6E2D">
              <w:t>25.5</w:t>
            </w:r>
          </w:p>
        </w:tc>
      </w:tr>
      <w:tr w:rsidR="004115A6" w:rsidRPr="000A6E2D" w14:paraId="1C41975F" w14:textId="01273AA4" w:rsidTr="00E23521">
        <w:trPr>
          <w:trHeight w:val="397"/>
          <w:jc w:val="center"/>
        </w:trPr>
        <w:tc>
          <w:tcPr>
            <w:tcW w:w="2536" w:type="dxa"/>
            <w:vAlign w:val="center"/>
            <w:hideMark/>
          </w:tcPr>
          <w:p w14:paraId="6A0E3891" w14:textId="77777777" w:rsidR="004115A6" w:rsidRPr="000A6E2D" w:rsidRDefault="004115A6" w:rsidP="00E23521">
            <w:pPr>
              <w:pStyle w:val="Tables"/>
              <w:jc w:val="left"/>
            </w:pPr>
            <w:r w:rsidRPr="000A6E2D">
              <w:t>Central Excise</w:t>
            </w:r>
          </w:p>
        </w:tc>
        <w:tc>
          <w:tcPr>
            <w:tcW w:w="0" w:type="auto"/>
            <w:vAlign w:val="center"/>
            <w:hideMark/>
          </w:tcPr>
          <w:p w14:paraId="3E9D06D1" w14:textId="77777777" w:rsidR="004115A6" w:rsidRPr="000A6E2D" w:rsidRDefault="004115A6" w:rsidP="004115A6">
            <w:pPr>
              <w:pStyle w:val="Tables"/>
            </w:pPr>
            <w:r w:rsidRPr="000A6E2D">
              <w:t>67.54</w:t>
            </w:r>
          </w:p>
        </w:tc>
        <w:tc>
          <w:tcPr>
            <w:tcW w:w="0" w:type="auto"/>
            <w:vAlign w:val="center"/>
            <w:hideMark/>
          </w:tcPr>
          <w:p w14:paraId="291B483C" w14:textId="77777777" w:rsidR="004115A6" w:rsidRPr="000A6E2D" w:rsidRDefault="004115A6" w:rsidP="004115A6">
            <w:pPr>
              <w:pStyle w:val="Tables"/>
            </w:pPr>
            <w:r w:rsidRPr="000A6E2D">
              <w:t>10.7</w:t>
            </w:r>
          </w:p>
        </w:tc>
        <w:tc>
          <w:tcPr>
            <w:tcW w:w="0" w:type="auto"/>
            <w:vAlign w:val="center"/>
            <w:hideMark/>
          </w:tcPr>
          <w:p w14:paraId="16AEE424" w14:textId="77777777" w:rsidR="004115A6" w:rsidRPr="000A6E2D" w:rsidRDefault="004115A6" w:rsidP="004115A6">
            <w:pPr>
              <w:pStyle w:val="Tables"/>
            </w:pPr>
            <w:r w:rsidRPr="000A6E2D">
              <w:t>84.30</w:t>
            </w:r>
          </w:p>
        </w:tc>
        <w:tc>
          <w:tcPr>
            <w:tcW w:w="0" w:type="auto"/>
            <w:vAlign w:val="center"/>
            <w:hideMark/>
          </w:tcPr>
          <w:p w14:paraId="4E72F159" w14:textId="77777777" w:rsidR="004115A6" w:rsidRPr="000A6E2D" w:rsidRDefault="004115A6" w:rsidP="004115A6">
            <w:pPr>
              <w:pStyle w:val="Tables"/>
            </w:pPr>
            <w:r w:rsidRPr="000A6E2D">
              <w:t>11.5</w:t>
            </w:r>
          </w:p>
        </w:tc>
        <w:tc>
          <w:tcPr>
            <w:tcW w:w="0" w:type="auto"/>
            <w:vAlign w:val="center"/>
            <w:hideMark/>
          </w:tcPr>
          <w:p w14:paraId="2AA1CCFC" w14:textId="205CAE0C" w:rsidR="004115A6" w:rsidRPr="000A6E2D" w:rsidRDefault="004115A6" w:rsidP="004115A6">
            <w:pPr>
              <w:pStyle w:val="Tables"/>
            </w:pPr>
            <w:r w:rsidRPr="000A6E2D">
              <w:t>86.00</w:t>
            </w:r>
          </w:p>
        </w:tc>
        <w:tc>
          <w:tcPr>
            <w:tcW w:w="0" w:type="auto"/>
            <w:vAlign w:val="center"/>
          </w:tcPr>
          <w:p w14:paraId="590151B6" w14:textId="65A4DC31" w:rsidR="004115A6" w:rsidRPr="000A6E2D" w:rsidRDefault="004115A6" w:rsidP="004115A6">
            <w:pPr>
              <w:pStyle w:val="Tables"/>
            </w:pPr>
            <w:r w:rsidRPr="000A6E2D">
              <w:t>13.3</w:t>
            </w:r>
          </w:p>
        </w:tc>
      </w:tr>
      <w:tr w:rsidR="004115A6" w:rsidRPr="000A6E2D" w14:paraId="623D4470" w14:textId="22A88C6F" w:rsidTr="00E23521">
        <w:trPr>
          <w:trHeight w:val="397"/>
          <w:jc w:val="center"/>
        </w:trPr>
        <w:tc>
          <w:tcPr>
            <w:tcW w:w="2536" w:type="dxa"/>
            <w:vAlign w:val="center"/>
            <w:hideMark/>
          </w:tcPr>
          <w:p w14:paraId="1B58D75A" w14:textId="77777777" w:rsidR="004115A6" w:rsidRPr="000A6E2D" w:rsidRDefault="004115A6" w:rsidP="00E23521">
            <w:pPr>
              <w:pStyle w:val="Tables"/>
              <w:jc w:val="left"/>
            </w:pPr>
            <w:r w:rsidRPr="000A6E2D">
              <w:t>State Excise</w:t>
            </w:r>
          </w:p>
        </w:tc>
        <w:tc>
          <w:tcPr>
            <w:tcW w:w="0" w:type="auto"/>
            <w:vAlign w:val="center"/>
            <w:hideMark/>
          </w:tcPr>
          <w:p w14:paraId="3A4A683E" w14:textId="77777777" w:rsidR="004115A6" w:rsidRPr="000A6E2D" w:rsidRDefault="004115A6" w:rsidP="004115A6">
            <w:pPr>
              <w:pStyle w:val="Tables"/>
            </w:pPr>
            <w:r w:rsidRPr="000A6E2D">
              <w:t>49.40</w:t>
            </w:r>
          </w:p>
        </w:tc>
        <w:tc>
          <w:tcPr>
            <w:tcW w:w="0" w:type="auto"/>
            <w:vAlign w:val="center"/>
            <w:hideMark/>
          </w:tcPr>
          <w:p w14:paraId="538DF67A" w14:textId="77777777" w:rsidR="004115A6" w:rsidRPr="000A6E2D" w:rsidRDefault="004115A6" w:rsidP="004115A6">
            <w:pPr>
              <w:pStyle w:val="Tables"/>
            </w:pPr>
            <w:r w:rsidRPr="000A6E2D">
              <w:t>7.8</w:t>
            </w:r>
          </w:p>
        </w:tc>
        <w:tc>
          <w:tcPr>
            <w:tcW w:w="0" w:type="auto"/>
            <w:vAlign w:val="center"/>
            <w:hideMark/>
          </w:tcPr>
          <w:p w14:paraId="08358C00" w14:textId="77777777" w:rsidR="004115A6" w:rsidRPr="000A6E2D" w:rsidRDefault="004115A6" w:rsidP="004115A6">
            <w:pPr>
              <w:pStyle w:val="Tables"/>
            </w:pPr>
            <w:r w:rsidRPr="000A6E2D">
              <w:t>50.94</w:t>
            </w:r>
          </w:p>
        </w:tc>
        <w:tc>
          <w:tcPr>
            <w:tcW w:w="0" w:type="auto"/>
            <w:vAlign w:val="center"/>
            <w:hideMark/>
          </w:tcPr>
          <w:p w14:paraId="0948A223" w14:textId="77777777" w:rsidR="004115A6" w:rsidRPr="000A6E2D" w:rsidRDefault="004115A6" w:rsidP="004115A6">
            <w:pPr>
              <w:pStyle w:val="Tables"/>
            </w:pPr>
            <w:r w:rsidRPr="000A6E2D">
              <w:t>7.0</w:t>
            </w:r>
          </w:p>
        </w:tc>
        <w:tc>
          <w:tcPr>
            <w:tcW w:w="0" w:type="auto"/>
            <w:vAlign w:val="center"/>
            <w:hideMark/>
          </w:tcPr>
          <w:p w14:paraId="4280CCCA" w14:textId="42C6E7E4" w:rsidR="004115A6" w:rsidRPr="000A6E2D" w:rsidRDefault="004115A6" w:rsidP="004115A6">
            <w:pPr>
              <w:pStyle w:val="Tables"/>
            </w:pPr>
            <w:r w:rsidRPr="000A6E2D">
              <w:t>47.61</w:t>
            </w:r>
          </w:p>
        </w:tc>
        <w:tc>
          <w:tcPr>
            <w:tcW w:w="0" w:type="auto"/>
            <w:vAlign w:val="center"/>
          </w:tcPr>
          <w:p w14:paraId="3720510C" w14:textId="58668E26" w:rsidR="004115A6" w:rsidRPr="000A6E2D" w:rsidRDefault="004115A6" w:rsidP="004115A6">
            <w:pPr>
              <w:pStyle w:val="Tables"/>
            </w:pPr>
            <w:r w:rsidRPr="000A6E2D">
              <w:t>7.4</w:t>
            </w:r>
          </w:p>
        </w:tc>
      </w:tr>
      <w:tr w:rsidR="004115A6" w:rsidRPr="000A6E2D" w14:paraId="1F911CD5" w14:textId="6DD20137" w:rsidTr="00E23521">
        <w:trPr>
          <w:trHeight w:val="397"/>
          <w:jc w:val="center"/>
        </w:trPr>
        <w:tc>
          <w:tcPr>
            <w:tcW w:w="2536" w:type="dxa"/>
            <w:vAlign w:val="center"/>
            <w:hideMark/>
          </w:tcPr>
          <w:p w14:paraId="63775B78" w14:textId="77777777" w:rsidR="004115A6" w:rsidRPr="000A6E2D" w:rsidRDefault="004115A6" w:rsidP="00E23521">
            <w:pPr>
              <w:pStyle w:val="Tables"/>
              <w:jc w:val="left"/>
            </w:pPr>
            <w:r w:rsidRPr="000A6E2D">
              <w:t>Land Revenue</w:t>
            </w:r>
          </w:p>
        </w:tc>
        <w:tc>
          <w:tcPr>
            <w:tcW w:w="0" w:type="auto"/>
            <w:vAlign w:val="center"/>
            <w:hideMark/>
          </w:tcPr>
          <w:p w14:paraId="74FD022D" w14:textId="77777777" w:rsidR="004115A6" w:rsidRPr="000A6E2D" w:rsidRDefault="004115A6" w:rsidP="004115A6">
            <w:pPr>
              <w:pStyle w:val="Tables"/>
            </w:pPr>
            <w:r w:rsidRPr="000A6E2D">
              <w:t>51.59</w:t>
            </w:r>
          </w:p>
        </w:tc>
        <w:tc>
          <w:tcPr>
            <w:tcW w:w="0" w:type="auto"/>
            <w:vAlign w:val="center"/>
            <w:hideMark/>
          </w:tcPr>
          <w:p w14:paraId="294974A8" w14:textId="77777777" w:rsidR="004115A6" w:rsidRPr="000A6E2D" w:rsidRDefault="004115A6" w:rsidP="004115A6">
            <w:pPr>
              <w:pStyle w:val="Tables"/>
            </w:pPr>
            <w:r w:rsidRPr="000A6E2D">
              <w:t>8.2</w:t>
            </w:r>
          </w:p>
        </w:tc>
        <w:tc>
          <w:tcPr>
            <w:tcW w:w="0" w:type="auto"/>
            <w:vAlign w:val="center"/>
            <w:hideMark/>
          </w:tcPr>
          <w:p w14:paraId="020D11B3" w14:textId="77777777" w:rsidR="004115A6" w:rsidRPr="000A6E2D" w:rsidRDefault="004115A6" w:rsidP="004115A6">
            <w:pPr>
              <w:pStyle w:val="Tables"/>
            </w:pPr>
            <w:r w:rsidRPr="000A6E2D">
              <w:t>53.14</w:t>
            </w:r>
          </w:p>
        </w:tc>
        <w:tc>
          <w:tcPr>
            <w:tcW w:w="0" w:type="auto"/>
            <w:vAlign w:val="center"/>
            <w:hideMark/>
          </w:tcPr>
          <w:p w14:paraId="4A6CAA23" w14:textId="77777777" w:rsidR="004115A6" w:rsidRPr="000A6E2D" w:rsidRDefault="004115A6" w:rsidP="004115A6">
            <w:pPr>
              <w:pStyle w:val="Tables"/>
            </w:pPr>
            <w:r w:rsidRPr="000A6E2D">
              <w:t>7.3</w:t>
            </w:r>
          </w:p>
        </w:tc>
        <w:tc>
          <w:tcPr>
            <w:tcW w:w="0" w:type="auto"/>
            <w:vAlign w:val="center"/>
            <w:hideMark/>
          </w:tcPr>
          <w:p w14:paraId="45C7DDB4" w14:textId="13E597AD" w:rsidR="004115A6" w:rsidRPr="000A6E2D" w:rsidRDefault="004115A6" w:rsidP="004115A6">
            <w:pPr>
              <w:pStyle w:val="Tables"/>
            </w:pPr>
            <w:r w:rsidRPr="000A6E2D">
              <w:t>61.63</w:t>
            </w:r>
          </w:p>
        </w:tc>
        <w:tc>
          <w:tcPr>
            <w:tcW w:w="0" w:type="auto"/>
            <w:vAlign w:val="center"/>
          </w:tcPr>
          <w:p w14:paraId="2C857C3D" w14:textId="49856F4E" w:rsidR="004115A6" w:rsidRPr="000A6E2D" w:rsidRDefault="004115A6" w:rsidP="004115A6">
            <w:pPr>
              <w:pStyle w:val="Tables"/>
            </w:pPr>
            <w:r w:rsidRPr="000A6E2D">
              <w:t>9.5</w:t>
            </w:r>
          </w:p>
        </w:tc>
      </w:tr>
      <w:tr w:rsidR="004115A6" w:rsidRPr="000A6E2D" w14:paraId="0FD18486" w14:textId="17FC014F" w:rsidTr="00E23521">
        <w:trPr>
          <w:trHeight w:val="397"/>
          <w:jc w:val="center"/>
        </w:trPr>
        <w:tc>
          <w:tcPr>
            <w:tcW w:w="2536" w:type="dxa"/>
            <w:vAlign w:val="center"/>
            <w:hideMark/>
          </w:tcPr>
          <w:p w14:paraId="1D0BD413" w14:textId="77777777" w:rsidR="004115A6" w:rsidRPr="000A6E2D" w:rsidRDefault="004115A6" w:rsidP="00E23521">
            <w:pPr>
              <w:pStyle w:val="Tables"/>
              <w:jc w:val="left"/>
            </w:pPr>
            <w:r w:rsidRPr="000A6E2D">
              <w:t>Stamps</w:t>
            </w:r>
          </w:p>
        </w:tc>
        <w:tc>
          <w:tcPr>
            <w:tcW w:w="0" w:type="auto"/>
            <w:vAlign w:val="center"/>
            <w:hideMark/>
          </w:tcPr>
          <w:p w14:paraId="69D39552" w14:textId="77777777" w:rsidR="004115A6" w:rsidRPr="000A6E2D" w:rsidRDefault="004115A6" w:rsidP="004115A6">
            <w:pPr>
              <w:pStyle w:val="Tables"/>
            </w:pPr>
            <w:r w:rsidRPr="000A6E2D">
              <w:t>23.94</w:t>
            </w:r>
          </w:p>
        </w:tc>
        <w:tc>
          <w:tcPr>
            <w:tcW w:w="0" w:type="auto"/>
            <w:vAlign w:val="center"/>
            <w:hideMark/>
          </w:tcPr>
          <w:p w14:paraId="7514625F" w14:textId="77777777" w:rsidR="004115A6" w:rsidRPr="000A6E2D" w:rsidRDefault="004115A6" w:rsidP="004115A6">
            <w:pPr>
              <w:pStyle w:val="Tables"/>
            </w:pPr>
            <w:r w:rsidRPr="000A6E2D">
              <w:t>3.8</w:t>
            </w:r>
          </w:p>
        </w:tc>
        <w:tc>
          <w:tcPr>
            <w:tcW w:w="0" w:type="auto"/>
            <w:vAlign w:val="center"/>
            <w:hideMark/>
          </w:tcPr>
          <w:p w14:paraId="2A0ED2D2" w14:textId="77777777" w:rsidR="004115A6" w:rsidRPr="000A6E2D" w:rsidRDefault="004115A6" w:rsidP="004115A6">
            <w:pPr>
              <w:pStyle w:val="Tables"/>
            </w:pPr>
            <w:r w:rsidRPr="000A6E2D">
              <w:t>24.19</w:t>
            </w:r>
          </w:p>
        </w:tc>
        <w:tc>
          <w:tcPr>
            <w:tcW w:w="0" w:type="auto"/>
            <w:vAlign w:val="center"/>
            <w:hideMark/>
          </w:tcPr>
          <w:p w14:paraId="15BA82F5" w14:textId="77777777" w:rsidR="004115A6" w:rsidRPr="000A6E2D" w:rsidRDefault="004115A6" w:rsidP="004115A6">
            <w:pPr>
              <w:pStyle w:val="Tables"/>
            </w:pPr>
            <w:r w:rsidRPr="000A6E2D">
              <w:t>3.3</w:t>
            </w:r>
          </w:p>
        </w:tc>
        <w:tc>
          <w:tcPr>
            <w:tcW w:w="0" w:type="auto"/>
            <w:vAlign w:val="center"/>
            <w:hideMark/>
          </w:tcPr>
          <w:p w14:paraId="2F3E9B1D" w14:textId="007CC457" w:rsidR="004115A6" w:rsidRPr="000A6E2D" w:rsidRDefault="004115A6" w:rsidP="004115A6">
            <w:pPr>
              <w:pStyle w:val="Tables"/>
            </w:pPr>
            <w:r w:rsidRPr="000A6E2D">
              <w:t>24.12</w:t>
            </w:r>
          </w:p>
        </w:tc>
        <w:tc>
          <w:tcPr>
            <w:tcW w:w="0" w:type="auto"/>
            <w:vAlign w:val="center"/>
          </w:tcPr>
          <w:p w14:paraId="39CB02AD" w14:textId="53A62E23" w:rsidR="004115A6" w:rsidRPr="000A6E2D" w:rsidRDefault="004115A6" w:rsidP="004115A6">
            <w:pPr>
              <w:pStyle w:val="Tables"/>
            </w:pPr>
            <w:r w:rsidRPr="000A6E2D">
              <w:t>3.7</w:t>
            </w:r>
          </w:p>
        </w:tc>
      </w:tr>
      <w:tr w:rsidR="004115A6" w:rsidRPr="000A6E2D" w14:paraId="25D25AAA" w14:textId="3C326B8F" w:rsidTr="00E23521">
        <w:trPr>
          <w:trHeight w:val="397"/>
          <w:jc w:val="center"/>
        </w:trPr>
        <w:tc>
          <w:tcPr>
            <w:tcW w:w="2536" w:type="dxa"/>
            <w:vAlign w:val="center"/>
            <w:hideMark/>
          </w:tcPr>
          <w:p w14:paraId="73D5CC1D" w14:textId="77777777" w:rsidR="004115A6" w:rsidRPr="000A6E2D" w:rsidRDefault="004115A6" w:rsidP="00E23521">
            <w:pPr>
              <w:pStyle w:val="Tables"/>
              <w:jc w:val="left"/>
            </w:pPr>
            <w:r w:rsidRPr="000A6E2D">
              <w:t>Sales Tax</w:t>
            </w:r>
          </w:p>
        </w:tc>
        <w:tc>
          <w:tcPr>
            <w:tcW w:w="0" w:type="auto"/>
            <w:vAlign w:val="center"/>
            <w:hideMark/>
          </w:tcPr>
          <w:p w14:paraId="6C0460A8" w14:textId="77777777" w:rsidR="004115A6" w:rsidRPr="000A6E2D" w:rsidRDefault="004115A6" w:rsidP="004115A6">
            <w:pPr>
              <w:pStyle w:val="Tables"/>
            </w:pPr>
            <w:r w:rsidRPr="000A6E2D">
              <w:t>55.42</w:t>
            </w:r>
          </w:p>
        </w:tc>
        <w:tc>
          <w:tcPr>
            <w:tcW w:w="0" w:type="auto"/>
            <w:vAlign w:val="center"/>
            <w:hideMark/>
          </w:tcPr>
          <w:p w14:paraId="7EFCEB10" w14:textId="77777777" w:rsidR="004115A6" w:rsidRPr="000A6E2D" w:rsidRDefault="004115A6" w:rsidP="004115A6">
            <w:pPr>
              <w:pStyle w:val="Tables"/>
            </w:pPr>
            <w:r w:rsidRPr="000A6E2D">
              <w:t>8.8</w:t>
            </w:r>
          </w:p>
        </w:tc>
        <w:tc>
          <w:tcPr>
            <w:tcW w:w="0" w:type="auto"/>
            <w:vAlign w:val="center"/>
            <w:hideMark/>
          </w:tcPr>
          <w:p w14:paraId="47D2C384" w14:textId="77777777" w:rsidR="004115A6" w:rsidRPr="000A6E2D" w:rsidRDefault="004115A6" w:rsidP="004115A6">
            <w:pPr>
              <w:pStyle w:val="Tables"/>
            </w:pPr>
            <w:r w:rsidRPr="000A6E2D">
              <w:t>52.45</w:t>
            </w:r>
          </w:p>
        </w:tc>
        <w:tc>
          <w:tcPr>
            <w:tcW w:w="0" w:type="auto"/>
            <w:vAlign w:val="center"/>
            <w:hideMark/>
          </w:tcPr>
          <w:p w14:paraId="7BA37EC8" w14:textId="77777777" w:rsidR="004115A6" w:rsidRPr="000A6E2D" w:rsidRDefault="004115A6" w:rsidP="004115A6">
            <w:pPr>
              <w:pStyle w:val="Tables"/>
            </w:pPr>
            <w:r w:rsidRPr="000A6E2D">
              <w:t>7.2</w:t>
            </w:r>
          </w:p>
        </w:tc>
        <w:tc>
          <w:tcPr>
            <w:tcW w:w="0" w:type="auto"/>
            <w:vAlign w:val="center"/>
            <w:hideMark/>
          </w:tcPr>
          <w:p w14:paraId="4A43CB12" w14:textId="005541FA" w:rsidR="004115A6" w:rsidRPr="000A6E2D" w:rsidRDefault="004115A6" w:rsidP="004115A6">
            <w:pPr>
              <w:pStyle w:val="Tables"/>
            </w:pPr>
            <w:r w:rsidRPr="000A6E2D">
              <w:t>52.72</w:t>
            </w:r>
          </w:p>
        </w:tc>
        <w:tc>
          <w:tcPr>
            <w:tcW w:w="0" w:type="auto"/>
            <w:vAlign w:val="center"/>
          </w:tcPr>
          <w:p w14:paraId="75551614" w14:textId="5934A2EF" w:rsidR="004115A6" w:rsidRPr="000A6E2D" w:rsidRDefault="004115A6" w:rsidP="004115A6">
            <w:pPr>
              <w:pStyle w:val="Tables"/>
            </w:pPr>
            <w:r w:rsidRPr="000A6E2D">
              <w:t>8.2</w:t>
            </w:r>
          </w:p>
        </w:tc>
      </w:tr>
      <w:tr w:rsidR="004115A6" w:rsidRPr="000A6E2D" w14:paraId="637117AD" w14:textId="5C3CE1E5" w:rsidTr="00E23521">
        <w:trPr>
          <w:trHeight w:val="397"/>
          <w:jc w:val="center"/>
        </w:trPr>
        <w:tc>
          <w:tcPr>
            <w:tcW w:w="2536" w:type="dxa"/>
            <w:vAlign w:val="center"/>
            <w:hideMark/>
          </w:tcPr>
          <w:p w14:paraId="11ECFF88" w14:textId="77777777" w:rsidR="004115A6" w:rsidRPr="000A6E2D" w:rsidRDefault="004115A6" w:rsidP="00E23521">
            <w:pPr>
              <w:pStyle w:val="Tables"/>
              <w:jc w:val="left"/>
            </w:pPr>
            <w:r w:rsidRPr="000A6E2D">
              <w:t>Inter-State Transit Duties</w:t>
            </w:r>
          </w:p>
        </w:tc>
        <w:tc>
          <w:tcPr>
            <w:tcW w:w="0" w:type="auto"/>
            <w:vAlign w:val="center"/>
            <w:hideMark/>
          </w:tcPr>
          <w:p w14:paraId="4C13BABB" w14:textId="77777777" w:rsidR="004115A6" w:rsidRPr="000A6E2D" w:rsidRDefault="004115A6" w:rsidP="004115A6">
            <w:pPr>
              <w:pStyle w:val="Tables"/>
            </w:pPr>
            <w:r w:rsidRPr="000A6E2D">
              <w:t>9.31</w:t>
            </w:r>
          </w:p>
        </w:tc>
        <w:tc>
          <w:tcPr>
            <w:tcW w:w="0" w:type="auto"/>
            <w:vAlign w:val="center"/>
            <w:hideMark/>
          </w:tcPr>
          <w:p w14:paraId="2BEF65DC" w14:textId="77777777" w:rsidR="004115A6" w:rsidRPr="000A6E2D" w:rsidRDefault="004115A6" w:rsidP="004115A6">
            <w:pPr>
              <w:pStyle w:val="Tables"/>
            </w:pPr>
            <w:r w:rsidRPr="000A6E2D">
              <w:t>1.5</w:t>
            </w:r>
          </w:p>
        </w:tc>
        <w:tc>
          <w:tcPr>
            <w:tcW w:w="0" w:type="auto"/>
            <w:vAlign w:val="center"/>
            <w:hideMark/>
          </w:tcPr>
          <w:p w14:paraId="1A237F2B" w14:textId="77777777" w:rsidR="004115A6" w:rsidRPr="000A6E2D" w:rsidRDefault="004115A6" w:rsidP="004115A6">
            <w:pPr>
              <w:pStyle w:val="Tables"/>
            </w:pPr>
            <w:r w:rsidRPr="000A6E2D">
              <w:t>8.85</w:t>
            </w:r>
          </w:p>
        </w:tc>
        <w:tc>
          <w:tcPr>
            <w:tcW w:w="0" w:type="auto"/>
            <w:vAlign w:val="center"/>
            <w:hideMark/>
          </w:tcPr>
          <w:p w14:paraId="5ED24AB8" w14:textId="77777777" w:rsidR="004115A6" w:rsidRPr="000A6E2D" w:rsidRDefault="004115A6" w:rsidP="004115A6">
            <w:pPr>
              <w:pStyle w:val="Tables"/>
            </w:pPr>
            <w:r w:rsidRPr="000A6E2D">
              <w:t>1.2</w:t>
            </w:r>
          </w:p>
        </w:tc>
        <w:tc>
          <w:tcPr>
            <w:tcW w:w="0" w:type="auto"/>
            <w:vAlign w:val="center"/>
            <w:hideMark/>
          </w:tcPr>
          <w:p w14:paraId="4489543A" w14:textId="2382C8E0" w:rsidR="004115A6" w:rsidRPr="000A6E2D" w:rsidRDefault="004115A6" w:rsidP="004115A6">
            <w:pPr>
              <w:pStyle w:val="Tables"/>
            </w:pPr>
            <w:r w:rsidRPr="000A6E2D">
              <w:t>6.88</w:t>
            </w:r>
          </w:p>
        </w:tc>
        <w:tc>
          <w:tcPr>
            <w:tcW w:w="0" w:type="auto"/>
            <w:vAlign w:val="center"/>
          </w:tcPr>
          <w:p w14:paraId="26B2E5EF" w14:textId="7A8EB020" w:rsidR="004115A6" w:rsidRPr="000A6E2D" w:rsidRDefault="004115A6" w:rsidP="004115A6">
            <w:pPr>
              <w:pStyle w:val="Tables"/>
            </w:pPr>
            <w:r w:rsidRPr="000A6E2D">
              <w:t>1.1</w:t>
            </w:r>
          </w:p>
        </w:tc>
      </w:tr>
    </w:tbl>
    <w:p w14:paraId="173A73F9" w14:textId="76CCF8B1" w:rsidR="009D36E1" w:rsidRDefault="00A97297" w:rsidP="004115A6">
      <w:pPr>
        <w:pStyle w:val="Sources"/>
      </w:pPr>
      <w:r w:rsidRPr="000A6E2D">
        <w:t>* Including Agricultural Income-tax.</w:t>
      </w:r>
    </w:p>
    <w:p w14:paraId="1FE4A5BF" w14:textId="77777777" w:rsidR="004115A6" w:rsidRPr="000A6E2D" w:rsidRDefault="004115A6" w:rsidP="004115A6">
      <w:pPr>
        <w:pStyle w:val="Sources"/>
      </w:pPr>
    </w:p>
    <w:p w14:paraId="1D3BB8CA" w14:textId="77777777" w:rsidR="00EE0179" w:rsidRDefault="00EE0179">
      <w:pPr>
        <w:rPr>
          <w:rFonts w:ascii="Times New Roman" w:hAnsi="Times New Roman" w:cs="Times New Roman"/>
          <w:sz w:val="28"/>
          <w:szCs w:val="28"/>
        </w:rPr>
      </w:pPr>
      <w:r>
        <w:rPr>
          <w:rFonts w:ascii="Times New Roman" w:hAnsi="Times New Roman" w:cs="Times New Roman"/>
          <w:sz w:val="28"/>
          <w:szCs w:val="28"/>
        </w:rPr>
        <w:br w:type="page"/>
      </w:r>
    </w:p>
    <w:p w14:paraId="21B4AB7D" w14:textId="4A5AECD0" w:rsidR="00A97297" w:rsidRPr="000A6E2D" w:rsidRDefault="00A97297" w:rsidP="00EE0179">
      <w:pPr>
        <w:pStyle w:val="ListParagraph"/>
        <w:numPr>
          <w:ilvl w:val="0"/>
          <w:numId w:val="29"/>
        </w:numPr>
        <w:spacing w:after="0" w:line="520" w:lineRule="exact"/>
        <w:ind w:left="0" w:firstLine="556"/>
        <w:jc w:val="both"/>
        <w:rPr>
          <w:rFonts w:ascii="Times New Roman" w:hAnsi="Times New Roman" w:cs="Times New Roman"/>
          <w:sz w:val="28"/>
          <w:szCs w:val="28"/>
        </w:rPr>
      </w:pPr>
      <w:r w:rsidRPr="000A6E2D">
        <w:rPr>
          <w:rFonts w:ascii="Times New Roman" w:hAnsi="Times New Roman" w:cs="Times New Roman"/>
          <w:sz w:val="28"/>
          <w:szCs w:val="28"/>
        </w:rPr>
        <w:lastRenderedPageBreak/>
        <w:t>The combined revenue of Central and State Governments increased from Rs. 755 crores in 1950-51 to Rs. 864 crores in 1951-52. Customs, the yield of        which after the end of the war had been rapidly approaching that of taxes on income, shot up higher in 1951-52 and, though estimated to decline in 1952-53, is still higher than income-tax; each of these heads exceeds one-fifth of the total of all revenues. Central excises come next, with 11 per cent. Much behind, State excise, land revenue and sales taxes stand at 6 to 8 per cent</w:t>
      </w:r>
      <w:r w:rsidR="00CD3D4D" w:rsidRPr="000A6E2D">
        <w:rPr>
          <w:rFonts w:ascii="Times New Roman" w:hAnsi="Times New Roman" w:cs="Times New Roman"/>
          <w:sz w:val="28"/>
          <w:szCs w:val="28"/>
        </w:rPr>
        <w:t xml:space="preserve">. </w:t>
      </w:r>
      <w:r w:rsidRPr="000A6E2D">
        <w:rPr>
          <w:rFonts w:ascii="Times New Roman" w:hAnsi="Times New Roman" w:cs="Times New Roman"/>
          <w:sz w:val="28"/>
          <w:szCs w:val="28"/>
        </w:rPr>
        <w:t>each.</w:t>
      </w:r>
    </w:p>
    <w:p w14:paraId="2B23B094" w14:textId="5D65B8CF" w:rsidR="00A97297" w:rsidRPr="000A6E2D" w:rsidRDefault="00A97297" w:rsidP="00E96687">
      <w:pPr>
        <w:spacing w:after="0" w:line="520" w:lineRule="exact"/>
        <w:ind w:firstLine="556"/>
        <w:jc w:val="both"/>
        <w:rPr>
          <w:rFonts w:ascii="Times New Roman" w:hAnsi="Times New Roman" w:cs="Times New Roman"/>
          <w:sz w:val="28"/>
          <w:szCs w:val="28"/>
        </w:rPr>
      </w:pPr>
      <w:r w:rsidRPr="000A6E2D">
        <w:rPr>
          <w:rFonts w:ascii="Times New Roman" w:hAnsi="Times New Roman" w:cs="Times New Roman"/>
          <w:sz w:val="28"/>
          <w:szCs w:val="28"/>
        </w:rPr>
        <w:t>Of the total revenue of the Centre and States together, in the three-year period 1950-51 to 1952-53, State revenues are a little less than one-half. Taking tax revenue separately, the total estimated tax revenue of the Central and State Governments in 1952-53 is Rs. 646 crores, or 82</w:t>
      </w:r>
      <w:r w:rsidR="00E96687">
        <w:rPr>
          <w:rFonts w:ascii="Times New Roman" w:hAnsi="Times New Roman" w:cs="Times New Roman"/>
          <w:sz w:val="28"/>
          <w:szCs w:val="28"/>
        </w:rPr>
        <w:t>.</w:t>
      </w:r>
      <w:r w:rsidRPr="000A6E2D">
        <w:rPr>
          <w:rFonts w:ascii="Times New Roman" w:hAnsi="Times New Roman" w:cs="Times New Roman"/>
          <w:sz w:val="28"/>
          <w:szCs w:val="28"/>
        </w:rPr>
        <w:t>8 per cent. of the total revenue from all sources. The tax revenue of the Centre forms 88</w:t>
      </w:r>
      <w:r w:rsidR="00E96687">
        <w:rPr>
          <w:rFonts w:ascii="Times New Roman" w:hAnsi="Times New Roman" w:cs="Times New Roman"/>
          <w:sz w:val="28"/>
          <w:szCs w:val="28"/>
        </w:rPr>
        <w:t>.</w:t>
      </w:r>
      <w:r w:rsidRPr="000A6E2D">
        <w:rPr>
          <w:rFonts w:ascii="Times New Roman" w:hAnsi="Times New Roman" w:cs="Times New Roman"/>
          <w:sz w:val="28"/>
          <w:szCs w:val="28"/>
        </w:rPr>
        <w:t>6 per cent. of central revenue while that of the States forms 69 per cent. of total States' revenue.</w:t>
      </w:r>
    </w:p>
    <w:p w14:paraId="1339F343" w14:textId="22B1B59C" w:rsidR="00A97297" w:rsidRPr="000A6E2D" w:rsidRDefault="00A97297" w:rsidP="00EE0179">
      <w:pPr>
        <w:pStyle w:val="ListParagraph"/>
        <w:numPr>
          <w:ilvl w:val="0"/>
          <w:numId w:val="29"/>
        </w:numPr>
        <w:spacing w:after="0" w:line="520" w:lineRule="exact"/>
        <w:ind w:left="0" w:firstLine="556"/>
        <w:jc w:val="both"/>
        <w:rPr>
          <w:rFonts w:ascii="Times New Roman" w:hAnsi="Times New Roman" w:cs="Times New Roman"/>
          <w:sz w:val="28"/>
          <w:szCs w:val="28"/>
        </w:rPr>
      </w:pPr>
      <w:r w:rsidRPr="000A6E2D">
        <w:rPr>
          <w:rFonts w:ascii="Times New Roman" w:hAnsi="Times New Roman" w:cs="Times New Roman"/>
          <w:sz w:val="28"/>
          <w:szCs w:val="28"/>
        </w:rPr>
        <w:t>The following table gives the combined expenditure of Central and State Governments under main heads.</w:t>
      </w:r>
    </w:p>
    <w:p w14:paraId="3B9AFC27" w14:textId="77777777" w:rsidR="00233890" w:rsidRDefault="00233890" w:rsidP="000A6E2D">
      <w:pPr>
        <w:spacing w:after="0" w:line="380" w:lineRule="exact"/>
        <w:jc w:val="both"/>
        <w:rPr>
          <w:rFonts w:ascii="Times New Roman" w:hAnsi="Times New Roman" w:cs="Times New Roman"/>
          <w:b/>
          <w:bCs/>
          <w:sz w:val="28"/>
          <w:szCs w:val="28"/>
        </w:rPr>
      </w:pPr>
    </w:p>
    <w:p w14:paraId="1FE7A277" w14:textId="77777777" w:rsidR="00EE0179" w:rsidRDefault="00EE0179">
      <w:pPr>
        <w:rPr>
          <w:rFonts w:ascii="Times New Roman" w:hAnsi="Times New Roman" w:cs="Times New Roman"/>
          <w:sz w:val="28"/>
          <w:szCs w:val="28"/>
        </w:rPr>
      </w:pPr>
      <w:r>
        <w:rPr>
          <w:rFonts w:ascii="Times New Roman" w:hAnsi="Times New Roman" w:cs="Times New Roman"/>
          <w:sz w:val="28"/>
          <w:szCs w:val="28"/>
        </w:rPr>
        <w:br w:type="page"/>
      </w:r>
    </w:p>
    <w:p w14:paraId="04FC60C9" w14:textId="3AEC8CF0" w:rsidR="00A97297" w:rsidRPr="00233890" w:rsidRDefault="00CD3D4D" w:rsidP="00233890">
      <w:pPr>
        <w:spacing w:after="0" w:line="380" w:lineRule="exact"/>
        <w:jc w:val="center"/>
        <w:rPr>
          <w:rFonts w:ascii="Times New Roman" w:hAnsi="Times New Roman" w:cs="Times New Roman"/>
          <w:sz w:val="28"/>
          <w:szCs w:val="28"/>
        </w:rPr>
      </w:pPr>
      <w:r w:rsidRPr="00233890">
        <w:rPr>
          <w:rFonts w:ascii="Times New Roman" w:hAnsi="Times New Roman" w:cs="Times New Roman"/>
          <w:sz w:val="28"/>
          <w:szCs w:val="28"/>
        </w:rPr>
        <w:lastRenderedPageBreak/>
        <w:t>PRINCIPAL HEADS</w:t>
      </w:r>
      <w:r w:rsidR="00233890" w:rsidRPr="00233890">
        <w:rPr>
          <w:rFonts w:ascii="Times New Roman" w:hAnsi="Times New Roman" w:cs="Times New Roman"/>
          <w:sz w:val="28"/>
          <w:szCs w:val="28"/>
        </w:rPr>
        <w:t xml:space="preserve"> OF EXPENDITURE</w:t>
      </w:r>
    </w:p>
    <w:p w14:paraId="4B3539C8" w14:textId="5CA30FCA" w:rsidR="00CD3D4D" w:rsidRDefault="00CD3D4D" w:rsidP="00233890">
      <w:pPr>
        <w:spacing w:after="0" w:line="380" w:lineRule="exact"/>
        <w:jc w:val="center"/>
        <w:rPr>
          <w:rFonts w:ascii="Times New Roman" w:hAnsi="Times New Roman" w:cs="Times New Roman"/>
          <w:sz w:val="28"/>
          <w:szCs w:val="28"/>
        </w:rPr>
      </w:pPr>
      <w:r w:rsidRPr="00233890">
        <w:rPr>
          <w:rFonts w:ascii="Times New Roman" w:hAnsi="Times New Roman" w:cs="Times New Roman"/>
          <w:sz w:val="28"/>
          <w:szCs w:val="28"/>
        </w:rPr>
        <w:t>(Central</w:t>
      </w:r>
      <w:r w:rsidR="00233890" w:rsidRPr="00233890">
        <w:rPr>
          <w:rFonts w:ascii="Times New Roman" w:hAnsi="Times New Roman" w:cs="Times New Roman"/>
          <w:sz w:val="28"/>
          <w:szCs w:val="28"/>
        </w:rPr>
        <w:t xml:space="preserve"> and State</w:t>
      </w:r>
      <w:r w:rsidRPr="00233890">
        <w:rPr>
          <w:rFonts w:ascii="Times New Roman" w:hAnsi="Times New Roman" w:cs="Times New Roman"/>
          <w:sz w:val="28"/>
          <w:szCs w:val="28"/>
        </w:rPr>
        <w:t>)</w:t>
      </w:r>
    </w:p>
    <w:p w14:paraId="1353C138" w14:textId="77777777" w:rsidR="00233890" w:rsidRDefault="00233890" w:rsidP="00233890">
      <w:pPr>
        <w:spacing w:after="0" w:line="380" w:lineRule="exact"/>
        <w:jc w:val="center"/>
        <w:rPr>
          <w:rFonts w:ascii="Times New Roman" w:hAnsi="Times New Roman" w:cs="Times New Roman"/>
          <w:sz w:val="28"/>
          <w:szCs w:val="28"/>
        </w:rPr>
      </w:pPr>
    </w:p>
    <w:tbl>
      <w:tblPr>
        <w:tblW w:w="10948" w:type="dxa"/>
        <w:jc w:val="center"/>
        <w:tblLook w:val="04A0" w:firstRow="1" w:lastRow="0" w:firstColumn="1" w:lastColumn="0" w:noHBand="0" w:noVBand="1"/>
      </w:tblPr>
      <w:tblGrid>
        <w:gridCol w:w="3139"/>
        <w:gridCol w:w="1421"/>
        <w:gridCol w:w="1182"/>
        <w:gridCol w:w="1421"/>
        <w:gridCol w:w="1182"/>
        <w:gridCol w:w="1421"/>
        <w:gridCol w:w="1182"/>
      </w:tblGrid>
      <w:tr w:rsidR="00233890" w:rsidRPr="00233890" w14:paraId="49B286C1" w14:textId="77777777" w:rsidTr="00E23521">
        <w:trPr>
          <w:trHeight w:val="397"/>
          <w:jc w:val="center"/>
        </w:trPr>
        <w:tc>
          <w:tcPr>
            <w:tcW w:w="3139" w:type="dxa"/>
            <w:tcBorders>
              <w:top w:val="single" w:sz="4" w:space="0" w:color="auto"/>
              <w:left w:val="single" w:sz="4" w:space="0" w:color="auto"/>
              <w:bottom w:val="single" w:sz="4" w:space="0" w:color="auto"/>
              <w:right w:val="single" w:sz="4" w:space="0" w:color="auto"/>
            </w:tcBorders>
            <w:noWrap/>
            <w:vAlign w:val="center"/>
            <w:hideMark/>
          </w:tcPr>
          <w:p w14:paraId="3FAF4258" w14:textId="4A366227" w:rsidR="00233890" w:rsidRPr="00233890" w:rsidRDefault="00233890" w:rsidP="00233890">
            <w:pPr>
              <w:pStyle w:val="Tables"/>
            </w:pPr>
          </w:p>
        </w:tc>
        <w:tc>
          <w:tcPr>
            <w:tcW w:w="2603" w:type="dxa"/>
            <w:gridSpan w:val="2"/>
            <w:tcBorders>
              <w:top w:val="single" w:sz="4" w:space="0" w:color="auto"/>
              <w:left w:val="nil"/>
              <w:bottom w:val="single" w:sz="4" w:space="0" w:color="auto"/>
              <w:right w:val="single" w:sz="4" w:space="0" w:color="auto"/>
            </w:tcBorders>
            <w:noWrap/>
            <w:vAlign w:val="center"/>
            <w:hideMark/>
          </w:tcPr>
          <w:p w14:paraId="41910FA6" w14:textId="77777777" w:rsidR="00233890" w:rsidRPr="00233890" w:rsidRDefault="00233890" w:rsidP="00233890">
            <w:pPr>
              <w:pStyle w:val="Tables"/>
            </w:pPr>
            <w:r w:rsidRPr="00233890">
              <w:t>1950-51</w:t>
            </w:r>
          </w:p>
        </w:tc>
        <w:tc>
          <w:tcPr>
            <w:tcW w:w="2603" w:type="dxa"/>
            <w:gridSpan w:val="2"/>
            <w:tcBorders>
              <w:top w:val="single" w:sz="4" w:space="0" w:color="auto"/>
              <w:left w:val="nil"/>
              <w:bottom w:val="single" w:sz="4" w:space="0" w:color="auto"/>
              <w:right w:val="single" w:sz="4" w:space="0" w:color="auto"/>
            </w:tcBorders>
            <w:noWrap/>
            <w:vAlign w:val="center"/>
            <w:hideMark/>
          </w:tcPr>
          <w:p w14:paraId="7512196F" w14:textId="77777777" w:rsidR="00233890" w:rsidRPr="00233890" w:rsidRDefault="00233890" w:rsidP="00233890">
            <w:pPr>
              <w:pStyle w:val="Tables"/>
            </w:pPr>
            <w:r w:rsidRPr="00233890">
              <w:t>1951-52</w:t>
            </w:r>
          </w:p>
        </w:tc>
        <w:tc>
          <w:tcPr>
            <w:tcW w:w="2603" w:type="dxa"/>
            <w:gridSpan w:val="2"/>
            <w:tcBorders>
              <w:top w:val="single" w:sz="4" w:space="0" w:color="auto"/>
              <w:left w:val="nil"/>
              <w:bottom w:val="single" w:sz="4" w:space="0" w:color="auto"/>
              <w:right w:val="single" w:sz="4" w:space="0" w:color="auto"/>
            </w:tcBorders>
            <w:noWrap/>
            <w:vAlign w:val="center"/>
            <w:hideMark/>
          </w:tcPr>
          <w:p w14:paraId="5266B820" w14:textId="77777777" w:rsidR="00233890" w:rsidRPr="00233890" w:rsidRDefault="00233890" w:rsidP="00233890">
            <w:pPr>
              <w:pStyle w:val="Tables"/>
            </w:pPr>
            <w:r w:rsidRPr="00233890">
              <w:t>1952-53</w:t>
            </w:r>
          </w:p>
        </w:tc>
      </w:tr>
      <w:tr w:rsidR="00233890" w:rsidRPr="00233890" w14:paraId="35866332" w14:textId="77777777" w:rsidTr="00E23521">
        <w:trPr>
          <w:trHeight w:val="397"/>
          <w:jc w:val="center"/>
        </w:trPr>
        <w:tc>
          <w:tcPr>
            <w:tcW w:w="3139" w:type="dxa"/>
            <w:tcBorders>
              <w:top w:val="nil"/>
              <w:left w:val="single" w:sz="4" w:space="0" w:color="auto"/>
              <w:bottom w:val="single" w:sz="4" w:space="0" w:color="auto"/>
              <w:right w:val="single" w:sz="4" w:space="0" w:color="auto"/>
            </w:tcBorders>
            <w:noWrap/>
            <w:vAlign w:val="center"/>
            <w:hideMark/>
          </w:tcPr>
          <w:p w14:paraId="60E87FDD" w14:textId="23605513" w:rsidR="00233890" w:rsidRPr="00233890" w:rsidRDefault="00233890" w:rsidP="00233890">
            <w:pPr>
              <w:pStyle w:val="Tables"/>
            </w:pPr>
          </w:p>
        </w:tc>
        <w:tc>
          <w:tcPr>
            <w:tcW w:w="1421" w:type="dxa"/>
            <w:tcBorders>
              <w:top w:val="nil"/>
              <w:left w:val="nil"/>
              <w:bottom w:val="single" w:sz="4" w:space="0" w:color="auto"/>
              <w:right w:val="single" w:sz="4" w:space="0" w:color="auto"/>
            </w:tcBorders>
            <w:noWrap/>
            <w:vAlign w:val="center"/>
            <w:hideMark/>
          </w:tcPr>
          <w:p w14:paraId="527E34C0" w14:textId="77777777" w:rsidR="00233890" w:rsidRPr="00233890" w:rsidRDefault="00233890" w:rsidP="00233890">
            <w:pPr>
              <w:pStyle w:val="Tables"/>
            </w:pPr>
            <w:r w:rsidRPr="00233890">
              <w:t>Rs. crores</w:t>
            </w:r>
          </w:p>
        </w:tc>
        <w:tc>
          <w:tcPr>
            <w:tcW w:w="1182" w:type="dxa"/>
            <w:tcBorders>
              <w:top w:val="nil"/>
              <w:left w:val="nil"/>
              <w:bottom w:val="single" w:sz="4" w:space="0" w:color="auto"/>
              <w:right w:val="single" w:sz="4" w:space="0" w:color="auto"/>
            </w:tcBorders>
            <w:noWrap/>
            <w:vAlign w:val="center"/>
            <w:hideMark/>
          </w:tcPr>
          <w:p w14:paraId="4EBA8011" w14:textId="77777777" w:rsidR="00233890" w:rsidRPr="00233890" w:rsidRDefault="00233890" w:rsidP="00233890">
            <w:pPr>
              <w:pStyle w:val="Tables"/>
            </w:pPr>
            <w:r w:rsidRPr="00233890">
              <w:t>Per cent</w:t>
            </w:r>
          </w:p>
        </w:tc>
        <w:tc>
          <w:tcPr>
            <w:tcW w:w="1421" w:type="dxa"/>
            <w:tcBorders>
              <w:top w:val="nil"/>
              <w:left w:val="nil"/>
              <w:bottom w:val="single" w:sz="4" w:space="0" w:color="auto"/>
              <w:right w:val="single" w:sz="4" w:space="0" w:color="auto"/>
            </w:tcBorders>
            <w:noWrap/>
            <w:vAlign w:val="center"/>
            <w:hideMark/>
          </w:tcPr>
          <w:p w14:paraId="63CFEF9B" w14:textId="77777777" w:rsidR="00233890" w:rsidRPr="00233890" w:rsidRDefault="00233890" w:rsidP="00233890">
            <w:pPr>
              <w:pStyle w:val="Tables"/>
            </w:pPr>
            <w:r w:rsidRPr="00233890">
              <w:t>Rs. crores</w:t>
            </w:r>
          </w:p>
        </w:tc>
        <w:tc>
          <w:tcPr>
            <w:tcW w:w="1182" w:type="dxa"/>
            <w:tcBorders>
              <w:top w:val="nil"/>
              <w:left w:val="nil"/>
              <w:bottom w:val="single" w:sz="4" w:space="0" w:color="auto"/>
              <w:right w:val="single" w:sz="4" w:space="0" w:color="auto"/>
            </w:tcBorders>
            <w:noWrap/>
            <w:vAlign w:val="center"/>
            <w:hideMark/>
          </w:tcPr>
          <w:p w14:paraId="3B27E892" w14:textId="77777777" w:rsidR="00233890" w:rsidRPr="00233890" w:rsidRDefault="00233890" w:rsidP="00233890">
            <w:pPr>
              <w:pStyle w:val="Tables"/>
            </w:pPr>
            <w:r w:rsidRPr="00233890">
              <w:t>Per cent</w:t>
            </w:r>
          </w:p>
        </w:tc>
        <w:tc>
          <w:tcPr>
            <w:tcW w:w="1421" w:type="dxa"/>
            <w:tcBorders>
              <w:top w:val="nil"/>
              <w:left w:val="nil"/>
              <w:bottom w:val="single" w:sz="4" w:space="0" w:color="auto"/>
              <w:right w:val="single" w:sz="4" w:space="0" w:color="auto"/>
            </w:tcBorders>
            <w:noWrap/>
            <w:vAlign w:val="center"/>
            <w:hideMark/>
          </w:tcPr>
          <w:p w14:paraId="05120C06" w14:textId="77777777" w:rsidR="00233890" w:rsidRPr="00233890" w:rsidRDefault="00233890" w:rsidP="00233890">
            <w:pPr>
              <w:pStyle w:val="Tables"/>
            </w:pPr>
            <w:r w:rsidRPr="00233890">
              <w:t>Rs. crores</w:t>
            </w:r>
          </w:p>
        </w:tc>
        <w:tc>
          <w:tcPr>
            <w:tcW w:w="1182" w:type="dxa"/>
            <w:tcBorders>
              <w:top w:val="nil"/>
              <w:left w:val="nil"/>
              <w:bottom w:val="single" w:sz="4" w:space="0" w:color="auto"/>
              <w:right w:val="single" w:sz="4" w:space="0" w:color="auto"/>
            </w:tcBorders>
            <w:noWrap/>
            <w:vAlign w:val="center"/>
            <w:hideMark/>
          </w:tcPr>
          <w:p w14:paraId="2063F3A2" w14:textId="77777777" w:rsidR="00233890" w:rsidRPr="00233890" w:rsidRDefault="00233890" w:rsidP="00233890">
            <w:pPr>
              <w:pStyle w:val="Tables"/>
            </w:pPr>
            <w:r w:rsidRPr="00233890">
              <w:t>Per cent</w:t>
            </w:r>
          </w:p>
        </w:tc>
      </w:tr>
      <w:tr w:rsidR="00233890" w:rsidRPr="00233890" w14:paraId="0D38C548" w14:textId="77777777" w:rsidTr="00E23521">
        <w:trPr>
          <w:trHeight w:val="397"/>
          <w:jc w:val="center"/>
        </w:trPr>
        <w:tc>
          <w:tcPr>
            <w:tcW w:w="3139" w:type="dxa"/>
            <w:tcBorders>
              <w:top w:val="nil"/>
              <w:left w:val="single" w:sz="4" w:space="0" w:color="auto"/>
              <w:bottom w:val="single" w:sz="4" w:space="0" w:color="auto"/>
              <w:right w:val="single" w:sz="4" w:space="0" w:color="auto"/>
            </w:tcBorders>
            <w:noWrap/>
            <w:vAlign w:val="center"/>
            <w:hideMark/>
          </w:tcPr>
          <w:p w14:paraId="7F984ABB" w14:textId="77777777" w:rsidR="00233890" w:rsidRPr="00233890" w:rsidRDefault="00233890" w:rsidP="00E23521">
            <w:pPr>
              <w:pStyle w:val="Tables"/>
              <w:jc w:val="left"/>
            </w:pPr>
            <w:r w:rsidRPr="00233890">
              <w:t>Total Expenditure</w:t>
            </w:r>
          </w:p>
        </w:tc>
        <w:tc>
          <w:tcPr>
            <w:tcW w:w="1421" w:type="dxa"/>
            <w:tcBorders>
              <w:top w:val="nil"/>
              <w:left w:val="nil"/>
              <w:bottom w:val="single" w:sz="4" w:space="0" w:color="auto"/>
              <w:right w:val="single" w:sz="4" w:space="0" w:color="auto"/>
            </w:tcBorders>
            <w:noWrap/>
            <w:vAlign w:val="center"/>
            <w:hideMark/>
          </w:tcPr>
          <w:p w14:paraId="1077D269" w14:textId="6A561FB8" w:rsidR="00233890" w:rsidRPr="00233890" w:rsidRDefault="00233890" w:rsidP="00233890">
            <w:pPr>
              <w:pStyle w:val="Tables"/>
            </w:pPr>
            <w:r w:rsidRPr="00233890">
              <w:t>704</w:t>
            </w:r>
            <w:r w:rsidR="00E96687">
              <w:t>.</w:t>
            </w:r>
            <w:r w:rsidRPr="00233890">
              <w:t>52</w:t>
            </w:r>
          </w:p>
        </w:tc>
        <w:tc>
          <w:tcPr>
            <w:tcW w:w="1182" w:type="dxa"/>
            <w:tcBorders>
              <w:top w:val="nil"/>
              <w:left w:val="nil"/>
              <w:bottom w:val="single" w:sz="4" w:space="0" w:color="auto"/>
              <w:right w:val="single" w:sz="4" w:space="0" w:color="auto"/>
            </w:tcBorders>
            <w:noWrap/>
            <w:vAlign w:val="center"/>
            <w:hideMark/>
          </w:tcPr>
          <w:p w14:paraId="5FCFBDF7" w14:textId="77777777" w:rsidR="00233890" w:rsidRPr="00233890" w:rsidRDefault="00233890" w:rsidP="00233890">
            <w:pPr>
              <w:pStyle w:val="Tables"/>
            </w:pPr>
            <w:r w:rsidRPr="00233890">
              <w:t>100</w:t>
            </w:r>
          </w:p>
        </w:tc>
        <w:tc>
          <w:tcPr>
            <w:tcW w:w="1421" w:type="dxa"/>
            <w:tcBorders>
              <w:top w:val="nil"/>
              <w:left w:val="nil"/>
              <w:bottom w:val="single" w:sz="4" w:space="0" w:color="auto"/>
              <w:right w:val="single" w:sz="4" w:space="0" w:color="auto"/>
            </w:tcBorders>
            <w:noWrap/>
            <w:vAlign w:val="center"/>
            <w:hideMark/>
          </w:tcPr>
          <w:p w14:paraId="3FB792EF" w14:textId="77777777" w:rsidR="00233890" w:rsidRPr="00233890" w:rsidRDefault="00233890" w:rsidP="00233890">
            <w:pPr>
              <w:pStyle w:val="Tables"/>
            </w:pPr>
            <w:r w:rsidRPr="00233890">
              <w:t>766.29</w:t>
            </w:r>
          </w:p>
        </w:tc>
        <w:tc>
          <w:tcPr>
            <w:tcW w:w="1182" w:type="dxa"/>
            <w:tcBorders>
              <w:top w:val="nil"/>
              <w:left w:val="nil"/>
              <w:bottom w:val="single" w:sz="4" w:space="0" w:color="auto"/>
              <w:right w:val="single" w:sz="4" w:space="0" w:color="auto"/>
            </w:tcBorders>
            <w:noWrap/>
            <w:vAlign w:val="center"/>
            <w:hideMark/>
          </w:tcPr>
          <w:p w14:paraId="008CAB60" w14:textId="77777777" w:rsidR="00233890" w:rsidRPr="00233890" w:rsidRDefault="00233890" w:rsidP="00233890">
            <w:pPr>
              <w:pStyle w:val="Tables"/>
            </w:pPr>
            <w:r w:rsidRPr="00233890">
              <w:t>100</w:t>
            </w:r>
          </w:p>
        </w:tc>
        <w:tc>
          <w:tcPr>
            <w:tcW w:w="1421" w:type="dxa"/>
            <w:tcBorders>
              <w:top w:val="nil"/>
              <w:left w:val="nil"/>
              <w:bottom w:val="single" w:sz="4" w:space="0" w:color="auto"/>
              <w:right w:val="single" w:sz="4" w:space="0" w:color="auto"/>
            </w:tcBorders>
            <w:noWrap/>
            <w:vAlign w:val="center"/>
            <w:hideMark/>
          </w:tcPr>
          <w:p w14:paraId="2F973F78" w14:textId="77777777" w:rsidR="00233890" w:rsidRPr="00233890" w:rsidRDefault="00233890" w:rsidP="00233890">
            <w:pPr>
              <w:pStyle w:val="Tables"/>
            </w:pPr>
            <w:r w:rsidRPr="00233890">
              <w:t>796.72</w:t>
            </w:r>
          </w:p>
        </w:tc>
        <w:tc>
          <w:tcPr>
            <w:tcW w:w="1182" w:type="dxa"/>
            <w:tcBorders>
              <w:top w:val="nil"/>
              <w:left w:val="nil"/>
              <w:bottom w:val="single" w:sz="4" w:space="0" w:color="auto"/>
              <w:right w:val="single" w:sz="4" w:space="0" w:color="auto"/>
            </w:tcBorders>
            <w:noWrap/>
            <w:vAlign w:val="center"/>
            <w:hideMark/>
          </w:tcPr>
          <w:p w14:paraId="586A9DE8" w14:textId="77777777" w:rsidR="00233890" w:rsidRPr="00233890" w:rsidRDefault="00233890" w:rsidP="00233890">
            <w:pPr>
              <w:pStyle w:val="Tables"/>
            </w:pPr>
            <w:r w:rsidRPr="00233890">
              <w:t>100</w:t>
            </w:r>
          </w:p>
        </w:tc>
      </w:tr>
      <w:tr w:rsidR="00233890" w:rsidRPr="00233890" w14:paraId="4EFF5DF4" w14:textId="77777777" w:rsidTr="00E23521">
        <w:trPr>
          <w:trHeight w:val="397"/>
          <w:jc w:val="center"/>
        </w:trPr>
        <w:tc>
          <w:tcPr>
            <w:tcW w:w="3139" w:type="dxa"/>
            <w:tcBorders>
              <w:top w:val="nil"/>
              <w:left w:val="single" w:sz="4" w:space="0" w:color="auto"/>
              <w:bottom w:val="single" w:sz="4" w:space="0" w:color="auto"/>
              <w:right w:val="single" w:sz="4" w:space="0" w:color="auto"/>
            </w:tcBorders>
            <w:noWrap/>
            <w:vAlign w:val="center"/>
            <w:hideMark/>
          </w:tcPr>
          <w:p w14:paraId="55F51DD7" w14:textId="77777777" w:rsidR="00233890" w:rsidRPr="00233890" w:rsidRDefault="00233890" w:rsidP="00E23521">
            <w:pPr>
              <w:pStyle w:val="Tables"/>
              <w:jc w:val="left"/>
            </w:pPr>
            <w:r w:rsidRPr="00233890">
              <w:t>Defence (net)</w:t>
            </w:r>
          </w:p>
        </w:tc>
        <w:tc>
          <w:tcPr>
            <w:tcW w:w="1421" w:type="dxa"/>
            <w:tcBorders>
              <w:top w:val="nil"/>
              <w:left w:val="nil"/>
              <w:bottom w:val="single" w:sz="4" w:space="0" w:color="auto"/>
              <w:right w:val="single" w:sz="4" w:space="0" w:color="auto"/>
            </w:tcBorders>
            <w:noWrap/>
            <w:vAlign w:val="center"/>
            <w:hideMark/>
          </w:tcPr>
          <w:p w14:paraId="3786B445" w14:textId="2F08DF99" w:rsidR="00233890" w:rsidRPr="00233890" w:rsidRDefault="00233890" w:rsidP="00233890">
            <w:pPr>
              <w:pStyle w:val="Tables"/>
            </w:pPr>
            <w:r w:rsidRPr="00233890">
              <w:t>164</w:t>
            </w:r>
            <w:r w:rsidR="00E96687">
              <w:t>.</w:t>
            </w:r>
            <w:r w:rsidRPr="00233890">
              <w:t>13</w:t>
            </w:r>
          </w:p>
        </w:tc>
        <w:tc>
          <w:tcPr>
            <w:tcW w:w="1182" w:type="dxa"/>
            <w:tcBorders>
              <w:top w:val="nil"/>
              <w:left w:val="nil"/>
              <w:bottom w:val="single" w:sz="4" w:space="0" w:color="auto"/>
              <w:right w:val="single" w:sz="4" w:space="0" w:color="auto"/>
            </w:tcBorders>
            <w:noWrap/>
            <w:vAlign w:val="center"/>
            <w:hideMark/>
          </w:tcPr>
          <w:p w14:paraId="45BE9BE0" w14:textId="7AA71783" w:rsidR="00233890" w:rsidRPr="00233890" w:rsidRDefault="00233890" w:rsidP="00233890">
            <w:pPr>
              <w:pStyle w:val="Tables"/>
            </w:pPr>
            <w:r w:rsidRPr="00233890">
              <w:t>23</w:t>
            </w:r>
            <w:r w:rsidR="00E96687">
              <w:t>.</w:t>
            </w:r>
            <w:r w:rsidRPr="00233890">
              <w:t>3</w:t>
            </w:r>
          </w:p>
        </w:tc>
        <w:tc>
          <w:tcPr>
            <w:tcW w:w="1421" w:type="dxa"/>
            <w:tcBorders>
              <w:top w:val="nil"/>
              <w:left w:val="nil"/>
              <w:bottom w:val="single" w:sz="4" w:space="0" w:color="auto"/>
              <w:right w:val="single" w:sz="4" w:space="0" w:color="auto"/>
            </w:tcBorders>
            <w:noWrap/>
            <w:vAlign w:val="center"/>
            <w:hideMark/>
          </w:tcPr>
          <w:p w14:paraId="3C6EADED" w14:textId="77777777" w:rsidR="00233890" w:rsidRPr="00233890" w:rsidRDefault="00233890" w:rsidP="00233890">
            <w:pPr>
              <w:pStyle w:val="Tables"/>
            </w:pPr>
            <w:r w:rsidRPr="00233890">
              <w:t>181.24</w:t>
            </w:r>
          </w:p>
        </w:tc>
        <w:tc>
          <w:tcPr>
            <w:tcW w:w="1182" w:type="dxa"/>
            <w:tcBorders>
              <w:top w:val="nil"/>
              <w:left w:val="nil"/>
              <w:bottom w:val="single" w:sz="4" w:space="0" w:color="auto"/>
              <w:right w:val="single" w:sz="4" w:space="0" w:color="auto"/>
            </w:tcBorders>
            <w:noWrap/>
            <w:vAlign w:val="center"/>
            <w:hideMark/>
          </w:tcPr>
          <w:p w14:paraId="7D1336DC" w14:textId="77777777" w:rsidR="00233890" w:rsidRPr="00233890" w:rsidRDefault="00233890" w:rsidP="00233890">
            <w:pPr>
              <w:pStyle w:val="Tables"/>
            </w:pPr>
            <w:r w:rsidRPr="00233890">
              <w:t>23.7</w:t>
            </w:r>
          </w:p>
        </w:tc>
        <w:tc>
          <w:tcPr>
            <w:tcW w:w="1421" w:type="dxa"/>
            <w:tcBorders>
              <w:top w:val="nil"/>
              <w:left w:val="nil"/>
              <w:bottom w:val="single" w:sz="4" w:space="0" w:color="auto"/>
              <w:right w:val="single" w:sz="4" w:space="0" w:color="auto"/>
            </w:tcBorders>
            <w:noWrap/>
            <w:vAlign w:val="center"/>
            <w:hideMark/>
          </w:tcPr>
          <w:p w14:paraId="652C86FD" w14:textId="77777777" w:rsidR="00233890" w:rsidRPr="00233890" w:rsidRDefault="00233890" w:rsidP="00233890">
            <w:pPr>
              <w:pStyle w:val="Tables"/>
            </w:pPr>
            <w:r w:rsidRPr="00233890">
              <w:t>197.95</w:t>
            </w:r>
          </w:p>
        </w:tc>
        <w:tc>
          <w:tcPr>
            <w:tcW w:w="1182" w:type="dxa"/>
            <w:tcBorders>
              <w:top w:val="nil"/>
              <w:left w:val="nil"/>
              <w:bottom w:val="single" w:sz="4" w:space="0" w:color="auto"/>
              <w:right w:val="single" w:sz="4" w:space="0" w:color="auto"/>
            </w:tcBorders>
            <w:noWrap/>
            <w:vAlign w:val="center"/>
            <w:hideMark/>
          </w:tcPr>
          <w:p w14:paraId="7843757E" w14:textId="77777777" w:rsidR="00233890" w:rsidRPr="00233890" w:rsidRDefault="00233890" w:rsidP="00233890">
            <w:pPr>
              <w:pStyle w:val="Tables"/>
            </w:pPr>
            <w:r w:rsidRPr="00233890">
              <w:t>24.3</w:t>
            </w:r>
          </w:p>
        </w:tc>
      </w:tr>
      <w:tr w:rsidR="00233890" w:rsidRPr="00233890" w14:paraId="550B3916" w14:textId="77777777" w:rsidTr="00E23521">
        <w:trPr>
          <w:trHeight w:val="397"/>
          <w:jc w:val="center"/>
        </w:trPr>
        <w:tc>
          <w:tcPr>
            <w:tcW w:w="3139" w:type="dxa"/>
            <w:tcBorders>
              <w:top w:val="nil"/>
              <w:left w:val="single" w:sz="4" w:space="0" w:color="auto"/>
              <w:bottom w:val="single" w:sz="4" w:space="0" w:color="auto"/>
              <w:right w:val="single" w:sz="4" w:space="0" w:color="auto"/>
            </w:tcBorders>
            <w:noWrap/>
            <w:vAlign w:val="center"/>
            <w:hideMark/>
          </w:tcPr>
          <w:p w14:paraId="35C44B28" w14:textId="77777777" w:rsidR="00233890" w:rsidRPr="00233890" w:rsidRDefault="00233890" w:rsidP="00E23521">
            <w:pPr>
              <w:pStyle w:val="Tables"/>
              <w:jc w:val="left"/>
            </w:pPr>
            <w:r w:rsidRPr="00233890">
              <w:t>Administrative Services</w:t>
            </w:r>
          </w:p>
        </w:tc>
        <w:tc>
          <w:tcPr>
            <w:tcW w:w="1421" w:type="dxa"/>
            <w:tcBorders>
              <w:top w:val="nil"/>
              <w:left w:val="nil"/>
              <w:bottom w:val="single" w:sz="4" w:space="0" w:color="auto"/>
              <w:right w:val="single" w:sz="4" w:space="0" w:color="auto"/>
            </w:tcBorders>
            <w:noWrap/>
            <w:vAlign w:val="center"/>
            <w:hideMark/>
          </w:tcPr>
          <w:p w14:paraId="46841E7D" w14:textId="7CD025D8" w:rsidR="00233890" w:rsidRPr="00233890" w:rsidRDefault="00233890" w:rsidP="00233890">
            <w:pPr>
              <w:pStyle w:val="Tables"/>
            </w:pPr>
            <w:r w:rsidRPr="00233890">
              <w:t>114</w:t>
            </w:r>
            <w:r w:rsidR="00E96687">
              <w:t>.</w:t>
            </w:r>
            <w:r w:rsidRPr="00233890">
              <w:t>00</w:t>
            </w:r>
          </w:p>
        </w:tc>
        <w:tc>
          <w:tcPr>
            <w:tcW w:w="1182" w:type="dxa"/>
            <w:tcBorders>
              <w:top w:val="nil"/>
              <w:left w:val="nil"/>
              <w:bottom w:val="single" w:sz="4" w:space="0" w:color="auto"/>
              <w:right w:val="single" w:sz="4" w:space="0" w:color="auto"/>
            </w:tcBorders>
            <w:noWrap/>
            <w:vAlign w:val="center"/>
            <w:hideMark/>
          </w:tcPr>
          <w:p w14:paraId="55927CE6" w14:textId="1D09ECAC" w:rsidR="00233890" w:rsidRPr="00233890" w:rsidRDefault="00233890" w:rsidP="00233890">
            <w:pPr>
              <w:pStyle w:val="Tables"/>
            </w:pPr>
            <w:r w:rsidRPr="00233890">
              <w:t>16</w:t>
            </w:r>
            <w:r w:rsidR="00E96687">
              <w:t>.</w:t>
            </w:r>
            <w:r w:rsidRPr="00233890">
              <w:t>2</w:t>
            </w:r>
          </w:p>
        </w:tc>
        <w:tc>
          <w:tcPr>
            <w:tcW w:w="1421" w:type="dxa"/>
            <w:tcBorders>
              <w:top w:val="nil"/>
              <w:left w:val="nil"/>
              <w:bottom w:val="single" w:sz="4" w:space="0" w:color="auto"/>
              <w:right w:val="single" w:sz="4" w:space="0" w:color="auto"/>
            </w:tcBorders>
            <w:noWrap/>
            <w:vAlign w:val="center"/>
            <w:hideMark/>
          </w:tcPr>
          <w:p w14:paraId="6FCE5513" w14:textId="77777777" w:rsidR="00233890" w:rsidRPr="00233890" w:rsidRDefault="00233890" w:rsidP="00233890">
            <w:pPr>
              <w:pStyle w:val="Tables"/>
            </w:pPr>
            <w:r w:rsidRPr="00233890">
              <w:t>122.05</w:t>
            </w:r>
          </w:p>
        </w:tc>
        <w:tc>
          <w:tcPr>
            <w:tcW w:w="1182" w:type="dxa"/>
            <w:tcBorders>
              <w:top w:val="nil"/>
              <w:left w:val="nil"/>
              <w:bottom w:val="single" w:sz="4" w:space="0" w:color="auto"/>
              <w:right w:val="single" w:sz="4" w:space="0" w:color="auto"/>
            </w:tcBorders>
            <w:noWrap/>
            <w:vAlign w:val="center"/>
            <w:hideMark/>
          </w:tcPr>
          <w:p w14:paraId="59A2ABB8" w14:textId="77777777" w:rsidR="00233890" w:rsidRPr="00233890" w:rsidRDefault="00233890" w:rsidP="00233890">
            <w:pPr>
              <w:pStyle w:val="Tables"/>
            </w:pPr>
            <w:r w:rsidRPr="00233890">
              <w:t>15.9</w:t>
            </w:r>
          </w:p>
        </w:tc>
        <w:tc>
          <w:tcPr>
            <w:tcW w:w="1421" w:type="dxa"/>
            <w:tcBorders>
              <w:top w:val="nil"/>
              <w:left w:val="nil"/>
              <w:bottom w:val="single" w:sz="4" w:space="0" w:color="auto"/>
              <w:right w:val="single" w:sz="4" w:space="0" w:color="auto"/>
            </w:tcBorders>
            <w:noWrap/>
            <w:vAlign w:val="center"/>
            <w:hideMark/>
          </w:tcPr>
          <w:p w14:paraId="50A28863" w14:textId="77777777" w:rsidR="00233890" w:rsidRPr="00233890" w:rsidRDefault="00233890" w:rsidP="00233890">
            <w:pPr>
              <w:pStyle w:val="Tables"/>
            </w:pPr>
            <w:r w:rsidRPr="00233890">
              <w:t>119.29</w:t>
            </w:r>
          </w:p>
        </w:tc>
        <w:tc>
          <w:tcPr>
            <w:tcW w:w="1182" w:type="dxa"/>
            <w:tcBorders>
              <w:top w:val="nil"/>
              <w:left w:val="nil"/>
              <w:bottom w:val="single" w:sz="4" w:space="0" w:color="auto"/>
              <w:right w:val="single" w:sz="4" w:space="0" w:color="auto"/>
            </w:tcBorders>
            <w:noWrap/>
            <w:vAlign w:val="center"/>
            <w:hideMark/>
          </w:tcPr>
          <w:p w14:paraId="06570FF1" w14:textId="55F9FEAB" w:rsidR="00233890" w:rsidRPr="00233890" w:rsidRDefault="00233890" w:rsidP="00233890">
            <w:pPr>
              <w:pStyle w:val="Tables"/>
            </w:pPr>
            <w:r w:rsidRPr="00233890">
              <w:t>15</w:t>
            </w:r>
            <w:r w:rsidR="00E96687">
              <w:t>.0</w:t>
            </w:r>
          </w:p>
        </w:tc>
      </w:tr>
      <w:tr w:rsidR="00233890" w:rsidRPr="00233890" w14:paraId="6FC8E8DC" w14:textId="77777777" w:rsidTr="00E23521">
        <w:trPr>
          <w:trHeight w:val="397"/>
          <w:jc w:val="center"/>
        </w:trPr>
        <w:tc>
          <w:tcPr>
            <w:tcW w:w="3139" w:type="dxa"/>
            <w:tcBorders>
              <w:top w:val="nil"/>
              <w:left w:val="single" w:sz="4" w:space="0" w:color="auto"/>
              <w:bottom w:val="single" w:sz="4" w:space="0" w:color="auto"/>
              <w:right w:val="single" w:sz="4" w:space="0" w:color="auto"/>
            </w:tcBorders>
            <w:noWrap/>
            <w:vAlign w:val="center"/>
            <w:hideMark/>
          </w:tcPr>
          <w:p w14:paraId="2A99E519" w14:textId="77777777" w:rsidR="00233890" w:rsidRPr="00233890" w:rsidRDefault="00233890" w:rsidP="00E23521">
            <w:pPr>
              <w:pStyle w:val="Tables"/>
              <w:ind w:left="720"/>
              <w:jc w:val="left"/>
            </w:pPr>
            <w:r w:rsidRPr="00233890">
              <w:t>General Administration</w:t>
            </w:r>
          </w:p>
        </w:tc>
        <w:tc>
          <w:tcPr>
            <w:tcW w:w="1421" w:type="dxa"/>
            <w:tcBorders>
              <w:top w:val="nil"/>
              <w:left w:val="nil"/>
              <w:bottom w:val="single" w:sz="4" w:space="0" w:color="auto"/>
              <w:right w:val="single" w:sz="4" w:space="0" w:color="auto"/>
            </w:tcBorders>
            <w:noWrap/>
            <w:vAlign w:val="center"/>
            <w:hideMark/>
          </w:tcPr>
          <w:p w14:paraId="6CF6BD55" w14:textId="7990AB0B" w:rsidR="00233890" w:rsidRPr="00233890" w:rsidRDefault="00233890" w:rsidP="00233890">
            <w:pPr>
              <w:pStyle w:val="Tables"/>
            </w:pPr>
            <w:r w:rsidRPr="00233890">
              <w:t>40</w:t>
            </w:r>
            <w:r w:rsidR="00E96687">
              <w:t>.</w:t>
            </w:r>
            <w:r w:rsidRPr="00233890">
              <w:t>12</w:t>
            </w:r>
          </w:p>
        </w:tc>
        <w:tc>
          <w:tcPr>
            <w:tcW w:w="1182" w:type="dxa"/>
            <w:tcBorders>
              <w:top w:val="nil"/>
              <w:left w:val="nil"/>
              <w:bottom w:val="single" w:sz="4" w:space="0" w:color="auto"/>
              <w:right w:val="single" w:sz="4" w:space="0" w:color="auto"/>
            </w:tcBorders>
            <w:noWrap/>
            <w:vAlign w:val="center"/>
            <w:hideMark/>
          </w:tcPr>
          <w:p w14:paraId="50CA4A22" w14:textId="6466D62C" w:rsidR="00233890" w:rsidRPr="00233890" w:rsidRDefault="00233890" w:rsidP="00233890">
            <w:pPr>
              <w:pStyle w:val="Tables"/>
            </w:pPr>
            <w:r w:rsidRPr="00233890">
              <w:t>5</w:t>
            </w:r>
            <w:r w:rsidR="00E96687">
              <w:t>.</w:t>
            </w:r>
            <w:r w:rsidRPr="00233890">
              <w:t>7</w:t>
            </w:r>
          </w:p>
        </w:tc>
        <w:tc>
          <w:tcPr>
            <w:tcW w:w="1421" w:type="dxa"/>
            <w:tcBorders>
              <w:top w:val="nil"/>
              <w:left w:val="nil"/>
              <w:bottom w:val="single" w:sz="4" w:space="0" w:color="auto"/>
              <w:right w:val="single" w:sz="4" w:space="0" w:color="auto"/>
            </w:tcBorders>
            <w:noWrap/>
            <w:vAlign w:val="center"/>
            <w:hideMark/>
          </w:tcPr>
          <w:p w14:paraId="7B8AD5B0" w14:textId="5C0EE4F6" w:rsidR="00233890" w:rsidRPr="00233890" w:rsidRDefault="00233890" w:rsidP="00233890">
            <w:pPr>
              <w:pStyle w:val="Tables"/>
            </w:pPr>
            <w:r w:rsidRPr="00233890">
              <w:t>44.2</w:t>
            </w:r>
            <w:r w:rsidR="00E96687">
              <w:t>0</w:t>
            </w:r>
          </w:p>
        </w:tc>
        <w:tc>
          <w:tcPr>
            <w:tcW w:w="1182" w:type="dxa"/>
            <w:tcBorders>
              <w:top w:val="nil"/>
              <w:left w:val="nil"/>
              <w:bottom w:val="single" w:sz="4" w:space="0" w:color="auto"/>
              <w:right w:val="single" w:sz="4" w:space="0" w:color="auto"/>
            </w:tcBorders>
            <w:noWrap/>
            <w:vAlign w:val="center"/>
            <w:hideMark/>
          </w:tcPr>
          <w:p w14:paraId="1834AAE4" w14:textId="77777777" w:rsidR="00233890" w:rsidRPr="00233890" w:rsidRDefault="00233890" w:rsidP="00233890">
            <w:pPr>
              <w:pStyle w:val="Tables"/>
            </w:pPr>
            <w:r w:rsidRPr="00233890">
              <w:t>5.8</w:t>
            </w:r>
          </w:p>
        </w:tc>
        <w:tc>
          <w:tcPr>
            <w:tcW w:w="1421" w:type="dxa"/>
            <w:tcBorders>
              <w:top w:val="nil"/>
              <w:left w:val="nil"/>
              <w:bottom w:val="single" w:sz="4" w:space="0" w:color="auto"/>
              <w:right w:val="single" w:sz="4" w:space="0" w:color="auto"/>
            </w:tcBorders>
            <w:noWrap/>
            <w:vAlign w:val="center"/>
            <w:hideMark/>
          </w:tcPr>
          <w:p w14:paraId="378C9A4F" w14:textId="77777777" w:rsidR="00233890" w:rsidRPr="00233890" w:rsidRDefault="00233890" w:rsidP="00233890">
            <w:pPr>
              <w:pStyle w:val="Tables"/>
            </w:pPr>
            <w:r w:rsidRPr="00233890">
              <w:t>44.18</w:t>
            </w:r>
          </w:p>
        </w:tc>
        <w:tc>
          <w:tcPr>
            <w:tcW w:w="1182" w:type="dxa"/>
            <w:tcBorders>
              <w:top w:val="nil"/>
              <w:left w:val="nil"/>
              <w:bottom w:val="single" w:sz="4" w:space="0" w:color="auto"/>
              <w:right w:val="single" w:sz="4" w:space="0" w:color="auto"/>
            </w:tcBorders>
            <w:noWrap/>
            <w:vAlign w:val="center"/>
            <w:hideMark/>
          </w:tcPr>
          <w:p w14:paraId="2808AC5B" w14:textId="77777777" w:rsidR="00233890" w:rsidRPr="00233890" w:rsidRDefault="00233890" w:rsidP="00233890">
            <w:pPr>
              <w:pStyle w:val="Tables"/>
            </w:pPr>
            <w:r w:rsidRPr="00233890">
              <w:t>5.5</w:t>
            </w:r>
          </w:p>
        </w:tc>
      </w:tr>
      <w:tr w:rsidR="00233890" w:rsidRPr="00233890" w14:paraId="5F03D305" w14:textId="77777777" w:rsidTr="00E23521">
        <w:trPr>
          <w:trHeight w:val="397"/>
          <w:jc w:val="center"/>
        </w:trPr>
        <w:tc>
          <w:tcPr>
            <w:tcW w:w="3139" w:type="dxa"/>
            <w:tcBorders>
              <w:top w:val="nil"/>
              <w:left w:val="single" w:sz="4" w:space="0" w:color="auto"/>
              <w:bottom w:val="single" w:sz="4" w:space="0" w:color="auto"/>
              <w:right w:val="single" w:sz="4" w:space="0" w:color="auto"/>
            </w:tcBorders>
            <w:noWrap/>
            <w:vAlign w:val="center"/>
            <w:hideMark/>
          </w:tcPr>
          <w:p w14:paraId="099A3CE8" w14:textId="77777777" w:rsidR="00233890" w:rsidRPr="00233890" w:rsidRDefault="00233890" w:rsidP="00E23521">
            <w:pPr>
              <w:pStyle w:val="Tables"/>
              <w:jc w:val="left"/>
            </w:pPr>
            <w:r w:rsidRPr="00233890">
              <w:t>Social Services</w:t>
            </w:r>
          </w:p>
        </w:tc>
        <w:tc>
          <w:tcPr>
            <w:tcW w:w="1421" w:type="dxa"/>
            <w:tcBorders>
              <w:top w:val="nil"/>
              <w:left w:val="nil"/>
              <w:bottom w:val="single" w:sz="4" w:space="0" w:color="auto"/>
              <w:right w:val="single" w:sz="4" w:space="0" w:color="auto"/>
            </w:tcBorders>
            <w:noWrap/>
            <w:vAlign w:val="center"/>
            <w:hideMark/>
          </w:tcPr>
          <w:p w14:paraId="7D1F42DB" w14:textId="6F8D01F8" w:rsidR="00233890" w:rsidRPr="00233890" w:rsidRDefault="00233890" w:rsidP="00233890">
            <w:pPr>
              <w:pStyle w:val="Tables"/>
            </w:pPr>
            <w:r w:rsidRPr="00233890">
              <w:t>124</w:t>
            </w:r>
            <w:r w:rsidR="00E96687">
              <w:t>.</w:t>
            </w:r>
            <w:r w:rsidRPr="00233890">
              <w:t>35</w:t>
            </w:r>
          </w:p>
        </w:tc>
        <w:tc>
          <w:tcPr>
            <w:tcW w:w="1182" w:type="dxa"/>
            <w:tcBorders>
              <w:top w:val="nil"/>
              <w:left w:val="nil"/>
              <w:bottom w:val="single" w:sz="4" w:space="0" w:color="auto"/>
              <w:right w:val="single" w:sz="4" w:space="0" w:color="auto"/>
            </w:tcBorders>
            <w:noWrap/>
            <w:vAlign w:val="center"/>
            <w:hideMark/>
          </w:tcPr>
          <w:p w14:paraId="3354BCB4" w14:textId="41A421F5" w:rsidR="00233890" w:rsidRPr="00233890" w:rsidRDefault="00233890" w:rsidP="00233890">
            <w:pPr>
              <w:pStyle w:val="Tables"/>
            </w:pPr>
            <w:r w:rsidRPr="00233890">
              <w:t>17</w:t>
            </w:r>
            <w:r w:rsidR="00E96687">
              <w:t>.</w:t>
            </w:r>
            <w:r w:rsidRPr="00233890">
              <w:t>7</w:t>
            </w:r>
          </w:p>
        </w:tc>
        <w:tc>
          <w:tcPr>
            <w:tcW w:w="1421" w:type="dxa"/>
            <w:tcBorders>
              <w:top w:val="nil"/>
              <w:left w:val="nil"/>
              <w:bottom w:val="single" w:sz="4" w:space="0" w:color="auto"/>
              <w:right w:val="single" w:sz="4" w:space="0" w:color="auto"/>
            </w:tcBorders>
            <w:noWrap/>
            <w:vAlign w:val="center"/>
            <w:hideMark/>
          </w:tcPr>
          <w:p w14:paraId="54D803A8" w14:textId="77777777" w:rsidR="00233890" w:rsidRPr="00233890" w:rsidRDefault="00233890" w:rsidP="00233890">
            <w:pPr>
              <w:pStyle w:val="Tables"/>
            </w:pPr>
            <w:r w:rsidRPr="00233890">
              <w:t>132.24</w:t>
            </w:r>
          </w:p>
        </w:tc>
        <w:tc>
          <w:tcPr>
            <w:tcW w:w="1182" w:type="dxa"/>
            <w:tcBorders>
              <w:top w:val="nil"/>
              <w:left w:val="nil"/>
              <w:bottom w:val="single" w:sz="4" w:space="0" w:color="auto"/>
              <w:right w:val="single" w:sz="4" w:space="0" w:color="auto"/>
            </w:tcBorders>
            <w:noWrap/>
            <w:vAlign w:val="center"/>
            <w:hideMark/>
          </w:tcPr>
          <w:p w14:paraId="7E111BB2" w14:textId="77777777" w:rsidR="00233890" w:rsidRPr="00233890" w:rsidRDefault="00233890" w:rsidP="00233890">
            <w:pPr>
              <w:pStyle w:val="Tables"/>
            </w:pPr>
            <w:r w:rsidRPr="00233890">
              <w:t>17.3</w:t>
            </w:r>
          </w:p>
        </w:tc>
        <w:tc>
          <w:tcPr>
            <w:tcW w:w="1421" w:type="dxa"/>
            <w:tcBorders>
              <w:top w:val="nil"/>
              <w:left w:val="nil"/>
              <w:bottom w:val="single" w:sz="4" w:space="0" w:color="auto"/>
              <w:right w:val="single" w:sz="4" w:space="0" w:color="auto"/>
            </w:tcBorders>
            <w:noWrap/>
            <w:vAlign w:val="center"/>
            <w:hideMark/>
          </w:tcPr>
          <w:p w14:paraId="7160696E" w14:textId="77777777" w:rsidR="00233890" w:rsidRPr="00233890" w:rsidRDefault="00233890" w:rsidP="00233890">
            <w:pPr>
              <w:pStyle w:val="Tables"/>
            </w:pPr>
            <w:r w:rsidRPr="00233890">
              <w:t>145.44</w:t>
            </w:r>
          </w:p>
        </w:tc>
        <w:tc>
          <w:tcPr>
            <w:tcW w:w="1182" w:type="dxa"/>
            <w:tcBorders>
              <w:top w:val="nil"/>
              <w:left w:val="nil"/>
              <w:bottom w:val="single" w:sz="4" w:space="0" w:color="auto"/>
              <w:right w:val="single" w:sz="4" w:space="0" w:color="auto"/>
            </w:tcBorders>
            <w:noWrap/>
            <w:vAlign w:val="center"/>
            <w:hideMark/>
          </w:tcPr>
          <w:p w14:paraId="1AB9A536" w14:textId="77777777" w:rsidR="00233890" w:rsidRPr="00233890" w:rsidRDefault="00233890" w:rsidP="00233890">
            <w:pPr>
              <w:pStyle w:val="Tables"/>
            </w:pPr>
            <w:r w:rsidRPr="00233890">
              <w:t>13.3</w:t>
            </w:r>
          </w:p>
        </w:tc>
      </w:tr>
      <w:tr w:rsidR="00233890" w:rsidRPr="00233890" w14:paraId="417AFDCE" w14:textId="77777777" w:rsidTr="00E23521">
        <w:trPr>
          <w:trHeight w:val="397"/>
          <w:jc w:val="center"/>
        </w:trPr>
        <w:tc>
          <w:tcPr>
            <w:tcW w:w="3139" w:type="dxa"/>
            <w:tcBorders>
              <w:top w:val="nil"/>
              <w:left w:val="single" w:sz="4" w:space="0" w:color="auto"/>
              <w:bottom w:val="single" w:sz="4" w:space="0" w:color="auto"/>
              <w:right w:val="single" w:sz="4" w:space="0" w:color="auto"/>
            </w:tcBorders>
            <w:noWrap/>
            <w:vAlign w:val="center"/>
            <w:hideMark/>
          </w:tcPr>
          <w:p w14:paraId="30C34ED1" w14:textId="77777777" w:rsidR="00233890" w:rsidRPr="00233890" w:rsidRDefault="00233890" w:rsidP="00E23521">
            <w:pPr>
              <w:pStyle w:val="Tables"/>
              <w:ind w:left="720"/>
              <w:jc w:val="left"/>
            </w:pPr>
            <w:r w:rsidRPr="00233890">
              <w:t>Education</w:t>
            </w:r>
          </w:p>
        </w:tc>
        <w:tc>
          <w:tcPr>
            <w:tcW w:w="1421" w:type="dxa"/>
            <w:tcBorders>
              <w:top w:val="nil"/>
              <w:left w:val="nil"/>
              <w:bottom w:val="single" w:sz="4" w:space="0" w:color="auto"/>
              <w:right w:val="single" w:sz="4" w:space="0" w:color="auto"/>
            </w:tcBorders>
            <w:noWrap/>
            <w:vAlign w:val="center"/>
            <w:hideMark/>
          </w:tcPr>
          <w:p w14:paraId="4FB38643" w14:textId="588B13C6" w:rsidR="00233890" w:rsidRPr="00233890" w:rsidRDefault="00233890" w:rsidP="00233890">
            <w:pPr>
              <w:pStyle w:val="Tables"/>
            </w:pPr>
            <w:r w:rsidRPr="00233890">
              <w:t>61</w:t>
            </w:r>
            <w:r w:rsidR="00E96687">
              <w:t>.</w:t>
            </w:r>
            <w:r w:rsidRPr="00233890">
              <w:t>14</w:t>
            </w:r>
          </w:p>
        </w:tc>
        <w:tc>
          <w:tcPr>
            <w:tcW w:w="1182" w:type="dxa"/>
            <w:tcBorders>
              <w:top w:val="nil"/>
              <w:left w:val="nil"/>
              <w:bottom w:val="single" w:sz="4" w:space="0" w:color="auto"/>
              <w:right w:val="single" w:sz="4" w:space="0" w:color="auto"/>
            </w:tcBorders>
            <w:noWrap/>
            <w:vAlign w:val="center"/>
            <w:hideMark/>
          </w:tcPr>
          <w:p w14:paraId="3532861E" w14:textId="2E5BD709" w:rsidR="00233890" w:rsidRPr="00233890" w:rsidRDefault="00233890" w:rsidP="00233890">
            <w:pPr>
              <w:pStyle w:val="Tables"/>
            </w:pPr>
            <w:r w:rsidRPr="00233890">
              <w:t>8</w:t>
            </w:r>
            <w:r w:rsidR="00E96687">
              <w:t>.</w:t>
            </w:r>
            <w:r w:rsidRPr="00233890">
              <w:t>7</w:t>
            </w:r>
          </w:p>
        </w:tc>
        <w:tc>
          <w:tcPr>
            <w:tcW w:w="1421" w:type="dxa"/>
            <w:tcBorders>
              <w:top w:val="nil"/>
              <w:left w:val="nil"/>
              <w:bottom w:val="single" w:sz="4" w:space="0" w:color="auto"/>
              <w:right w:val="single" w:sz="4" w:space="0" w:color="auto"/>
            </w:tcBorders>
            <w:noWrap/>
            <w:vAlign w:val="center"/>
            <w:hideMark/>
          </w:tcPr>
          <w:p w14:paraId="6E4FF534" w14:textId="77777777" w:rsidR="00233890" w:rsidRPr="00233890" w:rsidRDefault="00233890" w:rsidP="00233890">
            <w:pPr>
              <w:pStyle w:val="Tables"/>
            </w:pPr>
            <w:r w:rsidRPr="00233890">
              <w:t>64.68</w:t>
            </w:r>
          </w:p>
        </w:tc>
        <w:tc>
          <w:tcPr>
            <w:tcW w:w="1182" w:type="dxa"/>
            <w:tcBorders>
              <w:top w:val="nil"/>
              <w:left w:val="nil"/>
              <w:bottom w:val="single" w:sz="4" w:space="0" w:color="auto"/>
              <w:right w:val="single" w:sz="4" w:space="0" w:color="auto"/>
            </w:tcBorders>
            <w:noWrap/>
            <w:vAlign w:val="center"/>
            <w:hideMark/>
          </w:tcPr>
          <w:p w14:paraId="0C7EB099" w14:textId="57C4A393" w:rsidR="00233890" w:rsidRPr="00233890" w:rsidRDefault="00E96687" w:rsidP="00233890">
            <w:pPr>
              <w:pStyle w:val="Tables"/>
            </w:pPr>
            <w:r>
              <w:t>3</w:t>
            </w:r>
            <w:r w:rsidR="00233890" w:rsidRPr="00233890">
              <w:t>.4</w:t>
            </w:r>
          </w:p>
        </w:tc>
        <w:tc>
          <w:tcPr>
            <w:tcW w:w="1421" w:type="dxa"/>
            <w:tcBorders>
              <w:top w:val="nil"/>
              <w:left w:val="nil"/>
              <w:bottom w:val="single" w:sz="4" w:space="0" w:color="auto"/>
              <w:right w:val="single" w:sz="4" w:space="0" w:color="auto"/>
            </w:tcBorders>
            <w:noWrap/>
            <w:vAlign w:val="center"/>
            <w:hideMark/>
          </w:tcPr>
          <w:p w14:paraId="734995DA" w14:textId="77777777" w:rsidR="00233890" w:rsidRPr="00233890" w:rsidRDefault="00233890" w:rsidP="00233890">
            <w:pPr>
              <w:pStyle w:val="Tables"/>
            </w:pPr>
            <w:r w:rsidRPr="00233890">
              <w:t>71.17</w:t>
            </w:r>
          </w:p>
        </w:tc>
        <w:tc>
          <w:tcPr>
            <w:tcW w:w="1182" w:type="dxa"/>
            <w:tcBorders>
              <w:top w:val="nil"/>
              <w:left w:val="nil"/>
              <w:bottom w:val="single" w:sz="4" w:space="0" w:color="auto"/>
              <w:right w:val="single" w:sz="4" w:space="0" w:color="auto"/>
            </w:tcBorders>
            <w:noWrap/>
            <w:vAlign w:val="center"/>
            <w:hideMark/>
          </w:tcPr>
          <w:p w14:paraId="6906B5D8" w14:textId="77777777" w:rsidR="00233890" w:rsidRPr="00233890" w:rsidRDefault="00233890" w:rsidP="00233890">
            <w:pPr>
              <w:pStyle w:val="Tables"/>
            </w:pPr>
            <w:r w:rsidRPr="00233890">
              <w:t>8.9</w:t>
            </w:r>
          </w:p>
        </w:tc>
      </w:tr>
      <w:tr w:rsidR="00233890" w:rsidRPr="00233890" w14:paraId="51F912FA" w14:textId="77777777" w:rsidTr="00E23521">
        <w:trPr>
          <w:trHeight w:val="397"/>
          <w:jc w:val="center"/>
        </w:trPr>
        <w:tc>
          <w:tcPr>
            <w:tcW w:w="3139" w:type="dxa"/>
            <w:tcBorders>
              <w:top w:val="nil"/>
              <w:left w:val="single" w:sz="4" w:space="0" w:color="auto"/>
              <w:bottom w:val="single" w:sz="4" w:space="0" w:color="auto"/>
              <w:right w:val="single" w:sz="4" w:space="0" w:color="auto"/>
            </w:tcBorders>
            <w:noWrap/>
            <w:vAlign w:val="center"/>
            <w:hideMark/>
          </w:tcPr>
          <w:p w14:paraId="2667959D" w14:textId="77777777" w:rsidR="00233890" w:rsidRPr="00233890" w:rsidRDefault="00233890" w:rsidP="00E23521">
            <w:pPr>
              <w:pStyle w:val="Tables"/>
              <w:ind w:left="720"/>
              <w:jc w:val="left"/>
            </w:pPr>
            <w:r w:rsidRPr="00233890">
              <w:t>Medical and Public Health</w:t>
            </w:r>
          </w:p>
        </w:tc>
        <w:tc>
          <w:tcPr>
            <w:tcW w:w="1421" w:type="dxa"/>
            <w:tcBorders>
              <w:top w:val="nil"/>
              <w:left w:val="nil"/>
              <w:bottom w:val="single" w:sz="4" w:space="0" w:color="auto"/>
              <w:right w:val="single" w:sz="4" w:space="0" w:color="auto"/>
            </w:tcBorders>
            <w:noWrap/>
            <w:vAlign w:val="center"/>
            <w:hideMark/>
          </w:tcPr>
          <w:p w14:paraId="6EE37057" w14:textId="2890B35F" w:rsidR="00233890" w:rsidRPr="00233890" w:rsidRDefault="00233890" w:rsidP="00233890">
            <w:pPr>
              <w:pStyle w:val="Tables"/>
            </w:pPr>
            <w:r w:rsidRPr="00233890">
              <w:t>28</w:t>
            </w:r>
            <w:r w:rsidR="00E96687">
              <w:t>.</w:t>
            </w:r>
            <w:r w:rsidRPr="00233890">
              <w:t>10</w:t>
            </w:r>
          </w:p>
        </w:tc>
        <w:tc>
          <w:tcPr>
            <w:tcW w:w="1182" w:type="dxa"/>
            <w:tcBorders>
              <w:top w:val="nil"/>
              <w:left w:val="nil"/>
              <w:bottom w:val="single" w:sz="4" w:space="0" w:color="auto"/>
              <w:right w:val="single" w:sz="4" w:space="0" w:color="auto"/>
            </w:tcBorders>
            <w:noWrap/>
            <w:vAlign w:val="center"/>
            <w:hideMark/>
          </w:tcPr>
          <w:p w14:paraId="26599E50" w14:textId="27579D35" w:rsidR="00233890" w:rsidRPr="00233890" w:rsidRDefault="00233890" w:rsidP="00233890">
            <w:pPr>
              <w:pStyle w:val="Tables"/>
            </w:pPr>
            <w:r w:rsidRPr="00233890">
              <w:t>4</w:t>
            </w:r>
            <w:r w:rsidR="00E96687">
              <w:t>.</w:t>
            </w:r>
            <w:r w:rsidRPr="00233890">
              <w:t>0</w:t>
            </w:r>
          </w:p>
        </w:tc>
        <w:tc>
          <w:tcPr>
            <w:tcW w:w="1421" w:type="dxa"/>
            <w:tcBorders>
              <w:top w:val="nil"/>
              <w:left w:val="nil"/>
              <w:bottom w:val="single" w:sz="4" w:space="0" w:color="auto"/>
              <w:right w:val="single" w:sz="4" w:space="0" w:color="auto"/>
            </w:tcBorders>
            <w:noWrap/>
            <w:vAlign w:val="center"/>
            <w:hideMark/>
          </w:tcPr>
          <w:p w14:paraId="571B1B55" w14:textId="4272A9B4" w:rsidR="00233890" w:rsidRPr="00233890" w:rsidRDefault="00233890" w:rsidP="00233890">
            <w:pPr>
              <w:pStyle w:val="Tables"/>
            </w:pPr>
            <w:r w:rsidRPr="00233890">
              <w:t>31.4</w:t>
            </w:r>
            <w:r w:rsidR="00E96687">
              <w:t>0</w:t>
            </w:r>
          </w:p>
        </w:tc>
        <w:tc>
          <w:tcPr>
            <w:tcW w:w="1182" w:type="dxa"/>
            <w:tcBorders>
              <w:top w:val="nil"/>
              <w:left w:val="nil"/>
              <w:bottom w:val="single" w:sz="4" w:space="0" w:color="auto"/>
              <w:right w:val="single" w:sz="4" w:space="0" w:color="auto"/>
            </w:tcBorders>
            <w:noWrap/>
            <w:vAlign w:val="center"/>
            <w:hideMark/>
          </w:tcPr>
          <w:p w14:paraId="45F47587" w14:textId="77777777" w:rsidR="00233890" w:rsidRPr="00233890" w:rsidRDefault="00233890" w:rsidP="00233890">
            <w:pPr>
              <w:pStyle w:val="Tables"/>
            </w:pPr>
            <w:r w:rsidRPr="00233890">
              <w:t>4.1</w:t>
            </w:r>
          </w:p>
        </w:tc>
        <w:tc>
          <w:tcPr>
            <w:tcW w:w="1421" w:type="dxa"/>
            <w:tcBorders>
              <w:top w:val="nil"/>
              <w:left w:val="nil"/>
              <w:bottom w:val="single" w:sz="4" w:space="0" w:color="auto"/>
              <w:right w:val="single" w:sz="4" w:space="0" w:color="auto"/>
            </w:tcBorders>
            <w:noWrap/>
            <w:vAlign w:val="center"/>
            <w:hideMark/>
          </w:tcPr>
          <w:p w14:paraId="4E4D9A3A" w14:textId="77777777" w:rsidR="00233890" w:rsidRPr="00233890" w:rsidRDefault="00233890" w:rsidP="00233890">
            <w:pPr>
              <w:pStyle w:val="Tables"/>
            </w:pPr>
            <w:r w:rsidRPr="00233890">
              <w:t>32.02</w:t>
            </w:r>
          </w:p>
        </w:tc>
        <w:tc>
          <w:tcPr>
            <w:tcW w:w="1182" w:type="dxa"/>
            <w:tcBorders>
              <w:top w:val="nil"/>
              <w:left w:val="nil"/>
              <w:bottom w:val="single" w:sz="4" w:space="0" w:color="auto"/>
              <w:right w:val="single" w:sz="4" w:space="0" w:color="auto"/>
            </w:tcBorders>
            <w:noWrap/>
            <w:vAlign w:val="center"/>
            <w:hideMark/>
          </w:tcPr>
          <w:p w14:paraId="12228947" w14:textId="77777777" w:rsidR="00233890" w:rsidRPr="00233890" w:rsidRDefault="00233890" w:rsidP="00233890">
            <w:pPr>
              <w:pStyle w:val="Tables"/>
            </w:pPr>
            <w:r w:rsidRPr="00233890">
              <w:t>4.2</w:t>
            </w:r>
          </w:p>
        </w:tc>
      </w:tr>
      <w:tr w:rsidR="00233890" w:rsidRPr="00233890" w14:paraId="10D9C518" w14:textId="77777777" w:rsidTr="00E23521">
        <w:trPr>
          <w:trHeight w:val="397"/>
          <w:jc w:val="center"/>
        </w:trPr>
        <w:tc>
          <w:tcPr>
            <w:tcW w:w="3139" w:type="dxa"/>
            <w:tcBorders>
              <w:top w:val="nil"/>
              <w:left w:val="single" w:sz="4" w:space="0" w:color="auto"/>
              <w:bottom w:val="single" w:sz="4" w:space="0" w:color="auto"/>
              <w:right w:val="single" w:sz="4" w:space="0" w:color="auto"/>
            </w:tcBorders>
            <w:noWrap/>
            <w:vAlign w:val="center"/>
            <w:hideMark/>
          </w:tcPr>
          <w:p w14:paraId="5B59E4C6" w14:textId="77777777" w:rsidR="00233890" w:rsidRPr="00233890" w:rsidRDefault="00233890" w:rsidP="00E23521">
            <w:pPr>
              <w:pStyle w:val="Tables"/>
              <w:jc w:val="left"/>
            </w:pPr>
            <w:r w:rsidRPr="00233890">
              <w:t>Debt Services*</w:t>
            </w:r>
          </w:p>
        </w:tc>
        <w:tc>
          <w:tcPr>
            <w:tcW w:w="1421" w:type="dxa"/>
            <w:tcBorders>
              <w:top w:val="nil"/>
              <w:left w:val="nil"/>
              <w:bottom w:val="single" w:sz="4" w:space="0" w:color="auto"/>
              <w:right w:val="single" w:sz="4" w:space="0" w:color="auto"/>
            </w:tcBorders>
            <w:noWrap/>
            <w:vAlign w:val="center"/>
            <w:hideMark/>
          </w:tcPr>
          <w:p w14:paraId="22AA659C" w14:textId="2EC5F33F" w:rsidR="00233890" w:rsidRPr="00233890" w:rsidRDefault="00233890" w:rsidP="00233890">
            <w:pPr>
              <w:pStyle w:val="Tables"/>
            </w:pPr>
            <w:r w:rsidRPr="00233890">
              <w:t>58</w:t>
            </w:r>
            <w:r w:rsidR="00E96687">
              <w:t>.</w:t>
            </w:r>
            <w:r w:rsidRPr="00233890">
              <w:t>64</w:t>
            </w:r>
          </w:p>
        </w:tc>
        <w:tc>
          <w:tcPr>
            <w:tcW w:w="1182" w:type="dxa"/>
            <w:tcBorders>
              <w:top w:val="nil"/>
              <w:left w:val="nil"/>
              <w:bottom w:val="single" w:sz="4" w:space="0" w:color="auto"/>
              <w:right w:val="single" w:sz="4" w:space="0" w:color="auto"/>
            </w:tcBorders>
            <w:noWrap/>
            <w:vAlign w:val="center"/>
            <w:hideMark/>
          </w:tcPr>
          <w:p w14:paraId="7E08D7CD" w14:textId="3C317CE0" w:rsidR="00233890" w:rsidRPr="00233890" w:rsidRDefault="00233890" w:rsidP="00233890">
            <w:pPr>
              <w:pStyle w:val="Tables"/>
            </w:pPr>
            <w:r w:rsidRPr="00233890">
              <w:t>8</w:t>
            </w:r>
            <w:r w:rsidR="00E96687">
              <w:t>.</w:t>
            </w:r>
            <w:r w:rsidRPr="00233890">
              <w:t>3</w:t>
            </w:r>
          </w:p>
        </w:tc>
        <w:tc>
          <w:tcPr>
            <w:tcW w:w="1421" w:type="dxa"/>
            <w:tcBorders>
              <w:top w:val="nil"/>
              <w:left w:val="nil"/>
              <w:bottom w:val="single" w:sz="4" w:space="0" w:color="auto"/>
              <w:right w:val="single" w:sz="4" w:space="0" w:color="auto"/>
            </w:tcBorders>
            <w:noWrap/>
            <w:vAlign w:val="center"/>
            <w:hideMark/>
          </w:tcPr>
          <w:p w14:paraId="344BD447" w14:textId="43E52D4A" w:rsidR="00233890" w:rsidRPr="00233890" w:rsidRDefault="00233890" w:rsidP="00233890">
            <w:pPr>
              <w:pStyle w:val="Tables"/>
            </w:pPr>
            <w:r w:rsidRPr="00233890">
              <w:t>60.8</w:t>
            </w:r>
            <w:r w:rsidR="00E96687">
              <w:t>0</w:t>
            </w:r>
          </w:p>
        </w:tc>
        <w:tc>
          <w:tcPr>
            <w:tcW w:w="1182" w:type="dxa"/>
            <w:tcBorders>
              <w:top w:val="nil"/>
              <w:left w:val="nil"/>
              <w:bottom w:val="single" w:sz="4" w:space="0" w:color="auto"/>
              <w:right w:val="single" w:sz="4" w:space="0" w:color="auto"/>
            </w:tcBorders>
            <w:noWrap/>
            <w:vAlign w:val="center"/>
            <w:hideMark/>
          </w:tcPr>
          <w:p w14:paraId="5C1B648F" w14:textId="77777777" w:rsidR="00233890" w:rsidRPr="00233890" w:rsidRDefault="00233890" w:rsidP="00233890">
            <w:pPr>
              <w:pStyle w:val="Tables"/>
            </w:pPr>
            <w:r w:rsidRPr="00233890">
              <w:t>7.9</w:t>
            </w:r>
          </w:p>
        </w:tc>
        <w:tc>
          <w:tcPr>
            <w:tcW w:w="1421" w:type="dxa"/>
            <w:tcBorders>
              <w:top w:val="nil"/>
              <w:left w:val="nil"/>
              <w:bottom w:val="single" w:sz="4" w:space="0" w:color="auto"/>
              <w:right w:val="single" w:sz="4" w:space="0" w:color="auto"/>
            </w:tcBorders>
            <w:noWrap/>
            <w:vAlign w:val="center"/>
            <w:hideMark/>
          </w:tcPr>
          <w:p w14:paraId="21EDA7B4" w14:textId="77777777" w:rsidR="00233890" w:rsidRPr="00233890" w:rsidRDefault="00233890" w:rsidP="00233890">
            <w:pPr>
              <w:pStyle w:val="Tables"/>
            </w:pPr>
            <w:r w:rsidRPr="00233890">
              <w:t>62.74</w:t>
            </w:r>
          </w:p>
        </w:tc>
        <w:tc>
          <w:tcPr>
            <w:tcW w:w="1182" w:type="dxa"/>
            <w:tcBorders>
              <w:top w:val="nil"/>
              <w:left w:val="nil"/>
              <w:bottom w:val="single" w:sz="4" w:space="0" w:color="auto"/>
              <w:right w:val="single" w:sz="4" w:space="0" w:color="auto"/>
            </w:tcBorders>
            <w:noWrap/>
            <w:vAlign w:val="center"/>
            <w:hideMark/>
          </w:tcPr>
          <w:p w14:paraId="3547717E" w14:textId="77777777" w:rsidR="00233890" w:rsidRPr="00233890" w:rsidRDefault="00233890" w:rsidP="00233890">
            <w:pPr>
              <w:pStyle w:val="Tables"/>
            </w:pPr>
            <w:r w:rsidRPr="00233890">
              <w:t>7.9</w:t>
            </w:r>
          </w:p>
        </w:tc>
      </w:tr>
      <w:tr w:rsidR="00233890" w:rsidRPr="00233890" w14:paraId="10CD36AB" w14:textId="77777777" w:rsidTr="00E23521">
        <w:trPr>
          <w:trHeight w:val="397"/>
          <w:jc w:val="center"/>
        </w:trPr>
        <w:tc>
          <w:tcPr>
            <w:tcW w:w="3139" w:type="dxa"/>
            <w:tcBorders>
              <w:top w:val="nil"/>
              <w:left w:val="single" w:sz="4" w:space="0" w:color="auto"/>
              <w:bottom w:val="single" w:sz="4" w:space="0" w:color="auto"/>
              <w:right w:val="single" w:sz="4" w:space="0" w:color="auto"/>
            </w:tcBorders>
            <w:noWrap/>
            <w:vAlign w:val="center"/>
            <w:hideMark/>
          </w:tcPr>
          <w:p w14:paraId="0D6AE6CA" w14:textId="77777777" w:rsidR="00233890" w:rsidRPr="00233890" w:rsidRDefault="00233890" w:rsidP="00E23521">
            <w:pPr>
              <w:pStyle w:val="Tables"/>
              <w:jc w:val="left"/>
            </w:pPr>
            <w:r w:rsidRPr="00233890">
              <w:t>Irrigation</w:t>
            </w:r>
          </w:p>
        </w:tc>
        <w:tc>
          <w:tcPr>
            <w:tcW w:w="1421" w:type="dxa"/>
            <w:tcBorders>
              <w:top w:val="nil"/>
              <w:left w:val="nil"/>
              <w:bottom w:val="single" w:sz="4" w:space="0" w:color="auto"/>
              <w:right w:val="single" w:sz="4" w:space="0" w:color="auto"/>
            </w:tcBorders>
            <w:noWrap/>
            <w:vAlign w:val="center"/>
            <w:hideMark/>
          </w:tcPr>
          <w:p w14:paraId="59248848" w14:textId="6A7B107A" w:rsidR="00233890" w:rsidRPr="00233890" w:rsidRDefault="00233890" w:rsidP="00233890">
            <w:pPr>
              <w:pStyle w:val="Tables"/>
            </w:pPr>
            <w:r w:rsidRPr="00233890">
              <w:t>8</w:t>
            </w:r>
            <w:r w:rsidR="00E96687">
              <w:t>.</w:t>
            </w:r>
            <w:r w:rsidRPr="00233890">
              <w:t>76</w:t>
            </w:r>
          </w:p>
        </w:tc>
        <w:tc>
          <w:tcPr>
            <w:tcW w:w="1182" w:type="dxa"/>
            <w:tcBorders>
              <w:top w:val="nil"/>
              <w:left w:val="nil"/>
              <w:bottom w:val="single" w:sz="4" w:space="0" w:color="auto"/>
              <w:right w:val="single" w:sz="4" w:space="0" w:color="auto"/>
            </w:tcBorders>
            <w:noWrap/>
            <w:vAlign w:val="center"/>
            <w:hideMark/>
          </w:tcPr>
          <w:p w14:paraId="698D1522" w14:textId="2E57095C" w:rsidR="00233890" w:rsidRPr="00233890" w:rsidRDefault="00233890" w:rsidP="00233890">
            <w:pPr>
              <w:pStyle w:val="Tables"/>
            </w:pPr>
            <w:r w:rsidRPr="00233890">
              <w:t>1</w:t>
            </w:r>
            <w:r w:rsidR="00E96687">
              <w:t>.</w:t>
            </w:r>
            <w:r w:rsidRPr="00233890">
              <w:t>2</w:t>
            </w:r>
          </w:p>
        </w:tc>
        <w:tc>
          <w:tcPr>
            <w:tcW w:w="1421" w:type="dxa"/>
            <w:tcBorders>
              <w:top w:val="nil"/>
              <w:left w:val="nil"/>
              <w:bottom w:val="single" w:sz="4" w:space="0" w:color="auto"/>
              <w:right w:val="single" w:sz="4" w:space="0" w:color="auto"/>
            </w:tcBorders>
            <w:noWrap/>
            <w:vAlign w:val="center"/>
            <w:hideMark/>
          </w:tcPr>
          <w:p w14:paraId="6470B787" w14:textId="77777777" w:rsidR="00233890" w:rsidRPr="00233890" w:rsidRDefault="00233890" w:rsidP="00233890">
            <w:pPr>
              <w:pStyle w:val="Tables"/>
            </w:pPr>
            <w:r w:rsidRPr="00233890">
              <w:t>12.54</w:t>
            </w:r>
          </w:p>
        </w:tc>
        <w:tc>
          <w:tcPr>
            <w:tcW w:w="1182" w:type="dxa"/>
            <w:tcBorders>
              <w:top w:val="nil"/>
              <w:left w:val="nil"/>
              <w:bottom w:val="single" w:sz="4" w:space="0" w:color="auto"/>
              <w:right w:val="single" w:sz="4" w:space="0" w:color="auto"/>
            </w:tcBorders>
            <w:noWrap/>
            <w:vAlign w:val="center"/>
            <w:hideMark/>
          </w:tcPr>
          <w:p w14:paraId="533DB1C0" w14:textId="77777777" w:rsidR="00233890" w:rsidRPr="00233890" w:rsidRDefault="00233890" w:rsidP="00233890">
            <w:pPr>
              <w:pStyle w:val="Tables"/>
            </w:pPr>
            <w:r w:rsidRPr="00233890">
              <w:t>1.6</w:t>
            </w:r>
          </w:p>
        </w:tc>
        <w:tc>
          <w:tcPr>
            <w:tcW w:w="1421" w:type="dxa"/>
            <w:tcBorders>
              <w:top w:val="nil"/>
              <w:left w:val="nil"/>
              <w:bottom w:val="single" w:sz="4" w:space="0" w:color="auto"/>
              <w:right w:val="single" w:sz="4" w:space="0" w:color="auto"/>
            </w:tcBorders>
            <w:noWrap/>
            <w:vAlign w:val="center"/>
            <w:hideMark/>
          </w:tcPr>
          <w:p w14:paraId="00D8E853" w14:textId="77777777" w:rsidR="00233890" w:rsidRPr="00233890" w:rsidRDefault="00233890" w:rsidP="00233890">
            <w:pPr>
              <w:pStyle w:val="Tables"/>
            </w:pPr>
            <w:r w:rsidRPr="00233890">
              <w:t>12.04</w:t>
            </w:r>
          </w:p>
        </w:tc>
        <w:tc>
          <w:tcPr>
            <w:tcW w:w="1182" w:type="dxa"/>
            <w:tcBorders>
              <w:top w:val="nil"/>
              <w:left w:val="nil"/>
              <w:bottom w:val="single" w:sz="4" w:space="0" w:color="auto"/>
              <w:right w:val="single" w:sz="4" w:space="0" w:color="auto"/>
            </w:tcBorders>
            <w:noWrap/>
            <w:vAlign w:val="center"/>
            <w:hideMark/>
          </w:tcPr>
          <w:p w14:paraId="1C5555E7" w14:textId="77777777" w:rsidR="00233890" w:rsidRPr="00233890" w:rsidRDefault="00233890" w:rsidP="00233890">
            <w:pPr>
              <w:pStyle w:val="Tables"/>
            </w:pPr>
            <w:r w:rsidRPr="00233890">
              <w:t>1.5</w:t>
            </w:r>
          </w:p>
        </w:tc>
      </w:tr>
    </w:tbl>
    <w:p w14:paraId="0B3F974E" w14:textId="1055699C" w:rsidR="00233890" w:rsidRPr="000A6E2D" w:rsidRDefault="00017C43" w:rsidP="00233890">
      <w:pPr>
        <w:pStyle w:val="Sources"/>
      </w:pPr>
      <w:r w:rsidRPr="000A6E2D">
        <w:t>* Adjusted for interest payment by the States in respect of borrowings from the</w:t>
      </w:r>
      <w:r w:rsidR="00233890">
        <w:t xml:space="preserve"> </w:t>
      </w:r>
      <w:r w:rsidR="00233890" w:rsidRPr="000A6E2D">
        <w:t xml:space="preserve">Centre; exclusive of interest </w:t>
      </w:r>
      <w:r w:rsidR="00233890">
        <w:t>t</w:t>
      </w:r>
      <w:r w:rsidR="00233890" w:rsidRPr="000A6E2D">
        <w:t>ransferred to Railways</w:t>
      </w:r>
    </w:p>
    <w:p w14:paraId="3BCABA3F" w14:textId="219C4C4D" w:rsidR="00017C43" w:rsidRPr="000A6E2D" w:rsidRDefault="00017C43" w:rsidP="000A6E2D">
      <w:pPr>
        <w:spacing w:after="0" w:line="380" w:lineRule="exact"/>
        <w:jc w:val="both"/>
        <w:rPr>
          <w:rFonts w:ascii="Times New Roman" w:hAnsi="Times New Roman" w:cs="Times New Roman"/>
          <w:sz w:val="28"/>
          <w:szCs w:val="28"/>
        </w:rPr>
      </w:pPr>
    </w:p>
    <w:p w14:paraId="1952E44B" w14:textId="23DA4E12" w:rsidR="00B93B9F" w:rsidRPr="000A6E2D" w:rsidRDefault="00B93B9F" w:rsidP="00EE0179">
      <w:pPr>
        <w:pStyle w:val="ListParagraph"/>
        <w:numPr>
          <w:ilvl w:val="0"/>
          <w:numId w:val="29"/>
        </w:numPr>
        <w:spacing w:after="0" w:line="520" w:lineRule="exact"/>
        <w:ind w:left="0" w:firstLine="556"/>
        <w:jc w:val="both"/>
        <w:rPr>
          <w:rFonts w:ascii="Times New Roman" w:hAnsi="Times New Roman" w:cs="Times New Roman"/>
          <w:sz w:val="28"/>
          <w:szCs w:val="28"/>
        </w:rPr>
      </w:pPr>
      <w:r w:rsidRPr="000A6E2D">
        <w:rPr>
          <w:rFonts w:ascii="Times New Roman" w:hAnsi="Times New Roman" w:cs="Times New Roman"/>
          <w:sz w:val="28"/>
          <w:szCs w:val="28"/>
        </w:rPr>
        <w:t>Of the total expenditure of Central and State Governments, Defence accounts for less than one quarter. Social services, together, are somewhat more important than administrative services.</w:t>
      </w:r>
    </w:p>
    <w:p w14:paraId="1C0CCC84" w14:textId="34BBDC04" w:rsidR="00B93B9F" w:rsidRPr="000A6E2D" w:rsidRDefault="00B93B9F" w:rsidP="00EE0179">
      <w:pPr>
        <w:pStyle w:val="ListParagraph"/>
        <w:numPr>
          <w:ilvl w:val="0"/>
          <w:numId w:val="29"/>
        </w:numPr>
        <w:spacing w:after="0" w:line="520" w:lineRule="exact"/>
        <w:ind w:left="0" w:firstLine="556"/>
        <w:jc w:val="both"/>
        <w:rPr>
          <w:rFonts w:ascii="Times New Roman" w:hAnsi="Times New Roman" w:cs="Times New Roman"/>
          <w:sz w:val="28"/>
          <w:szCs w:val="28"/>
        </w:rPr>
      </w:pPr>
      <w:r w:rsidRPr="00233890">
        <w:rPr>
          <w:rFonts w:ascii="Times New Roman" w:hAnsi="Times New Roman" w:cs="Times New Roman"/>
          <w:i/>
          <w:iCs/>
          <w:sz w:val="28"/>
          <w:szCs w:val="28"/>
        </w:rPr>
        <w:t>Per Capita State Revenues.—</w:t>
      </w:r>
      <w:r w:rsidRPr="000A6E2D">
        <w:rPr>
          <w:rFonts w:ascii="Times New Roman" w:hAnsi="Times New Roman" w:cs="Times New Roman"/>
          <w:sz w:val="28"/>
          <w:szCs w:val="28"/>
        </w:rPr>
        <w:t>Having reviewed the changing composition and distribution of the revenue and expenditure of the Centre and the States, we may consider how far the available data enable us to judge the relative tax burden or tax effort of the different States, in terms of total taxation as well as individual tax heads, and the standards of expenditure on administrative and social services, as a whole and in terms of individual services.</w:t>
      </w:r>
    </w:p>
    <w:p w14:paraId="320EB16E" w14:textId="77777777" w:rsidR="00B93B9F" w:rsidRPr="000A6E2D" w:rsidRDefault="00B93B9F" w:rsidP="00EE0179">
      <w:pPr>
        <w:spacing w:after="0" w:line="520" w:lineRule="exact"/>
        <w:ind w:firstLine="1276"/>
        <w:jc w:val="both"/>
        <w:rPr>
          <w:rFonts w:ascii="Times New Roman" w:hAnsi="Times New Roman" w:cs="Times New Roman"/>
          <w:sz w:val="28"/>
          <w:szCs w:val="28"/>
        </w:rPr>
      </w:pPr>
      <w:r w:rsidRPr="000A6E2D">
        <w:rPr>
          <w:rFonts w:ascii="Times New Roman" w:hAnsi="Times New Roman" w:cs="Times New Roman"/>
          <w:sz w:val="28"/>
          <w:szCs w:val="28"/>
        </w:rPr>
        <w:t xml:space="preserve">Such comparisons are often made on the basis of per capita revenue and per capita expenditure and we attempt below a study, similarly based, of the relative position in the various States. It is necessary, however, to appreciate the limitations of per capita tax comparisons. With similar tax rates and equally efficient tax </w:t>
      </w:r>
      <w:r w:rsidRPr="000A6E2D">
        <w:rPr>
          <w:rFonts w:ascii="Times New Roman" w:hAnsi="Times New Roman" w:cs="Times New Roman"/>
          <w:sz w:val="28"/>
          <w:szCs w:val="28"/>
        </w:rPr>
        <w:lastRenderedPageBreak/>
        <w:t>administration in any two States, the yield from a tax in one State may be smaller than in another, due to differences in income levels and the degree of concentration of wealth, turnover of trade and taxable capacity in large cities. Differences in per capita taxation, therefore, should not be interpreted as necessarily reflecting differences in the tax effort of States. For the latter, reference should also be made to comparative rates of taxation in relation to the field of taxation as a whole. Extreme differences in per capita taxation, with reasonably efficient administration and broadly comparable rates, however, may be taken to reflect broad differences in taxable capacity. Also, over a period of time, comparisons of per capita revenue give a clue to the relative resources available to the States and may reveal some interesting trends.</w:t>
      </w:r>
    </w:p>
    <w:p w14:paraId="78B99BC1" w14:textId="3A8094C7" w:rsidR="00B93B9F" w:rsidRPr="000A6E2D" w:rsidRDefault="00B93B9F" w:rsidP="00EE0179">
      <w:pPr>
        <w:pStyle w:val="ListParagraph"/>
        <w:numPr>
          <w:ilvl w:val="0"/>
          <w:numId w:val="29"/>
        </w:numPr>
        <w:spacing w:after="0" w:line="520" w:lineRule="exact"/>
        <w:ind w:left="0" w:firstLine="556"/>
        <w:jc w:val="both"/>
        <w:rPr>
          <w:rFonts w:ascii="Times New Roman" w:hAnsi="Times New Roman" w:cs="Times New Roman"/>
          <w:sz w:val="28"/>
          <w:szCs w:val="28"/>
        </w:rPr>
      </w:pPr>
      <w:r w:rsidRPr="000A6E2D">
        <w:rPr>
          <w:rFonts w:ascii="Times New Roman" w:hAnsi="Times New Roman" w:cs="Times New Roman"/>
          <w:sz w:val="28"/>
          <w:szCs w:val="28"/>
        </w:rPr>
        <w:t>The following table gives the per capita revenue on an average for the ten-year period from 1937-38 to 1946-47 and in 1950-51 and 1951-52.</w:t>
      </w:r>
    </w:p>
    <w:p w14:paraId="283747A6" w14:textId="77777777" w:rsidR="00B93B9F" w:rsidRPr="000A6E2D" w:rsidRDefault="00B93B9F" w:rsidP="000A6E2D">
      <w:pPr>
        <w:pStyle w:val="ListParagraph"/>
        <w:spacing w:after="0" w:line="380" w:lineRule="exact"/>
        <w:jc w:val="both"/>
        <w:rPr>
          <w:rFonts w:ascii="Times New Roman" w:hAnsi="Times New Roman" w:cs="Times New Roman"/>
          <w:sz w:val="28"/>
          <w:szCs w:val="28"/>
        </w:rPr>
      </w:pPr>
    </w:p>
    <w:p w14:paraId="3BFDC050" w14:textId="77777777" w:rsidR="0076234B" w:rsidRDefault="0076234B">
      <w:pPr>
        <w:rPr>
          <w:rFonts w:ascii="Times New Roman" w:hAnsi="Times New Roman" w:cs="Times New Roman"/>
          <w:sz w:val="28"/>
          <w:szCs w:val="28"/>
        </w:rPr>
      </w:pPr>
      <w:r>
        <w:rPr>
          <w:rFonts w:ascii="Times New Roman" w:hAnsi="Times New Roman" w:cs="Times New Roman"/>
          <w:sz w:val="28"/>
          <w:szCs w:val="28"/>
        </w:rPr>
        <w:br w:type="page"/>
      </w:r>
    </w:p>
    <w:p w14:paraId="10D4503B" w14:textId="33B4D936" w:rsidR="00284C32" w:rsidRDefault="00284C32" w:rsidP="00233890">
      <w:pPr>
        <w:pStyle w:val="ListParagraph"/>
        <w:spacing w:after="0" w:line="380" w:lineRule="exact"/>
        <w:jc w:val="center"/>
        <w:rPr>
          <w:rFonts w:ascii="Times New Roman" w:hAnsi="Times New Roman" w:cs="Times New Roman"/>
          <w:sz w:val="28"/>
          <w:szCs w:val="28"/>
        </w:rPr>
      </w:pPr>
      <w:r w:rsidRPr="000A6E2D">
        <w:rPr>
          <w:rFonts w:ascii="Times New Roman" w:hAnsi="Times New Roman" w:cs="Times New Roman"/>
          <w:sz w:val="28"/>
          <w:szCs w:val="28"/>
        </w:rPr>
        <w:lastRenderedPageBreak/>
        <w:t>PER CAPITA REVENUE OF PART A AND PART B STATES</w:t>
      </w:r>
      <w:r w:rsidRPr="000A6E2D">
        <w:rPr>
          <w:rFonts w:ascii="Times New Roman" w:hAnsi="Times New Roman" w:cs="Times New Roman"/>
          <w:sz w:val="28"/>
          <w:szCs w:val="28"/>
        </w:rPr>
        <w:br/>
        <w:t>(Excluding transfers from Revenue Reserve Funds)</w:t>
      </w:r>
    </w:p>
    <w:p w14:paraId="2C3AC15F" w14:textId="77777777" w:rsidR="00233890" w:rsidRDefault="00233890" w:rsidP="00233890">
      <w:pPr>
        <w:pStyle w:val="ListParagraph"/>
        <w:spacing w:after="0" w:line="380" w:lineRule="exact"/>
        <w:jc w:val="center"/>
        <w:rPr>
          <w:rFonts w:ascii="Times New Roman" w:hAnsi="Times New Roman" w:cs="Times New Roman"/>
          <w:sz w:val="28"/>
          <w:szCs w:val="28"/>
        </w:rPr>
      </w:pPr>
    </w:p>
    <w:tbl>
      <w:tblPr>
        <w:tblStyle w:val="TableGrid"/>
        <w:tblW w:w="0" w:type="auto"/>
        <w:jc w:val="center"/>
        <w:tblLook w:val="04A0" w:firstRow="1" w:lastRow="0" w:firstColumn="1" w:lastColumn="0" w:noHBand="0" w:noVBand="1"/>
      </w:tblPr>
      <w:tblGrid>
        <w:gridCol w:w="3681"/>
        <w:gridCol w:w="1843"/>
        <w:gridCol w:w="1417"/>
        <w:gridCol w:w="2095"/>
      </w:tblGrid>
      <w:tr w:rsidR="00233890" w:rsidRPr="00233890" w14:paraId="192DA1BD" w14:textId="77777777" w:rsidTr="00E23521">
        <w:trPr>
          <w:trHeight w:val="340"/>
          <w:jc w:val="center"/>
        </w:trPr>
        <w:tc>
          <w:tcPr>
            <w:tcW w:w="3681" w:type="dxa"/>
            <w:vMerge w:val="restart"/>
            <w:vAlign w:val="center"/>
            <w:hideMark/>
          </w:tcPr>
          <w:p w14:paraId="1BD07CF6" w14:textId="05B4F290" w:rsidR="00233890" w:rsidRPr="00E23521" w:rsidRDefault="00233890" w:rsidP="00233890">
            <w:pPr>
              <w:pStyle w:val="Tables"/>
              <w:rPr>
                <w:b/>
                <w:bCs/>
              </w:rPr>
            </w:pPr>
          </w:p>
        </w:tc>
        <w:tc>
          <w:tcPr>
            <w:tcW w:w="1843" w:type="dxa"/>
            <w:vAlign w:val="center"/>
            <w:hideMark/>
          </w:tcPr>
          <w:p w14:paraId="2856AADB" w14:textId="77777777" w:rsidR="00233890" w:rsidRPr="00E23521" w:rsidRDefault="00233890" w:rsidP="00233890">
            <w:pPr>
              <w:pStyle w:val="Tables"/>
              <w:rPr>
                <w:b/>
                <w:bCs/>
              </w:rPr>
            </w:pPr>
            <w:r w:rsidRPr="00E23521">
              <w:rPr>
                <w:b/>
                <w:bCs/>
              </w:rPr>
              <w:t>Average</w:t>
            </w:r>
          </w:p>
        </w:tc>
        <w:tc>
          <w:tcPr>
            <w:tcW w:w="1417" w:type="dxa"/>
            <w:vMerge w:val="restart"/>
            <w:vAlign w:val="center"/>
            <w:hideMark/>
          </w:tcPr>
          <w:p w14:paraId="1FE563F5" w14:textId="77777777" w:rsidR="00233890" w:rsidRPr="00E23521" w:rsidRDefault="00233890" w:rsidP="00233890">
            <w:pPr>
              <w:pStyle w:val="Tables"/>
              <w:rPr>
                <w:b/>
                <w:bCs/>
              </w:rPr>
            </w:pPr>
            <w:r w:rsidRPr="00E23521">
              <w:rPr>
                <w:b/>
                <w:bCs/>
              </w:rPr>
              <w:t>1950-51</w:t>
            </w:r>
          </w:p>
        </w:tc>
        <w:tc>
          <w:tcPr>
            <w:tcW w:w="2095" w:type="dxa"/>
            <w:vMerge w:val="restart"/>
            <w:vAlign w:val="center"/>
            <w:hideMark/>
          </w:tcPr>
          <w:p w14:paraId="3E388406" w14:textId="77777777" w:rsidR="00233890" w:rsidRPr="00E23521" w:rsidRDefault="00233890" w:rsidP="00233890">
            <w:pPr>
              <w:pStyle w:val="Tables"/>
              <w:rPr>
                <w:b/>
                <w:bCs/>
              </w:rPr>
            </w:pPr>
            <w:r w:rsidRPr="00E23521">
              <w:rPr>
                <w:b/>
                <w:bCs/>
              </w:rPr>
              <w:t>1951-52 Provisional figures</w:t>
            </w:r>
          </w:p>
        </w:tc>
      </w:tr>
      <w:tr w:rsidR="00233890" w:rsidRPr="00233890" w14:paraId="5BCD8476" w14:textId="77777777" w:rsidTr="00E23521">
        <w:trPr>
          <w:trHeight w:val="340"/>
          <w:jc w:val="center"/>
        </w:trPr>
        <w:tc>
          <w:tcPr>
            <w:tcW w:w="3681" w:type="dxa"/>
            <w:vMerge/>
            <w:vAlign w:val="center"/>
            <w:hideMark/>
          </w:tcPr>
          <w:p w14:paraId="06A2950C" w14:textId="77777777" w:rsidR="00233890" w:rsidRPr="00E23521" w:rsidRDefault="00233890" w:rsidP="00233890">
            <w:pPr>
              <w:pStyle w:val="Tables"/>
              <w:rPr>
                <w:b/>
                <w:bCs/>
              </w:rPr>
            </w:pPr>
          </w:p>
        </w:tc>
        <w:tc>
          <w:tcPr>
            <w:tcW w:w="1843" w:type="dxa"/>
            <w:vAlign w:val="center"/>
            <w:hideMark/>
          </w:tcPr>
          <w:p w14:paraId="263CA87B" w14:textId="77777777" w:rsidR="00233890" w:rsidRPr="00E23521" w:rsidRDefault="00233890" w:rsidP="00233890">
            <w:pPr>
              <w:pStyle w:val="Tables"/>
              <w:rPr>
                <w:b/>
                <w:bCs/>
              </w:rPr>
            </w:pPr>
            <w:r w:rsidRPr="00E23521">
              <w:rPr>
                <w:b/>
                <w:bCs/>
              </w:rPr>
              <w:t>1937-38 to1946-47</w:t>
            </w:r>
          </w:p>
        </w:tc>
        <w:tc>
          <w:tcPr>
            <w:tcW w:w="1417" w:type="dxa"/>
            <w:vMerge/>
            <w:vAlign w:val="center"/>
            <w:hideMark/>
          </w:tcPr>
          <w:p w14:paraId="0018363A" w14:textId="77777777" w:rsidR="00233890" w:rsidRPr="00E23521" w:rsidRDefault="00233890" w:rsidP="00233890">
            <w:pPr>
              <w:pStyle w:val="Tables"/>
              <w:rPr>
                <w:b/>
                <w:bCs/>
              </w:rPr>
            </w:pPr>
          </w:p>
        </w:tc>
        <w:tc>
          <w:tcPr>
            <w:tcW w:w="2095" w:type="dxa"/>
            <w:vMerge/>
            <w:vAlign w:val="center"/>
            <w:hideMark/>
          </w:tcPr>
          <w:p w14:paraId="3BE503BF" w14:textId="77777777" w:rsidR="00233890" w:rsidRPr="00E23521" w:rsidRDefault="00233890" w:rsidP="00233890">
            <w:pPr>
              <w:pStyle w:val="Tables"/>
              <w:rPr>
                <w:b/>
                <w:bCs/>
              </w:rPr>
            </w:pPr>
          </w:p>
        </w:tc>
      </w:tr>
      <w:tr w:rsidR="00233890" w:rsidRPr="00233890" w14:paraId="3E2FFB54" w14:textId="77777777" w:rsidTr="00E23521">
        <w:trPr>
          <w:trHeight w:val="340"/>
          <w:jc w:val="center"/>
        </w:trPr>
        <w:tc>
          <w:tcPr>
            <w:tcW w:w="3681" w:type="dxa"/>
            <w:vAlign w:val="center"/>
            <w:hideMark/>
          </w:tcPr>
          <w:p w14:paraId="765F94AE" w14:textId="09CA3936" w:rsidR="00233890" w:rsidRPr="00E23521" w:rsidRDefault="00233890" w:rsidP="00233890">
            <w:pPr>
              <w:pStyle w:val="Tables"/>
              <w:rPr>
                <w:b/>
                <w:bCs/>
              </w:rPr>
            </w:pPr>
          </w:p>
        </w:tc>
        <w:tc>
          <w:tcPr>
            <w:tcW w:w="1843" w:type="dxa"/>
            <w:vAlign w:val="center"/>
            <w:hideMark/>
          </w:tcPr>
          <w:p w14:paraId="4BD7D40B" w14:textId="77777777" w:rsidR="00233890" w:rsidRPr="00E23521" w:rsidRDefault="00233890" w:rsidP="00233890">
            <w:pPr>
              <w:pStyle w:val="Tables"/>
              <w:rPr>
                <w:b/>
                <w:bCs/>
              </w:rPr>
            </w:pPr>
            <w:r w:rsidRPr="00E23521">
              <w:rPr>
                <w:b/>
                <w:bCs/>
              </w:rPr>
              <w:t>Rs.</w:t>
            </w:r>
          </w:p>
        </w:tc>
        <w:tc>
          <w:tcPr>
            <w:tcW w:w="1417" w:type="dxa"/>
            <w:vAlign w:val="center"/>
            <w:hideMark/>
          </w:tcPr>
          <w:p w14:paraId="31EE7526" w14:textId="77777777" w:rsidR="00233890" w:rsidRPr="00E23521" w:rsidRDefault="00233890" w:rsidP="00233890">
            <w:pPr>
              <w:pStyle w:val="Tables"/>
              <w:rPr>
                <w:b/>
                <w:bCs/>
              </w:rPr>
            </w:pPr>
            <w:r w:rsidRPr="00E23521">
              <w:rPr>
                <w:b/>
                <w:bCs/>
              </w:rPr>
              <w:t>Rs.</w:t>
            </w:r>
          </w:p>
        </w:tc>
        <w:tc>
          <w:tcPr>
            <w:tcW w:w="2095" w:type="dxa"/>
            <w:vAlign w:val="center"/>
            <w:hideMark/>
          </w:tcPr>
          <w:p w14:paraId="241113C4" w14:textId="77777777" w:rsidR="00233890" w:rsidRPr="00E23521" w:rsidRDefault="00233890" w:rsidP="00233890">
            <w:pPr>
              <w:pStyle w:val="Tables"/>
              <w:rPr>
                <w:b/>
                <w:bCs/>
              </w:rPr>
            </w:pPr>
            <w:r w:rsidRPr="00E23521">
              <w:rPr>
                <w:b/>
                <w:bCs/>
              </w:rPr>
              <w:t>Rs.</w:t>
            </w:r>
          </w:p>
        </w:tc>
      </w:tr>
      <w:tr w:rsidR="00233890" w:rsidRPr="00233890" w14:paraId="462FA308" w14:textId="77777777" w:rsidTr="00E23521">
        <w:trPr>
          <w:trHeight w:val="340"/>
          <w:jc w:val="center"/>
        </w:trPr>
        <w:tc>
          <w:tcPr>
            <w:tcW w:w="3681" w:type="dxa"/>
            <w:vAlign w:val="center"/>
            <w:hideMark/>
          </w:tcPr>
          <w:p w14:paraId="51C99709" w14:textId="77777777" w:rsidR="00233890" w:rsidRPr="00233890" w:rsidRDefault="00233890" w:rsidP="00E23521">
            <w:pPr>
              <w:pStyle w:val="Tables"/>
              <w:jc w:val="left"/>
            </w:pPr>
            <w:r w:rsidRPr="00233890">
              <w:t>Assam</w:t>
            </w:r>
          </w:p>
        </w:tc>
        <w:tc>
          <w:tcPr>
            <w:tcW w:w="1843" w:type="dxa"/>
            <w:vAlign w:val="center"/>
            <w:hideMark/>
          </w:tcPr>
          <w:p w14:paraId="3DB42616" w14:textId="77777777" w:rsidR="00233890" w:rsidRPr="00233890" w:rsidRDefault="00233890" w:rsidP="00233890">
            <w:pPr>
              <w:pStyle w:val="Tables"/>
            </w:pPr>
            <w:r w:rsidRPr="00233890">
              <w:t>4·3</w:t>
            </w:r>
          </w:p>
        </w:tc>
        <w:tc>
          <w:tcPr>
            <w:tcW w:w="1417" w:type="dxa"/>
            <w:vAlign w:val="center"/>
            <w:hideMark/>
          </w:tcPr>
          <w:p w14:paraId="4325F076" w14:textId="77777777" w:rsidR="00233890" w:rsidRPr="00233890" w:rsidRDefault="00233890" w:rsidP="00233890">
            <w:pPr>
              <w:pStyle w:val="Tables"/>
            </w:pPr>
            <w:r w:rsidRPr="00233890">
              <w:t>11·0</w:t>
            </w:r>
          </w:p>
        </w:tc>
        <w:tc>
          <w:tcPr>
            <w:tcW w:w="2095" w:type="dxa"/>
            <w:vAlign w:val="center"/>
            <w:hideMark/>
          </w:tcPr>
          <w:p w14:paraId="2186A9DF" w14:textId="77777777" w:rsidR="00233890" w:rsidRPr="00233890" w:rsidRDefault="00233890" w:rsidP="00233890">
            <w:pPr>
              <w:pStyle w:val="Tables"/>
            </w:pPr>
            <w:r w:rsidRPr="00233890">
              <w:t>12·5</w:t>
            </w:r>
          </w:p>
        </w:tc>
      </w:tr>
      <w:tr w:rsidR="00233890" w:rsidRPr="00233890" w14:paraId="680A8356" w14:textId="77777777" w:rsidTr="00E23521">
        <w:trPr>
          <w:trHeight w:val="340"/>
          <w:jc w:val="center"/>
        </w:trPr>
        <w:tc>
          <w:tcPr>
            <w:tcW w:w="3681" w:type="dxa"/>
            <w:vAlign w:val="center"/>
            <w:hideMark/>
          </w:tcPr>
          <w:p w14:paraId="2C8E4DA3" w14:textId="77777777" w:rsidR="00233890" w:rsidRPr="00233890" w:rsidRDefault="00233890" w:rsidP="00E23521">
            <w:pPr>
              <w:pStyle w:val="Tables"/>
              <w:jc w:val="left"/>
            </w:pPr>
            <w:r w:rsidRPr="00233890">
              <w:t>Bihar</w:t>
            </w:r>
          </w:p>
        </w:tc>
        <w:tc>
          <w:tcPr>
            <w:tcW w:w="1843" w:type="dxa"/>
            <w:vAlign w:val="center"/>
            <w:hideMark/>
          </w:tcPr>
          <w:p w14:paraId="6A4536FC" w14:textId="77777777" w:rsidR="00233890" w:rsidRPr="00233890" w:rsidRDefault="00233890" w:rsidP="00233890">
            <w:pPr>
              <w:pStyle w:val="Tables"/>
            </w:pPr>
            <w:r w:rsidRPr="00233890">
              <w:t>2·5</w:t>
            </w:r>
          </w:p>
        </w:tc>
        <w:tc>
          <w:tcPr>
            <w:tcW w:w="1417" w:type="dxa"/>
            <w:vAlign w:val="center"/>
            <w:hideMark/>
          </w:tcPr>
          <w:p w14:paraId="7C5B5A67" w14:textId="77777777" w:rsidR="00233890" w:rsidRPr="00233890" w:rsidRDefault="00233890" w:rsidP="00233890">
            <w:pPr>
              <w:pStyle w:val="Tables"/>
            </w:pPr>
            <w:r w:rsidRPr="00233890">
              <w:t>7·2</w:t>
            </w:r>
          </w:p>
        </w:tc>
        <w:tc>
          <w:tcPr>
            <w:tcW w:w="2095" w:type="dxa"/>
            <w:vAlign w:val="center"/>
            <w:hideMark/>
          </w:tcPr>
          <w:p w14:paraId="57A82118" w14:textId="77777777" w:rsidR="00233890" w:rsidRPr="00233890" w:rsidRDefault="00233890" w:rsidP="00233890">
            <w:pPr>
              <w:pStyle w:val="Tables"/>
            </w:pPr>
            <w:r w:rsidRPr="00233890">
              <w:t>7·0</w:t>
            </w:r>
          </w:p>
        </w:tc>
      </w:tr>
      <w:tr w:rsidR="00233890" w:rsidRPr="00233890" w14:paraId="12E28975" w14:textId="77777777" w:rsidTr="00E23521">
        <w:trPr>
          <w:trHeight w:val="340"/>
          <w:jc w:val="center"/>
        </w:trPr>
        <w:tc>
          <w:tcPr>
            <w:tcW w:w="3681" w:type="dxa"/>
            <w:vAlign w:val="center"/>
            <w:hideMark/>
          </w:tcPr>
          <w:p w14:paraId="765D707A" w14:textId="77777777" w:rsidR="00233890" w:rsidRPr="00233890" w:rsidRDefault="00233890" w:rsidP="00E23521">
            <w:pPr>
              <w:pStyle w:val="Tables"/>
              <w:jc w:val="left"/>
            </w:pPr>
            <w:r w:rsidRPr="00233890">
              <w:t>Bombay</w:t>
            </w:r>
          </w:p>
        </w:tc>
        <w:tc>
          <w:tcPr>
            <w:tcW w:w="1843" w:type="dxa"/>
            <w:vAlign w:val="center"/>
            <w:hideMark/>
          </w:tcPr>
          <w:p w14:paraId="79B0EA48" w14:textId="77777777" w:rsidR="00233890" w:rsidRPr="00233890" w:rsidRDefault="00233890" w:rsidP="00233890">
            <w:pPr>
              <w:pStyle w:val="Tables"/>
            </w:pPr>
            <w:r w:rsidRPr="00233890">
              <w:t>10·7</w:t>
            </w:r>
          </w:p>
        </w:tc>
        <w:tc>
          <w:tcPr>
            <w:tcW w:w="1417" w:type="dxa"/>
            <w:vAlign w:val="center"/>
            <w:hideMark/>
          </w:tcPr>
          <w:p w14:paraId="1318D700" w14:textId="77777777" w:rsidR="00233890" w:rsidRPr="00233890" w:rsidRDefault="00233890" w:rsidP="00233890">
            <w:pPr>
              <w:pStyle w:val="Tables"/>
            </w:pPr>
            <w:r w:rsidRPr="00233890">
              <w:t>16·8</w:t>
            </w:r>
          </w:p>
        </w:tc>
        <w:tc>
          <w:tcPr>
            <w:tcW w:w="2095" w:type="dxa"/>
            <w:vAlign w:val="center"/>
            <w:hideMark/>
          </w:tcPr>
          <w:p w14:paraId="3AFCE4CE" w14:textId="77777777" w:rsidR="00233890" w:rsidRPr="00233890" w:rsidRDefault="00233890" w:rsidP="00233890">
            <w:pPr>
              <w:pStyle w:val="Tables"/>
            </w:pPr>
            <w:r w:rsidRPr="00233890">
              <w:t>16·8</w:t>
            </w:r>
          </w:p>
        </w:tc>
      </w:tr>
      <w:tr w:rsidR="00233890" w:rsidRPr="00233890" w14:paraId="19D00031" w14:textId="77777777" w:rsidTr="00E23521">
        <w:trPr>
          <w:trHeight w:val="340"/>
          <w:jc w:val="center"/>
        </w:trPr>
        <w:tc>
          <w:tcPr>
            <w:tcW w:w="3681" w:type="dxa"/>
            <w:vAlign w:val="center"/>
            <w:hideMark/>
          </w:tcPr>
          <w:p w14:paraId="17C00015" w14:textId="77777777" w:rsidR="00233890" w:rsidRPr="00233890" w:rsidRDefault="00233890" w:rsidP="00E23521">
            <w:pPr>
              <w:pStyle w:val="Tables"/>
              <w:jc w:val="left"/>
            </w:pPr>
            <w:r w:rsidRPr="00233890">
              <w:t>Madhya Pradesh</w:t>
            </w:r>
          </w:p>
        </w:tc>
        <w:tc>
          <w:tcPr>
            <w:tcW w:w="1843" w:type="dxa"/>
            <w:vAlign w:val="center"/>
            <w:hideMark/>
          </w:tcPr>
          <w:p w14:paraId="3BCFF068" w14:textId="77777777" w:rsidR="00233890" w:rsidRPr="00233890" w:rsidRDefault="00233890" w:rsidP="00233890">
            <w:pPr>
              <w:pStyle w:val="Tables"/>
            </w:pPr>
            <w:r w:rsidRPr="00233890">
              <w:t>4·3</w:t>
            </w:r>
          </w:p>
        </w:tc>
        <w:tc>
          <w:tcPr>
            <w:tcW w:w="1417" w:type="dxa"/>
            <w:vAlign w:val="center"/>
            <w:hideMark/>
          </w:tcPr>
          <w:p w14:paraId="3346AA43" w14:textId="77777777" w:rsidR="00233890" w:rsidRPr="00233890" w:rsidRDefault="00233890" w:rsidP="00233890">
            <w:pPr>
              <w:pStyle w:val="Tables"/>
            </w:pPr>
            <w:r w:rsidRPr="00233890">
              <w:t>9·1</w:t>
            </w:r>
          </w:p>
        </w:tc>
        <w:tc>
          <w:tcPr>
            <w:tcW w:w="2095" w:type="dxa"/>
            <w:vAlign w:val="center"/>
            <w:hideMark/>
          </w:tcPr>
          <w:p w14:paraId="38FE9612" w14:textId="77777777" w:rsidR="00233890" w:rsidRPr="00233890" w:rsidRDefault="00233890" w:rsidP="00233890">
            <w:pPr>
              <w:pStyle w:val="Tables"/>
            </w:pPr>
            <w:r w:rsidRPr="00233890">
              <w:t>10·8</w:t>
            </w:r>
          </w:p>
        </w:tc>
      </w:tr>
      <w:tr w:rsidR="00233890" w:rsidRPr="00233890" w14:paraId="432F4188" w14:textId="77777777" w:rsidTr="00E23521">
        <w:trPr>
          <w:trHeight w:val="340"/>
          <w:jc w:val="center"/>
        </w:trPr>
        <w:tc>
          <w:tcPr>
            <w:tcW w:w="3681" w:type="dxa"/>
            <w:vAlign w:val="center"/>
            <w:hideMark/>
          </w:tcPr>
          <w:p w14:paraId="5BA40E7F" w14:textId="77777777" w:rsidR="00233890" w:rsidRPr="00233890" w:rsidRDefault="00233890" w:rsidP="00E23521">
            <w:pPr>
              <w:pStyle w:val="Tables"/>
              <w:jc w:val="left"/>
            </w:pPr>
            <w:r w:rsidRPr="00233890">
              <w:t>Madras</w:t>
            </w:r>
          </w:p>
        </w:tc>
        <w:tc>
          <w:tcPr>
            <w:tcW w:w="1843" w:type="dxa"/>
            <w:vAlign w:val="center"/>
            <w:hideMark/>
          </w:tcPr>
          <w:p w14:paraId="3FCD0EE7" w14:textId="77777777" w:rsidR="00233890" w:rsidRPr="00233890" w:rsidRDefault="00233890" w:rsidP="00233890">
            <w:pPr>
              <w:pStyle w:val="Tables"/>
            </w:pPr>
            <w:r w:rsidRPr="00233890">
              <w:t>5·7</w:t>
            </w:r>
          </w:p>
        </w:tc>
        <w:tc>
          <w:tcPr>
            <w:tcW w:w="1417" w:type="dxa"/>
            <w:vAlign w:val="center"/>
            <w:hideMark/>
          </w:tcPr>
          <w:p w14:paraId="38C19BEB" w14:textId="77777777" w:rsidR="00233890" w:rsidRPr="00233890" w:rsidRDefault="00233890" w:rsidP="00233890">
            <w:pPr>
              <w:pStyle w:val="Tables"/>
            </w:pPr>
            <w:r w:rsidRPr="00233890">
              <w:t>10·2</w:t>
            </w:r>
          </w:p>
        </w:tc>
        <w:tc>
          <w:tcPr>
            <w:tcW w:w="2095" w:type="dxa"/>
            <w:vAlign w:val="center"/>
            <w:hideMark/>
          </w:tcPr>
          <w:p w14:paraId="768764B4" w14:textId="77777777" w:rsidR="00233890" w:rsidRPr="00233890" w:rsidRDefault="00233890" w:rsidP="00233890">
            <w:pPr>
              <w:pStyle w:val="Tables"/>
            </w:pPr>
            <w:r w:rsidRPr="00233890">
              <w:t>10·5</w:t>
            </w:r>
          </w:p>
        </w:tc>
      </w:tr>
      <w:tr w:rsidR="00233890" w:rsidRPr="00233890" w14:paraId="27640587" w14:textId="77777777" w:rsidTr="00E23521">
        <w:trPr>
          <w:trHeight w:val="340"/>
          <w:jc w:val="center"/>
        </w:trPr>
        <w:tc>
          <w:tcPr>
            <w:tcW w:w="3681" w:type="dxa"/>
            <w:vAlign w:val="center"/>
            <w:hideMark/>
          </w:tcPr>
          <w:p w14:paraId="06F1C6DE" w14:textId="2E017741" w:rsidR="00233890" w:rsidRPr="00233890" w:rsidRDefault="00233890" w:rsidP="00E23521">
            <w:pPr>
              <w:pStyle w:val="Tables"/>
              <w:jc w:val="left"/>
            </w:pPr>
            <w:r w:rsidRPr="00233890">
              <w:t>Orissa</w:t>
            </w:r>
          </w:p>
        </w:tc>
        <w:tc>
          <w:tcPr>
            <w:tcW w:w="1843" w:type="dxa"/>
            <w:vAlign w:val="center"/>
            <w:hideMark/>
          </w:tcPr>
          <w:p w14:paraId="0466D891" w14:textId="38566559" w:rsidR="00233890" w:rsidRPr="00233890" w:rsidRDefault="00233890" w:rsidP="00233890">
            <w:pPr>
              <w:pStyle w:val="Tables"/>
            </w:pPr>
            <w:r w:rsidRPr="00233890">
              <w:t>3</w:t>
            </w:r>
            <w:r w:rsidR="004D2F9C">
              <w:t>.0</w:t>
            </w:r>
          </w:p>
        </w:tc>
        <w:tc>
          <w:tcPr>
            <w:tcW w:w="1417" w:type="dxa"/>
            <w:vAlign w:val="center"/>
            <w:hideMark/>
          </w:tcPr>
          <w:p w14:paraId="788EE2B4" w14:textId="77777777" w:rsidR="00233890" w:rsidRPr="00233890" w:rsidRDefault="00233890" w:rsidP="00233890">
            <w:pPr>
              <w:pStyle w:val="Tables"/>
            </w:pPr>
            <w:r w:rsidRPr="00233890">
              <w:t>7.1</w:t>
            </w:r>
          </w:p>
        </w:tc>
        <w:tc>
          <w:tcPr>
            <w:tcW w:w="2095" w:type="dxa"/>
            <w:vAlign w:val="center"/>
            <w:hideMark/>
          </w:tcPr>
          <w:p w14:paraId="1C9BFDCB" w14:textId="77777777" w:rsidR="00233890" w:rsidRPr="00233890" w:rsidRDefault="00233890" w:rsidP="00233890">
            <w:pPr>
              <w:pStyle w:val="Tables"/>
            </w:pPr>
            <w:r w:rsidRPr="00233890">
              <w:t>7.9</w:t>
            </w:r>
          </w:p>
        </w:tc>
      </w:tr>
      <w:tr w:rsidR="00233890" w:rsidRPr="00233890" w14:paraId="2C5E0525" w14:textId="77777777" w:rsidTr="00E23521">
        <w:trPr>
          <w:trHeight w:val="340"/>
          <w:jc w:val="center"/>
        </w:trPr>
        <w:tc>
          <w:tcPr>
            <w:tcW w:w="3681" w:type="dxa"/>
            <w:vAlign w:val="center"/>
            <w:hideMark/>
          </w:tcPr>
          <w:p w14:paraId="4334C909" w14:textId="77777777" w:rsidR="00233890" w:rsidRPr="00233890" w:rsidRDefault="00233890" w:rsidP="00E23521">
            <w:pPr>
              <w:pStyle w:val="Tables"/>
              <w:jc w:val="left"/>
            </w:pPr>
            <w:r w:rsidRPr="00233890">
              <w:t>Punjab</w:t>
            </w:r>
          </w:p>
        </w:tc>
        <w:tc>
          <w:tcPr>
            <w:tcW w:w="1843" w:type="dxa"/>
            <w:vAlign w:val="center"/>
            <w:hideMark/>
          </w:tcPr>
          <w:p w14:paraId="5B113290" w14:textId="77777777" w:rsidR="00233890" w:rsidRPr="00233890" w:rsidRDefault="00233890" w:rsidP="00233890">
            <w:pPr>
              <w:pStyle w:val="Tables"/>
            </w:pPr>
            <w:r w:rsidRPr="00233890">
              <w:t>6.9*</w:t>
            </w:r>
          </w:p>
        </w:tc>
        <w:tc>
          <w:tcPr>
            <w:tcW w:w="1417" w:type="dxa"/>
            <w:vAlign w:val="center"/>
            <w:hideMark/>
          </w:tcPr>
          <w:p w14:paraId="3DCDA56A" w14:textId="77777777" w:rsidR="00233890" w:rsidRPr="00233890" w:rsidRDefault="00233890" w:rsidP="00233890">
            <w:pPr>
              <w:pStyle w:val="Tables"/>
            </w:pPr>
            <w:r w:rsidRPr="00233890">
              <w:t>13.4</w:t>
            </w:r>
          </w:p>
        </w:tc>
        <w:tc>
          <w:tcPr>
            <w:tcW w:w="2095" w:type="dxa"/>
            <w:vAlign w:val="center"/>
            <w:hideMark/>
          </w:tcPr>
          <w:p w14:paraId="154FAAF4" w14:textId="77777777" w:rsidR="00233890" w:rsidRPr="00233890" w:rsidRDefault="00233890" w:rsidP="00233890">
            <w:pPr>
              <w:pStyle w:val="Tables"/>
            </w:pPr>
            <w:r w:rsidRPr="00233890">
              <w:t>14.1</w:t>
            </w:r>
          </w:p>
        </w:tc>
      </w:tr>
      <w:tr w:rsidR="00233890" w:rsidRPr="00233890" w14:paraId="16184126" w14:textId="77777777" w:rsidTr="00E23521">
        <w:trPr>
          <w:trHeight w:val="340"/>
          <w:jc w:val="center"/>
        </w:trPr>
        <w:tc>
          <w:tcPr>
            <w:tcW w:w="3681" w:type="dxa"/>
            <w:vAlign w:val="center"/>
            <w:hideMark/>
          </w:tcPr>
          <w:p w14:paraId="2DF82041" w14:textId="77777777" w:rsidR="00233890" w:rsidRPr="00233890" w:rsidRDefault="00233890" w:rsidP="00E23521">
            <w:pPr>
              <w:pStyle w:val="Tables"/>
              <w:jc w:val="left"/>
            </w:pPr>
            <w:r w:rsidRPr="00233890">
              <w:t>Uttar Pradesh</w:t>
            </w:r>
          </w:p>
        </w:tc>
        <w:tc>
          <w:tcPr>
            <w:tcW w:w="1843" w:type="dxa"/>
            <w:vAlign w:val="center"/>
            <w:hideMark/>
          </w:tcPr>
          <w:p w14:paraId="22FA1FDA" w14:textId="77777777" w:rsidR="00233890" w:rsidRPr="00233890" w:rsidRDefault="00233890" w:rsidP="00233890">
            <w:pPr>
              <w:pStyle w:val="Tables"/>
            </w:pPr>
            <w:r w:rsidRPr="00233890">
              <w:t>3.7</w:t>
            </w:r>
          </w:p>
        </w:tc>
        <w:tc>
          <w:tcPr>
            <w:tcW w:w="1417" w:type="dxa"/>
            <w:vAlign w:val="center"/>
            <w:hideMark/>
          </w:tcPr>
          <w:p w14:paraId="70A4B78C" w14:textId="77777777" w:rsidR="00233890" w:rsidRPr="00233890" w:rsidRDefault="00233890" w:rsidP="00233890">
            <w:pPr>
              <w:pStyle w:val="Tables"/>
            </w:pPr>
            <w:r w:rsidRPr="00233890">
              <w:t>8.2</w:t>
            </w:r>
          </w:p>
        </w:tc>
        <w:tc>
          <w:tcPr>
            <w:tcW w:w="2095" w:type="dxa"/>
            <w:vAlign w:val="center"/>
            <w:hideMark/>
          </w:tcPr>
          <w:p w14:paraId="7A226F64" w14:textId="77777777" w:rsidR="00233890" w:rsidRPr="00233890" w:rsidRDefault="00233890" w:rsidP="00233890">
            <w:pPr>
              <w:pStyle w:val="Tables"/>
            </w:pPr>
            <w:r w:rsidRPr="00233890">
              <w:t>8.6</w:t>
            </w:r>
          </w:p>
        </w:tc>
      </w:tr>
      <w:tr w:rsidR="00233890" w:rsidRPr="00233890" w14:paraId="7CA6FF1C" w14:textId="77777777" w:rsidTr="00E23521">
        <w:trPr>
          <w:trHeight w:val="340"/>
          <w:jc w:val="center"/>
        </w:trPr>
        <w:tc>
          <w:tcPr>
            <w:tcW w:w="3681" w:type="dxa"/>
            <w:vAlign w:val="center"/>
            <w:hideMark/>
          </w:tcPr>
          <w:p w14:paraId="3B87FEFC" w14:textId="0948B9A8" w:rsidR="00233890" w:rsidRPr="00233890" w:rsidRDefault="00233890" w:rsidP="00E23521">
            <w:pPr>
              <w:pStyle w:val="Tables"/>
              <w:jc w:val="left"/>
            </w:pPr>
            <w:r w:rsidRPr="00233890">
              <w:t>West Bengal</w:t>
            </w:r>
          </w:p>
        </w:tc>
        <w:tc>
          <w:tcPr>
            <w:tcW w:w="1843" w:type="dxa"/>
            <w:vAlign w:val="center"/>
            <w:hideMark/>
          </w:tcPr>
          <w:p w14:paraId="6B4DDB84" w14:textId="77777777" w:rsidR="00233890" w:rsidRPr="00233890" w:rsidRDefault="00233890" w:rsidP="00233890">
            <w:pPr>
              <w:pStyle w:val="Tables"/>
            </w:pPr>
            <w:r w:rsidRPr="00233890">
              <w:t>3.9*</w:t>
            </w:r>
          </w:p>
        </w:tc>
        <w:tc>
          <w:tcPr>
            <w:tcW w:w="1417" w:type="dxa"/>
            <w:vAlign w:val="center"/>
            <w:hideMark/>
          </w:tcPr>
          <w:p w14:paraId="24EB4C38" w14:textId="77777777" w:rsidR="00233890" w:rsidRPr="00233890" w:rsidRDefault="00233890" w:rsidP="00233890">
            <w:pPr>
              <w:pStyle w:val="Tables"/>
            </w:pPr>
            <w:r w:rsidRPr="00233890">
              <w:t>13.8</w:t>
            </w:r>
          </w:p>
        </w:tc>
        <w:tc>
          <w:tcPr>
            <w:tcW w:w="2095" w:type="dxa"/>
            <w:vAlign w:val="center"/>
            <w:hideMark/>
          </w:tcPr>
          <w:p w14:paraId="71D7BE28" w14:textId="77777777" w:rsidR="00233890" w:rsidRPr="00233890" w:rsidRDefault="00233890" w:rsidP="00233890">
            <w:pPr>
              <w:pStyle w:val="Tables"/>
            </w:pPr>
            <w:r w:rsidRPr="00233890">
              <w:t>15.6</w:t>
            </w:r>
          </w:p>
        </w:tc>
      </w:tr>
      <w:tr w:rsidR="00233890" w:rsidRPr="00233890" w14:paraId="2C941D46" w14:textId="77777777" w:rsidTr="00E23521">
        <w:trPr>
          <w:trHeight w:val="340"/>
          <w:jc w:val="center"/>
        </w:trPr>
        <w:tc>
          <w:tcPr>
            <w:tcW w:w="3681" w:type="dxa"/>
            <w:vAlign w:val="center"/>
            <w:hideMark/>
          </w:tcPr>
          <w:p w14:paraId="2D95DBAB" w14:textId="4607089F" w:rsidR="00233890" w:rsidRPr="00233890" w:rsidRDefault="00233890" w:rsidP="00E23521">
            <w:pPr>
              <w:pStyle w:val="Tables"/>
              <w:jc w:val="left"/>
            </w:pPr>
            <w:r w:rsidRPr="00233890">
              <w:t>Hyderabad</w:t>
            </w:r>
          </w:p>
        </w:tc>
        <w:tc>
          <w:tcPr>
            <w:tcW w:w="1843" w:type="dxa"/>
            <w:vAlign w:val="center"/>
            <w:hideMark/>
          </w:tcPr>
          <w:p w14:paraId="69190AC2" w14:textId="77777777" w:rsidR="00233890" w:rsidRPr="00233890" w:rsidRDefault="00233890" w:rsidP="00233890">
            <w:pPr>
              <w:pStyle w:val="Tables"/>
            </w:pPr>
            <w:r w:rsidRPr="00233890">
              <w:t>--</w:t>
            </w:r>
          </w:p>
        </w:tc>
        <w:tc>
          <w:tcPr>
            <w:tcW w:w="1417" w:type="dxa"/>
            <w:vAlign w:val="center"/>
            <w:hideMark/>
          </w:tcPr>
          <w:p w14:paraId="00BE93F0" w14:textId="342EBCE7" w:rsidR="00233890" w:rsidRPr="00233890" w:rsidRDefault="00233890" w:rsidP="00233890">
            <w:pPr>
              <w:pStyle w:val="Tables"/>
            </w:pPr>
            <w:r w:rsidRPr="00233890">
              <w:t>14</w:t>
            </w:r>
            <w:r w:rsidR="004D2F9C">
              <w:t>.0</w:t>
            </w:r>
          </w:p>
        </w:tc>
        <w:tc>
          <w:tcPr>
            <w:tcW w:w="2095" w:type="dxa"/>
            <w:vAlign w:val="center"/>
            <w:hideMark/>
          </w:tcPr>
          <w:p w14:paraId="2A3E2166" w14:textId="77777777" w:rsidR="00233890" w:rsidRPr="00233890" w:rsidRDefault="00233890" w:rsidP="00233890">
            <w:pPr>
              <w:pStyle w:val="Tables"/>
            </w:pPr>
            <w:r w:rsidRPr="00233890">
              <w:t>15.6</w:t>
            </w:r>
          </w:p>
        </w:tc>
      </w:tr>
      <w:tr w:rsidR="00233890" w:rsidRPr="00233890" w14:paraId="18E2707B" w14:textId="77777777" w:rsidTr="00E23521">
        <w:trPr>
          <w:trHeight w:val="340"/>
          <w:jc w:val="center"/>
        </w:trPr>
        <w:tc>
          <w:tcPr>
            <w:tcW w:w="3681" w:type="dxa"/>
            <w:vAlign w:val="center"/>
            <w:hideMark/>
          </w:tcPr>
          <w:p w14:paraId="4933D5E4" w14:textId="77777777" w:rsidR="00233890" w:rsidRPr="00233890" w:rsidRDefault="00233890" w:rsidP="00E23521">
            <w:pPr>
              <w:pStyle w:val="Tables"/>
              <w:jc w:val="left"/>
            </w:pPr>
            <w:r w:rsidRPr="00233890">
              <w:t>Madhya Bharat</w:t>
            </w:r>
          </w:p>
        </w:tc>
        <w:tc>
          <w:tcPr>
            <w:tcW w:w="1843" w:type="dxa"/>
            <w:vAlign w:val="center"/>
            <w:hideMark/>
          </w:tcPr>
          <w:p w14:paraId="64A16AA6" w14:textId="77777777" w:rsidR="00233890" w:rsidRPr="00233890" w:rsidRDefault="00233890" w:rsidP="00233890">
            <w:pPr>
              <w:pStyle w:val="Tables"/>
            </w:pPr>
            <w:r w:rsidRPr="00233890">
              <w:t>--</w:t>
            </w:r>
          </w:p>
        </w:tc>
        <w:tc>
          <w:tcPr>
            <w:tcW w:w="1417" w:type="dxa"/>
            <w:vAlign w:val="center"/>
            <w:hideMark/>
          </w:tcPr>
          <w:p w14:paraId="1F854A28" w14:textId="417C1E95" w:rsidR="00233890" w:rsidRPr="00233890" w:rsidRDefault="00233890" w:rsidP="00233890">
            <w:pPr>
              <w:pStyle w:val="Tables"/>
            </w:pPr>
            <w:r w:rsidRPr="00233890">
              <w:t>13</w:t>
            </w:r>
            <w:r w:rsidR="004D2F9C">
              <w:t>.0</w:t>
            </w:r>
          </w:p>
        </w:tc>
        <w:tc>
          <w:tcPr>
            <w:tcW w:w="2095" w:type="dxa"/>
            <w:vAlign w:val="center"/>
            <w:hideMark/>
          </w:tcPr>
          <w:p w14:paraId="577AB0EE" w14:textId="77777777" w:rsidR="00233890" w:rsidRPr="00233890" w:rsidRDefault="00233890" w:rsidP="00233890">
            <w:pPr>
              <w:pStyle w:val="Tables"/>
            </w:pPr>
            <w:r w:rsidRPr="00233890">
              <w:t>14.2</w:t>
            </w:r>
          </w:p>
        </w:tc>
      </w:tr>
      <w:tr w:rsidR="00233890" w:rsidRPr="00233890" w14:paraId="6160D80F" w14:textId="77777777" w:rsidTr="00E23521">
        <w:trPr>
          <w:trHeight w:val="340"/>
          <w:jc w:val="center"/>
        </w:trPr>
        <w:tc>
          <w:tcPr>
            <w:tcW w:w="3681" w:type="dxa"/>
            <w:vAlign w:val="center"/>
            <w:hideMark/>
          </w:tcPr>
          <w:p w14:paraId="4201E63E" w14:textId="77777777" w:rsidR="00233890" w:rsidRPr="00233890" w:rsidRDefault="00233890" w:rsidP="00E23521">
            <w:pPr>
              <w:pStyle w:val="Tables"/>
              <w:jc w:val="left"/>
            </w:pPr>
            <w:r w:rsidRPr="00233890">
              <w:t>Mysore</w:t>
            </w:r>
          </w:p>
        </w:tc>
        <w:tc>
          <w:tcPr>
            <w:tcW w:w="1843" w:type="dxa"/>
            <w:vAlign w:val="center"/>
            <w:hideMark/>
          </w:tcPr>
          <w:p w14:paraId="5DEA9DE8" w14:textId="77777777" w:rsidR="00233890" w:rsidRPr="00233890" w:rsidRDefault="00233890" w:rsidP="00233890">
            <w:pPr>
              <w:pStyle w:val="Tables"/>
            </w:pPr>
            <w:r w:rsidRPr="00233890">
              <w:t>--</w:t>
            </w:r>
          </w:p>
        </w:tc>
        <w:tc>
          <w:tcPr>
            <w:tcW w:w="1417" w:type="dxa"/>
            <w:vAlign w:val="center"/>
            <w:hideMark/>
          </w:tcPr>
          <w:p w14:paraId="0CB8AEC4" w14:textId="77777777" w:rsidR="00233890" w:rsidRPr="00233890" w:rsidRDefault="00233890" w:rsidP="00233890">
            <w:pPr>
              <w:pStyle w:val="Tables"/>
            </w:pPr>
            <w:r w:rsidRPr="00233890">
              <w:t>15.8</w:t>
            </w:r>
          </w:p>
        </w:tc>
        <w:tc>
          <w:tcPr>
            <w:tcW w:w="2095" w:type="dxa"/>
            <w:vAlign w:val="center"/>
            <w:hideMark/>
          </w:tcPr>
          <w:p w14:paraId="241554BF" w14:textId="77777777" w:rsidR="00233890" w:rsidRPr="00233890" w:rsidRDefault="00233890" w:rsidP="00233890">
            <w:pPr>
              <w:pStyle w:val="Tables"/>
            </w:pPr>
            <w:r w:rsidRPr="00233890">
              <w:t>15.6</w:t>
            </w:r>
          </w:p>
        </w:tc>
      </w:tr>
      <w:tr w:rsidR="00233890" w:rsidRPr="00233890" w14:paraId="4F675A1B" w14:textId="77777777" w:rsidTr="00E23521">
        <w:trPr>
          <w:trHeight w:val="340"/>
          <w:jc w:val="center"/>
        </w:trPr>
        <w:tc>
          <w:tcPr>
            <w:tcW w:w="3681" w:type="dxa"/>
            <w:vAlign w:val="center"/>
            <w:hideMark/>
          </w:tcPr>
          <w:p w14:paraId="5B4DABE3" w14:textId="0AF444C1" w:rsidR="00233890" w:rsidRPr="00233890" w:rsidRDefault="00233890" w:rsidP="00E23521">
            <w:pPr>
              <w:pStyle w:val="Tables"/>
              <w:jc w:val="left"/>
            </w:pPr>
            <w:r w:rsidRPr="00233890">
              <w:t>Patiala and East Punjab States Union</w:t>
            </w:r>
          </w:p>
        </w:tc>
        <w:tc>
          <w:tcPr>
            <w:tcW w:w="1843" w:type="dxa"/>
            <w:vAlign w:val="center"/>
            <w:hideMark/>
          </w:tcPr>
          <w:p w14:paraId="4DC807A5" w14:textId="77777777" w:rsidR="00233890" w:rsidRPr="00233890" w:rsidRDefault="00233890" w:rsidP="00233890">
            <w:pPr>
              <w:pStyle w:val="Tables"/>
            </w:pPr>
            <w:r w:rsidRPr="00233890">
              <w:t>--</w:t>
            </w:r>
          </w:p>
        </w:tc>
        <w:tc>
          <w:tcPr>
            <w:tcW w:w="1417" w:type="dxa"/>
            <w:vAlign w:val="center"/>
            <w:hideMark/>
          </w:tcPr>
          <w:p w14:paraId="0DDA192A" w14:textId="77777777" w:rsidR="00233890" w:rsidRPr="00233890" w:rsidRDefault="00233890" w:rsidP="00233890">
            <w:pPr>
              <w:pStyle w:val="Tables"/>
            </w:pPr>
            <w:r w:rsidRPr="00233890">
              <w:t>16.1</w:t>
            </w:r>
          </w:p>
        </w:tc>
        <w:tc>
          <w:tcPr>
            <w:tcW w:w="2095" w:type="dxa"/>
            <w:vAlign w:val="center"/>
            <w:hideMark/>
          </w:tcPr>
          <w:p w14:paraId="03041A08" w14:textId="2960228C" w:rsidR="00233890" w:rsidRPr="00233890" w:rsidRDefault="00233890" w:rsidP="00233890">
            <w:pPr>
              <w:pStyle w:val="Tables"/>
            </w:pPr>
            <w:r w:rsidRPr="00233890">
              <w:t>17</w:t>
            </w:r>
            <w:r w:rsidR="004D2F9C">
              <w:t>.0</w:t>
            </w:r>
          </w:p>
        </w:tc>
      </w:tr>
      <w:tr w:rsidR="00233890" w:rsidRPr="00233890" w14:paraId="2F40F0D4" w14:textId="77777777" w:rsidTr="00E23521">
        <w:trPr>
          <w:trHeight w:val="340"/>
          <w:jc w:val="center"/>
        </w:trPr>
        <w:tc>
          <w:tcPr>
            <w:tcW w:w="3681" w:type="dxa"/>
            <w:vAlign w:val="center"/>
            <w:hideMark/>
          </w:tcPr>
          <w:p w14:paraId="4AF8964D" w14:textId="57FE5443" w:rsidR="00233890" w:rsidRPr="00233890" w:rsidRDefault="00233890" w:rsidP="00E23521">
            <w:pPr>
              <w:pStyle w:val="Tables"/>
              <w:jc w:val="left"/>
            </w:pPr>
            <w:r w:rsidRPr="00233890">
              <w:t>Rajasthan</w:t>
            </w:r>
          </w:p>
        </w:tc>
        <w:tc>
          <w:tcPr>
            <w:tcW w:w="1843" w:type="dxa"/>
            <w:vAlign w:val="center"/>
            <w:hideMark/>
          </w:tcPr>
          <w:p w14:paraId="3DAAE64F" w14:textId="77777777" w:rsidR="00233890" w:rsidRPr="00233890" w:rsidRDefault="00233890" w:rsidP="00233890">
            <w:pPr>
              <w:pStyle w:val="Tables"/>
            </w:pPr>
            <w:r w:rsidRPr="00233890">
              <w:t>--</w:t>
            </w:r>
          </w:p>
        </w:tc>
        <w:tc>
          <w:tcPr>
            <w:tcW w:w="1417" w:type="dxa"/>
            <w:vAlign w:val="center"/>
            <w:hideMark/>
          </w:tcPr>
          <w:p w14:paraId="60523279" w14:textId="77777777" w:rsidR="00233890" w:rsidRPr="00233890" w:rsidRDefault="00233890" w:rsidP="00233890">
            <w:pPr>
              <w:pStyle w:val="Tables"/>
            </w:pPr>
            <w:r w:rsidRPr="00233890">
              <w:t>9.5</w:t>
            </w:r>
          </w:p>
        </w:tc>
        <w:tc>
          <w:tcPr>
            <w:tcW w:w="2095" w:type="dxa"/>
            <w:vAlign w:val="center"/>
            <w:hideMark/>
          </w:tcPr>
          <w:p w14:paraId="4C673AA0" w14:textId="77777777" w:rsidR="00233890" w:rsidRPr="00233890" w:rsidRDefault="00233890" w:rsidP="00233890">
            <w:pPr>
              <w:pStyle w:val="Tables"/>
            </w:pPr>
            <w:r w:rsidRPr="00233890">
              <w:t>10.2</w:t>
            </w:r>
          </w:p>
        </w:tc>
      </w:tr>
      <w:tr w:rsidR="00233890" w:rsidRPr="00233890" w14:paraId="4C20241B" w14:textId="77777777" w:rsidTr="00E23521">
        <w:trPr>
          <w:trHeight w:val="340"/>
          <w:jc w:val="center"/>
        </w:trPr>
        <w:tc>
          <w:tcPr>
            <w:tcW w:w="3681" w:type="dxa"/>
            <w:vAlign w:val="center"/>
            <w:hideMark/>
          </w:tcPr>
          <w:p w14:paraId="6963D3A6" w14:textId="615D6272" w:rsidR="00233890" w:rsidRPr="00233890" w:rsidRDefault="00233890" w:rsidP="00E23521">
            <w:pPr>
              <w:pStyle w:val="Tables"/>
              <w:jc w:val="left"/>
            </w:pPr>
            <w:r w:rsidRPr="00233890">
              <w:t>Saurashtra</w:t>
            </w:r>
          </w:p>
        </w:tc>
        <w:tc>
          <w:tcPr>
            <w:tcW w:w="1843" w:type="dxa"/>
            <w:vAlign w:val="center"/>
            <w:hideMark/>
          </w:tcPr>
          <w:p w14:paraId="35BB70F4" w14:textId="77777777" w:rsidR="00233890" w:rsidRPr="00233890" w:rsidRDefault="00233890" w:rsidP="00233890">
            <w:pPr>
              <w:pStyle w:val="Tables"/>
            </w:pPr>
            <w:r w:rsidRPr="00233890">
              <w:t>--</w:t>
            </w:r>
          </w:p>
        </w:tc>
        <w:tc>
          <w:tcPr>
            <w:tcW w:w="1417" w:type="dxa"/>
            <w:vAlign w:val="center"/>
            <w:hideMark/>
          </w:tcPr>
          <w:p w14:paraId="72E91ED3" w14:textId="20ADD478" w:rsidR="00233890" w:rsidRPr="00233890" w:rsidRDefault="00233890" w:rsidP="00233890">
            <w:pPr>
              <w:pStyle w:val="Tables"/>
            </w:pPr>
            <w:r w:rsidRPr="00233890">
              <w:t>19</w:t>
            </w:r>
            <w:r w:rsidR="004D2F9C">
              <w:t>.0</w:t>
            </w:r>
          </w:p>
        </w:tc>
        <w:tc>
          <w:tcPr>
            <w:tcW w:w="2095" w:type="dxa"/>
            <w:vAlign w:val="center"/>
            <w:hideMark/>
          </w:tcPr>
          <w:p w14:paraId="74506ADA" w14:textId="77777777" w:rsidR="00233890" w:rsidRPr="00233890" w:rsidRDefault="00233890" w:rsidP="00233890">
            <w:pPr>
              <w:pStyle w:val="Tables"/>
            </w:pPr>
            <w:r w:rsidRPr="00233890">
              <w:t>18.3</w:t>
            </w:r>
          </w:p>
        </w:tc>
      </w:tr>
      <w:tr w:rsidR="00233890" w:rsidRPr="00233890" w14:paraId="2EE95368" w14:textId="77777777" w:rsidTr="00E23521">
        <w:trPr>
          <w:trHeight w:val="340"/>
          <w:jc w:val="center"/>
        </w:trPr>
        <w:tc>
          <w:tcPr>
            <w:tcW w:w="3681" w:type="dxa"/>
            <w:vAlign w:val="center"/>
            <w:hideMark/>
          </w:tcPr>
          <w:p w14:paraId="081603D7" w14:textId="77777777" w:rsidR="00233890" w:rsidRPr="00233890" w:rsidRDefault="00233890" w:rsidP="00E23521">
            <w:pPr>
              <w:pStyle w:val="Tables"/>
              <w:jc w:val="left"/>
            </w:pPr>
            <w:r w:rsidRPr="00233890">
              <w:t>Travancore-Cochin</w:t>
            </w:r>
          </w:p>
        </w:tc>
        <w:tc>
          <w:tcPr>
            <w:tcW w:w="1843" w:type="dxa"/>
            <w:vAlign w:val="center"/>
            <w:hideMark/>
          </w:tcPr>
          <w:p w14:paraId="4F9E1563" w14:textId="77777777" w:rsidR="00233890" w:rsidRPr="00233890" w:rsidRDefault="00233890" w:rsidP="00233890">
            <w:pPr>
              <w:pStyle w:val="Tables"/>
            </w:pPr>
            <w:r w:rsidRPr="00233890">
              <w:t>--</w:t>
            </w:r>
          </w:p>
        </w:tc>
        <w:tc>
          <w:tcPr>
            <w:tcW w:w="1417" w:type="dxa"/>
            <w:vAlign w:val="center"/>
            <w:hideMark/>
          </w:tcPr>
          <w:p w14:paraId="7EA75F56" w14:textId="32085358" w:rsidR="00233890" w:rsidRPr="00233890" w:rsidRDefault="00233890" w:rsidP="00233890">
            <w:pPr>
              <w:pStyle w:val="Tables"/>
            </w:pPr>
            <w:r w:rsidRPr="00233890">
              <w:t>15</w:t>
            </w:r>
            <w:r w:rsidR="004D2F9C">
              <w:t>.0</w:t>
            </w:r>
          </w:p>
        </w:tc>
        <w:tc>
          <w:tcPr>
            <w:tcW w:w="2095" w:type="dxa"/>
            <w:vAlign w:val="center"/>
            <w:hideMark/>
          </w:tcPr>
          <w:p w14:paraId="7601676A" w14:textId="77777777" w:rsidR="00233890" w:rsidRPr="00233890" w:rsidRDefault="00233890" w:rsidP="00233890">
            <w:pPr>
              <w:pStyle w:val="Tables"/>
            </w:pPr>
            <w:r w:rsidRPr="00233890">
              <w:t>19.2</w:t>
            </w:r>
          </w:p>
        </w:tc>
      </w:tr>
    </w:tbl>
    <w:p w14:paraId="393FC39B" w14:textId="42A2E873" w:rsidR="00672D43" w:rsidRDefault="00672D43" w:rsidP="00233890">
      <w:pPr>
        <w:pStyle w:val="Sources"/>
      </w:pPr>
      <w:r w:rsidRPr="000A6E2D">
        <w:t>* Figures relate to the undivided Provinces.</w:t>
      </w:r>
    </w:p>
    <w:p w14:paraId="1C753126" w14:textId="77777777" w:rsidR="00233890" w:rsidRPr="000A6E2D" w:rsidRDefault="00233890" w:rsidP="00233890">
      <w:pPr>
        <w:pStyle w:val="Sources"/>
      </w:pPr>
    </w:p>
    <w:p w14:paraId="483EF22A" w14:textId="2021A055" w:rsidR="00672D43" w:rsidRPr="000A6E2D" w:rsidRDefault="00672D43" w:rsidP="0076234B">
      <w:pPr>
        <w:pStyle w:val="ListParagraph"/>
        <w:numPr>
          <w:ilvl w:val="0"/>
          <w:numId w:val="29"/>
        </w:numPr>
        <w:spacing w:after="0" w:line="520" w:lineRule="exact"/>
        <w:ind w:left="0" w:firstLine="556"/>
        <w:jc w:val="both"/>
        <w:rPr>
          <w:rFonts w:ascii="Times New Roman" w:hAnsi="Times New Roman" w:cs="Times New Roman"/>
          <w:sz w:val="28"/>
          <w:szCs w:val="28"/>
        </w:rPr>
      </w:pPr>
      <w:r w:rsidRPr="000A6E2D">
        <w:rPr>
          <w:rFonts w:ascii="Times New Roman" w:hAnsi="Times New Roman" w:cs="Times New Roman"/>
          <w:sz w:val="28"/>
          <w:szCs w:val="28"/>
        </w:rPr>
        <w:t>In the period 1937-38 to 1946-47, the total revenue available to Bombay was the largest per capita at Rs. 10</w:t>
      </w:r>
      <w:r w:rsidR="00205F68">
        <w:rPr>
          <w:rFonts w:ascii="Times New Roman" w:hAnsi="Times New Roman" w:cs="Times New Roman"/>
          <w:sz w:val="28"/>
          <w:szCs w:val="28"/>
        </w:rPr>
        <w:t>.</w:t>
      </w:r>
      <w:r w:rsidRPr="000A6E2D">
        <w:rPr>
          <w:rFonts w:ascii="Times New Roman" w:hAnsi="Times New Roman" w:cs="Times New Roman"/>
          <w:sz w:val="28"/>
          <w:szCs w:val="28"/>
        </w:rPr>
        <w:t>7 a year, and lowest for Bihar at Rs. 2</w:t>
      </w:r>
      <w:r w:rsidR="00205F68">
        <w:rPr>
          <w:rFonts w:ascii="Times New Roman" w:hAnsi="Times New Roman" w:cs="Times New Roman"/>
          <w:sz w:val="28"/>
          <w:szCs w:val="28"/>
        </w:rPr>
        <w:t>.</w:t>
      </w:r>
      <w:r w:rsidRPr="000A6E2D">
        <w:rPr>
          <w:rFonts w:ascii="Times New Roman" w:hAnsi="Times New Roman" w:cs="Times New Roman"/>
          <w:sz w:val="28"/>
          <w:szCs w:val="28"/>
        </w:rPr>
        <w:t xml:space="preserve">5 a year. Bombay including the merged areas still has the highest per capita revenue among Part A States, but the disparities among these States have narrowed down. In this period, the ratio of the highest per capita revenue (Bombay's) to the lowest (Bihar's) was over four times: in 1951-52 it was less than two-and-a-half times. Some changes will also be noticed in the relative position of different States. The most significant change has occurred in the case of West Bengal, whose per capita revenue in 1951-52 is four times that of undivided Bengal in the pre-partition decade. On an average undivided Punjab's per capita revenue was 75 per cent. higher than that of Bengal </w:t>
      </w:r>
      <w:r w:rsidRPr="000A6E2D">
        <w:rPr>
          <w:rFonts w:ascii="Times New Roman" w:hAnsi="Times New Roman" w:cs="Times New Roman"/>
          <w:sz w:val="28"/>
          <w:szCs w:val="28"/>
        </w:rPr>
        <w:lastRenderedPageBreak/>
        <w:t>during 1937-38 to 1946-47; the per capita revenue of Punjab is now lower than West Bengal's. On the whole, over the years, there is a trend toward a lessening of inequalities in the per capita revenue of different States.</w:t>
      </w:r>
    </w:p>
    <w:p w14:paraId="31DD23DA" w14:textId="270BC9E8" w:rsidR="00672D43" w:rsidRPr="000A6E2D" w:rsidRDefault="00672D43" w:rsidP="0076234B">
      <w:pPr>
        <w:pStyle w:val="ListParagraph"/>
        <w:numPr>
          <w:ilvl w:val="0"/>
          <w:numId w:val="29"/>
        </w:numPr>
        <w:spacing w:after="0" w:line="520" w:lineRule="exact"/>
        <w:ind w:left="0" w:firstLine="556"/>
        <w:jc w:val="both"/>
        <w:rPr>
          <w:rFonts w:ascii="Times New Roman" w:hAnsi="Times New Roman" w:cs="Times New Roman"/>
          <w:sz w:val="28"/>
          <w:szCs w:val="28"/>
        </w:rPr>
      </w:pPr>
      <w:r w:rsidRPr="00233890">
        <w:rPr>
          <w:rFonts w:ascii="Times New Roman" w:hAnsi="Times New Roman" w:cs="Times New Roman"/>
          <w:i/>
          <w:iCs/>
          <w:sz w:val="28"/>
          <w:szCs w:val="28"/>
        </w:rPr>
        <w:t>Part A and Part B States compared.—</w:t>
      </w:r>
      <w:r w:rsidRPr="000A6E2D">
        <w:rPr>
          <w:rFonts w:ascii="Times New Roman" w:hAnsi="Times New Roman" w:cs="Times New Roman"/>
          <w:sz w:val="28"/>
          <w:szCs w:val="28"/>
        </w:rPr>
        <w:t>Figures for the last two years enable a comparison to be made of the position of Part A States with that of Part B States. (Statements 4 and 6 of Appendix IX). The per capita tax revenue collected by the States (i.e. excluding the share of income-tax) in 1951-52 is Rs. 6</w:t>
      </w:r>
      <w:r w:rsidR="00205F68">
        <w:rPr>
          <w:rFonts w:ascii="Times New Roman" w:hAnsi="Times New Roman" w:cs="Times New Roman"/>
          <w:sz w:val="28"/>
          <w:szCs w:val="28"/>
        </w:rPr>
        <w:t>.</w:t>
      </w:r>
      <w:r w:rsidRPr="000A6E2D">
        <w:rPr>
          <w:rFonts w:ascii="Times New Roman" w:hAnsi="Times New Roman" w:cs="Times New Roman"/>
          <w:sz w:val="28"/>
          <w:szCs w:val="28"/>
        </w:rPr>
        <w:t>6 for all States, the average for Part B States is higher at Rs. 9 and no Part B State is below the average for all States together. Patiala and East Punjab States Union and Hyderabad among Part B States and Bombay and West Bengal among Part A States are well above the average, while Orissa and Bihar have the lowest per capita tax revenue.</w:t>
      </w:r>
    </w:p>
    <w:p w14:paraId="6ADDF827" w14:textId="6093F8FE" w:rsidR="00447FC2" w:rsidRPr="000A6E2D" w:rsidRDefault="00447FC2" w:rsidP="0076234B">
      <w:pPr>
        <w:pStyle w:val="ListParagraph"/>
        <w:numPr>
          <w:ilvl w:val="0"/>
          <w:numId w:val="29"/>
        </w:numPr>
        <w:spacing w:after="0" w:line="520" w:lineRule="exact"/>
        <w:ind w:left="0" w:firstLine="556"/>
        <w:jc w:val="both"/>
        <w:rPr>
          <w:rFonts w:ascii="Times New Roman" w:hAnsi="Times New Roman" w:cs="Times New Roman"/>
          <w:sz w:val="28"/>
          <w:szCs w:val="28"/>
        </w:rPr>
      </w:pPr>
      <w:r w:rsidRPr="008E05BF">
        <w:rPr>
          <w:rFonts w:ascii="Times New Roman" w:hAnsi="Times New Roman" w:cs="Times New Roman"/>
          <w:i/>
          <w:iCs/>
          <w:sz w:val="28"/>
          <w:szCs w:val="28"/>
        </w:rPr>
        <w:t>Per capita revenue under important tax heads.—</w:t>
      </w:r>
      <w:r w:rsidRPr="000A6E2D">
        <w:rPr>
          <w:rFonts w:ascii="Times New Roman" w:hAnsi="Times New Roman" w:cs="Times New Roman"/>
          <w:sz w:val="28"/>
          <w:szCs w:val="28"/>
        </w:rPr>
        <w:t>Although comparisons of per capita total revenue are more relevant in considering the overall relative resources available to States, and different States may have tapped particular taxes in different degrees, a comparative view of per capita revenue under important tax heads is of interest, if the figures are interpreted in the light of other information bearing on the scope and rates of a tax. Table 6(a) in Appendix IX shows the per capita revenue of States under the principal revenue heads.</w:t>
      </w:r>
    </w:p>
    <w:p w14:paraId="6085DB8A" w14:textId="5DBBE617" w:rsidR="00447FC2" w:rsidRPr="000A6E2D" w:rsidRDefault="00447FC2" w:rsidP="0076234B">
      <w:pPr>
        <w:pStyle w:val="ListParagraph"/>
        <w:numPr>
          <w:ilvl w:val="0"/>
          <w:numId w:val="29"/>
        </w:numPr>
        <w:spacing w:after="0" w:line="520" w:lineRule="exact"/>
        <w:ind w:left="0" w:firstLine="556"/>
        <w:jc w:val="both"/>
        <w:rPr>
          <w:rFonts w:ascii="Times New Roman" w:hAnsi="Times New Roman" w:cs="Times New Roman"/>
          <w:sz w:val="28"/>
          <w:szCs w:val="28"/>
        </w:rPr>
      </w:pPr>
      <w:r w:rsidRPr="000A6E2D">
        <w:rPr>
          <w:rFonts w:ascii="Times New Roman" w:hAnsi="Times New Roman" w:cs="Times New Roman"/>
          <w:sz w:val="28"/>
          <w:szCs w:val="28"/>
        </w:rPr>
        <w:t xml:space="preserve">The per capita revenue of Part B States which, as already noted above, is definitely higher on the whole than of Part A States, is higher under the older taxes like land revenue and excise, particularly the latter. In respect of excise, the per capita revenue of Hyderabad is more than double that of the next highest State, viz. West Bengal; on the other hand, the per capita revenue of Part A States under new taxes like sales tax definitely exceeds that of Part B States. Broadly, the pattern of taxation in Part B States corresponds more to the pre-war tax pattern of the Part A States than to their present tax structures, which include more new elements than the tax systems </w:t>
      </w:r>
      <w:r w:rsidRPr="000A6E2D">
        <w:rPr>
          <w:rFonts w:ascii="Times New Roman" w:hAnsi="Times New Roman" w:cs="Times New Roman"/>
          <w:sz w:val="28"/>
          <w:szCs w:val="28"/>
        </w:rPr>
        <w:lastRenderedPageBreak/>
        <w:t>of the Part B States. Sales taxes, motor vehicles taxes, entertainment duties, property taxes and taxes on professions are among the taxes which remain to be developed adequately in several of the Part B States, whether directly for State purposes or for local bodies.</w:t>
      </w:r>
    </w:p>
    <w:p w14:paraId="0A442237" w14:textId="5F2073FA" w:rsidR="00447FC2" w:rsidRPr="000A6E2D" w:rsidRDefault="00447FC2" w:rsidP="0076234B">
      <w:pPr>
        <w:pStyle w:val="ListParagraph"/>
        <w:numPr>
          <w:ilvl w:val="0"/>
          <w:numId w:val="29"/>
        </w:numPr>
        <w:spacing w:after="0" w:line="520" w:lineRule="exact"/>
        <w:ind w:left="0" w:firstLine="556"/>
        <w:jc w:val="both"/>
        <w:rPr>
          <w:rFonts w:ascii="Times New Roman" w:hAnsi="Times New Roman" w:cs="Times New Roman"/>
          <w:sz w:val="28"/>
          <w:szCs w:val="28"/>
        </w:rPr>
      </w:pPr>
      <w:r w:rsidRPr="000A6E2D">
        <w:rPr>
          <w:rFonts w:ascii="Times New Roman" w:hAnsi="Times New Roman" w:cs="Times New Roman"/>
          <w:sz w:val="28"/>
          <w:szCs w:val="28"/>
        </w:rPr>
        <w:t>In considering the resources available for such services among others as education, medical and public health, the finances of local bodies are a relevant element. Information relating to the finances of local bodies even in Part A States is incomplete and it is not, there- fore, possible to take a precise view of the total expenditure in each State on these services. As for the Part B States, local self-govern- ment is of recent origin in some of them and local finances are in-adequately developed excepting in one or two States.</w:t>
      </w:r>
    </w:p>
    <w:p w14:paraId="7DAC91B1" w14:textId="46F4268D" w:rsidR="00447FC2" w:rsidRPr="00233890" w:rsidRDefault="00447FC2" w:rsidP="0076234B">
      <w:pPr>
        <w:pStyle w:val="ListParagraph"/>
        <w:numPr>
          <w:ilvl w:val="0"/>
          <w:numId w:val="29"/>
        </w:numPr>
        <w:spacing w:after="0" w:line="520" w:lineRule="exact"/>
        <w:ind w:left="0" w:firstLine="556"/>
        <w:jc w:val="both"/>
        <w:rPr>
          <w:rFonts w:ascii="Times New Roman" w:hAnsi="Times New Roman" w:cs="Times New Roman"/>
          <w:sz w:val="28"/>
          <w:szCs w:val="28"/>
        </w:rPr>
      </w:pPr>
      <w:r w:rsidRPr="008E05BF">
        <w:rPr>
          <w:rFonts w:ascii="Times New Roman" w:hAnsi="Times New Roman" w:cs="Times New Roman"/>
          <w:i/>
          <w:iCs/>
          <w:sz w:val="28"/>
          <w:szCs w:val="28"/>
        </w:rPr>
        <w:t>Per capita expenditure pattern.—</w:t>
      </w:r>
      <w:r w:rsidRPr="00233890">
        <w:rPr>
          <w:rFonts w:ascii="Times New Roman" w:hAnsi="Times New Roman" w:cs="Times New Roman"/>
          <w:sz w:val="28"/>
          <w:szCs w:val="28"/>
        </w:rPr>
        <w:t>Per capita expenditure on revenue account for Part A States and Part B States respectively is Rs. 10</w:t>
      </w:r>
      <w:r w:rsidR="00205F68">
        <w:rPr>
          <w:rFonts w:ascii="Times New Roman" w:hAnsi="Times New Roman" w:cs="Times New Roman"/>
          <w:sz w:val="28"/>
          <w:szCs w:val="28"/>
        </w:rPr>
        <w:t>.</w:t>
      </w:r>
      <w:r w:rsidRPr="00233890">
        <w:rPr>
          <w:rFonts w:ascii="Times New Roman" w:hAnsi="Times New Roman" w:cs="Times New Roman"/>
          <w:sz w:val="28"/>
          <w:szCs w:val="28"/>
        </w:rPr>
        <w:t>4 and 13</w:t>
      </w:r>
      <w:r w:rsidR="00205F68">
        <w:rPr>
          <w:rFonts w:ascii="Times New Roman" w:hAnsi="Times New Roman" w:cs="Times New Roman"/>
          <w:sz w:val="28"/>
          <w:szCs w:val="28"/>
        </w:rPr>
        <w:t>.</w:t>
      </w:r>
      <w:r w:rsidRPr="00233890">
        <w:rPr>
          <w:rFonts w:ascii="Times New Roman" w:hAnsi="Times New Roman" w:cs="Times New Roman"/>
          <w:sz w:val="28"/>
          <w:szCs w:val="28"/>
        </w:rPr>
        <w:t>5 in 1950-51, Rs. 11 and 13</w:t>
      </w:r>
      <w:r w:rsidR="00205F68">
        <w:rPr>
          <w:rFonts w:ascii="Times New Roman" w:hAnsi="Times New Roman" w:cs="Times New Roman"/>
          <w:sz w:val="28"/>
          <w:szCs w:val="28"/>
        </w:rPr>
        <w:t>.</w:t>
      </w:r>
      <w:r w:rsidRPr="00233890">
        <w:rPr>
          <w:rFonts w:ascii="Times New Roman" w:hAnsi="Times New Roman" w:cs="Times New Roman"/>
          <w:sz w:val="28"/>
          <w:szCs w:val="28"/>
        </w:rPr>
        <w:t>9 in 1951-52 and Rs. 11</w:t>
      </w:r>
      <w:r w:rsidR="00205F68">
        <w:rPr>
          <w:rFonts w:ascii="Times New Roman" w:hAnsi="Times New Roman" w:cs="Times New Roman"/>
          <w:sz w:val="28"/>
          <w:szCs w:val="28"/>
        </w:rPr>
        <w:t>.</w:t>
      </w:r>
      <w:r w:rsidRPr="00233890">
        <w:rPr>
          <w:rFonts w:ascii="Times New Roman" w:hAnsi="Times New Roman" w:cs="Times New Roman"/>
          <w:sz w:val="28"/>
          <w:szCs w:val="28"/>
        </w:rPr>
        <w:t>8 and 15</w:t>
      </w:r>
      <w:r w:rsidR="00205F68">
        <w:rPr>
          <w:rFonts w:ascii="Times New Roman" w:hAnsi="Times New Roman" w:cs="Times New Roman"/>
          <w:sz w:val="28"/>
          <w:szCs w:val="28"/>
        </w:rPr>
        <w:t>.</w:t>
      </w:r>
      <w:r w:rsidRPr="00233890">
        <w:rPr>
          <w:rFonts w:ascii="Times New Roman" w:hAnsi="Times New Roman" w:cs="Times New Roman"/>
          <w:sz w:val="28"/>
          <w:szCs w:val="28"/>
        </w:rPr>
        <w:t>5 in 1952-53, the per capita figures for all States together for the respective years being Rs. 11, Rs. 11</w:t>
      </w:r>
      <w:r w:rsidR="00205F68">
        <w:rPr>
          <w:rFonts w:ascii="Times New Roman" w:hAnsi="Times New Roman" w:cs="Times New Roman"/>
          <w:sz w:val="28"/>
          <w:szCs w:val="28"/>
        </w:rPr>
        <w:t>.</w:t>
      </w:r>
      <w:r w:rsidRPr="00233890">
        <w:rPr>
          <w:rFonts w:ascii="Times New Roman" w:hAnsi="Times New Roman" w:cs="Times New Roman"/>
          <w:sz w:val="28"/>
          <w:szCs w:val="28"/>
        </w:rPr>
        <w:t>6 and Rs. 12</w:t>
      </w:r>
      <w:r w:rsidR="00205F68">
        <w:rPr>
          <w:rFonts w:ascii="Times New Roman" w:hAnsi="Times New Roman" w:cs="Times New Roman"/>
          <w:sz w:val="28"/>
          <w:szCs w:val="28"/>
        </w:rPr>
        <w:t>.</w:t>
      </w:r>
      <w:r w:rsidRPr="00233890">
        <w:rPr>
          <w:rFonts w:ascii="Times New Roman" w:hAnsi="Times New Roman" w:cs="Times New Roman"/>
          <w:sz w:val="28"/>
          <w:szCs w:val="28"/>
        </w:rPr>
        <w:t>6. The per capita figures for Part B States are thus generally higher than for Part A States, only Rajasthan being below the average for all States. At this point, two factors peculiar to Part B States need to be mentioned. Firstly, costs of administration are relatively high for such Part B States as were formed by the integration of a large number of units. Secondly, the relatively high per capita figures of expenditure, either total or under individual major heads, obscure the great disparities in service levels between the urban and other areas within a State</w:t>
      </w:r>
      <w:r w:rsidR="00233890" w:rsidRPr="00233890">
        <w:rPr>
          <w:rFonts w:ascii="Times New Roman" w:hAnsi="Times New Roman" w:cs="Times New Roman"/>
          <w:sz w:val="28"/>
          <w:szCs w:val="28"/>
        </w:rPr>
        <w:t>:</w:t>
      </w:r>
      <w:r w:rsidR="00233890">
        <w:rPr>
          <w:rFonts w:ascii="Times New Roman" w:hAnsi="Times New Roman" w:cs="Times New Roman"/>
          <w:sz w:val="28"/>
          <w:szCs w:val="28"/>
        </w:rPr>
        <w:t xml:space="preserve"> </w:t>
      </w:r>
      <w:r w:rsidRPr="00233890">
        <w:rPr>
          <w:rFonts w:ascii="Times New Roman" w:hAnsi="Times New Roman" w:cs="Times New Roman"/>
          <w:sz w:val="28"/>
          <w:szCs w:val="28"/>
        </w:rPr>
        <w:t xml:space="preserve">for instance, in respect of medical and public health services, communications or education, the interior areas are generally poorly served. Such regional disparities exist in Part A States also but they are generally greater in Part B States. Per capita expenditure is highest for Saurashtra among Part B States and for Bombay among Part A States and considerably below </w:t>
      </w:r>
      <w:r w:rsidRPr="00233890">
        <w:rPr>
          <w:rFonts w:ascii="Times New Roman" w:hAnsi="Times New Roman" w:cs="Times New Roman"/>
          <w:sz w:val="28"/>
          <w:szCs w:val="28"/>
        </w:rPr>
        <w:lastRenderedPageBreak/>
        <w:t>the average in Bihar and Orissa. Madhya Pradesh and Uttar Pradesh also have relatively low per capita expenditure though it is somewhat higher than in Orissa and Bihar.</w:t>
      </w:r>
    </w:p>
    <w:p w14:paraId="605E203F" w14:textId="65BE72F3" w:rsidR="00447FC2" w:rsidRPr="000A6E2D" w:rsidRDefault="00447FC2" w:rsidP="0076234B">
      <w:pPr>
        <w:pStyle w:val="ListParagraph"/>
        <w:numPr>
          <w:ilvl w:val="0"/>
          <w:numId w:val="29"/>
        </w:numPr>
        <w:spacing w:after="0" w:line="520" w:lineRule="exact"/>
        <w:ind w:left="0" w:firstLine="556"/>
        <w:jc w:val="both"/>
        <w:rPr>
          <w:rFonts w:ascii="Times New Roman" w:hAnsi="Times New Roman" w:cs="Times New Roman"/>
          <w:sz w:val="28"/>
          <w:szCs w:val="28"/>
        </w:rPr>
      </w:pPr>
      <w:r w:rsidRPr="000A6E2D">
        <w:rPr>
          <w:rFonts w:ascii="Times New Roman" w:hAnsi="Times New Roman" w:cs="Times New Roman"/>
          <w:sz w:val="28"/>
          <w:szCs w:val="28"/>
        </w:rPr>
        <w:t>Table 8 in Appendix IX shows the per capita expenditure under main categories of expenditure in the different States. In Mysore, Travancore-Cochin and Assam, expenditure on social services forms a much larger proportion of total expenditure than on administrative services. Per capita expenditure on administrative services is the highest in Saurashtra, at Rs. 6</w:t>
      </w:r>
      <w:r w:rsidR="00205F68">
        <w:rPr>
          <w:rFonts w:ascii="Times New Roman" w:hAnsi="Times New Roman" w:cs="Times New Roman"/>
          <w:sz w:val="28"/>
          <w:szCs w:val="28"/>
        </w:rPr>
        <w:t>.</w:t>
      </w:r>
      <w:r w:rsidRPr="000A6E2D">
        <w:rPr>
          <w:rFonts w:ascii="Times New Roman" w:hAnsi="Times New Roman" w:cs="Times New Roman"/>
          <w:sz w:val="28"/>
          <w:szCs w:val="28"/>
        </w:rPr>
        <w:t>8 in 1951-52. Expenditure on administrative services in this State also forms the highest proportion of total expenditure among all States. Bombay and the Patiala and East Punjab States Union come next in this respect. It is to be noted that Saurashtra and the Patiala and East Punjab States Union are the smallest States in population and revenue, and what constitutes their ‘overhead’ expenditure, in a sense, is, therefore, high. As compared with the 1950-51 and 1951-52 average of Re. 0</w:t>
      </w:r>
      <w:r w:rsidR="00205F68">
        <w:rPr>
          <w:rFonts w:ascii="Times New Roman" w:hAnsi="Times New Roman" w:cs="Times New Roman"/>
          <w:sz w:val="28"/>
          <w:szCs w:val="28"/>
        </w:rPr>
        <w:t>.</w:t>
      </w:r>
      <w:r w:rsidRPr="000A6E2D">
        <w:rPr>
          <w:rFonts w:ascii="Times New Roman" w:hAnsi="Times New Roman" w:cs="Times New Roman"/>
          <w:sz w:val="28"/>
          <w:szCs w:val="28"/>
        </w:rPr>
        <w:t>95 for all States, the expenditure of Saurashtra on general administration is Rs. 2</w:t>
      </w:r>
      <w:r w:rsidR="00205F68">
        <w:rPr>
          <w:rFonts w:ascii="Times New Roman" w:hAnsi="Times New Roman" w:cs="Times New Roman"/>
          <w:sz w:val="28"/>
          <w:szCs w:val="28"/>
        </w:rPr>
        <w:t>.</w:t>
      </w:r>
      <w:r w:rsidRPr="000A6E2D">
        <w:rPr>
          <w:rFonts w:ascii="Times New Roman" w:hAnsi="Times New Roman" w:cs="Times New Roman"/>
          <w:sz w:val="28"/>
          <w:szCs w:val="28"/>
        </w:rPr>
        <w:t>15.</w:t>
      </w:r>
    </w:p>
    <w:p w14:paraId="1607EEED" w14:textId="5AB52CC2" w:rsidR="00447FC2" w:rsidRPr="000A6E2D" w:rsidRDefault="00447FC2" w:rsidP="0076234B">
      <w:pPr>
        <w:pStyle w:val="ListParagraph"/>
        <w:numPr>
          <w:ilvl w:val="0"/>
          <w:numId w:val="29"/>
        </w:numPr>
        <w:spacing w:after="0" w:line="520" w:lineRule="exact"/>
        <w:ind w:left="0" w:firstLine="556"/>
        <w:jc w:val="both"/>
        <w:rPr>
          <w:rFonts w:ascii="Times New Roman" w:hAnsi="Times New Roman" w:cs="Times New Roman"/>
          <w:sz w:val="28"/>
          <w:szCs w:val="28"/>
        </w:rPr>
      </w:pPr>
      <w:r w:rsidRPr="000A6E2D">
        <w:rPr>
          <w:rFonts w:ascii="Times New Roman" w:hAnsi="Times New Roman" w:cs="Times New Roman"/>
          <w:sz w:val="28"/>
          <w:szCs w:val="28"/>
        </w:rPr>
        <w:t>Net expenditure on the administration of rationing and controls (exclusive of subsidies charged to revenue) is large in West Bengal, and sizeable in Uttar Pradesh and Assam. In Bombay, Punjab, Madhya Pradesh and certain other States, the bulk of the expenditure is recovered from consumers. Per capita of rationed population, expenditure on administration of food controls was approximately Rs. 4</w:t>
      </w:r>
      <w:r w:rsidR="00205F68">
        <w:rPr>
          <w:rFonts w:ascii="Times New Roman" w:hAnsi="Times New Roman" w:cs="Times New Roman"/>
          <w:sz w:val="28"/>
          <w:szCs w:val="28"/>
        </w:rPr>
        <w:t>.</w:t>
      </w:r>
      <w:r w:rsidRPr="000A6E2D">
        <w:rPr>
          <w:rFonts w:ascii="Times New Roman" w:hAnsi="Times New Roman" w:cs="Times New Roman"/>
          <w:sz w:val="28"/>
          <w:szCs w:val="28"/>
        </w:rPr>
        <w:t>1 in Assam, Rs. 2</w:t>
      </w:r>
      <w:r w:rsidR="00205F68">
        <w:rPr>
          <w:rFonts w:ascii="Times New Roman" w:hAnsi="Times New Roman" w:cs="Times New Roman"/>
          <w:sz w:val="28"/>
          <w:szCs w:val="28"/>
        </w:rPr>
        <w:t>.</w:t>
      </w:r>
      <w:r w:rsidRPr="000A6E2D">
        <w:rPr>
          <w:rFonts w:ascii="Times New Roman" w:hAnsi="Times New Roman" w:cs="Times New Roman"/>
          <w:sz w:val="28"/>
          <w:szCs w:val="28"/>
        </w:rPr>
        <w:t>4 in West Bengal and R</w:t>
      </w:r>
      <w:r w:rsidR="00E23521">
        <w:rPr>
          <w:rFonts w:ascii="Times New Roman" w:hAnsi="Times New Roman" w:cs="Times New Roman"/>
          <w:sz w:val="28"/>
          <w:szCs w:val="28"/>
        </w:rPr>
        <w:t>e</w:t>
      </w:r>
      <w:r w:rsidRPr="000A6E2D">
        <w:rPr>
          <w:rFonts w:ascii="Times New Roman" w:hAnsi="Times New Roman" w:cs="Times New Roman"/>
          <w:sz w:val="28"/>
          <w:szCs w:val="28"/>
        </w:rPr>
        <w:t>.1 in Uttar Pradesh for 1951-52 as compared with only Rs. 0</w:t>
      </w:r>
      <w:r w:rsidR="00205F68">
        <w:rPr>
          <w:rFonts w:ascii="Times New Roman" w:hAnsi="Times New Roman" w:cs="Times New Roman"/>
          <w:sz w:val="28"/>
          <w:szCs w:val="28"/>
        </w:rPr>
        <w:t>.</w:t>
      </w:r>
      <w:r w:rsidRPr="000A6E2D">
        <w:rPr>
          <w:rFonts w:ascii="Times New Roman" w:hAnsi="Times New Roman" w:cs="Times New Roman"/>
          <w:sz w:val="28"/>
          <w:szCs w:val="28"/>
        </w:rPr>
        <w:t>06 in Bombay.</w:t>
      </w:r>
    </w:p>
    <w:p w14:paraId="30A936B1" w14:textId="1D35676C" w:rsidR="00447FC2" w:rsidRPr="008E05BF" w:rsidRDefault="00447FC2" w:rsidP="0076234B">
      <w:pPr>
        <w:pStyle w:val="ListParagraph"/>
        <w:numPr>
          <w:ilvl w:val="0"/>
          <w:numId w:val="29"/>
        </w:numPr>
        <w:spacing w:after="0" w:line="520" w:lineRule="exact"/>
        <w:ind w:left="0" w:firstLine="556"/>
        <w:jc w:val="both"/>
        <w:rPr>
          <w:rFonts w:ascii="Times New Roman" w:hAnsi="Times New Roman" w:cs="Times New Roman"/>
          <w:sz w:val="28"/>
          <w:szCs w:val="28"/>
        </w:rPr>
      </w:pPr>
      <w:r w:rsidRPr="000A6E2D">
        <w:rPr>
          <w:rFonts w:ascii="Times New Roman" w:hAnsi="Times New Roman" w:cs="Times New Roman"/>
          <w:sz w:val="28"/>
          <w:szCs w:val="28"/>
        </w:rPr>
        <w:t>Per capita expenditure on social services for all States together was on an average Rs. 3</w:t>
      </w:r>
      <w:r w:rsidR="00E531EC">
        <w:rPr>
          <w:rFonts w:ascii="Times New Roman" w:hAnsi="Times New Roman" w:cs="Times New Roman"/>
          <w:sz w:val="28"/>
          <w:szCs w:val="28"/>
        </w:rPr>
        <w:t>.</w:t>
      </w:r>
      <w:r w:rsidRPr="000A6E2D">
        <w:rPr>
          <w:rFonts w:ascii="Times New Roman" w:hAnsi="Times New Roman" w:cs="Times New Roman"/>
          <w:sz w:val="28"/>
          <w:szCs w:val="28"/>
        </w:rPr>
        <w:t>3 during 1950-51 and 1951-52. In these years, Mysore and Bombay had the highest figures of Rs. 6.3 and Rs. 5</w:t>
      </w:r>
      <w:r w:rsidR="00E531EC">
        <w:rPr>
          <w:rFonts w:ascii="Times New Roman" w:hAnsi="Times New Roman" w:cs="Times New Roman"/>
          <w:sz w:val="28"/>
          <w:szCs w:val="28"/>
        </w:rPr>
        <w:t>.</w:t>
      </w:r>
      <w:r w:rsidRPr="000A6E2D">
        <w:rPr>
          <w:rFonts w:ascii="Times New Roman" w:hAnsi="Times New Roman" w:cs="Times New Roman"/>
          <w:sz w:val="28"/>
          <w:szCs w:val="28"/>
        </w:rPr>
        <w:t xml:space="preserve">9 respectively. Mysore also incurred the largest proportion of its expenditure on social services. Among the Part B States, </w:t>
      </w:r>
      <w:r w:rsidRPr="000A6E2D">
        <w:rPr>
          <w:rFonts w:ascii="Times New Roman" w:hAnsi="Times New Roman" w:cs="Times New Roman"/>
          <w:sz w:val="28"/>
          <w:szCs w:val="28"/>
        </w:rPr>
        <w:lastRenderedPageBreak/>
        <w:t>Rajasthan stands lowest in the scale of per capita expenditure on social services; though higher than for certain Part A States viz., Madhya Pradesh, Uttar Pradesh, Bihar and Orissa. Bombay and Mysore have the highest per capita figures in regard to education, but West Bengal heads the list in respect of medical and public health expenditure; Orissa and Bihar stand last in regard to education, medical and public</w:t>
      </w:r>
      <w:r w:rsidR="008E05BF">
        <w:rPr>
          <w:rFonts w:ascii="Times New Roman" w:hAnsi="Times New Roman" w:cs="Times New Roman"/>
          <w:sz w:val="28"/>
          <w:szCs w:val="28"/>
        </w:rPr>
        <w:t xml:space="preserve"> </w:t>
      </w:r>
      <w:r w:rsidRPr="008E05BF">
        <w:rPr>
          <w:rFonts w:ascii="Times New Roman" w:hAnsi="Times New Roman" w:cs="Times New Roman"/>
          <w:sz w:val="28"/>
          <w:szCs w:val="28"/>
        </w:rPr>
        <w:t>health as well as in respect of the total expenditure on social services. Uttar Pradesh and Madhya Pradesh also fall in the lowest group in respect of medical and health services.</w:t>
      </w:r>
    </w:p>
    <w:p w14:paraId="66A3EDBA" w14:textId="56F0F254" w:rsidR="00447FC2" w:rsidRPr="000A6E2D" w:rsidRDefault="00447FC2" w:rsidP="0076234B">
      <w:pPr>
        <w:pStyle w:val="ListParagraph"/>
        <w:numPr>
          <w:ilvl w:val="0"/>
          <w:numId w:val="29"/>
        </w:numPr>
        <w:spacing w:after="0" w:line="520" w:lineRule="exact"/>
        <w:ind w:left="0" w:firstLine="556"/>
        <w:jc w:val="both"/>
        <w:rPr>
          <w:rFonts w:ascii="Times New Roman" w:hAnsi="Times New Roman" w:cs="Times New Roman"/>
          <w:sz w:val="28"/>
          <w:szCs w:val="28"/>
        </w:rPr>
      </w:pPr>
      <w:r w:rsidRPr="000A6E2D">
        <w:rPr>
          <w:rFonts w:ascii="Times New Roman" w:hAnsi="Times New Roman" w:cs="Times New Roman"/>
          <w:sz w:val="28"/>
          <w:szCs w:val="28"/>
        </w:rPr>
        <w:t>The large concentration of population, particularly of industrial labour, in and around Bombay and Calcutta involves special commitments for the State Governments concerned and the influx of displaced persons has increased Calcutta's problems. For instance, of the total expenditure on police, Bombay spends in Bombay city about 23 per cent and West Bengal in Calcutta city nearly 30 per cent; similarly in total medical expenditure of the two States, the shares of the two cities are 24 per cent. and 50 per cent. (in 1950-51) respectively. Reference is invited to table 11 in Appendix IX which gives the collection of taxes and expenditure on certain services in the cities of Bombay, Calcutta and Madras separately from those in the rest of the respective States. A study of this table indicates that the bigger responsibilities of certain States toward industrial areas are compensated for by the larger revenues contributed by these areas to the State exchequer. The excess of revenue over expenditure in respect of big metropolitan areas is no doubt a source of financial strength for the respective States.</w:t>
      </w:r>
    </w:p>
    <w:p w14:paraId="39E3F913" w14:textId="6FF318A0" w:rsidR="00447FC2" w:rsidRPr="000A6E2D" w:rsidRDefault="00447FC2" w:rsidP="0076234B">
      <w:pPr>
        <w:pStyle w:val="ListParagraph"/>
        <w:numPr>
          <w:ilvl w:val="0"/>
          <w:numId w:val="29"/>
        </w:numPr>
        <w:spacing w:after="0" w:line="520" w:lineRule="exact"/>
        <w:ind w:left="0" w:firstLine="556"/>
        <w:jc w:val="both"/>
        <w:rPr>
          <w:rFonts w:ascii="Times New Roman" w:hAnsi="Times New Roman" w:cs="Times New Roman"/>
          <w:sz w:val="28"/>
          <w:szCs w:val="28"/>
        </w:rPr>
      </w:pPr>
      <w:r w:rsidRPr="008E05BF">
        <w:rPr>
          <w:rFonts w:ascii="Times New Roman" w:hAnsi="Times New Roman" w:cs="Times New Roman"/>
          <w:i/>
          <w:iCs/>
          <w:sz w:val="28"/>
          <w:szCs w:val="28"/>
        </w:rPr>
        <w:t>General financial position of Centre and States</w:t>
      </w:r>
      <w:r w:rsidRPr="000A6E2D">
        <w:rPr>
          <w:rFonts w:ascii="Times New Roman" w:hAnsi="Times New Roman" w:cs="Times New Roman"/>
          <w:sz w:val="28"/>
          <w:szCs w:val="28"/>
        </w:rPr>
        <w:t xml:space="preserve">.—Some idea of the capital outlay of the Centre and States and the overall budgetary position, taking revenue and capital accounts together, as also the means of financing the overall deficit, if any, should be useful for a proper appreciation of their general financial </w:t>
      </w:r>
      <w:r w:rsidRPr="000A6E2D">
        <w:rPr>
          <w:rFonts w:ascii="Times New Roman" w:hAnsi="Times New Roman" w:cs="Times New Roman"/>
          <w:sz w:val="28"/>
          <w:szCs w:val="28"/>
        </w:rPr>
        <w:lastRenderedPageBreak/>
        <w:t>position. Since 1948-49, while the revenue budget of the Centre has revealed substantial surpluses each year, the capital account shows an appreciable gap between receipts and disbursements, primarily due to the inadequacy of borrowings from the market. However, in 1950-51 and 1951-52, the large revenue surpluses helped to meet the deficits in the capital account; there was an overall surplus of Rs. 12</w:t>
      </w:r>
      <w:r w:rsidR="00622635">
        <w:rPr>
          <w:rFonts w:ascii="Times New Roman" w:hAnsi="Times New Roman" w:cs="Times New Roman"/>
          <w:sz w:val="28"/>
          <w:szCs w:val="28"/>
        </w:rPr>
        <w:t>.</w:t>
      </w:r>
      <w:r w:rsidRPr="000A6E2D">
        <w:rPr>
          <w:rFonts w:ascii="Times New Roman" w:hAnsi="Times New Roman" w:cs="Times New Roman"/>
          <w:sz w:val="28"/>
          <w:szCs w:val="28"/>
        </w:rPr>
        <w:t>44 crores in 1950-51 and a small deficit of Rs. 3</w:t>
      </w:r>
      <w:r w:rsidR="00622635">
        <w:rPr>
          <w:rFonts w:ascii="Times New Roman" w:hAnsi="Times New Roman" w:cs="Times New Roman"/>
          <w:sz w:val="28"/>
          <w:szCs w:val="28"/>
        </w:rPr>
        <w:t>.</w:t>
      </w:r>
      <w:r w:rsidRPr="000A6E2D">
        <w:rPr>
          <w:rFonts w:ascii="Times New Roman" w:hAnsi="Times New Roman" w:cs="Times New Roman"/>
          <w:sz w:val="28"/>
          <w:szCs w:val="28"/>
        </w:rPr>
        <w:t>70 crores in 1951-52. In 1952-53, the capital account is expected to show a deficit of Rs. 102</w:t>
      </w:r>
      <w:r w:rsidR="00622635">
        <w:rPr>
          <w:rFonts w:ascii="Times New Roman" w:hAnsi="Times New Roman" w:cs="Times New Roman"/>
          <w:sz w:val="28"/>
          <w:szCs w:val="28"/>
        </w:rPr>
        <w:t>.</w:t>
      </w:r>
      <w:r w:rsidRPr="000A6E2D">
        <w:rPr>
          <w:rFonts w:ascii="Times New Roman" w:hAnsi="Times New Roman" w:cs="Times New Roman"/>
          <w:sz w:val="28"/>
          <w:szCs w:val="28"/>
        </w:rPr>
        <w:t>4 crores, which will be met largely from the accumulated cash balances of Government.</w:t>
      </w:r>
    </w:p>
    <w:p w14:paraId="1AF62648" w14:textId="77777777" w:rsidR="008E05BF" w:rsidRDefault="00447FC2" w:rsidP="0076234B">
      <w:pPr>
        <w:pStyle w:val="ListParagraph"/>
        <w:numPr>
          <w:ilvl w:val="0"/>
          <w:numId w:val="29"/>
        </w:numPr>
        <w:spacing w:after="0" w:line="520" w:lineRule="exact"/>
        <w:ind w:left="0" w:firstLine="556"/>
        <w:jc w:val="both"/>
        <w:rPr>
          <w:rFonts w:ascii="Times New Roman" w:hAnsi="Times New Roman" w:cs="Times New Roman"/>
          <w:sz w:val="28"/>
          <w:szCs w:val="28"/>
        </w:rPr>
      </w:pPr>
      <w:r w:rsidRPr="000A6E2D">
        <w:rPr>
          <w:rFonts w:ascii="Times New Roman" w:hAnsi="Times New Roman" w:cs="Times New Roman"/>
          <w:sz w:val="28"/>
          <w:szCs w:val="28"/>
        </w:rPr>
        <w:t>The capital expenditure of the States, including net results of schemes of state trading but excluding appropriation to contingency fund, was Rs. 84 crores in 1950-51 and is estimated at Rs. 128 crores in 1951-52 and at Rs. 158 crores in 1952-53. Multipurpose river valley projects, other irrigation works, electricity schemes and civil works are the main categories of capital outlay.</w:t>
      </w:r>
    </w:p>
    <w:p w14:paraId="3760449F" w14:textId="406280A6" w:rsidR="00E24A38" w:rsidRPr="008E05BF" w:rsidRDefault="00E24A38" w:rsidP="0076234B">
      <w:pPr>
        <w:pStyle w:val="ListParagraph"/>
        <w:numPr>
          <w:ilvl w:val="0"/>
          <w:numId w:val="29"/>
        </w:numPr>
        <w:spacing w:after="0" w:line="520" w:lineRule="exact"/>
        <w:ind w:left="0" w:firstLine="556"/>
        <w:jc w:val="both"/>
        <w:rPr>
          <w:rFonts w:ascii="Times New Roman" w:hAnsi="Times New Roman" w:cs="Times New Roman"/>
          <w:sz w:val="28"/>
          <w:szCs w:val="28"/>
        </w:rPr>
      </w:pPr>
      <w:r w:rsidRPr="008E05BF">
        <w:rPr>
          <w:rFonts w:ascii="Times New Roman" w:hAnsi="Times New Roman" w:cs="Times New Roman"/>
          <w:sz w:val="28"/>
          <w:szCs w:val="28"/>
        </w:rPr>
        <w:t>As at the end of March 1950, six Part A States had outstanding balances of Rs. 91 crores in revenue reserve funds</w:t>
      </w:r>
      <w:r w:rsidR="008E05BF">
        <w:rPr>
          <w:rStyle w:val="FootnoteReference"/>
          <w:rFonts w:ascii="Times New Roman" w:hAnsi="Times New Roman" w:cs="Times New Roman"/>
          <w:sz w:val="28"/>
          <w:szCs w:val="28"/>
        </w:rPr>
        <w:footnoteReference w:id="4"/>
      </w:r>
      <w:r w:rsidRPr="008E05BF">
        <w:rPr>
          <w:rFonts w:ascii="Times New Roman" w:hAnsi="Times New Roman" w:cs="Times New Roman"/>
          <w:sz w:val="28"/>
          <w:szCs w:val="28"/>
        </w:rPr>
        <w:t>, which are expected to decline to Rs. 38 crores by the end of the current year, thus:</w:t>
      </w:r>
    </w:p>
    <w:p w14:paraId="6813988A" w14:textId="1AE9E6B4" w:rsidR="00284C32" w:rsidRPr="008E05BF" w:rsidRDefault="00C53EA9" w:rsidP="00C53EA9">
      <w:pPr>
        <w:tabs>
          <w:tab w:val="left" w:pos="1980"/>
        </w:tabs>
        <w:spacing w:after="0" w:line="380" w:lineRule="exact"/>
        <w:jc w:val="center"/>
        <w:rPr>
          <w:rFonts w:ascii="Times New Roman" w:hAnsi="Times New Roman" w:cs="Times New Roman"/>
          <w:i/>
          <w:iCs/>
          <w:sz w:val="28"/>
          <w:szCs w:val="28"/>
        </w:rPr>
      </w:pPr>
      <w:r>
        <w:rPr>
          <w:rFonts w:ascii="Times New Roman" w:hAnsi="Times New Roman" w:cs="Times New Roman"/>
          <w:i/>
          <w:iCs/>
          <w:sz w:val="28"/>
          <w:szCs w:val="28"/>
        </w:rPr>
        <w:tab/>
      </w:r>
      <w:r>
        <w:rPr>
          <w:rFonts w:ascii="Times New Roman" w:hAnsi="Times New Roman" w:cs="Times New Roman"/>
          <w:i/>
          <w:iCs/>
          <w:sz w:val="28"/>
          <w:szCs w:val="28"/>
        </w:rPr>
        <w:tab/>
      </w:r>
      <w:r>
        <w:rPr>
          <w:rFonts w:ascii="Times New Roman" w:hAnsi="Times New Roman" w:cs="Times New Roman"/>
          <w:i/>
          <w:iCs/>
          <w:sz w:val="28"/>
          <w:szCs w:val="28"/>
        </w:rPr>
        <w:tab/>
      </w:r>
      <w:r>
        <w:rPr>
          <w:rFonts w:ascii="Times New Roman" w:hAnsi="Times New Roman" w:cs="Times New Roman"/>
          <w:i/>
          <w:iCs/>
          <w:sz w:val="28"/>
          <w:szCs w:val="28"/>
        </w:rPr>
        <w:tab/>
      </w:r>
      <w:r w:rsidR="00E24A38" w:rsidRPr="008E05BF">
        <w:rPr>
          <w:rFonts w:ascii="Times New Roman" w:hAnsi="Times New Roman" w:cs="Times New Roman"/>
          <w:i/>
          <w:iCs/>
          <w:sz w:val="28"/>
          <w:szCs w:val="28"/>
        </w:rPr>
        <w:t>In crores of rupees at the end of March</w:t>
      </w:r>
    </w:p>
    <w:tbl>
      <w:tblPr>
        <w:tblStyle w:val="TableGrid"/>
        <w:tblW w:w="0" w:type="auto"/>
        <w:jc w:val="center"/>
        <w:tblLook w:val="04A0" w:firstRow="1" w:lastRow="0" w:firstColumn="1" w:lastColumn="0" w:noHBand="0" w:noVBand="1"/>
      </w:tblPr>
      <w:tblGrid>
        <w:gridCol w:w="2263"/>
        <w:gridCol w:w="1134"/>
        <w:gridCol w:w="1276"/>
        <w:gridCol w:w="1843"/>
        <w:gridCol w:w="1843"/>
      </w:tblGrid>
      <w:tr w:rsidR="009C765A" w:rsidRPr="000A6E2D" w14:paraId="09EDF65B" w14:textId="77777777" w:rsidTr="008E05BF">
        <w:trPr>
          <w:trHeight w:val="20"/>
          <w:jc w:val="center"/>
        </w:trPr>
        <w:tc>
          <w:tcPr>
            <w:tcW w:w="2263" w:type="dxa"/>
            <w:vAlign w:val="center"/>
          </w:tcPr>
          <w:p w14:paraId="5C2A86B2" w14:textId="77777777" w:rsidR="00E24A38" w:rsidRPr="00B95B14" w:rsidRDefault="00E24A38" w:rsidP="008E05BF">
            <w:pPr>
              <w:pStyle w:val="Tables"/>
              <w:rPr>
                <w:b/>
                <w:bCs/>
              </w:rPr>
            </w:pPr>
          </w:p>
        </w:tc>
        <w:tc>
          <w:tcPr>
            <w:tcW w:w="1134" w:type="dxa"/>
            <w:vAlign w:val="center"/>
          </w:tcPr>
          <w:p w14:paraId="667E304E" w14:textId="50A7488F" w:rsidR="00E24A38" w:rsidRPr="00B95B14" w:rsidRDefault="00E529C9" w:rsidP="008E05BF">
            <w:pPr>
              <w:pStyle w:val="Tables"/>
              <w:rPr>
                <w:b/>
                <w:bCs/>
              </w:rPr>
            </w:pPr>
            <w:r w:rsidRPr="00B95B14">
              <w:rPr>
                <w:b/>
                <w:bCs/>
              </w:rPr>
              <w:t>1950</w:t>
            </w:r>
          </w:p>
        </w:tc>
        <w:tc>
          <w:tcPr>
            <w:tcW w:w="1276" w:type="dxa"/>
            <w:vAlign w:val="center"/>
          </w:tcPr>
          <w:p w14:paraId="121011C8" w14:textId="10C623EA" w:rsidR="00E24A38" w:rsidRPr="00B95B14" w:rsidRDefault="00E529C9" w:rsidP="008E05BF">
            <w:pPr>
              <w:pStyle w:val="Tables"/>
              <w:rPr>
                <w:b/>
                <w:bCs/>
              </w:rPr>
            </w:pPr>
            <w:r w:rsidRPr="00B95B14">
              <w:rPr>
                <w:b/>
                <w:bCs/>
              </w:rPr>
              <w:t>1951</w:t>
            </w:r>
          </w:p>
        </w:tc>
        <w:tc>
          <w:tcPr>
            <w:tcW w:w="1843" w:type="dxa"/>
            <w:vAlign w:val="center"/>
          </w:tcPr>
          <w:p w14:paraId="60C4CB4A" w14:textId="5B08ADD5" w:rsidR="00E24A38" w:rsidRPr="00B95B14" w:rsidRDefault="00E529C9" w:rsidP="008E05BF">
            <w:pPr>
              <w:pStyle w:val="Tables"/>
              <w:rPr>
                <w:b/>
                <w:bCs/>
              </w:rPr>
            </w:pPr>
            <w:r w:rsidRPr="00B95B14">
              <w:rPr>
                <w:b/>
                <w:bCs/>
              </w:rPr>
              <w:t>1952</w:t>
            </w:r>
          </w:p>
          <w:p w14:paraId="31B932AE" w14:textId="13B540CE" w:rsidR="00E529C9" w:rsidRPr="00B95B14" w:rsidRDefault="00E529C9" w:rsidP="008E05BF">
            <w:pPr>
              <w:pStyle w:val="Tables"/>
              <w:rPr>
                <w:b/>
                <w:bCs/>
              </w:rPr>
            </w:pPr>
            <w:r w:rsidRPr="00B95B14">
              <w:rPr>
                <w:b/>
                <w:bCs/>
              </w:rPr>
              <w:t>Revised</w:t>
            </w:r>
          </w:p>
          <w:p w14:paraId="0D86D949" w14:textId="2B83D0F7" w:rsidR="00E529C9" w:rsidRPr="00B95B14" w:rsidRDefault="00E529C9" w:rsidP="008E05BF">
            <w:pPr>
              <w:pStyle w:val="Tables"/>
              <w:rPr>
                <w:b/>
                <w:bCs/>
              </w:rPr>
            </w:pPr>
            <w:r w:rsidRPr="00B95B14">
              <w:rPr>
                <w:b/>
                <w:bCs/>
              </w:rPr>
              <w:t>Estimates</w:t>
            </w:r>
          </w:p>
        </w:tc>
        <w:tc>
          <w:tcPr>
            <w:tcW w:w="1843" w:type="dxa"/>
            <w:vAlign w:val="center"/>
          </w:tcPr>
          <w:p w14:paraId="61022B8E" w14:textId="0B564BA8" w:rsidR="00E529C9" w:rsidRPr="00B95B14" w:rsidRDefault="00E529C9" w:rsidP="008E05BF">
            <w:pPr>
              <w:pStyle w:val="Tables"/>
              <w:rPr>
                <w:b/>
                <w:bCs/>
              </w:rPr>
            </w:pPr>
            <w:r w:rsidRPr="00B95B14">
              <w:rPr>
                <w:b/>
                <w:bCs/>
              </w:rPr>
              <w:t>1953</w:t>
            </w:r>
          </w:p>
          <w:p w14:paraId="094A7EC5" w14:textId="08A13397" w:rsidR="00E24A38" w:rsidRPr="00B95B14" w:rsidRDefault="00E529C9" w:rsidP="008E05BF">
            <w:pPr>
              <w:pStyle w:val="Tables"/>
              <w:rPr>
                <w:b/>
                <w:bCs/>
              </w:rPr>
            </w:pPr>
            <w:r w:rsidRPr="00B95B14">
              <w:rPr>
                <w:b/>
                <w:bCs/>
              </w:rPr>
              <w:t xml:space="preserve">Budget </w:t>
            </w:r>
            <w:r w:rsidR="009C765A" w:rsidRPr="00B95B14">
              <w:rPr>
                <w:b/>
                <w:bCs/>
              </w:rPr>
              <w:t xml:space="preserve">   </w:t>
            </w:r>
            <w:r w:rsidRPr="00B95B14">
              <w:rPr>
                <w:b/>
                <w:bCs/>
              </w:rPr>
              <w:t>Estimates</w:t>
            </w:r>
          </w:p>
        </w:tc>
      </w:tr>
      <w:tr w:rsidR="009C765A" w:rsidRPr="000A6E2D" w14:paraId="0299CE8F" w14:textId="77777777" w:rsidTr="008E05BF">
        <w:trPr>
          <w:trHeight w:val="20"/>
          <w:jc w:val="center"/>
        </w:trPr>
        <w:tc>
          <w:tcPr>
            <w:tcW w:w="2263" w:type="dxa"/>
            <w:vAlign w:val="center"/>
          </w:tcPr>
          <w:p w14:paraId="0910A9AC" w14:textId="2B44ED3E" w:rsidR="00E529C9" w:rsidRPr="00B95B14" w:rsidRDefault="00E529C9" w:rsidP="00B95B14">
            <w:pPr>
              <w:pStyle w:val="Tables"/>
              <w:jc w:val="left"/>
            </w:pPr>
            <w:r w:rsidRPr="00B95B14">
              <w:t>Madras</w:t>
            </w:r>
          </w:p>
        </w:tc>
        <w:tc>
          <w:tcPr>
            <w:tcW w:w="1134" w:type="dxa"/>
            <w:vAlign w:val="center"/>
          </w:tcPr>
          <w:p w14:paraId="5F49F031" w14:textId="0E4E1EA5" w:rsidR="00E529C9" w:rsidRPr="000A6E2D" w:rsidRDefault="00E529C9" w:rsidP="008E05BF">
            <w:pPr>
              <w:pStyle w:val="Tables"/>
            </w:pPr>
            <w:r w:rsidRPr="000A6E2D">
              <w:t>33·50</w:t>
            </w:r>
          </w:p>
        </w:tc>
        <w:tc>
          <w:tcPr>
            <w:tcW w:w="1276" w:type="dxa"/>
            <w:vAlign w:val="center"/>
          </w:tcPr>
          <w:p w14:paraId="3290774C" w14:textId="65FA5F7B" w:rsidR="00E529C9" w:rsidRPr="000A6E2D" w:rsidRDefault="00E529C9" w:rsidP="008E05BF">
            <w:pPr>
              <w:pStyle w:val="Tables"/>
            </w:pPr>
            <w:r w:rsidRPr="000A6E2D">
              <w:rPr>
                <w:color w:val="1A1C1E"/>
                <w:shd w:val="clear" w:color="auto" w:fill="FFFFFF"/>
              </w:rPr>
              <w:t>23·32</w:t>
            </w:r>
          </w:p>
        </w:tc>
        <w:tc>
          <w:tcPr>
            <w:tcW w:w="1843" w:type="dxa"/>
            <w:vAlign w:val="center"/>
          </w:tcPr>
          <w:p w14:paraId="6B3D5CDF" w14:textId="512DCCB9" w:rsidR="00E529C9" w:rsidRPr="000A6E2D" w:rsidRDefault="00E529C9" w:rsidP="008E05BF">
            <w:pPr>
              <w:pStyle w:val="Tables"/>
            </w:pPr>
            <w:r w:rsidRPr="000A6E2D">
              <w:rPr>
                <w:color w:val="1A1C1E"/>
                <w:shd w:val="clear" w:color="auto" w:fill="FFFFFF"/>
              </w:rPr>
              <w:t>9·42</w:t>
            </w:r>
          </w:p>
        </w:tc>
        <w:tc>
          <w:tcPr>
            <w:tcW w:w="1843" w:type="dxa"/>
            <w:vAlign w:val="center"/>
          </w:tcPr>
          <w:p w14:paraId="2C20D50B" w14:textId="3D6BE556" w:rsidR="00E529C9" w:rsidRPr="000A6E2D" w:rsidRDefault="00E529C9" w:rsidP="008E05BF">
            <w:pPr>
              <w:pStyle w:val="Tables"/>
            </w:pPr>
            <w:r w:rsidRPr="000A6E2D">
              <w:rPr>
                <w:color w:val="1A1C1E"/>
                <w:shd w:val="clear" w:color="auto" w:fill="FFFFFF"/>
              </w:rPr>
              <w:t>0·59</w:t>
            </w:r>
          </w:p>
        </w:tc>
      </w:tr>
      <w:tr w:rsidR="009C765A" w:rsidRPr="000A6E2D" w14:paraId="6F72E5C7" w14:textId="77777777" w:rsidTr="008E05BF">
        <w:trPr>
          <w:trHeight w:val="20"/>
          <w:jc w:val="center"/>
        </w:trPr>
        <w:tc>
          <w:tcPr>
            <w:tcW w:w="2263" w:type="dxa"/>
            <w:vAlign w:val="center"/>
          </w:tcPr>
          <w:p w14:paraId="6195E2F8" w14:textId="6F289A3A" w:rsidR="00E529C9" w:rsidRPr="00B95B14" w:rsidRDefault="00E529C9" w:rsidP="00B95B14">
            <w:pPr>
              <w:pStyle w:val="Tables"/>
              <w:jc w:val="left"/>
            </w:pPr>
            <w:r w:rsidRPr="00B95B14">
              <w:t>Bombay</w:t>
            </w:r>
          </w:p>
        </w:tc>
        <w:tc>
          <w:tcPr>
            <w:tcW w:w="1134" w:type="dxa"/>
            <w:vAlign w:val="center"/>
          </w:tcPr>
          <w:p w14:paraId="4E312594" w14:textId="0167D701" w:rsidR="00E529C9" w:rsidRPr="000A6E2D" w:rsidRDefault="00E529C9" w:rsidP="008E05BF">
            <w:pPr>
              <w:pStyle w:val="Tables"/>
            </w:pPr>
            <w:r w:rsidRPr="000A6E2D">
              <w:t>17·29</w:t>
            </w:r>
          </w:p>
        </w:tc>
        <w:tc>
          <w:tcPr>
            <w:tcW w:w="1276" w:type="dxa"/>
            <w:vAlign w:val="center"/>
          </w:tcPr>
          <w:p w14:paraId="4E7B754F" w14:textId="07AFF6A4" w:rsidR="00E529C9" w:rsidRPr="000A6E2D" w:rsidRDefault="00E529C9" w:rsidP="008E05BF">
            <w:pPr>
              <w:pStyle w:val="Tables"/>
            </w:pPr>
            <w:r w:rsidRPr="000A6E2D">
              <w:rPr>
                <w:color w:val="1A1C1E"/>
                <w:shd w:val="clear" w:color="auto" w:fill="FFFFFF"/>
              </w:rPr>
              <w:t>13·29</w:t>
            </w:r>
          </w:p>
        </w:tc>
        <w:tc>
          <w:tcPr>
            <w:tcW w:w="1843" w:type="dxa"/>
            <w:vAlign w:val="center"/>
          </w:tcPr>
          <w:p w14:paraId="715029AB" w14:textId="7CC17D8E" w:rsidR="00E529C9" w:rsidRPr="000A6E2D" w:rsidRDefault="00E529C9" w:rsidP="008E05BF">
            <w:pPr>
              <w:pStyle w:val="Tables"/>
            </w:pPr>
            <w:r w:rsidRPr="000A6E2D">
              <w:rPr>
                <w:color w:val="1A1C1E"/>
                <w:shd w:val="clear" w:color="auto" w:fill="FFFFFF"/>
              </w:rPr>
              <w:t>11·29</w:t>
            </w:r>
          </w:p>
        </w:tc>
        <w:tc>
          <w:tcPr>
            <w:tcW w:w="1843" w:type="dxa"/>
            <w:vAlign w:val="center"/>
          </w:tcPr>
          <w:p w14:paraId="2B5B7A63" w14:textId="1F2A6256" w:rsidR="00E529C9" w:rsidRPr="000A6E2D" w:rsidRDefault="00E529C9" w:rsidP="008E05BF">
            <w:pPr>
              <w:pStyle w:val="Tables"/>
            </w:pPr>
            <w:r w:rsidRPr="000A6E2D">
              <w:rPr>
                <w:color w:val="1A1C1E"/>
                <w:shd w:val="clear" w:color="auto" w:fill="FFFFFF"/>
              </w:rPr>
              <w:t>8·79</w:t>
            </w:r>
          </w:p>
        </w:tc>
      </w:tr>
      <w:tr w:rsidR="009C765A" w:rsidRPr="000A6E2D" w14:paraId="4AAD53E4" w14:textId="77777777" w:rsidTr="008E05BF">
        <w:trPr>
          <w:trHeight w:val="20"/>
          <w:jc w:val="center"/>
        </w:trPr>
        <w:tc>
          <w:tcPr>
            <w:tcW w:w="2263" w:type="dxa"/>
            <w:vAlign w:val="center"/>
          </w:tcPr>
          <w:p w14:paraId="25E5FDE1" w14:textId="362C5A13" w:rsidR="00E529C9" w:rsidRPr="00B95B14" w:rsidRDefault="00E529C9" w:rsidP="00B95B14">
            <w:pPr>
              <w:pStyle w:val="Tables"/>
              <w:jc w:val="left"/>
            </w:pPr>
            <w:r w:rsidRPr="00B95B14">
              <w:t>Bihar</w:t>
            </w:r>
          </w:p>
        </w:tc>
        <w:tc>
          <w:tcPr>
            <w:tcW w:w="1134" w:type="dxa"/>
            <w:vAlign w:val="center"/>
          </w:tcPr>
          <w:p w14:paraId="03495A83" w14:textId="2529FD09" w:rsidR="00E529C9" w:rsidRPr="000A6E2D" w:rsidRDefault="00E529C9" w:rsidP="008E05BF">
            <w:pPr>
              <w:pStyle w:val="Tables"/>
            </w:pPr>
            <w:r w:rsidRPr="000A6E2D">
              <w:t>14·50</w:t>
            </w:r>
          </w:p>
        </w:tc>
        <w:tc>
          <w:tcPr>
            <w:tcW w:w="1276" w:type="dxa"/>
            <w:vAlign w:val="center"/>
          </w:tcPr>
          <w:p w14:paraId="302208CA" w14:textId="56DD1870" w:rsidR="00E529C9" w:rsidRPr="000A6E2D" w:rsidRDefault="00E529C9" w:rsidP="008E05BF">
            <w:pPr>
              <w:pStyle w:val="Tables"/>
            </w:pPr>
            <w:r w:rsidRPr="000A6E2D">
              <w:rPr>
                <w:color w:val="1A1C1E"/>
                <w:shd w:val="clear" w:color="auto" w:fill="FFFFFF"/>
              </w:rPr>
              <w:t>14·50</w:t>
            </w:r>
          </w:p>
        </w:tc>
        <w:tc>
          <w:tcPr>
            <w:tcW w:w="1843" w:type="dxa"/>
            <w:vAlign w:val="center"/>
          </w:tcPr>
          <w:p w14:paraId="24B805E1" w14:textId="309A0638" w:rsidR="00E529C9" w:rsidRPr="000A6E2D" w:rsidRDefault="00E529C9" w:rsidP="008E05BF">
            <w:pPr>
              <w:pStyle w:val="Tables"/>
            </w:pPr>
            <w:r w:rsidRPr="000A6E2D">
              <w:rPr>
                <w:color w:val="1A1C1E"/>
                <w:shd w:val="clear" w:color="auto" w:fill="FFFFFF"/>
              </w:rPr>
              <w:t>8·50</w:t>
            </w:r>
          </w:p>
        </w:tc>
        <w:tc>
          <w:tcPr>
            <w:tcW w:w="1843" w:type="dxa"/>
            <w:vAlign w:val="center"/>
          </w:tcPr>
          <w:p w14:paraId="42C640B6" w14:textId="2FA916D7" w:rsidR="00E529C9" w:rsidRPr="000A6E2D" w:rsidRDefault="00E529C9" w:rsidP="008E05BF">
            <w:pPr>
              <w:pStyle w:val="Tables"/>
            </w:pPr>
            <w:r w:rsidRPr="000A6E2D">
              <w:rPr>
                <w:color w:val="1A1C1E"/>
                <w:shd w:val="clear" w:color="auto" w:fill="FFFFFF"/>
              </w:rPr>
              <w:t>5·50</w:t>
            </w:r>
          </w:p>
        </w:tc>
      </w:tr>
      <w:tr w:rsidR="009C765A" w:rsidRPr="000A6E2D" w14:paraId="713B0831" w14:textId="77777777" w:rsidTr="008E05BF">
        <w:trPr>
          <w:trHeight w:val="20"/>
          <w:jc w:val="center"/>
        </w:trPr>
        <w:tc>
          <w:tcPr>
            <w:tcW w:w="2263" w:type="dxa"/>
            <w:vAlign w:val="center"/>
          </w:tcPr>
          <w:p w14:paraId="7678407F" w14:textId="1FED4E37" w:rsidR="00E529C9" w:rsidRPr="00B95B14" w:rsidRDefault="00E529C9" w:rsidP="00B95B14">
            <w:pPr>
              <w:pStyle w:val="Tables"/>
              <w:jc w:val="left"/>
            </w:pPr>
            <w:r w:rsidRPr="00B95B14">
              <w:t>Madhya Pradesh</w:t>
            </w:r>
          </w:p>
        </w:tc>
        <w:tc>
          <w:tcPr>
            <w:tcW w:w="1134" w:type="dxa"/>
            <w:vAlign w:val="center"/>
          </w:tcPr>
          <w:p w14:paraId="7E4F2CD6" w14:textId="6DDE4C79" w:rsidR="00E529C9" w:rsidRPr="000A6E2D" w:rsidRDefault="00E529C9" w:rsidP="008E05BF">
            <w:pPr>
              <w:pStyle w:val="Tables"/>
            </w:pPr>
            <w:r w:rsidRPr="000A6E2D">
              <w:t>11·49</w:t>
            </w:r>
          </w:p>
        </w:tc>
        <w:tc>
          <w:tcPr>
            <w:tcW w:w="1276" w:type="dxa"/>
            <w:vAlign w:val="center"/>
          </w:tcPr>
          <w:p w14:paraId="3E7812BE" w14:textId="0428BC84" w:rsidR="00E529C9" w:rsidRPr="000A6E2D" w:rsidRDefault="00E529C9" w:rsidP="008E05BF">
            <w:pPr>
              <w:pStyle w:val="Tables"/>
            </w:pPr>
            <w:r w:rsidRPr="000A6E2D">
              <w:rPr>
                <w:color w:val="1A1C1E"/>
                <w:shd w:val="clear" w:color="auto" w:fill="FFFFFF"/>
              </w:rPr>
              <w:t>11·34</w:t>
            </w:r>
          </w:p>
        </w:tc>
        <w:tc>
          <w:tcPr>
            <w:tcW w:w="1843" w:type="dxa"/>
            <w:vAlign w:val="center"/>
          </w:tcPr>
          <w:p w14:paraId="1F73C663" w14:textId="61C2E657" w:rsidR="00E529C9" w:rsidRPr="000A6E2D" w:rsidRDefault="00E529C9" w:rsidP="008E05BF">
            <w:pPr>
              <w:pStyle w:val="Tables"/>
            </w:pPr>
            <w:r w:rsidRPr="000A6E2D">
              <w:rPr>
                <w:color w:val="1A1C1E"/>
                <w:shd w:val="clear" w:color="auto" w:fill="FFFFFF"/>
              </w:rPr>
              <w:t>10·74</w:t>
            </w:r>
          </w:p>
        </w:tc>
        <w:tc>
          <w:tcPr>
            <w:tcW w:w="1843" w:type="dxa"/>
            <w:vAlign w:val="center"/>
          </w:tcPr>
          <w:p w14:paraId="378E82C1" w14:textId="67201BA2" w:rsidR="00E529C9" w:rsidRPr="000A6E2D" w:rsidRDefault="00E529C9" w:rsidP="008E05BF">
            <w:pPr>
              <w:pStyle w:val="Tables"/>
            </w:pPr>
            <w:r w:rsidRPr="000A6E2D">
              <w:rPr>
                <w:color w:val="1A1C1E"/>
                <w:shd w:val="clear" w:color="auto" w:fill="FFFFFF"/>
              </w:rPr>
              <w:t>9·84</w:t>
            </w:r>
          </w:p>
        </w:tc>
      </w:tr>
      <w:tr w:rsidR="009C765A" w:rsidRPr="000A6E2D" w14:paraId="5F55E114" w14:textId="77777777" w:rsidTr="008E05BF">
        <w:trPr>
          <w:trHeight w:val="20"/>
          <w:jc w:val="center"/>
        </w:trPr>
        <w:tc>
          <w:tcPr>
            <w:tcW w:w="2263" w:type="dxa"/>
            <w:vAlign w:val="center"/>
          </w:tcPr>
          <w:p w14:paraId="00B63717" w14:textId="0D33DB42" w:rsidR="009C765A" w:rsidRPr="00B95B14" w:rsidRDefault="009C765A" w:rsidP="00B95B14">
            <w:pPr>
              <w:pStyle w:val="Tables"/>
              <w:jc w:val="left"/>
            </w:pPr>
            <w:r w:rsidRPr="00B95B14">
              <w:t>Uttar Pradesh</w:t>
            </w:r>
          </w:p>
        </w:tc>
        <w:tc>
          <w:tcPr>
            <w:tcW w:w="1134" w:type="dxa"/>
            <w:vAlign w:val="center"/>
          </w:tcPr>
          <w:p w14:paraId="696C276C" w14:textId="196F3464" w:rsidR="009C765A" w:rsidRPr="000A6E2D" w:rsidRDefault="009C765A" w:rsidP="008E05BF">
            <w:pPr>
              <w:pStyle w:val="Tables"/>
            </w:pPr>
            <w:r w:rsidRPr="000A6E2D">
              <w:t>13·00</w:t>
            </w:r>
          </w:p>
        </w:tc>
        <w:tc>
          <w:tcPr>
            <w:tcW w:w="1276" w:type="dxa"/>
            <w:vAlign w:val="center"/>
          </w:tcPr>
          <w:p w14:paraId="753151AB" w14:textId="5A39A9C2" w:rsidR="009C765A" w:rsidRPr="000A6E2D" w:rsidRDefault="009C765A" w:rsidP="008E05BF">
            <w:pPr>
              <w:pStyle w:val="Tables"/>
            </w:pPr>
            <w:r w:rsidRPr="000A6E2D">
              <w:rPr>
                <w:color w:val="1A1C1E"/>
                <w:shd w:val="clear" w:color="auto" w:fill="FFFFFF"/>
              </w:rPr>
              <w:t>12·99</w:t>
            </w:r>
          </w:p>
        </w:tc>
        <w:tc>
          <w:tcPr>
            <w:tcW w:w="1843" w:type="dxa"/>
            <w:vAlign w:val="center"/>
          </w:tcPr>
          <w:p w14:paraId="001706F5" w14:textId="7132519D" w:rsidR="009C765A" w:rsidRPr="000A6E2D" w:rsidRDefault="009C765A" w:rsidP="008E05BF">
            <w:pPr>
              <w:pStyle w:val="Tables"/>
            </w:pPr>
            <w:r w:rsidRPr="000A6E2D">
              <w:rPr>
                <w:color w:val="1A1C1E"/>
                <w:shd w:val="clear" w:color="auto" w:fill="FFFFFF"/>
              </w:rPr>
              <w:t>12·58</w:t>
            </w:r>
          </w:p>
        </w:tc>
        <w:tc>
          <w:tcPr>
            <w:tcW w:w="1843" w:type="dxa"/>
            <w:vAlign w:val="center"/>
          </w:tcPr>
          <w:p w14:paraId="0E72A5F8" w14:textId="3271E195" w:rsidR="009C765A" w:rsidRPr="000A6E2D" w:rsidRDefault="009C765A" w:rsidP="008E05BF">
            <w:pPr>
              <w:pStyle w:val="Tables"/>
            </w:pPr>
            <w:r w:rsidRPr="000A6E2D">
              <w:rPr>
                <w:color w:val="1A1C1E"/>
                <w:shd w:val="clear" w:color="auto" w:fill="FFFFFF"/>
              </w:rPr>
              <w:t>12·58</w:t>
            </w:r>
          </w:p>
        </w:tc>
      </w:tr>
      <w:tr w:rsidR="009C765A" w:rsidRPr="000A6E2D" w14:paraId="05EC8422" w14:textId="77777777" w:rsidTr="008E05BF">
        <w:trPr>
          <w:trHeight w:val="20"/>
          <w:jc w:val="center"/>
        </w:trPr>
        <w:tc>
          <w:tcPr>
            <w:tcW w:w="2263" w:type="dxa"/>
            <w:vAlign w:val="center"/>
          </w:tcPr>
          <w:p w14:paraId="6A35CD4A" w14:textId="45394774" w:rsidR="009C765A" w:rsidRPr="00B95B14" w:rsidRDefault="009C765A" w:rsidP="00B95B14">
            <w:pPr>
              <w:pStyle w:val="Tables"/>
              <w:jc w:val="left"/>
            </w:pPr>
            <w:r w:rsidRPr="00B95B14">
              <w:t>Assam</w:t>
            </w:r>
          </w:p>
        </w:tc>
        <w:tc>
          <w:tcPr>
            <w:tcW w:w="1134" w:type="dxa"/>
            <w:vAlign w:val="center"/>
          </w:tcPr>
          <w:p w14:paraId="2D11745D" w14:textId="55E7DA2F" w:rsidR="009C765A" w:rsidRPr="000A6E2D" w:rsidRDefault="009C765A" w:rsidP="008E05BF">
            <w:pPr>
              <w:pStyle w:val="Tables"/>
            </w:pPr>
            <w:r w:rsidRPr="000A6E2D">
              <w:t>1·01</w:t>
            </w:r>
          </w:p>
        </w:tc>
        <w:tc>
          <w:tcPr>
            <w:tcW w:w="1276" w:type="dxa"/>
            <w:vAlign w:val="center"/>
          </w:tcPr>
          <w:p w14:paraId="11A9DD85" w14:textId="3AAA1ABC" w:rsidR="009C765A" w:rsidRPr="000A6E2D" w:rsidRDefault="009C765A" w:rsidP="008E05BF">
            <w:pPr>
              <w:pStyle w:val="Tables"/>
            </w:pPr>
            <w:r w:rsidRPr="000A6E2D">
              <w:rPr>
                <w:color w:val="1A1C1E"/>
                <w:shd w:val="clear" w:color="auto" w:fill="FFFFFF"/>
              </w:rPr>
              <w:t>1·01</w:t>
            </w:r>
          </w:p>
        </w:tc>
        <w:tc>
          <w:tcPr>
            <w:tcW w:w="1843" w:type="dxa"/>
            <w:vAlign w:val="center"/>
          </w:tcPr>
          <w:p w14:paraId="3CA3E09A" w14:textId="2AD07A16" w:rsidR="009C765A" w:rsidRPr="000A6E2D" w:rsidRDefault="009C765A" w:rsidP="008E05BF">
            <w:pPr>
              <w:pStyle w:val="Tables"/>
            </w:pPr>
            <w:r w:rsidRPr="000A6E2D">
              <w:rPr>
                <w:color w:val="1A1C1E"/>
                <w:shd w:val="clear" w:color="auto" w:fill="FFFFFF"/>
              </w:rPr>
              <w:t>0·99</w:t>
            </w:r>
          </w:p>
        </w:tc>
        <w:tc>
          <w:tcPr>
            <w:tcW w:w="1843" w:type="dxa"/>
            <w:vAlign w:val="center"/>
          </w:tcPr>
          <w:p w14:paraId="75EC5101" w14:textId="07EA4753" w:rsidR="009C765A" w:rsidRPr="000A6E2D" w:rsidRDefault="009C765A" w:rsidP="008E05BF">
            <w:pPr>
              <w:pStyle w:val="Tables"/>
            </w:pPr>
            <w:r w:rsidRPr="000A6E2D">
              <w:rPr>
                <w:color w:val="1A1C1E"/>
                <w:shd w:val="clear" w:color="auto" w:fill="FFFFFF"/>
              </w:rPr>
              <w:t>0·97</w:t>
            </w:r>
          </w:p>
        </w:tc>
      </w:tr>
      <w:tr w:rsidR="009C765A" w:rsidRPr="000A6E2D" w14:paraId="74D8C347" w14:textId="77777777" w:rsidTr="008E05BF">
        <w:trPr>
          <w:trHeight w:val="20"/>
          <w:jc w:val="center"/>
        </w:trPr>
        <w:tc>
          <w:tcPr>
            <w:tcW w:w="2263" w:type="dxa"/>
            <w:vAlign w:val="center"/>
          </w:tcPr>
          <w:p w14:paraId="6BE1A43C" w14:textId="604EB224" w:rsidR="009C765A" w:rsidRPr="00B95B14" w:rsidRDefault="009C765A" w:rsidP="00B95B14">
            <w:pPr>
              <w:pStyle w:val="Tables"/>
              <w:jc w:val="left"/>
            </w:pPr>
            <w:r w:rsidRPr="00B95B14">
              <w:t>Total</w:t>
            </w:r>
          </w:p>
        </w:tc>
        <w:tc>
          <w:tcPr>
            <w:tcW w:w="1134" w:type="dxa"/>
            <w:vAlign w:val="center"/>
          </w:tcPr>
          <w:p w14:paraId="4A66753A" w14:textId="104D86AE" w:rsidR="009C765A" w:rsidRPr="00B95B14" w:rsidRDefault="009C765A" w:rsidP="008E05BF">
            <w:pPr>
              <w:pStyle w:val="Tables"/>
            </w:pPr>
            <w:r w:rsidRPr="00B95B14">
              <w:t>90·79</w:t>
            </w:r>
          </w:p>
        </w:tc>
        <w:tc>
          <w:tcPr>
            <w:tcW w:w="1276" w:type="dxa"/>
            <w:vAlign w:val="center"/>
          </w:tcPr>
          <w:p w14:paraId="57AC0D68" w14:textId="1AE86507" w:rsidR="009C765A" w:rsidRPr="00B95B14" w:rsidRDefault="009C765A" w:rsidP="008E05BF">
            <w:pPr>
              <w:pStyle w:val="Tables"/>
            </w:pPr>
            <w:r w:rsidRPr="00B95B14">
              <w:rPr>
                <w:color w:val="1A1C1E"/>
                <w:shd w:val="clear" w:color="auto" w:fill="FFFFFF"/>
              </w:rPr>
              <w:t>76·45</w:t>
            </w:r>
          </w:p>
        </w:tc>
        <w:tc>
          <w:tcPr>
            <w:tcW w:w="1843" w:type="dxa"/>
            <w:vAlign w:val="center"/>
          </w:tcPr>
          <w:p w14:paraId="7E8B38BA" w14:textId="60787883" w:rsidR="009C765A" w:rsidRPr="00B95B14" w:rsidRDefault="009C765A" w:rsidP="008E05BF">
            <w:pPr>
              <w:pStyle w:val="Tables"/>
            </w:pPr>
            <w:r w:rsidRPr="00B95B14">
              <w:rPr>
                <w:color w:val="1A1C1E"/>
                <w:shd w:val="clear" w:color="auto" w:fill="FFFFFF"/>
              </w:rPr>
              <w:t>53·52</w:t>
            </w:r>
          </w:p>
        </w:tc>
        <w:tc>
          <w:tcPr>
            <w:tcW w:w="1843" w:type="dxa"/>
            <w:vAlign w:val="center"/>
          </w:tcPr>
          <w:p w14:paraId="3E0C31A1" w14:textId="7468820F" w:rsidR="009C765A" w:rsidRPr="00B95B14" w:rsidRDefault="009C765A" w:rsidP="008E05BF">
            <w:pPr>
              <w:pStyle w:val="Tables"/>
            </w:pPr>
            <w:r w:rsidRPr="00B95B14">
              <w:rPr>
                <w:color w:val="1A1C1E"/>
                <w:shd w:val="clear" w:color="auto" w:fill="FFFFFF"/>
              </w:rPr>
              <w:t>38·27</w:t>
            </w:r>
          </w:p>
        </w:tc>
      </w:tr>
    </w:tbl>
    <w:p w14:paraId="4939E308" w14:textId="1E8037C4" w:rsidR="009C765A" w:rsidRPr="000A6E2D" w:rsidRDefault="009C765A" w:rsidP="000A6E2D">
      <w:pPr>
        <w:tabs>
          <w:tab w:val="left" w:pos="1350"/>
        </w:tabs>
        <w:spacing w:after="0" w:line="380" w:lineRule="exact"/>
        <w:jc w:val="both"/>
        <w:rPr>
          <w:rFonts w:ascii="Times New Roman" w:hAnsi="Times New Roman" w:cs="Times New Roman"/>
          <w:sz w:val="28"/>
          <w:szCs w:val="28"/>
        </w:rPr>
      </w:pPr>
    </w:p>
    <w:p w14:paraId="11919D5B" w14:textId="77777777" w:rsidR="009C765A" w:rsidRPr="000A6E2D" w:rsidRDefault="009C765A" w:rsidP="0076234B">
      <w:pPr>
        <w:tabs>
          <w:tab w:val="left" w:pos="1350"/>
        </w:tabs>
        <w:spacing w:after="0" w:line="520" w:lineRule="exact"/>
        <w:jc w:val="both"/>
        <w:rPr>
          <w:rFonts w:ascii="Times New Roman" w:hAnsi="Times New Roman" w:cs="Times New Roman"/>
          <w:sz w:val="28"/>
          <w:szCs w:val="28"/>
        </w:rPr>
      </w:pPr>
      <w:r w:rsidRPr="000A6E2D">
        <w:rPr>
          <w:rFonts w:ascii="Times New Roman" w:hAnsi="Times New Roman" w:cs="Times New Roman"/>
          <w:sz w:val="28"/>
          <w:szCs w:val="28"/>
        </w:rPr>
        <w:t>The balances have been utilised for meeting revenue deficits and financing capital expenditure.</w:t>
      </w:r>
    </w:p>
    <w:p w14:paraId="1B34973A" w14:textId="52A64510" w:rsidR="00F52737" w:rsidRPr="000A6E2D" w:rsidRDefault="009C765A" w:rsidP="0076234B">
      <w:pPr>
        <w:pStyle w:val="ListParagraph"/>
        <w:numPr>
          <w:ilvl w:val="0"/>
          <w:numId w:val="29"/>
        </w:numPr>
        <w:spacing w:after="0" w:line="520" w:lineRule="exact"/>
        <w:ind w:left="0" w:firstLine="556"/>
        <w:jc w:val="both"/>
        <w:rPr>
          <w:rFonts w:ascii="Times New Roman" w:hAnsi="Times New Roman" w:cs="Times New Roman"/>
          <w:sz w:val="28"/>
          <w:szCs w:val="28"/>
        </w:rPr>
      </w:pPr>
      <w:r w:rsidRPr="000A6E2D">
        <w:rPr>
          <w:rFonts w:ascii="Times New Roman" w:hAnsi="Times New Roman" w:cs="Times New Roman"/>
          <w:sz w:val="28"/>
          <w:szCs w:val="28"/>
        </w:rPr>
        <w:lastRenderedPageBreak/>
        <w:t>Comparable figures of reserves are not available for all Part B States. It is only possible to state that at the time of federal financial integration, most of these States had substantial reserves which have since gone down. The claims of the Centre to a part of these reserves arising out of the allocation of assets and liabilities on financial integration have also still to be met by some States. It would appear that only a small part of the outstanding reserves of Part B States would be available to meet their revenue deficits or capital expenditure.</w:t>
      </w:r>
    </w:p>
    <w:p w14:paraId="46272FA0" w14:textId="77777777" w:rsidR="00F52737" w:rsidRPr="000A6E2D" w:rsidRDefault="00F52737" w:rsidP="000A6E2D">
      <w:pPr>
        <w:pStyle w:val="ListParagraph"/>
        <w:tabs>
          <w:tab w:val="left" w:pos="1350"/>
        </w:tabs>
        <w:spacing w:after="0" w:line="380" w:lineRule="exact"/>
        <w:jc w:val="both"/>
        <w:rPr>
          <w:rFonts w:ascii="Times New Roman" w:hAnsi="Times New Roman" w:cs="Times New Roman"/>
          <w:sz w:val="28"/>
          <w:szCs w:val="28"/>
        </w:rPr>
      </w:pPr>
    </w:p>
    <w:p w14:paraId="00B4D66B" w14:textId="736DB2EA" w:rsidR="00F52737" w:rsidRPr="000A6E2D" w:rsidRDefault="00F52737" w:rsidP="000A6E2D">
      <w:pPr>
        <w:spacing w:after="0" w:line="380" w:lineRule="exact"/>
        <w:jc w:val="both"/>
        <w:rPr>
          <w:rFonts w:ascii="Times New Roman" w:hAnsi="Times New Roman" w:cs="Times New Roman"/>
          <w:sz w:val="28"/>
          <w:szCs w:val="28"/>
        </w:rPr>
      </w:pPr>
      <w:r w:rsidRPr="000A6E2D">
        <w:rPr>
          <w:rFonts w:ascii="Times New Roman" w:hAnsi="Times New Roman" w:cs="Times New Roman"/>
          <w:sz w:val="28"/>
          <w:szCs w:val="28"/>
        </w:rPr>
        <w:br w:type="page"/>
      </w:r>
    </w:p>
    <w:p w14:paraId="2B6A7156" w14:textId="77777777" w:rsidR="00B95B14" w:rsidRDefault="00B95B14">
      <w:pPr>
        <w:rPr>
          <w:rFonts w:ascii="Times New Roman" w:eastAsiaTheme="majorEastAsia" w:hAnsi="Times New Roman" w:cs="Times New Roman"/>
          <w:b/>
          <w:bCs/>
          <w:sz w:val="30"/>
          <w:szCs w:val="30"/>
        </w:rPr>
      </w:pPr>
      <w:r>
        <w:lastRenderedPageBreak/>
        <w:br w:type="page"/>
      </w:r>
    </w:p>
    <w:p w14:paraId="6559E695" w14:textId="7911655C" w:rsidR="00F52737" w:rsidRPr="0003452E" w:rsidRDefault="00F52737" w:rsidP="00154A50">
      <w:pPr>
        <w:pStyle w:val="Heading1"/>
      </w:pPr>
      <w:bookmarkStart w:id="5" w:name="_Toc221007114"/>
      <w:r w:rsidRPr="0003452E">
        <w:lastRenderedPageBreak/>
        <w:t>CHAPTER IV</w:t>
      </w:r>
      <w:r w:rsidR="00154A50">
        <w:t xml:space="preserve"> </w:t>
      </w:r>
      <w:r w:rsidR="00154A50">
        <w:br/>
      </w:r>
      <w:r w:rsidRPr="0003452E">
        <w:t>DISTRIBUTION OF INCOME-TAX</w:t>
      </w:r>
      <w:bookmarkEnd w:id="5"/>
    </w:p>
    <w:p w14:paraId="484C50BB" w14:textId="77777777" w:rsidR="00F52737" w:rsidRPr="00154A50" w:rsidRDefault="00F52737" w:rsidP="00154A50">
      <w:pPr>
        <w:pStyle w:val="ListParagraph"/>
        <w:numPr>
          <w:ilvl w:val="0"/>
          <w:numId w:val="30"/>
        </w:numPr>
        <w:spacing w:after="0" w:line="440" w:lineRule="exact"/>
        <w:ind w:left="0" w:firstLine="556"/>
        <w:jc w:val="both"/>
        <w:rPr>
          <w:rFonts w:ascii="Times New Roman" w:hAnsi="Times New Roman" w:cs="Times New Roman"/>
          <w:sz w:val="28"/>
          <w:szCs w:val="28"/>
        </w:rPr>
      </w:pPr>
      <w:r w:rsidRPr="00154A50">
        <w:rPr>
          <w:rFonts w:ascii="Times New Roman" w:hAnsi="Times New Roman" w:cs="Times New Roman"/>
          <w:i/>
          <w:iCs/>
          <w:sz w:val="28"/>
          <w:szCs w:val="28"/>
        </w:rPr>
        <w:t>Constitutional provisions -</w:t>
      </w:r>
      <w:r w:rsidRPr="00154A50">
        <w:rPr>
          <w:rFonts w:ascii="Times New Roman" w:hAnsi="Times New Roman" w:cs="Times New Roman"/>
          <w:sz w:val="28"/>
          <w:szCs w:val="28"/>
        </w:rPr>
        <w:t xml:space="preserve"> Under Article 270 of the Constitution we have to make recommendations to the President in regard to three matters. They are: (1) the percentage of the net proceeds of income-tax which should be assigned to the States, (2) the manner in which the share so assigned shall be distributed among the States and (3) the percentage of the net proceeds of the tax which shall be deemed to represent proceeds attributable to the Part C States.</w:t>
      </w:r>
    </w:p>
    <w:p w14:paraId="32C1E030" w14:textId="1A443D91" w:rsidR="00F52737" w:rsidRPr="00154A50" w:rsidRDefault="00F52737" w:rsidP="00154A50">
      <w:pPr>
        <w:pStyle w:val="ListParagraph"/>
        <w:numPr>
          <w:ilvl w:val="0"/>
          <w:numId w:val="30"/>
        </w:numPr>
        <w:spacing w:after="0" w:line="440" w:lineRule="exact"/>
        <w:ind w:left="0" w:firstLine="556"/>
        <w:jc w:val="both"/>
        <w:rPr>
          <w:rFonts w:ascii="Times New Roman" w:hAnsi="Times New Roman" w:cs="Times New Roman"/>
          <w:sz w:val="28"/>
          <w:szCs w:val="28"/>
        </w:rPr>
      </w:pPr>
      <w:r w:rsidRPr="00154A50">
        <w:rPr>
          <w:rFonts w:ascii="Times New Roman" w:hAnsi="Times New Roman" w:cs="Times New Roman"/>
          <w:i/>
          <w:iCs/>
          <w:sz w:val="28"/>
          <w:szCs w:val="28"/>
        </w:rPr>
        <w:t>Present arrangements -</w:t>
      </w:r>
      <w:r w:rsidRPr="00154A50">
        <w:rPr>
          <w:rFonts w:ascii="Times New Roman" w:hAnsi="Times New Roman" w:cs="Times New Roman"/>
          <w:sz w:val="28"/>
          <w:szCs w:val="28"/>
        </w:rPr>
        <w:t xml:space="preserve"> We have given in Chapter II an account of the developments leading to the provision in Article 270 and the changes that have taken place from time to time in the allocation of income-tax between the Centre and the States. At present fifty per cent of the net proceeds of income-tax, exclusive of the proceeds attributable to Part C States and the proceeds of taxes payable in respect of Union emoluments is assigned to the States. As a transitional arrangement, out of the sums so assigned each Part B State is entitled to receive fifty per cent of the net proceeds of the tax levied and collected in that State while each Part A State, in whose territory former Indian States have been-merged, is entitled to receive fifty per cent of the net proceeds of the tax levied and collected in the merged territories within that State. The balance is distributed among the Part A States as follows:-</w:t>
      </w:r>
    </w:p>
    <w:p w14:paraId="02FA8F97" w14:textId="77777777" w:rsidR="00F52737" w:rsidRPr="00154A50" w:rsidRDefault="00F52737" w:rsidP="00154A50">
      <w:pPr>
        <w:tabs>
          <w:tab w:val="left" w:pos="1350"/>
        </w:tabs>
        <w:spacing w:after="0" w:line="440" w:lineRule="exact"/>
        <w:jc w:val="both"/>
        <w:rPr>
          <w:rFonts w:ascii="Times New Roman" w:hAnsi="Times New Roman" w:cs="Times New Roman"/>
          <w:sz w:val="28"/>
          <w:szCs w:val="28"/>
        </w:rPr>
      </w:pPr>
    </w:p>
    <w:tbl>
      <w:tblPr>
        <w:tblStyle w:val="TableGrid"/>
        <w:tblW w:w="5826" w:type="dxa"/>
        <w:jc w:val="center"/>
        <w:tblLook w:val="04A0" w:firstRow="1" w:lastRow="0" w:firstColumn="1" w:lastColumn="0" w:noHBand="0" w:noVBand="1"/>
      </w:tblPr>
      <w:tblGrid>
        <w:gridCol w:w="3266"/>
        <w:gridCol w:w="2560"/>
      </w:tblGrid>
      <w:tr w:rsidR="00F52737" w:rsidRPr="00154A50" w14:paraId="117A704C" w14:textId="77777777" w:rsidTr="00154A50">
        <w:trPr>
          <w:trHeight w:val="71"/>
          <w:jc w:val="center"/>
        </w:trPr>
        <w:tc>
          <w:tcPr>
            <w:tcW w:w="3216" w:type="dxa"/>
            <w:hideMark/>
          </w:tcPr>
          <w:p w14:paraId="52C26B80" w14:textId="77777777" w:rsidR="00F52737" w:rsidRPr="00B95B14" w:rsidRDefault="00F52737" w:rsidP="00154A50">
            <w:pPr>
              <w:pStyle w:val="Tables"/>
              <w:rPr>
                <w:b/>
                <w:bCs/>
              </w:rPr>
            </w:pPr>
          </w:p>
        </w:tc>
        <w:tc>
          <w:tcPr>
            <w:tcW w:w="2520" w:type="dxa"/>
            <w:hideMark/>
          </w:tcPr>
          <w:p w14:paraId="07A2F415" w14:textId="77777777" w:rsidR="00F52737" w:rsidRPr="00B95B14" w:rsidRDefault="00F52737" w:rsidP="00154A50">
            <w:pPr>
              <w:pStyle w:val="Tables"/>
              <w:rPr>
                <w:b/>
                <w:bCs/>
              </w:rPr>
            </w:pPr>
            <w:r w:rsidRPr="00B95B14">
              <w:rPr>
                <w:b/>
                <w:bCs/>
              </w:rPr>
              <w:t>Per cent</w:t>
            </w:r>
          </w:p>
        </w:tc>
      </w:tr>
      <w:tr w:rsidR="00F52737" w:rsidRPr="00154A50" w14:paraId="0C963275" w14:textId="77777777" w:rsidTr="00154A50">
        <w:trPr>
          <w:trHeight w:val="73"/>
          <w:jc w:val="center"/>
        </w:trPr>
        <w:tc>
          <w:tcPr>
            <w:tcW w:w="3216" w:type="dxa"/>
            <w:hideMark/>
          </w:tcPr>
          <w:p w14:paraId="2132BC99" w14:textId="77777777" w:rsidR="00F52737" w:rsidRPr="00154A50" w:rsidRDefault="00F52737" w:rsidP="00154A50">
            <w:pPr>
              <w:pStyle w:val="Tables"/>
            </w:pPr>
            <w:r w:rsidRPr="00154A50">
              <w:t>Assam</w:t>
            </w:r>
          </w:p>
        </w:tc>
        <w:tc>
          <w:tcPr>
            <w:tcW w:w="2520" w:type="dxa"/>
            <w:hideMark/>
          </w:tcPr>
          <w:p w14:paraId="3279FAC5" w14:textId="77777777" w:rsidR="00F52737" w:rsidRPr="00154A50" w:rsidRDefault="00F52737" w:rsidP="00C53EA9">
            <w:pPr>
              <w:pStyle w:val="Tables"/>
            </w:pPr>
            <w:r w:rsidRPr="00154A50">
              <w:t>3</w:t>
            </w:r>
          </w:p>
        </w:tc>
      </w:tr>
      <w:tr w:rsidR="00F52737" w:rsidRPr="00154A50" w14:paraId="3299D58C" w14:textId="77777777" w:rsidTr="00154A50">
        <w:trPr>
          <w:trHeight w:val="71"/>
          <w:jc w:val="center"/>
        </w:trPr>
        <w:tc>
          <w:tcPr>
            <w:tcW w:w="3216" w:type="dxa"/>
            <w:hideMark/>
          </w:tcPr>
          <w:p w14:paraId="791A72A4" w14:textId="77777777" w:rsidR="00F52737" w:rsidRPr="00154A50" w:rsidRDefault="00F52737" w:rsidP="00154A50">
            <w:pPr>
              <w:pStyle w:val="Tables"/>
            </w:pPr>
            <w:r w:rsidRPr="00154A50">
              <w:t>Bihar</w:t>
            </w:r>
          </w:p>
        </w:tc>
        <w:tc>
          <w:tcPr>
            <w:tcW w:w="2520" w:type="dxa"/>
            <w:hideMark/>
          </w:tcPr>
          <w:p w14:paraId="06ACEA01" w14:textId="18658F3F" w:rsidR="00F52737" w:rsidRPr="00154A50" w:rsidRDefault="00F52737" w:rsidP="00C53EA9">
            <w:pPr>
              <w:pStyle w:val="Tables"/>
            </w:pPr>
            <w:r w:rsidRPr="00154A50">
              <w:t>12</w:t>
            </w:r>
            <w:r w:rsidR="00C53EA9">
              <w:t>.</w:t>
            </w:r>
            <w:r w:rsidRPr="00154A50">
              <w:t>5</w:t>
            </w:r>
          </w:p>
        </w:tc>
      </w:tr>
      <w:tr w:rsidR="00F52737" w:rsidRPr="00154A50" w14:paraId="38192DC5" w14:textId="77777777" w:rsidTr="00154A50">
        <w:trPr>
          <w:trHeight w:val="71"/>
          <w:jc w:val="center"/>
        </w:trPr>
        <w:tc>
          <w:tcPr>
            <w:tcW w:w="3216" w:type="dxa"/>
            <w:hideMark/>
          </w:tcPr>
          <w:p w14:paraId="52A223A4" w14:textId="77777777" w:rsidR="00F52737" w:rsidRPr="00154A50" w:rsidRDefault="00F52737" w:rsidP="00154A50">
            <w:pPr>
              <w:pStyle w:val="Tables"/>
            </w:pPr>
            <w:r w:rsidRPr="00154A50">
              <w:t>Bombay</w:t>
            </w:r>
          </w:p>
        </w:tc>
        <w:tc>
          <w:tcPr>
            <w:tcW w:w="2520" w:type="dxa"/>
            <w:hideMark/>
          </w:tcPr>
          <w:p w14:paraId="313E24DE" w14:textId="77777777" w:rsidR="00F52737" w:rsidRPr="00154A50" w:rsidRDefault="00F52737" w:rsidP="00C53EA9">
            <w:pPr>
              <w:pStyle w:val="Tables"/>
            </w:pPr>
            <w:r w:rsidRPr="00154A50">
              <w:t>21</w:t>
            </w:r>
          </w:p>
        </w:tc>
      </w:tr>
      <w:tr w:rsidR="00F52737" w:rsidRPr="00154A50" w14:paraId="475C2344" w14:textId="77777777" w:rsidTr="00154A50">
        <w:trPr>
          <w:trHeight w:val="71"/>
          <w:jc w:val="center"/>
        </w:trPr>
        <w:tc>
          <w:tcPr>
            <w:tcW w:w="3216" w:type="dxa"/>
            <w:hideMark/>
          </w:tcPr>
          <w:p w14:paraId="38FD9F3B" w14:textId="77777777" w:rsidR="00F52737" w:rsidRPr="00154A50" w:rsidRDefault="00F52737" w:rsidP="00154A50">
            <w:pPr>
              <w:pStyle w:val="Tables"/>
            </w:pPr>
            <w:r w:rsidRPr="00154A50">
              <w:t>Madhya Pradesh</w:t>
            </w:r>
          </w:p>
        </w:tc>
        <w:tc>
          <w:tcPr>
            <w:tcW w:w="2520" w:type="dxa"/>
            <w:hideMark/>
          </w:tcPr>
          <w:p w14:paraId="74D26AE7" w14:textId="77777777" w:rsidR="00F52737" w:rsidRPr="00154A50" w:rsidRDefault="00F52737" w:rsidP="00C53EA9">
            <w:pPr>
              <w:pStyle w:val="Tables"/>
            </w:pPr>
            <w:r w:rsidRPr="00154A50">
              <w:t>6</w:t>
            </w:r>
          </w:p>
        </w:tc>
      </w:tr>
      <w:tr w:rsidR="00F52737" w:rsidRPr="00154A50" w14:paraId="1A6AA69D" w14:textId="77777777" w:rsidTr="00154A50">
        <w:trPr>
          <w:trHeight w:val="73"/>
          <w:jc w:val="center"/>
        </w:trPr>
        <w:tc>
          <w:tcPr>
            <w:tcW w:w="3216" w:type="dxa"/>
            <w:hideMark/>
          </w:tcPr>
          <w:p w14:paraId="34C1D194" w14:textId="77777777" w:rsidR="00F52737" w:rsidRPr="00154A50" w:rsidRDefault="00F52737" w:rsidP="00154A50">
            <w:pPr>
              <w:pStyle w:val="Tables"/>
            </w:pPr>
            <w:r w:rsidRPr="00154A50">
              <w:t>Madras</w:t>
            </w:r>
          </w:p>
        </w:tc>
        <w:tc>
          <w:tcPr>
            <w:tcW w:w="2520" w:type="dxa"/>
            <w:hideMark/>
          </w:tcPr>
          <w:p w14:paraId="0A91E77F" w14:textId="0F15F93A" w:rsidR="00F52737" w:rsidRPr="00154A50" w:rsidRDefault="00F52737" w:rsidP="00C53EA9">
            <w:pPr>
              <w:pStyle w:val="Tables"/>
            </w:pPr>
            <w:r w:rsidRPr="00154A50">
              <w:t>17</w:t>
            </w:r>
            <w:r w:rsidR="00C53EA9">
              <w:t>.</w:t>
            </w:r>
            <w:r w:rsidRPr="00154A50">
              <w:t>5</w:t>
            </w:r>
          </w:p>
        </w:tc>
      </w:tr>
      <w:tr w:rsidR="00F52737" w:rsidRPr="00154A50" w14:paraId="5BD424AA" w14:textId="77777777" w:rsidTr="00154A50">
        <w:trPr>
          <w:trHeight w:val="71"/>
          <w:jc w:val="center"/>
        </w:trPr>
        <w:tc>
          <w:tcPr>
            <w:tcW w:w="3216" w:type="dxa"/>
            <w:hideMark/>
          </w:tcPr>
          <w:p w14:paraId="0886A6B6" w14:textId="77777777" w:rsidR="00F52737" w:rsidRPr="00154A50" w:rsidRDefault="00F52737" w:rsidP="00154A50">
            <w:pPr>
              <w:pStyle w:val="Tables"/>
            </w:pPr>
            <w:r w:rsidRPr="00154A50">
              <w:t>Orissa</w:t>
            </w:r>
          </w:p>
        </w:tc>
        <w:tc>
          <w:tcPr>
            <w:tcW w:w="2520" w:type="dxa"/>
            <w:hideMark/>
          </w:tcPr>
          <w:p w14:paraId="30B64725" w14:textId="77777777" w:rsidR="00F52737" w:rsidRPr="00154A50" w:rsidRDefault="00F52737" w:rsidP="00C53EA9">
            <w:pPr>
              <w:pStyle w:val="Tables"/>
            </w:pPr>
            <w:r w:rsidRPr="00154A50">
              <w:t>3</w:t>
            </w:r>
          </w:p>
        </w:tc>
      </w:tr>
      <w:tr w:rsidR="00F52737" w:rsidRPr="00154A50" w14:paraId="132DDDBB" w14:textId="77777777" w:rsidTr="00154A50">
        <w:trPr>
          <w:trHeight w:val="71"/>
          <w:jc w:val="center"/>
        </w:trPr>
        <w:tc>
          <w:tcPr>
            <w:tcW w:w="3216" w:type="dxa"/>
            <w:hideMark/>
          </w:tcPr>
          <w:p w14:paraId="748F7FDF" w14:textId="77777777" w:rsidR="00F52737" w:rsidRPr="00154A50" w:rsidRDefault="00F52737" w:rsidP="00154A50">
            <w:pPr>
              <w:pStyle w:val="Tables"/>
            </w:pPr>
            <w:r w:rsidRPr="00154A50">
              <w:t>Punjab</w:t>
            </w:r>
          </w:p>
        </w:tc>
        <w:tc>
          <w:tcPr>
            <w:tcW w:w="2520" w:type="dxa"/>
            <w:hideMark/>
          </w:tcPr>
          <w:p w14:paraId="4029805A" w14:textId="78922D7C" w:rsidR="00F52737" w:rsidRPr="00154A50" w:rsidRDefault="00F52737" w:rsidP="00C53EA9">
            <w:pPr>
              <w:pStyle w:val="Tables"/>
            </w:pPr>
            <w:r w:rsidRPr="00154A50">
              <w:t>5</w:t>
            </w:r>
            <w:r w:rsidR="00C53EA9">
              <w:t>.</w:t>
            </w:r>
            <w:r w:rsidRPr="00154A50">
              <w:t>5</w:t>
            </w:r>
          </w:p>
        </w:tc>
      </w:tr>
      <w:tr w:rsidR="00F52737" w:rsidRPr="00154A50" w14:paraId="013687BF" w14:textId="77777777" w:rsidTr="00154A50">
        <w:trPr>
          <w:trHeight w:val="73"/>
          <w:jc w:val="center"/>
        </w:trPr>
        <w:tc>
          <w:tcPr>
            <w:tcW w:w="3216" w:type="dxa"/>
            <w:hideMark/>
          </w:tcPr>
          <w:p w14:paraId="61A00B06" w14:textId="77777777" w:rsidR="00F52737" w:rsidRPr="00154A50" w:rsidRDefault="00F52737" w:rsidP="00154A50">
            <w:pPr>
              <w:pStyle w:val="Tables"/>
            </w:pPr>
            <w:r w:rsidRPr="00154A50">
              <w:t>Uttar Pradesh</w:t>
            </w:r>
          </w:p>
        </w:tc>
        <w:tc>
          <w:tcPr>
            <w:tcW w:w="2520" w:type="dxa"/>
            <w:hideMark/>
          </w:tcPr>
          <w:p w14:paraId="53D3D8F1" w14:textId="77777777" w:rsidR="00F52737" w:rsidRPr="00154A50" w:rsidRDefault="00F52737" w:rsidP="00C53EA9">
            <w:pPr>
              <w:pStyle w:val="Tables"/>
            </w:pPr>
            <w:r w:rsidRPr="00154A50">
              <w:t>18</w:t>
            </w:r>
          </w:p>
        </w:tc>
      </w:tr>
      <w:tr w:rsidR="00F52737" w:rsidRPr="00154A50" w14:paraId="129165F5" w14:textId="77777777" w:rsidTr="00154A50">
        <w:trPr>
          <w:trHeight w:val="71"/>
          <w:jc w:val="center"/>
        </w:trPr>
        <w:tc>
          <w:tcPr>
            <w:tcW w:w="3216" w:type="dxa"/>
            <w:hideMark/>
          </w:tcPr>
          <w:p w14:paraId="240256F9" w14:textId="77777777" w:rsidR="00F52737" w:rsidRPr="00154A50" w:rsidRDefault="00F52737" w:rsidP="00154A50">
            <w:pPr>
              <w:pStyle w:val="Tables"/>
            </w:pPr>
            <w:r w:rsidRPr="00154A50">
              <w:t>West Bengal</w:t>
            </w:r>
          </w:p>
        </w:tc>
        <w:tc>
          <w:tcPr>
            <w:tcW w:w="2520" w:type="dxa"/>
            <w:hideMark/>
          </w:tcPr>
          <w:p w14:paraId="08CF44DC" w14:textId="4ADD6AC3" w:rsidR="00F52737" w:rsidRPr="00154A50" w:rsidRDefault="00F52737" w:rsidP="00C53EA9">
            <w:pPr>
              <w:pStyle w:val="Tables"/>
            </w:pPr>
            <w:r w:rsidRPr="00154A50">
              <w:t>13</w:t>
            </w:r>
            <w:r w:rsidR="00C53EA9">
              <w:t>.</w:t>
            </w:r>
            <w:r w:rsidRPr="00154A50">
              <w:t>5</w:t>
            </w:r>
          </w:p>
        </w:tc>
      </w:tr>
    </w:tbl>
    <w:p w14:paraId="7540F2E7" w14:textId="77777777" w:rsidR="00F52737" w:rsidRPr="00154A50" w:rsidRDefault="00F52737" w:rsidP="00154A50">
      <w:pPr>
        <w:tabs>
          <w:tab w:val="left" w:pos="1350"/>
        </w:tabs>
        <w:spacing w:after="0" w:line="440" w:lineRule="exact"/>
        <w:jc w:val="both"/>
        <w:rPr>
          <w:rFonts w:ascii="Times New Roman" w:hAnsi="Times New Roman" w:cs="Times New Roman"/>
          <w:sz w:val="28"/>
          <w:szCs w:val="28"/>
        </w:rPr>
      </w:pPr>
    </w:p>
    <w:p w14:paraId="163B3CB1" w14:textId="181BEB1E" w:rsidR="00617FC7" w:rsidRPr="00154A50" w:rsidRDefault="00F52737" w:rsidP="00C56459">
      <w:pPr>
        <w:spacing w:after="0" w:line="410" w:lineRule="exact"/>
        <w:ind w:firstLine="993"/>
        <w:jc w:val="both"/>
        <w:rPr>
          <w:rFonts w:ascii="Times New Roman" w:hAnsi="Times New Roman" w:cs="Times New Roman"/>
          <w:sz w:val="28"/>
          <w:szCs w:val="28"/>
        </w:rPr>
      </w:pPr>
      <w:r w:rsidRPr="00154A50">
        <w:rPr>
          <w:rFonts w:ascii="Times New Roman" w:hAnsi="Times New Roman" w:cs="Times New Roman"/>
          <w:sz w:val="28"/>
          <w:szCs w:val="28"/>
        </w:rPr>
        <w:t xml:space="preserve">For purposes of working out the divisible pool one per cent of the net proceeds is deemed to be the tax attributable to Part C States. These arrangements will be replaced with effect from the 1st April 1952, by the President, after considering the recommendations of the Finance Commission. We have now to take into account </w:t>
      </w:r>
      <w:r w:rsidRPr="00154A50">
        <w:rPr>
          <w:rFonts w:ascii="Times New Roman" w:hAnsi="Times New Roman" w:cs="Times New Roman"/>
          <w:sz w:val="28"/>
          <w:szCs w:val="28"/>
        </w:rPr>
        <w:lastRenderedPageBreak/>
        <w:t>the</w:t>
      </w:r>
      <w:r w:rsidR="00A86EA0">
        <w:rPr>
          <w:rFonts w:ascii="Times New Roman" w:hAnsi="Times New Roman" w:cs="Times New Roman"/>
          <w:sz w:val="28"/>
          <w:szCs w:val="28"/>
        </w:rPr>
        <w:t xml:space="preserve"> </w:t>
      </w:r>
      <w:r w:rsidR="00617FC7" w:rsidRPr="00154A50">
        <w:rPr>
          <w:rFonts w:ascii="Times New Roman" w:hAnsi="Times New Roman" w:cs="Times New Roman"/>
          <w:sz w:val="28"/>
          <w:szCs w:val="28"/>
        </w:rPr>
        <w:t>Part A States, as reconstituted after the merger of former Indian States, and the Part B States and to devise a scheme of distribution based on principles uniformly applied to all of them.</w:t>
      </w:r>
    </w:p>
    <w:p w14:paraId="79940E51" w14:textId="0FC1D4D4" w:rsidR="00617FC7" w:rsidRPr="00A86EA0" w:rsidRDefault="00617FC7" w:rsidP="00C56459">
      <w:pPr>
        <w:pStyle w:val="ListParagraph"/>
        <w:numPr>
          <w:ilvl w:val="0"/>
          <w:numId w:val="30"/>
        </w:numPr>
        <w:spacing w:after="0" w:line="410" w:lineRule="exact"/>
        <w:ind w:left="0" w:firstLine="556"/>
        <w:jc w:val="both"/>
        <w:rPr>
          <w:rFonts w:ascii="Times New Roman" w:hAnsi="Times New Roman" w:cs="Times New Roman"/>
          <w:sz w:val="28"/>
          <w:szCs w:val="28"/>
        </w:rPr>
      </w:pPr>
      <w:r w:rsidRPr="00A86EA0">
        <w:rPr>
          <w:rFonts w:ascii="Times New Roman" w:hAnsi="Times New Roman" w:cs="Times New Roman"/>
          <w:i/>
          <w:iCs/>
          <w:sz w:val="28"/>
          <w:szCs w:val="28"/>
        </w:rPr>
        <w:t>Claims by States.—</w:t>
      </w:r>
      <w:r w:rsidRPr="00A86EA0">
        <w:rPr>
          <w:rFonts w:ascii="Times New Roman" w:hAnsi="Times New Roman" w:cs="Times New Roman"/>
          <w:sz w:val="28"/>
          <w:szCs w:val="28"/>
        </w:rPr>
        <w:t>It will be convenient to give a brief account of the claims advanced before us by the State Governments separately in regard to the two points affecting them on which we are required to make recommendations, namely, the percentage of the net proceeds of income-tax to be assigned to the States and the distribution of the States' share among them. All the Part A States, except Orissa, suggested an increase in the share assigned to the States from 50 per cent as at present to at least 60 per cent. The Governments of Saurashtra, Rajasthan and Hyderabad made the same claim; the Government of Rajasthan further proposed that the divisible pool should include the proceeds of corporation tax as well. The Governments of Travancore-Cochin and Mysore urged that the States' share should be raised to 70 per cent while the Governments of Orissa and the Patiala and East Punjab States Union did not suggest any change in the present percentage. The Government of Madhya Bharat expressed no view on this aspect of the problem.</w:t>
      </w:r>
    </w:p>
    <w:p w14:paraId="3FF62639" w14:textId="77777777" w:rsidR="00617FC7" w:rsidRPr="00A86EA0" w:rsidRDefault="00617FC7" w:rsidP="00C56459">
      <w:pPr>
        <w:pStyle w:val="ListParagraph"/>
        <w:numPr>
          <w:ilvl w:val="0"/>
          <w:numId w:val="30"/>
        </w:numPr>
        <w:spacing w:after="0" w:line="410" w:lineRule="exact"/>
        <w:ind w:left="0" w:firstLine="556"/>
        <w:jc w:val="both"/>
        <w:rPr>
          <w:rFonts w:ascii="Times New Roman" w:hAnsi="Times New Roman" w:cs="Times New Roman"/>
          <w:sz w:val="28"/>
          <w:szCs w:val="28"/>
        </w:rPr>
      </w:pPr>
      <w:r w:rsidRPr="00A86EA0">
        <w:rPr>
          <w:rFonts w:ascii="Times New Roman" w:hAnsi="Times New Roman" w:cs="Times New Roman"/>
          <w:sz w:val="28"/>
          <w:szCs w:val="28"/>
        </w:rPr>
        <w:t>In regard to the distribution of the States' share we received a variety of suggestions from the State Governments. The Government of Bombay suggested that 25 of the States' share of 60 per cent should be allocated on the basis of collection, 25 on the basis of industrial labour and 10 on the basis of other considerations such as need, backwardness, etc. Alternatively, the State Government were prepared to accept the formula for distribution recommended by the Expert Committee on the Financial Provisions of the Constitution. The State Government held that it would be inappropriate to introduce in the distribution of taxes considerations which would apply to grants-in-aid. They were of the view that the basis of population was unscientific and suggested that the contribution of each State should be the main factor in the allocation of income-tax. It was not an accident, they argued, that the bulk of the collections was made in the industrially advanced States. This position had been built up by the capital and enterprise of the citizens of the State concerned; besides, the existence of big industries and the presence of a large and concentrated population of industrial labour created special problems for these States, as for example in regard to law and order. They pointed out that these States had to provide for the welfare and amenities of industrial labour and could claim a fair share of the revenue from income-tax on these considerations.</w:t>
      </w:r>
    </w:p>
    <w:p w14:paraId="1053FFDD" w14:textId="1FE5429F" w:rsidR="00617FC7" w:rsidRPr="00A86EA0" w:rsidRDefault="00617FC7" w:rsidP="00C56459">
      <w:pPr>
        <w:pStyle w:val="ListParagraph"/>
        <w:numPr>
          <w:ilvl w:val="0"/>
          <w:numId w:val="30"/>
        </w:numPr>
        <w:shd w:val="clear" w:color="auto" w:fill="FFFFFF"/>
        <w:spacing w:after="0" w:line="410" w:lineRule="exact"/>
        <w:ind w:left="0" w:firstLine="556"/>
        <w:jc w:val="both"/>
        <w:rPr>
          <w:rFonts w:ascii="Times New Roman" w:hAnsi="Times New Roman" w:cs="Times New Roman"/>
          <w:color w:val="1A1C1E"/>
          <w:sz w:val="28"/>
          <w:szCs w:val="28"/>
        </w:rPr>
      </w:pPr>
      <w:r w:rsidRPr="00A86EA0">
        <w:rPr>
          <w:rFonts w:ascii="Times New Roman" w:hAnsi="Times New Roman" w:cs="Times New Roman"/>
          <w:sz w:val="28"/>
          <w:szCs w:val="28"/>
        </w:rPr>
        <w:lastRenderedPageBreak/>
        <w:t>The West Bengal Government claimed that, subject to adjustments in regard to economic allegiance, which they admitted would</w:t>
      </w:r>
      <w:r w:rsidR="00A86EA0">
        <w:rPr>
          <w:rFonts w:ascii="Times New Roman" w:hAnsi="Times New Roman" w:cs="Times New Roman"/>
          <w:sz w:val="28"/>
          <w:szCs w:val="28"/>
        </w:rPr>
        <w:t xml:space="preserve"> </w:t>
      </w:r>
      <w:r w:rsidRPr="00A86EA0">
        <w:rPr>
          <w:rStyle w:val="ng-star-inserted1"/>
          <w:rFonts w:ascii="Times New Roman" w:eastAsiaTheme="majorEastAsia" w:hAnsi="Times New Roman" w:cs="Times New Roman"/>
          <w:color w:val="1A1C1E"/>
          <w:sz w:val="28"/>
          <w:szCs w:val="28"/>
        </w:rPr>
        <w:t>be necessary, each State should get back out of the net proceeds attributable to it the percentage share assigned to the States as a whole, the attributability for Part A States being determined for each State in the same manner as for Part C States. They contended that the money raised in one State could not be made available to another State. They relied on the language of Article 270 for their view that the sharing of income-tax was conditioned by the liveability of the tax and they argued that the manner of distribution contemplated by the Article merely required the President, after retaining the Central share, to place the balance in the hands of the Governments in whose respective territories the taxes had been levied or to whom they were attributable, as the case might be, to be disposed of under the control of their respective legislatures. It was not a case of the Centre expending or disposing of the money on any principle of merit but simply the separation of a common pool of money so as to place in the hands of each the share to which it was entitled.</w:t>
      </w:r>
    </w:p>
    <w:p w14:paraId="6999F2FA" w14:textId="0FBBDB2D" w:rsidR="00617FC7" w:rsidRPr="00A86EA0" w:rsidRDefault="00617FC7" w:rsidP="00C56459">
      <w:pPr>
        <w:pStyle w:val="ListParagraph"/>
        <w:numPr>
          <w:ilvl w:val="0"/>
          <w:numId w:val="30"/>
        </w:numPr>
        <w:shd w:val="clear" w:color="auto" w:fill="FFFFFF"/>
        <w:spacing w:after="0" w:line="410" w:lineRule="exact"/>
        <w:ind w:left="0" w:firstLine="556"/>
        <w:jc w:val="both"/>
        <w:rPr>
          <w:rFonts w:ascii="Times New Roman" w:hAnsi="Times New Roman" w:cs="Times New Roman"/>
          <w:sz w:val="28"/>
          <w:szCs w:val="28"/>
        </w:rPr>
      </w:pPr>
      <w:r w:rsidRPr="00A86EA0">
        <w:rPr>
          <w:rFonts w:ascii="Times New Roman" w:hAnsi="Times New Roman" w:cs="Times New Roman"/>
          <w:sz w:val="28"/>
          <w:szCs w:val="28"/>
        </w:rPr>
        <w:t>The Government of Assam suggested that 35 out of 60 per cent to be assigned to the States should be distributed on the basis of population, adjusted for area or density, 20 on the basis of origin and 5 used for removing any hardships. The Government of Bihar proposed that 80 per cent of the States' share should be distributed on the basis of population and the balance with reference to other factors such as backwardness, the special responsibilities of a State and general financial management of different States. The Government of Madhya Pradesh claimed that the distribution should be on the basis of population with a weightage for the backward classes, scheduled castes and scheduled tribes living in a State. The Government of Madras suggested population as the main criterion, but expressed their willingness to accept any other equitable formula based upon a consideration of the conflicting claims and points of view. The Government of Punjab expressed the view that the needs of a State, not its population or collections in it, should be the determining factor. The Government of Orissa proposed that 50 per cent of the States' share shou</w:t>
      </w:r>
      <w:r w:rsidR="00EB49E3">
        <w:rPr>
          <w:rFonts w:ascii="Times New Roman" w:hAnsi="Times New Roman" w:cs="Times New Roman"/>
          <w:sz w:val="28"/>
          <w:szCs w:val="28"/>
        </w:rPr>
        <w:t>l</w:t>
      </w:r>
      <w:r w:rsidRPr="00A86EA0">
        <w:rPr>
          <w:rFonts w:ascii="Times New Roman" w:hAnsi="Times New Roman" w:cs="Times New Roman"/>
          <w:sz w:val="28"/>
          <w:szCs w:val="28"/>
        </w:rPr>
        <w:t>d be distributed on the basis of the inverse ratio of per capita income, 35 per cent on the basis of population and 15 per cent on the basis of area. The Government of Uttar Pradesh suggested that the States' share should be distributed on a population basis.</w:t>
      </w:r>
    </w:p>
    <w:p w14:paraId="2B8BF223" w14:textId="781A209C" w:rsidR="00617FC7" w:rsidRPr="00A86EA0" w:rsidRDefault="00617FC7" w:rsidP="00C56459">
      <w:pPr>
        <w:pStyle w:val="ListParagraph"/>
        <w:numPr>
          <w:ilvl w:val="0"/>
          <w:numId w:val="30"/>
        </w:numPr>
        <w:shd w:val="clear" w:color="auto" w:fill="FFFFFF"/>
        <w:spacing w:after="0" w:line="410" w:lineRule="exact"/>
        <w:ind w:left="0" w:firstLine="556"/>
        <w:jc w:val="both"/>
        <w:rPr>
          <w:rFonts w:ascii="Times New Roman" w:hAnsi="Times New Roman" w:cs="Times New Roman"/>
          <w:sz w:val="28"/>
          <w:szCs w:val="28"/>
        </w:rPr>
      </w:pPr>
      <w:r w:rsidRPr="00A86EA0">
        <w:rPr>
          <w:rFonts w:ascii="Times New Roman" w:hAnsi="Times New Roman" w:cs="Times New Roman"/>
          <w:sz w:val="28"/>
          <w:szCs w:val="28"/>
        </w:rPr>
        <w:lastRenderedPageBreak/>
        <w:t>Among the Part B States, Travancore-Cochin proposed that 60 per cent of the States' share should be distributed on a population basis, 20 per cent on a collection basis and 20 per cent with reference to other relevant factors such as the progress achieved by a State and not merely a State's backwardness. Rajasthan and Saurashtra both suggested population as the basis; Rajasthan was, however</w:t>
      </w:r>
      <w:r w:rsidR="00A86EA0">
        <w:rPr>
          <w:rFonts w:ascii="Times New Roman" w:hAnsi="Times New Roman" w:cs="Times New Roman"/>
          <w:sz w:val="28"/>
          <w:szCs w:val="28"/>
        </w:rPr>
        <w:t xml:space="preserve">, </w:t>
      </w:r>
      <w:r w:rsidRPr="00A86EA0">
        <w:rPr>
          <w:rFonts w:ascii="Times New Roman" w:hAnsi="Times New Roman" w:cs="Times New Roman"/>
          <w:sz w:val="28"/>
          <w:szCs w:val="28"/>
        </w:rPr>
        <w:t>prepared for 10 per cent being distributed on the basis of other factors such as backwardness, administrative needs and sparseness of population. Madhya Bharat and the Patiala and East Punjab States Union asked for distribution on the basis of needs and both indicated a sum as their minimum requirement; if population were adopted as the basis of distribution, the Patiala and East Punjab States Union asked for a somewhat higher allocation than its population ratio. Hyderabad and Mysore also suggested population but Mysore wanted some weight to be given to area.</w:t>
      </w:r>
    </w:p>
    <w:p w14:paraId="32D4F5F8" w14:textId="72782190" w:rsidR="00617FC7" w:rsidRPr="00A86EA0" w:rsidRDefault="00617FC7" w:rsidP="00C56459">
      <w:pPr>
        <w:pStyle w:val="ListParagraph"/>
        <w:numPr>
          <w:ilvl w:val="0"/>
          <w:numId w:val="30"/>
        </w:numPr>
        <w:shd w:val="clear" w:color="auto" w:fill="FFFFFF"/>
        <w:spacing w:after="0" w:line="410" w:lineRule="exact"/>
        <w:ind w:left="0" w:firstLine="556"/>
        <w:jc w:val="both"/>
        <w:rPr>
          <w:rFonts w:ascii="Times New Roman" w:hAnsi="Times New Roman" w:cs="Times New Roman"/>
          <w:sz w:val="28"/>
          <w:szCs w:val="28"/>
        </w:rPr>
      </w:pPr>
      <w:r w:rsidRPr="00A86EA0">
        <w:rPr>
          <w:rFonts w:ascii="Times New Roman" w:hAnsi="Times New Roman" w:cs="Times New Roman"/>
          <w:i/>
          <w:iCs/>
          <w:sz w:val="28"/>
          <w:szCs w:val="28"/>
        </w:rPr>
        <w:t>Experience of other Federations.—</w:t>
      </w:r>
      <w:r w:rsidRPr="00A86EA0">
        <w:rPr>
          <w:rFonts w:ascii="Times New Roman" w:hAnsi="Times New Roman" w:cs="Times New Roman"/>
          <w:sz w:val="28"/>
          <w:szCs w:val="28"/>
        </w:rPr>
        <w:t xml:space="preserve">Before considering the problem of distribution of income-tax, we may scan the experience of other Federations in this field, though there are important differences in this regard between India and some of the other countries concerned. The peculiarities of the Indian position from the point of view of the significance of foreign experience for our guidance are: (a) the distribution of income-tax has formed a significantly larger proportion of the total annual transference of funds from the Centre to the States in this country than in the other Federations like Australia and Canada; while in the U.S.A., grants are virtually the only form of such transference of resources; (b) of the total income-tax collections of the federal government, a much smaller proportion has been distributed to the States in Australia (in the form of tax reimbursement grants) and in Canada (as tax rental grants) than in India, so that, on the whole, whatever principles apply in regard to the distribution of grants in lieu of income-tax collection in these countries apply over a smaller region of federal financial relations than in this country; (c) in India, the Provinces (Part A States) never possessed any right to tax incomes (other than agricultural income) while in Australia and Canada, the units have never surrendered their constitutional right to levy such taxation, which has only been temporarily suspended; (d) there are, besides, significant differences in the pattern of collections—unlike in the other federations mentioned above, Central income-tax in India is paid by an extremely small proportion of the population; and (e) divisible income-tax in India, with which we are dealing, includes a portion of the tax paid by companies on their income, the balance forming Corporation Tax. A statement of the </w:t>
      </w:r>
      <w:r w:rsidRPr="00A86EA0">
        <w:rPr>
          <w:rFonts w:ascii="Times New Roman" w:hAnsi="Times New Roman" w:cs="Times New Roman"/>
          <w:sz w:val="28"/>
          <w:szCs w:val="28"/>
        </w:rPr>
        <w:lastRenderedPageBreak/>
        <w:t>practices prevailing in other federations may, however, be useful in view of the considerable public interest displayed in the working of the federations as well as for such light as, despite the differences, this might throw on the problem before us.</w:t>
      </w:r>
    </w:p>
    <w:p w14:paraId="2BFE35D8" w14:textId="1CB88F87" w:rsidR="00A4502B" w:rsidRPr="00A86EA0" w:rsidRDefault="00617FC7" w:rsidP="00C56459">
      <w:pPr>
        <w:pStyle w:val="ListParagraph"/>
        <w:numPr>
          <w:ilvl w:val="0"/>
          <w:numId w:val="30"/>
        </w:numPr>
        <w:shd w:val="clear" w:color="auto" w:fill="FFFFFF"/>
        <w:spacing w:after="0" w:line="410" w:lineRule="exact"/>
        <w:ind w:left="0" w:firstLine="556"/>
        <w:jc w:val="both"/>
        <w:rPr>
          <w:rFonts w:ascii="Times New Roman" w:hAnsi="Times New Roman" w:cs="Times New Roman"/>
          <w:sz w:val="28"/>
          <w:szCs w:val="28"/>
        </w:rPr>
      </w:pPr>
      <w:r w:rsidRPr="00A86EA0">
        <w:rPr>
          <w:rFonts w:ascii="Times New Roman" w:hAnsi="Times New Roman" w:cs="Times New Roman"/>
          <w:sz w:val="28"/>
          <w:szCs w:val="28"/>
        </w:rPr>
        <w:t>In Australia and Canada, until 1942, the federal government as well as the state governments had under their respective constitutions the right to tax incomes. In both countries, the uniform taxation of incomes by the federal government was an outcome of the</w:t>
      </w:r>
      <w:r w:rsidR="00A86EA0">
        <w:rPr>
          <w:rFonts w:ascii="Times New Roman" w:hAnsi="Times New Roman" w:cs="Times New Roman"/>
          <w:sz w:val="28"/>
          <w:szCs w:val="28"/>
        </w:rPr>
        <w:t xml:space="preserve"> </w:t>
      </w:r>
      <w:r w:rsidR="00F96FBF" w:rsidRPr="00A86EA0">
        <w:rPr>
          <w:rFonts w:ascii="Times New Roman" w:hAnsi="Times New Roman" w:cs="Times New Roman"/>
          <w:sz w:val="28"/>
          <w:szCs w:val="28"/>
        </w:rPr>
        <w:t xml:space="preserve">War. </w:t>
      </w:r>
      <w:r w:rsidR="00A4502B" w:rsidRPr="00A86EA0">
        <w:rPr>
          <w:rFonts w:ascii="Times New Roman" w:hAnsi="Times New Roman" w:cs="Times New Roman"/>
          <w:sz w:val="28"/>
          <w:szCs w:val="28"/>
        </w:rPr>
        <w:t>It was an essential part of the scheme that the states should be induced temporarily to vacate a field of taxation which they were already occupying in their own right. It was thought necessary to assure the States in Australia and the Provinces in Canada that their share out of the proceeds of the uniform tax would not be less than what they were recovering prior to the imposition of the Commonwealth or the Dominion tax. While uniform income-tax legislation in Canada was based on prior agreement of the Provinces, in Australia it was enacted against the opposition of some States.</w:t>
      </w:r>
    </w:p>
    <w:p w14:paraId="5264574A" w14:textId="0A5E3ACC" w:rsidR="00A4502B" w:rsidRPr="00A86EA0" w:rsidRDefault="00A4502B" w:rsidP="00C56459">
      <w:pPr>
        <w:pStyle w:val="ListParagraph"/>
        <w:numPr>
          <w:ilvl w:val="0"/>
          <w:numId w:val="30"/>
        </w:numPr>
        <w:shd w:val="clear" w:color="auto" w:fill="FFFFFF"/>
        <w:spacing w:after="0" w:line="410" w:lineRule="exact"/>
        <w:ind w:left="0" w:firstLine="556"/>
        <w:jc w:val="both"/>
        <w:rPr>
          <w:rFonts w:ascii="Times New Roman" w:hAnsi="Times New Roman" w:cs="Times New Roman"/>
          <w:sz w:val="28"/>
          <w:szCs w:val="28"/>
        </w:rPr>
      </w:pPr>
      <w:r w:rsidRPr="00A86EA0">
        <w:rPr>
          <w:rFonts w:ascii="Times New Roman" w:hAnsi="Times New Roman" w:cs="Times New Roman"/>
          <w:sz w:val="28"/>
          <w:szCs w:val="28"/>
        </w:rPr>
        <w:t>In Australia, under the States Grants (Income-Tax Reimbursement) Act, 1942, a State not imposing a tax on income was entitled, by way of financial assistance, to grants, the amounts of which were fixed by reference to what each State was raising in exercise of its own constitutional right to tax income. But, technically speaking, there was nothing in the Commonwealth legislation to prevent a State from continuing to levy its own tax on income or reviving it, if it refrained from levying it in any particular year. In that contingency, the State would not qualify for any reimbursement grant. The States were in practice completely ousted from the field of income-tax by reason of the priority given to the liability to pay the Commonwealth tax.</w:t>
      </w:r>
    </w:p>
    <w:p w14:paraId="6E759815" w14:textId="0FB8A7FC" w:rsidR="00A4502B" w:rsidRPr="00A86EA0" w:rsidRDefault="00A4502B" w:rsidP="00C56459">
      <w:pPr>
        <w:pStyle w:val="ListParagraph"/>
        <w:numPr>
          <w:ilvl w:val="0"/>
          <w:numId w:val="30"/>
        </w:numPr>
        <w:shd w:val="clear" w:color="auto" w:fill="FFFFFF"/>
        <w:spacing w:after="0" w:line="410" w:lineRule="exact"/>
        <w:ind w:left="0" w:firstLine="556"/>
        <w:jc w:val="both"/>
        <w:rPr>
          <w:rFonts w:ascii="Times New Roman" w:hAnsi="Times New Roman" w:cs="Times New Roman"/>
          <w:sz w:val="28"/>
          <w:szCs w:val="28"/>
        </w:rPr>
      </w:pPr>
      <w:r w:rsidRPr="00A86EA0">
        <w:rPr>
          <w:rFonts w:ascii="Times New Roman" w:hAnsi="Times New Roman" w:cs="Times New Roman"/>
          <w:sz w:val="28"/>
          <w:szCs w:val="28"/>
        </w:rPr>
        <w:t xml:space="preserve">Though the uniform tax was to continue in operation until the end of one financial year to commence after the cessation of the war, the scheme is continued till 1957 under an Act of 1946. This Act provided for the payment of a higher aggregate grant which itself was liable to be increased in proportion to the increase in population and the increase in wages over the average wages in 1946-47. After 1947-48, there was to be a progressive shift in the distribution of the aggregate grant in the course of ten years to an adjusted population basis, i.e., the basis of the respective populations of the States after adjustments which took into account the relative sparsity of population and the number of school children. The arrangement is subject to review </w:t>
      </w:r>
      <w:r w:rsidRPr="00A86EA0">
        <w:rPr>
          <w:rFonts w:ascii="Times New Roman" w:hAnsi="Times New Roman" w:cs="Times New Roman"/>
          <w:sz w:val="28"/>
          <w:szCs w:val="28"/>
        </w:rPr>
        <w:lastRenderedPageBreak/>
        <w:t>in 1953, and proposals are under examination at present with a view to restoring to the States their power to levy income-tax.</w:t>
      </w:r>
    </w:p>
    <w:p w14:paraId="521E7CC5" w14:textId="744E62B0" w:rsidR="00F96FBF" w:rsidRPr="00A86EA0" w:rsidRDefault="00A4502B" w:rsidP="00C56459">
      <w:pPr>
        <w:pStyle w:val="ListParagraph"/>
        <w:numPr>
          <w:ilvl w:val="0"/>
          <w:numId w:val="30"/>
        </w:numPr>
        <w:shd w:val="clear" w:color="auto" w:fill="FFFFFF"/>
        <w:spacing w:after="0" w:line="410" w:lineRule="exact"/>
        <w:ind w:left="0" w:firstLine="556"/>
        <w:jc w:val="both"/>
        <w:rPr>
          <w:rFonts w:ascii="Times New Roman" w:hAnsi="Times New Roman" w:cs="Times New Roman"/>
          <w:sz w:val="28"/>
          <w:szCs w:val="28"/>
        </w:rPr>
      </w:pPr>
      <w:r w:rsidRPr="00A86EA0">
        <w:rPr>
          <w:rFonts w:ascii="Times New Roman" w:hAnsi="Times New Roman" w:cs="Times New Roman"/>
          <w:sz w:val="28"/>
          <w:szCs w:val="28"/>
        </w:rPr>
        <w:t>In Canada, the scheme of uniform taxation was recommended by the Rowell-Sirois Commission. Under the post-war tax rental agreements signed in Canada between the Federal Government and eight Provinces (i.e., including Newfoundland and excluding Quebec and Ontario), minimum payments were guaranteed to the Provinces by the application of either of two general formulae at the option of a Province. The first formula took into account, in addition to fiscal need, the tax capacity or tax potential of a Province. It assured a</w:t>
      </w:r>
      <w:r w:rsidR="00A86EA0" w:rsidRPr="00A86EA0">
        <w:rPr>
          <w:rFonts w:ascii="Times New Roman" w:hAnsi="Times New Roman" w:cs="Times New Roman"/>
          <w:sz w:val="28"/>
          <w:szCs w:val="28"/>
        </w:rPr>
        <w:t xml:space="preserve"> </w:t>
      </w:r>
      <w:r w:rsidR="00F96FBF" w:rsidRPr="00A86EA0">
        <w:rPr>
          <w:rFonts w:ascii="Times New Roman" w:hAnsi="Times New Roman" w:cs="Times New Roman"/>
          <w:sz w:val="28"/>
          <w:szCs w:val="28"/>
        </w:rPr>
        <w:t>Province (1) $12.75 per capita according to 1942 population, (2) a sum equal to one-half of the revenue derived by the Province from individual income-tax and corporation tax in 1940 and (3) the statutory subsidy payable to a Province in 1947. The other formula recognized fiscal need as the chief factor and guaranteed (1) $15 per capita on the 1942 population and (2) the statutory subsidy payable in 1947. The payments to Provinces from year to year have been actually higher than the guaranteed minimum amounts, having been related to national growth as reflected by gross national product and provincial growth as reflected in provincial population. In return, the Provinces agreed to suspend the imposition of individual income-tax for five years and to impose only a 5 per cent uniform corporation income-tax on the same basis as the Dominion tax, to be administered by the Dominion. Seven Provinces which signed the agreement continued to levy a 5 per cent corporation tax. Ontario and Quebec which did not sign the agreement levied a 7 per cent corporation tax, but refrained from imposing an individual income-tax. The new arrangements for the five years beginning 1952–53 are based on revised financial terms which propose an increase of approximately 50 per cent over the guaranteed minimum payments for the Provinces. It appears that nine Provincial Governments including the Government of Ontario (i.e., all Provinces with the exception of Quebec) have reached agreement with the Dominion Government on the basis of the latter’s proposals.</w:t>
      </w:r>
    </w:p>
    <w:p w14:paraId="76A560FD" w14:textId="2ED52866" w:rsidR="00F96FBF" w:rsidRPr="00A86EA0" w:rsidRDefault="00F96FBF" w:rsidP="00C56459">
      <w:pPr>
        <w:pStyle w:val="ListParagraph"/>
        <w:numPr>
          <w:ilvl w:val="0"/>
          <w:numId w:val="30"/>
        </w:numPr>
        <w:shd w:val="clear" w:color="auto" w:fill="FFFFFF"/>
        <w:spacing w:after="0" w:line="410" w:lineRule="exact"/>
        <w:ind w:left="0" w:firstLine="556"/>
        <w:jc w:val="both"/>
        <w:rPr>
          <w:rFonts w:ascii="Times New Roman" w:hAnsi="Times New Roman" w:cs="Times New Roman"/>
          <w:sz w:val="28"/>
          <w:szCs w:val="28"/>
        </w:rPr>
      </w:pPr>
      <w:r w:rsidRPr="00A86EA0">
        <w:rPr>
          <w:rFonts w:ascii="Times New Roman" w:hAnsi="Times New Roman" w:cs="Times New Roman"/>
          <w:sz w:val="28"/>
          <w:szCs w:val="28"/>
        </w:rPr>
        <w:t>In the United States, both the Federation and the States enjoy concurrent right of taxation over income. No question of the distribution among the States of the proceeds of an income-tax levied federally has therefore arisen. But it is interesting to note that the federal tax in that country is far and away the most important part of taxes on income, the States’ taxes yielding only a small fraction of the receipts obtained from the federal tax. There being no equivalent to the distribution of income-</w:t>
      </w:r>
      <w:r w:rsidRPr="00A86EA0">
        <w:rPr>
          <w:rFonts w:ascii="Times New Roman" w:hAnsi="Times New Roman" w:cs="Times New Roman"/>
          <w:sz w:val="28"/>
          <w:szCs w:val="28"/>
        </w:rPr>
        <w:lastRenderedPageBreak/>
        <w:t>tax in that country, the role of balancing factor viz. to bring the functions and resources of the States into better accord, is played by grants.</w:t>
      </w:r>
    </w:p>
    <w:p w14:paraId="06544DE0" w14:textId="2B4DEA6B" w:rsidR="00F96FBF" w:rsidRPr="00A86EA0" w:rsidRDefault="00F96FBF" w:rsidP="00C56459">
      <w:pPr>
        <w:pStyle w:val="ListParagraph"/>
        <w:numPr>
          <w:ilvl w:val="0"/>
          <w:numId w:val="30"/>
        </w:numPr>
        <w:shd w:val="clear" w:color="auto" w:fill="FFFFFF"/>
        <w:spacing w:after="0" w:line="410" w:lineRule="exact"/>
        <w:ind w:left="0" w:firstLine="556"/>
        <w:jc w:val="both"/>
        <w:rPr>
          <w:rFonts w:ascii="Times New Roman" w:hAnsi="Times New Roman" w:cs="Times New Roman"/>
          <w:sz w:val="28"/>
          <w:szCs w:val="28"/>
        </w:rPr>
      </w:pPr>
      <w:r w:rsidRPr="00A86EA0">
        <w:rPr>
          <w:rFonts w:ascii="Times New Roman" w:hAnsi="Times New Roman" w:cs="Times New Roman"/>
          <w:sz w:val="28"/>
          <w:szCs w:val="28"/>
        </w:rPr>
        <w:t>To place the experience of these federations in the sphere of federal finance including shared taxes in perspective, it is necessary to take note of certain outstanding trends in the pattern of distribution of total revenues of these federations. Financial powers as well as the flow of public revenues and expenditure through federal channels have tended to grow considerably in recent years at the expense of the unit governments. In all the three federations, U.S.A., Canada and Australia, the percentage of the revenue of the Federal Government to total public revenue fell within a range of forty to fifty per cent in the ‘thirties’. The proportion in all the three countries has gone up and is now between two-thirds and three-fourths. Out of the federal revenues a portion flows back again to the States</w:t>
      </w:r>
      <w:r w:rsidR="00A86EA0">
        <w:rPr>
          <w:rFonts w:ascii="Times New Roman" w:hAnsi="Times New Roman" w:cs="Times New Roman"/>
          <w:sz w:val="28"/>
          <w:szCs w:val="28"/>
        </w:rPr>
        <w:t xml:space="preserve"> </w:t>
      </w:r>
      <w:r w:rsidRPr="00A86EA0">
        <w:rPr>
          <w:rFonts w:ascii="Times New Roman" w:hAnsi="Times New Roman" w:cs="Times New Roman"/>
          <w:sz w:val="28"/>
          <w:szCs w:val="28"/>
        </w:rPr>
        <w:t>through shares in taxes or grants-in-aid of various types. The area of federal revenues and expenditure constitutes the field where the collections in different areas and the flow of expenditure are determined on overall national considerations. In India the proportion of revenues raised by the States to the combined Central and State revenues was 42 per cent in 1950–51.</w:t>
      </w:r>
    </w:p>
    <w:p w14:paraId="6B3C4A10" w14:textId="626E0D41" w:rsidR="00F96FBF" w:rsidRPr="00A86EA0" w:rsidRDefault="00F96FBF" w:rsidP="00C56459">
      <w:pPr>
        <w:pStyle w:val="ListParagraph"/>
        <w:numPr>
          <w:ilvl w:val="0"/>
          <w:numId w:val="30"/>
        </w:numPr>
        <w:shd w:val="clear" w:color="auto" w:fill="FFFFFF"/>
        <w:spacing w:after="0" w:line="410" w:lineRule="exact"/>
        <w:ind w:left="0" w:firstLine="556"/>
        <w:jc w:val="both"/>
        <w:rPr>
          <w:rFonts w:ascii="Times New Roman" w:hAnsi="Times New Roman" w:cs="Times New Roman"/>
          <w:sz w:val="28"/>
          <w:szCs w:val="28"/>
        </w:rPr>
      </w:pPr>
      <w:r w:rsidRPr="00A86EA0">
        <w:rPr>
          <w:rFonts w:ascii="Times New Roman" w:hAnsi="Times New Roman" w:cs="Times New Roman"/>
          <w:sz w:val="28"/>
          <w:szCs w:val="28"/>
        </w:rPr>
        <w:t xml:space="preserve">The available information relating to the financial arrangements in Latin American federations is meagre. In Brazil, most of the important taxes are assigned to the nation—customs revenues, taxes on incomes, production and consumption, business transactions and documents. These levies are the bulwark of the Brazilian tax system; therefore, the States are left without a sufficient number of major sources of revenue. This situation is partially corrected, however, by a constitutional provision requiring the federal government to share certain revenues with the States, apportioning the money on the basis of population, area and a number of other factors. In Argentina, the federal government also shares some of its tax receipts directly with the Provinces. The law of 1932 specified that 17½ per cent of the amount collected each year by way of income-tax shall be apportioned among the Provinces and the federal capital. Thirty per cent of the Provinces’ share is distributed on the basis of the cost of government in each Province, as shown by its budget; another 30 per cent is paid out on the basis of the revenue of each Province in the year immediately preceding the apportionment; still another 30 per cent is based on population (relying on the 1914 census figures, rather than more recent estimates); and the remaining 10 per cent is allotted in proportion to the amount of income-tax collected in each </w:t>
      </w:r>
      <w:r w:rsidRPr="00A86EA0">
        <w:rPr>
          <w:rFonts w:ascii="Times New Roman" w:hAnsi="Times New Roman" w:cs="Times New Roman"/>
          <w:sz w:val="28"/>
          <w:szCs w:val="28"/>
        </w:rPr>
        <w:lastRenderedPageBreak/>
        <w:t>Province. The federal capital’s share is based on the first three factors only, presumably on the ground that it would receive too large an amount if it were permitted to benefit directly from heavy income-tax collections within its limits. Also, 17½ per cent on the sales tax is apportioned on the same four-fold basis. In addition, the Provinces in Argentina refrain from taxing certain articles covered by federal law and are compensated by the Centre with amounts fixed under a complicated formula which in effect transfers revenue from the wealthier to the poorer Provinces through the gradual substitution of population for collection as the basis of allocation of these taxes.</w:t>
      </w:r>
    </w:p>
    <w:p w14:paraId="02F230CB" w14:textId="271826A4" w:rsidR="00F96FBF" w:rsidRPr="00A86EA0" w:rsidRDefault="00F96FBF" w:rsidP="00C56459">
      <w:pPr>
        <w:pStyle w:val="ListParagraph"/>
        <w:numPr>
          <w:ilvl w:val="0"/>
          <w:numId w:val="30"/>
        </w:numPr>
        <w:shd w:val="clear" w:color="auto" w:fill="FFFFFF"/>
        <w:spacing w:after="0" w:line="410" w:lineRule="exact"/>
        <w:ind w:left="0" w:firstLine="556"/>
        <w:jc w:val="both"/>
        <w:rPr>
          <w:rFonts w:ascii="Times New Roman" w:hAnsi="Times New Roman" w:cs="Times New Roman"/>
          <w:sz w:val="28"/>
          <w:szCs w:val="28"/>
        </w:rPr>
      </w:pPr>
      <w:r w:rsidRPr="00A86EA0">
        <w:rPr>
          <w:rFonts w:ascii="Times New Roman" w:hAnsi="Times New Roman" w:cs="Times New Roman"/>
          <w:i/>
          <w:iCs/>
          <w:sz w:val="28"/>
          <w:szCs w:val="28"/>
        </w:rPr>
        <w:t>Share to be assigned to States.—</w:t>
      </w:r>
      <w:r w:rsidRPr="00A86EA0">
        <w:rPr>
          <w:rFonts w:ascii="Times New Roman" w:hAnsi="Times New Roman" w:cs="Times New Roman"/>
          <w:sz w:val="28"/>
          <w:szCs w:val="28"/>
        </w:rPr>
        <w:t>We now revert to a consideration of the three points on which we have to make our recommendations.</w:t>
      </w:r>
    </w:p>
    <w:p w14:paraId="66C2AA96" w14:textId="7058D73D" w:rsidR="00F96FBF" w:rsidRPr="00A86EA0" w:rsidRDefault="00F96FBF" w:rsidP="00C56459">
      <w:pPr>
        <w:pStyle w:val="ListParagraph"/>
        <w:numPr>
          <w:ilvl w:val="0"/>
          <w:numId w:val="30"/>
        </w:numPr>
        <w:shd w:val="clear" w:color="auto" w:fill="FFFFFF"/>
        <w:spacing w:after="0" w:line="410" w:lineRule="exact"/>
        <w:ind w:left="0" w:firstLine="556"/>
        <w:jc w:val="both"/>
        <w:rPr>
          <w:rFonts w:ascii="Times New Roman" w:hAnsi="Times New Roman" w:cs="Times New Roman"/>
          <w:sz w:val="28"/>
          <w:szCs w:val="28"/>
        </w:rPr>
      </w:pPr>
      <w:r w:rsidRPr="00A86EA0">
        <w:rPr>
          <w:rFonts w:ascii="Times New Roman" w:hAnsi="Times New Roman" w:cs="Times New Roman"/>
          <w:sz w:val="28"/>
          <w:szCs w:val="28"/>
        </w:rPr>
        <w:t>We shall first deal with the percentage of the net proceeds of income-tax to be assigned to the States. We consider it undesirable to concentrate on income-tax as a balancing factor in the adjustment of resources between the Centre and the units. We think that an increase in the States’ share of this tax should not be used as a major factor in the devolution of further revenues to the States. On the other hand, the State Governments have put forward an almost unanimous demand for an increase in the States’ share of income-tax. There will now be sixteen participants in the States’ share of the divisible pool against nine participants in the past. Besides, owing to the concession given in regard to the application of the full rates of income-tax for a transitional period in some of the Part B States, the revenue from income-tax may be smaller than otherwise; while the distribution to all the participating States will have been on uniform principles. Moreover, the increase in the number of Part C States has resulted in our recommending a somewhat larger percentage than at present of the net proceeds of income-tax as attributable to Part C States. The cost of collection allocable to income-tax is also likely to be slightly more than at present and these factors would, to some extent, go to reduce the amount of the divisible pool. On a consideration of all the circumstances, we have come to the conclusion that some increase in the share assignable to the States is justified although it cannot be of the order suggested by the majority of State Governments. We accordingly recommend that the percentage of the net proceeds of income-tax to be allocated to the States be raised from fifty per cent to fifty-five per cent.</w:t>
      </w:r>
    </w:p>
    <w:p w14:paraId="35E78F62" w14:textId="15125F50" w:rsidR="00FF38E6" w:rsidRPr="00A86EA0" w:rsidRDefault="00F96FBF" w:rsidP="00C56459">
      <w:pPr>
        <w:pStyle w:val="ListParagraph"/>
        <w:numPr>
          <w:ilvl w:val="0"/>
          <w:numId w:val="30"/>
        </w:numPr>
        <w:shd w:val="clear" w:color="auto" w:fill="FFFFFF"/>
        <w:spacing w:after="0" w:line="410" w:lineRule="exact"/>
        <w:ind w:left="0" w:firstLine="556"/>
        <w:jc w:val="both"/>
        <w:rPr>
          <w:rFonts w:ascii="Times New Roman" w:hAnsi="Times New Roman" w:cs="Times New Roman"/>
          <w:sz w:val="28"/>
          <w:szCs w:val="28"/>
        </w:rPr>
      </w:pPr>
      <w:r w:rsidRPr="00A86EA0">
        <w:rPr>
          <w:rFonts w:ascii="Times New Roman" w:hAnsi="Times New Roman" w:cs="Times New Roman"/>
          <w:i/>
          <w:iCs/>
          <w:sz w:val="28"/>
          <w:szCs w:val="28"/>
        </w:rPr>
        <w:t xml:space="preserve">Distribution of States’ share.— </w:t>
      </w:r>
      <w:r w:rsidRPr="00A86EA0">
        <w:rPr>
          <w:rFonts w:ascii="Times New Roman" w:hAnsi="Times New Roman" w:cs="Times New Roman"/>
          <w:sz w:val="28"/>
          <w:szCs w:val="28"/>
        </w:rPr>
        <w:t xml:space="preserve">Before dealing with the distribution of the States’ share among them, we should like to refer to the points raised by the </w:t>
      </w:r>
      <w:r w:rsidRPr="00A86EA0">
        <w:rPr>
          <w:rFonts w:ascii="Times New Roman" w:hAnsi="Times New Roman" w:cs="Times New Roman"/>
          <w:sz w:val="28"/>
          <w:szCs w:val="28"/>
        </w:rPr>
        <w:lastRenderedPageBreak/>
        <w:t xml:space="preserve">Government of West Bengal about the construction to be placed upon the language of Article 270 of the Constitution. We do not think that the interpretation placed upon this article by the Government of West Bengal can be sustained. The phrase “within which the tax is leviable” appearing in this article only means that a State in which the tax is not leviable has no right to a share at all. This phrase survives from the Government of India Act, 1935, under which there was uncertainty about the Indian States acceding to the federation and the extent of their accession. While Jammu and Kashmir is now a State of the Indian Union the provisions of the Indian Income-tax Act do not apply to that State. Indian income-tax is not leviable in that State which is, therefore, not entitled to any share of this tax. Nor is there, in our view, any warrant for the contention of the West Bengal Government that the “manner” of distribution involves merely the process of returning to each State a proportion of the revenue collected in its area and that it is only the manner in which the money is to be returned, that is to say, the mode of payment, that is left to the determination of the Commission. The West Bengal Government’s contention is untenable as the manner of distribution about which we are asked to </w:t>
      </w:r>
      <w:r w:rsidR="00FF38E6" w:rsidRPr="00A86EA0">
        <w:rPr>
          <w:rFonts w:ascii="Times New Roman" w:hAnsi="Times New Roman" w:cs="Times New Roman"/>
          <w:sz w:val="28"/>
          <w:szCs w:val="28"/>
        </w:rPr>
        <w:t xml:space="preserve">make recommendations is different from the manner of making the actual payments about which there is a specific provision in Article 279(2). The fact that a prescribed percentage of a tax does not form part of the Consolidated Fund of India does not </w:t>
      </w:r>
      <w:r w:rsidR="00FF38E6" w:rsidRPr="00E20C07">
        <w:rPr>
          <w:rFonts w:ascii="Times New Roman" w:hAnsi="Times New Roman" w:cs="Times New Roman"/>
          <w:i/>
          <w:iCs/>
          <w:sz w:val="28"/>
          <w:szCs w:val="28"/>
        </w:rPr>
        <w:t>ipso facto</w:t>
      </w:r>
      <w:r w:rsidR="00FF38E6" w:rsidRPr="00A86EA0">
        <w:rPr>
          <w:rFonts w:ascii="Times New Roman" w:hAnsi="Times New Roman" w:cs="Times New Roman"/>
          <w:sz w:val="28"/>
          <w:szCs w:val="28"/>
        </w:rPr>
        <w:t xml:space="preserve"> make it, or any portion of it, part of the Consolidated Fund of any particular State. The share to which each State is entitled would itself depend upon the manner in which the divisible amount is distributed among the States. It may be noted that, although the language of Article 270 closely follows that of section 138 of the Government of India Act, 1935, the scheme for the allocation and distribution of income-tax in the Government of India (Distribution of Revenues) Order, 1936, was never challenged on the ground that the manner of distribution laid down by it did not correctly carry out the intention of section 138 of that Act.</w:t>
      </w:r>
    </w:p>
    <w:p w14:paraId="1B1CA81B" w14:textId="57879D30" w:rsidR="00A86EA0" w:rsidRDefault="003C36A0" w:rsidP="00C56459">
      <w:pPr>
        <w:pStyle w:val="ListParagraph"/>
        <w:numPr>
          <w:ilvl w:val="0"/>
          <w:numId w:val="30"/>
        </w:numPr>
        <w:shd w:val="clear" w:color="auto" w:fill="FFFFFF"/>
        <w:spacing w:after="0" w:line="410" w:lineRule="exact"/>
        <w:ind w:left="0" w:firstLine="556"/>
        <w:jc w:val="both"/>
        <w:rPr>
          <w:rFonts w:ascii="Times New Roman" w:hAnsi="Times New Roman" w:cs="Times New Roman"/>
          <w:sz w:val="28"/>
          <w:szCs w:val="28"/>
        </w:rPr>
      </w:pPr>
      <w:r>
        <w:rPr>
          <w:rFonts w:ascii="Times New Roman" w:hAnsi="Times New Roman" w:cs="Times New Roman"/>
          <w:sz w:val="28"/>
          <w:szCs w:val="28"/>
        </w:rPr>
        <w:t xml:space="preserve"> </w:t>
      </w:r>
      <w:r w:rsidR="00FF38E6" w:rsidRPr="00A86EA0">
        <w:rPr>
          <w:rFonts w:ascii="Times New Roman" w:hAnsi="Times New Roman" w:cs="Times New Roman"/>
          <w:sz w:val="28"/>
          <w:szCs w:val="28"/>
        </w:rPr>
        <w:t xml:space="preserve">We do not think it proper to consider this problem on the assumption of what the Centre and each of the States could have raised by levying the tax concurrently and dividing the proceeds of the Central tax on that basis, as suggested by the Government of West Bengal. The Constitution does not recognise that any State has a right to the income-tax collected or even arising in its area. A State acquires the right to a definite amount of the divisible pool only after the manner of distribution has been prescribed by the President. Until a State can be said to acquire a right to a </w:t>
      </w:r>
      <w:r w:rsidR="00FF38E6" w:rsidRPr="00A86EA0">
        <w:rPr>
          <w:rFonts w:ascii="Times New Roman" w:hAnsi="Times New Roman" w:cs="Times New Roman"/>
          <w:sz w:val="28"/>
          <w:szCs w:val="28"/>
        </w:rPr>
        <w:lastRenderedPageBreak/>
        <w:t>particular portion of the proceeds not forming part of the Consolidated Fund of India, there is, speaking constitutionally, no question of the transfer to one State of what belongs to another. A right of concurrent taxation in the income-tax field was not enjoyed by any Part A State. The former Indian States had an independent right to tax incomes but even in their case this right was lost under the Constitution as the integration of these States proceeded on the principle that what are now called Part B States should be in the same position as the former Indian Provinces with respect to functions as well as resources, subject, however, to some transitory provisions.</w:t>
      </w:r>
    </w:p>
    <w:p w14:paraId="31745497" w14:textId="765DEC07" w:rsidR="00FF38E6" w:rsidRPr="00A86EA0" w:rsidRDefault="00FF38E6" w:rsidP="00C56459">
      <w:pPr>
        <w:pStyle w:val="ListParagraph"/>
        <w:numPr>
          <w:ilvl w:val="0"/>
          <w:numId w:val="30"/>
        </w:numPr>
        <w:shd w:val="clear" w:color="auto" w:fill="FFFFFF"/>
        <w:spacing w:after="0" w:line="410" w:lineRule="exact"/>
        <w:ind w:left="0" w:firstLine="556"/>
        <w:jc w:val="both"/>
        <w:rPr>
          <w:rFonts w:ascii="Times New Roman" w:hAnsi="Times New Roman" w:cs="Times New Roman"/>
          <w:sz w:val="28"/>
          <w:szCs w:val="28"/>
        </w:rPr>
      </w:pPr>
      <w:r w:rsidRPr="00A86EA0">
        <w:rPr>
          <w:rFonts w:ascii="Times New Roman" w:hAnsi="Times New Roman" w:cs="Times New Roman"/>
          <w:sz w:val="28"/>
          <w:szCs w:val="28"/>
        </w:rPr>
        <w:t xml:space="preserve">In our view, there is no question of considering the distribution of the tax on the basis of returning to a particular State the whole or part of the collections in its area or on the basis of the States having a notional right to the concurrent levy of income-tax. The units in Australia and Canada had to be assured a </w:t>
      </w:r>
      <w:r w:rsidRPr="008944AC">
        <w:rPr>
          <w:rFonts w:ascii="Times New Roman" w:hAnsi="Times New Roman" w:cs="Times New Roman"/>
          <w:i/>
          <w:iCs/>
          <w:sz w:val="28"/>
          <w:szCs w:val="28"/>
        </w:rPr>
        <w:t>quid pro quo</w:t>
      </w:r>
      <w:r w:rsidRPr="00A86EA0">
        <w:rPr>
          <w:rFonts w:ascii="Times New Roman" w:hAnsi="Times New Roman" w:cs="Times New Roman"/>
          <w:sz w:val="28"/>
          <w:szCs w:val="28"/>
        </w:rPr>
        <w:t xml:space="preserve"> for forgoing the exercise of a right to which they were entitled under the Constitution. Similar procedure was followed when the Commonwealth entered the field of taxation of entertainments. We do not think that it is right to proceed from the Australian and Canadian concepts of “compensation” or “reimbursement” to deduce any “scientific principle” applicable to all federal systems where there is a uniform income-tax levied centrally but a part of which has to be distributed among the units. There is no question</w:t>
      </w:r>
      <w:r w:rsidR="00A86EA0">
        <w:rPr>
          <w:rFonts w:ascii="Times New Roman" w:hAnsi="Times New Roman" w:cs="Times New Roman"/>
          <w:sz w:val="28"/>
          <w:szCs w:val="28"/>
        </w:rPr>
        <w:t xml:space="preserve"> </w:t>
      </w:r>
      <w:r w:rsidRPr="00A86EA0">
        <w:rPr>
          <w:rFonts w:ascii="Times New Roman" w:hAnsi="Times New Roman" w:cs="Times New Roman"/>
          <w:sz w:val="28"/>
          <w:szCs w:val="28"/>
        </w:rPr>
        <w:t>of any compensation or reimbursement in India where the former Provinces, now Part A States, at any rate, never possessed any right to tax incomes; even in the case of Part B States the integration did not countenance the theory of compensation either in respect of federal assets or federal revenues passing to the Centre. Even if the States had been in a position to levy their own income-tax, it is difficult to forecast what the pattern of distribution of the collections would have been. With a multiplicity of tax jurisdictions all the income which is now assessed to tax in Bombay or Calcutta may not have been taxable in those places.</w:t>
      </w:r>
    </w:p>
    <w:p w14:paraId="6D524E55" w14:textId="77777777" w:rsidR="00A86EA0" w:rsidRDefault="00FF38E6" w:rsidP="00C56459">
      <w:pPr>
        <w:pStyle w:val="ListParagraph"/>
        <w:numPr>
          <w:ilvl w:val="0"/>
          <w:numId w:val="30"/>
        </w:numPr>
        <w:shd w:val="clear" w:color="auto" w:fill="FFFFFF"/>
        <w:spacing w:after="0" w:line="410" w:lineRule="exact"/>
        <w:ind w:left="0" w:firstLine="556"/>
        <w:jc w:val="both"/>
        <w:rPr>
          <w:rFonts w:ascii="Times New Roman" w:hAnsi="Times New Roman" w:cs="Times New Roman"/>
          <w:sz w:val="28"/>
          <w:szCs w:val="28"/>
        </w:rPr>
      </w:pPr>
      <w:r w:rsidRPr="00A86EA0">
        <w:rPr>
          <w:rFonts w:ascii="Times New Roman" w:hAnsi="Times New Roman" w:cs="Times New Roman"/>
          <w:sz w:val="28"/>
          <w:szCs w:val="28"/>
        </w:rPr>
        <w:t>Various bases have been suggested for the distribution of income-tax among the States, the more important of which are:</w:t>
      </w:r>
    </w:p>
    <w:p w14:paraId="5154C188" w14:textId="0993FD95" w:rsidR="00A86EA0" w:rsidRPr="00A86EA0" w:rsidRDefault="00FF38E6" w:rsidP="00C56459">
      <w:pPr>
        <w:shd w:val="clear" w:color="auto" w:fill="FFFFFF"/>
        <w:spacing w:after="0" w:line="410" w:lineRule="exact"/>
        <w:ind w:left="556"/>
        <w:jc w:val="both"/>
        <w:rPr>
          <w:rFonts w:ascii="Times New Roman" w:hAnsi="Times New Roman" w:cs="Times New Roman"/>
          <w:sz w:val="28"/>
          <w:szCs w:val="28"/>
        </w:rPr>
      </w:pPr>
      <w:r w:rsidRPr="00A86EA0">
        <w:rPr>
          <w:rFonts w:ascii="Times New Roman" w:hAnsi="Times New Roman" w:cs="Times New Roman"/>
          <w:sz w:val="28"/>
          <w:szCs w:val="28"/>
        </w:rPr>
        <w:t>(i) the collection of income-tax in the various States;</w:t>
      </w:r>
    </w:p>
    <w:p w14:paraId="2F78A6E4" w14:textId="77777777" w:rsidR="00A86EA0" w:rsidRDefault="00FF38E6" w:rsidP="00C56459">
      <w:pPr>
        <w:shd w:val="clear" w:color="auto" w:fill="FFFFFF"/>
        <w:spacing w:after="0" w:line="410" w:lineRule="exact"/>
        <w:ind w:left="556"/>
        <w:jc w:val="both"/>
        <w:rPr>
          <w:rFonts w:ascii="Times New Roman" w:hAnsi="Times New Roman" w:cs="Times New Roman"/>
          <w:sz w:val="28"/>
          <w:szCs w:val="28"/>
        </w:rPr>
      </w:pPr>
      <w:r w:rsidRPr="00A86EA0">
        <w:rPr>
          <w:rFonts w:ascii="Times New Roman" w:hAnsi="Times New Roman" w:cs="Times New Roman"/>
          <w:sz w:val="28"/>
          <w:szCs w:val="28"/>
        </w:rPr>
        <w:t>(ii) the amount of income-tax realised in respect of incomes, wherever earned, of individuals resident in the different States;</w:t>
      </w:r>
    </w:p>
    <w:p w14:paraId="6D1D9391" w14:textId="77777777" w:rsidR="00A86EA0" w:rsidRDefault="00FF38E6" w:rsidP="00C56459">
      <w:pPr>
        <w:shd w:val="clear" w:color="auto" w:fill="FFFFFF"/>
        <w:spacing w:after="0" w:line="410" w:lineRule="exact"/>
        <w:ind w:left="556"/>
        <w:jc w:val="both"/>
        <w:rPr>
          <w:rFonts w:ascii="Times New Roman" w:hAnsi="Times New Roman" w:cs="Times New Roman"/>
          <w:sz w:val="28"/>
          <w:szCs w:val="28"/>
        </w:rPr>
      </w:pPr>
      <w:r w:rsidRPr="00A86EA0">
        <w:rPr>
          <w:rFonts w:ascii="Times New Roman" w:hAnsi="Times New Roman" w:cs="Times New Roman"/>
          <w:sz w:val="28"/>
          <w:szCs w:val="28"/>
        </w:rPr>
        <w:t>(iii) the collection of income-tax in the various States adjusted with reference to the origin of the income;</w:t>
      </w:r>
    </w:p>
    <w:p w14:paraId="53094BAD" w14:textId="77777777" w:rsidR="00A86EA0" w:rsidRDefault="00FF38E6" w:rsidP="00C56459">
      <w:pPr>
        <w:shd w:val="clear" w:color="auto" w:fill="FFFFFF"/>
        <w:spacing w:after="0" w:line="410" w:lineRule="exact"/>
        <w:ind w:left="556"/>
        <w:jc w:val="both"/>
        <w:rPr>
          <w:rFonts w:ascii="Times New Roman" w:hAnsi="Times New Roman" w:cs="Times New Roman"/>
          <w:sz w:val="28"/>
          <w:szCs w:val="28"/>
        </w:rPr>
      </w:pPr>
      <w:r w:rsidRPr="00A86EA0">
        <w:rPr>
          <w:rFonts w:ascii="Times New Roman" w:hAnsi="Times New Roman" w:cs="Times New Roman"/>
          <w:sz w:val="28"/>
          <w:szCs w:val="28"/>
        </w:rPr>
        <w:t>(iv) the relative population of each State;</w:t>
      </w:r>
    </w:p>
    <w:p w14:paraId="00CBFFB8" w14:textId="77777777" w:rsidR="00A86EA0" w:rsidRDefault="00FF38E6" w:rsidP="00C56459">
      <w:pPr>
        <w:shd w:val="clear" w:color="auto" w:fill="FFFFFF"/>
        <w:spacing w:after="0" w:line="410" w:lineRule="exact"/>
        <w:ind w:left="556"/>
        <w:jc w:val="both"/>
        <w:rPr>
          <w:rFonts w:ascii="Times New Roman" w:hAnsi="Times New Roman" w:cs="Times New Roman"/>
          <w:sz w:val="28"/>
          <w:szCs w:val="28"/>
        </w:rPr>
      </w:pPr>
      <w:r w:rsidRPr="00A86EA0">
        <w:rPr>
          <w:rFonts w:ascii="Times New Roman" w:hAnsi="Times New Roman" w:cs="Times New Roman"/>
          <w:sz w:val="28"/>
          <w:szCs w:val="28"/>
        </w:rPr>
        <w:lastRenderedPageBreak/>
        <w:t>(v) the relative volume of industrial labour in each State;</w:t>
      </w:r>
    </w:p>
    <w:p w14:paraId="09AD38FF" w14:textId="77777777" w:rsidR="00A86EA0" w:rsidRDefault="00FF38E6" w:rsidP="00C56459">
      <w:pPr>
        <w:shd w:val="clear" w:color="auto" w:fill="FFFFFF"/>
        <w:spacing w:after="0" w:line="410" w:lineRule="exact"/>
        <w:ind w:left="556"/>
        <w:jc w:val="both"/>
        <w:rPr>
          <w:rFonts w:ascii="Times New Roman" w:hAnsi="Times New Roman" w:cs="Times New Roman"/>
          <w:sz w:val="28"/>
          <w:szCs w:val="28"/>
        </w:rPr>
      </w:pPr>
      <w:r w:rsidRPr="00A86EA0">
        <w:rPr>
          <w:rFonts w:ascii="Times New Roman" w:hAnsi="Times New Roman" w:cs="Times New Roman"/>
          <w:sz w:val="28"/>
          <w:szCs w:val="28"/>
        </w:rPr>
        <w:t>(vi) the relative per capita income of the States; and</w:t>
      </w:r>
    </w:p>
    <w:p w14:paraId="56DDE345" w14:textId="557047CE" w:rsidR="00FF38E6" w:rsidRPr="00A86EA0" w:rsidRDefault="00FF38E6" w:rsidP="00C56459">
      <w:pPr>
        <w:shd w:val="clear" w:color="auto" w:fill="FFFFFF"/>
        <w:spacing w:after="0" w:line="410" w:lineRule="exact"/>
        <w:ind w:left="556"/>
        <w:jc w:val="both"/>
        <w:rPr>
          <w:rFonts w:ascii="Times New Roman" w:hAnsi="Times New Roman" w:cs="Times New Roman"/>
          <w:sz w:val="28"/>
          <w:szCs w:val="28"/>
        </w:rPr>
      </w:pPr>
      <w:r w:rsidRPr="00A86EA0">
        <w:rPr>
          <w:rFonts w:ascii="Times New Roman" w:hAnsi="Times New Roman" w:cs="Times New Roman"/>
          <w:sz w:val="28"/>
          <w:szCs w:val="28"/>
        </w:rPr>
        <w:t>(vii) the needs of the different States according to various criteria, e.g., area or sparseness of population, economic backwardness or the inverse relative per capita income of each State.</w:t>
      </w:r>
    </w:p>
    <w:p w14:paraId="1964B3AC" w14:textId="623ACF25" w:rsidR="00FF38E6" w:rsidRPr="00A86EA0" w:rsidRDefault="00FF38E6" w:rsidP="00C56459">
      <w:pPr>
        <w:pStyle w:val="ListParagraph"/>
        <w:numPr>
          <w:ilvl w:val="0"/>
          <w:numId w:val="30"/>
        </w:numPr>
        <w:shd w:val="clear" w:color="auto" w:fill="FFFFFF"/>
        <w:spacing w:after="0" w:line="410" w:lineRule="exact"/>
        <w:ind w:left="0" w:firstLine="556"/>
        <w:jc w:val="both"/>
        <w:rPr>
          <w:rFonts w:ascii="Times New Roman" w:hAnsi="Times New Roman" w:cs="Times New Roman"/>
          <w:sz w:val="28"/>
          <w:szCs w:val="28"/>
        </w:rPr>
      </w:pPr>
      <w:r w:rsidRPr="00A86EA0">
        <w:rPr>
          <w:rFonts w:ascii="Times New Roman" w:hAnsi="Times New Roman" w:cs="Times New Roman"/>
          <w:sz w:val="28"/>
          <w:szCs w:val="28"/>
        </w:rPr>
        <w:t>The first three factors primarily seek to relate the distribution to the respective contributions of the different States to the total proceeds, and are intended to provide the most adequate or convenient measure of such contribution. At the other end are factors like the area of a State in relation to its population, economic backwardness and inverse relative per capita income which are specialised measures of needs. Between these categories fall suggestions for the adoption of such factors as population, industrial labour, etc., which are supposed to reflect both the needs and, to an extent, the contribution of the States.</w:t>
      </w:r>
    </w:p>
    <w:p w14:paraId="0EF2862A" w14:textId="56549CC3" w:rsidR="001136A3" w:rsidRPr="00A86EA0" w:rsidRDefault="00FF38E6" w:rsidP="00C56459">
      <w:pPr>
        <w:pStyle w:val="ListParagraph"/>
        <w:numPr>
          <w:ilvl w:val="0"/>
          <w:numId w:val="30"/>
        </w:numPr>
        <w:shd w:val="clear" w:color="auto" w:fill="FFFFFF"/>
        <w:spacing w:after="0" w:line="410" w:lineRule="exact"/>
        <w:ind w:left="0" w:firstLine="556"/>
        <w:jc w:val="both"/>
        <w:rPr>
          <w:rFonts w:ascii="Times New Roman" w:hAnsi="Times New Roman" w:cs="Times New Roman"/>
          <w:sz w:val="28"/>
          <w:szCs w:val="28"/>
        </w:rPr>
      </w:pPr>
      <w:r w:rsidRPr="00A86EA0">
        <w:rPr>
          <w:rFonts w:ascii="Times New Roman" w:hAnsi="Times New Roman" w:cs="Times New Roman"/>
          <w:sz w:val="28"/>
          <w:szCs w:val="28"/>
        </w:rPr>
        <w:t>The relevance of the factor of contribution in the distribution of a shared tax will be generally acknowledged. It is recognised, however, that collection is an inadequate index of contribution. Some consideration of the facts regarding collection will serve to bring this out clearly. Between them, the two States of Bombay and West Bengal account for nearly three-quarters of the collections of income-tax in the country; of these collections again, about</w:t>
      </w:r>
      <w:r w:rsidR="00A86EA0">
        <w:rPr>
          <w:rFonts w:ascii="Times New Roman" w:hAnsi="Times New Roman" w:cs="Times New Roman"/>
          <w:sz w:val="28"/>
          <w:szCs w:val="28"/>
        </w:rPr>
        <w:t xml:space="preserve"> </w:t>
      </w:r>
      <w:r w:rsidR="001136A3" w:rsidRPr="00A86EA0">
        <w:rPr>
          <w:rFonts w:ascii="Times New Roman" w:hAnsi="Times New Roman" w:cs="Times New Roman"/>
          <w:sz w:val="28"/>
          <w:szCs w:val="28"/>
        </w:rPr>
        <w:t>three-quarters are made within the cities of Bombay and Calcutta.</w:t>
      </w:r>
      <w:r w:rsidR="00A86EA0">
        <w:rPr>
          <w:rFonts w:ascii="Times New Roman" w:hAnsi="Times New Roman" w:cs="Times New Roman"/>
          <w:sz w:val="28"/>
          <w:szCs w:val="28"/>
        </w:rPr>
        <w:t xml:space="preserve"> </w:t>
      </w:r>
      <w:r w:rsidR="001136A3" w:rsidRPr="00A86EA0">
        <w:rPr>
          <w:rFonts w:ascii="Times New Roman" w:hAnsi="Times New Roman" w:cs="Times New Roman"/>
          <w:sz w:val="28"/>
          <w:szCs w:val="28"/>
        </w:rPr>
        <w:t>It is clear that the collections of income-tax within the limits of these two cities which account for the greater part of the collections in the country, do not in the main arise on account of activities which are confined to these city limits. Nor can the high collections be accounted for by economic activity which is restricted largely to the States of which they are the capitals. Indeed, though it is impossible to indicate in what degree income subjected to tax in these cities should be ascribed to other States, there is no doubt that a substantial part of the tax receipts in these big port cities in fact accrues in respect of incomes originating beyond the boundaries of the respective States. The high collections of income-tax in these all-India cities are due in a large measure to their being in a sense entrepôts of the country’s import and export trade and to the concentration within their confines of the head offices of companies and other concerns operating all over the country. A study of the information collected by us from some of the larger concerns indicates that the bases of income-generation are far more diversified and widely spread over the country than the facts of collection would seem to suggest.</w:t>
      </w:r>
    </w:p>
    <w:p w14:paraId="79DC2BBB" w14:textId="0FA52E9C" w:rsidR="007D585F" w:rsidRPr="00A86EA0" w:rsidRDefault="001136A3" w:rsidP="00C56459">
      <w:pPr>
        <w:pStyle w:val="ListParagraph"/>
        <w:numPr>
          <w:ilvl w:val="0"/>
          <w:numId w:val="30"/>
        </w:numPr>
        <w:shd w:val="clear" w:color="auto" w:fill="FFFFFF"/>
        <w:spacing w:after="0" w:line="410" w:lineRule="exact"/>
        <w:ind w:left="0" w:firstLine="556"/>
        <w:jc w:val="both"/>
        <w:rPr>
          <w:rFonts w:ascii="Times New Roman" w:hAnsi="Times New Roman" w:cs="Times New Roman"/>
          <w:sz w:val="28"/>
          <w:szCs w:val="28"/>
        </w:rPr>
      </w:pPr>
      <w:r w:rsidRPr="00A86EA0">
        <w:rPr>
          <w:rFonts w:ascii="Times New Roman" w:hAnsi="Times New Roman" w:cs="Times New Roman"/>
          <w:sz w:val="28"/>
          <w:szCs w:val="28"/>
        </w:rPr>
        <w:lastRenderedPageBreak/>
        <w:t>Apart from the impracticability of establishing the precise contribution of different regions to a common tax, the doctrine of economic allegiance on which the principle of contribution is based is open to objection when applied to the sharing of the proceeds of a tax among the units of a federation. The bases of residence or origin—in so far as origin can be identified—may be conveniently used for providing relief from double taxation as between two sovereign States, but may not give proper results in the allocation of the proceeds of a Central tax like income-tax among the States of a country. The incomes which are earned in different States in India cannot be put in the same category as incomes earned in different sovereign States. Unlike the incomes earned in the different units of a federation the incomes which are taxable by a sovereign State are not necessarily or directly conditioned by the policies pursued by other States. In a federation the policies of the federal government are mainly conceived in the national interest and these may confer unequal benefits and may impose unequal burdens on the different units. To illustrate the point, Central policies governing the regulation of company operations, the development of railways and ports, tariffs and subsidies, freight rates, food subsidies, control, regulation and location of industries and price control are conceived and operated in the broad national interest. These policies have a bearing on the pattern of development of large-scale enterprise in industry and trade which are important contributory sources of income-tax. Since the benefits which result in the growth of enterprise flow from policies pursued on the ground of national</w:t>
      </w:r>
      <w:r w:rsidR="00A86EA0">
        <w:rPr>
          <w:rFonts w:ascii="Times New Roman" w:hAnsi="Times New Roman" w:cs="Times New Roman"/>
          <w:sz w:val="28"/>
          <w:szCs w:val="28"/>
        </w:rPr>
        <w:t xml:space="preserve"> </w:t>
      </w:r>
      <w:r w:rsidR="007D585F" w:rsidRPr="00A86EA0">
        <w:rPr>
          <w:rFonts w:ascii="Times New Roman" w:hAnsi="Times New Roman" w:cs="Times New Roman"/>
          <w:sz w:val="28"/>
          <w:szCs w:val="28"/>
        </w:rPr>
        <w:t>interest, there is every reason why national considerations should in a large measure influence the sharing of the proceeds of taxes on such enterprise.</w:t>
      </w:r>
    </w:p>
    <w:p w14:paraId="0E8697F4" w14:textId="3788DB19" w:rsidR="007D585F" w:rsidRPr="00A86EA0" w:rsidRDefault="007D585F" w:rsidP="00C56459">
      <w:pPr>
        <w:pStyle w:val="ListParagraph"/>
        <w:numPr>
          <w:ilvl w:val="0"/>
          <w:numId w:val="30"/>
        </w:numPr>
        <w:shd w:val="clear" w:color="auto" w:fill="FFFFFF"/>
        <w:spacing w:after="0" w:line="410" w:lineRule="exact"/>
        <w:ind w:left="0" w:firstLine="556"/>
        <w:jc w:val="both"/>
        <w:rPr>
          <w:rFonts w:ascii="Times New Roman" w:hAnsi="Times New Roman" w:cs="Times New Roman"/>
          <w:sz w:val="28"/>
          <w:szCs w:val="28"/>
        </w:rPr>
      </w:pPr>
      <w:r w:rsidRPr="00A86EA0">
        <w:rPr>
          <w:rFonts w:ascii="Times New Roman" w:hAnsi="Times New Roman" w:cs="Times New Roman"/>
          <w:sz w:val="28"/>
          <w:szCs w:val="28"/>
        </w:rPr>
        <w:t>Another argument in favour of giving collection some importance in the distribution of income-tax is based on the heavy responsibilities of States where large collections are made to look after the problems of law and order and welfare in respect of the concentration of industrial labour in those States. The very concentration of industries and business enterprises in those States, however, leads to increased receipts in the State sphere from such heads as stamps, sales taxes and entertainment duties which directly benefit the State finances.</w:t>
      </w:r>
    </w:p>
    <w:p w14:paraId="5C801839" w14:textId="61D4ADD4" w:rsidR="007D585F" w:rsidRPr="00A86EA0" w:rsidRDefault="007D585F" w:rsidP="00C56459">
      <w:pPr>
        <w:pStyle w:val="ListParagraph"/>
        <w:numPr>
          <w:ilvl w:val="0"/>
          <w:numId w:val="30"/>
        </w:numPr>
        <w:shd w:val="clear" w:color="auto" w:fill="FFFFFF"/>
        <w:spacing w:after="0" w:line="410" w:lineRule="exact"/>
        <w:ind w:left="0" w:firstLine="556"/>
        <w:jc w:val="both"/>
        <w:rPr>
          <w:rFonts w:ascii="Times New Roman" w:hAnsi="Times New Roman" w:cs="Times New Roman"/>
          <w:sz w:val="28"/>
          <w:szCs w:val="28"/>
        </w:rPr>
      </w:pPr>
      <w:r w:rsidRPr="00A86EA0">
        <w:rPr>
          <w:rFonts w:ascii="Times New Roman" w:hAnsi="Times New Roman" w:cs="Times New Roman"/>
          <w:sz w:val="28"/>
          <w:szCs w:val="28"/>
        </w:rPr>
        <w:t xml:space="preserve">Taking all these considerations into account, we believe that the basis of collections, either unadjusted or adjusted with reference to residence of tax-payers, will not secure by itself an equitable distribution among the various States. We think, besides, that even if it were practicable to ascertain precisely the contribution of the </w:t>
      </w:r>
      <w:r w:rsidRPr="00A86EA0">
        <w:rPr>
          <w:rFonts w:ascii="Times New Roman" w:hAnsi="Times New Roman" w:cs="Times New Roman"/>
          <w:sz w:val="28"/>
          <w:szCs w:val="28"/>
        </w:rPr>
        <w:lastRenderedPageBreak/>
        <w:t>various units to the pool of income-tax, distribution based solely on this criterion might not be satisfactory. It might not substantially conform to the relative responsibility of the various States to provide governmental services to the people. Whatever the theoretical validity of alternative indexes of contribution, a proper scheme of distribution should not overlook the broad purpose of the devolution of revenues to the States, which is to make larger funds available to them to meet their expanding responsibilities in respect of the welfare of their population.</w:t>
      </w:r>
    </w:p>
    <w:p w14:paraId="392E1F78" w14:textId="45738F57" w:rsidR="007D585F" w:rsidRPr="00A86EA0" w:rsidRDefault="007D585F" w:rsidP="00C56459">
      <w:pPr>
        <w:pStyle w:val="ListParagraph"/>
        <w:numPr>
          <w:ilvl w:val="0"/>
          <w:numId w:val="30"/>
        </w:numPr>
        <w:shd w:val="clear" w:color="auto" w:fill="FFFFFF"/>
        <w:spacing w:after="0" w:line="410" w:lineRule="exact"/>
        <w:ind w:left="0" w:firstLine="556"/>
        <w:jc w:val="both"/>
        <w:rPr>
          <w:rFonts w:ascii="Times New Roman" w:hAnsi="Times New Roman" w:cs="Times New Roman"/>
          <w:sz w:val="28"/>
          <w:szCs w:val="28"/>
        </w:rPr>
      </w:pPr>
      <w:r w:rsidRPr="00A86EA0">
        <w:rPr>
          <w:rFonts w:ascii="Times New Roman" w:hAnsi="Times New Roman" w:cs="Times New Roman"/>
          <w:sz w:val="28"/>
          <w:szCs w:val="28"/>
        </w:rPr>
        <w:t>In so far as needs should, in our view, form the main criterion of distribution, we consider that only a broad measure of need such as is given by the respective populations of the States is suitable for application in the distribution of the proceeds of a shared tax. Further refinements of the needs criterion or specialised and particular measures of needs should be left for consideration in relation to grants-in-aid, as such factors like area, or sparseness of population, economic backwardness, financial difficulties, special burdens or commitments of a State, etc. are more relevant to the determination of grants-in-aid.</w:t>
      </w:r>
    </w:p>
    <w:p w14:paraId="17EA34C2" w14:textId="1E776849" w:rsidR="007D585F" w:rsidRPr="00A86EA0" w:rsidRDefault="007D585F" w:rsidP="00C56459">
      <w:pPr>
        <w:pStyle w:val="ListParagraph"/>
        <w:numPr>
          <w:ilvl w:val="0"/>
          <w:numId w:val="30"/>
        </w:numPr>
        <w:shd w:val="clear" w:color="auto" w:fill="FFFFFF"/>
        <w:spacing w:after="0" w:line="410" w:lineRule="exact"/>
        <w:ind w:left="0" w:firstLine="556"/>
        <w:jc w:val="both"/>
        <w:rPr>
          <w:rFonts w:ascii="Times New Roman" w:hAnsi="Times New Roman" w:cs="Times New Roman"/>
          <w:sz w:val="28"/>
          <w:szCs w:val="28"/>
        </w:rPr>
      </w:pPr>
      <w:r w:rsidRPr="00A86EA0">
        <w:rPr>
          <w:rFonts w:ascii="Times New Roman" w:hAnsi="Times New Roman" w:cs="Times New Roman"/>
          <w:sz w:val="28"/>
          <w:szCs w:val="28"/>
        </w:rPr>
        <w:t>There remain the bases of industrial labour and per capita income. It has been argued that the volume of industrial labour in a State reflects both the contribution of a State to the tax-yielding incomes and the State’s needs in the way of larger administrative and welfare services. It is, however, in our view only a partial index of either contribution or needs. In regard to the individual States and per capita income, there are no figures for individual States and we are unable, in the circumstances, to form</w:t>
      </w:r>
      <w:r w:rsidR="00A86EA0">
        <w:rPr>
          <w:rFonts w:ascii="Times New Roman" w:hAnsi="Times New Roman" w:cs="Times New Roman"/>
          <w:sz w:val="28"/>
          <w:szCs w:val="28"/>
        </w:rPr>
        <w:t xml:space="preserve"> </w:t>
      </w:r>
      <w:r w:rsidRPr="00A86EA0">
        <w:rPr>
          <w:rFonts w:ascii="Times New Roman" w:hAnsi="Times New Roman" w:cs="Times New Roman"/>
          <w:sz w:val="28"/>
          <w:szCs w:val="28"/>
        </w:rPr>
        <w:t>any idea regarding the possible use of such data for the purpose of distribution of income-tax. We wish to emphasise here that we attach the utmost importance to the selection of factors which can be related to definite, unambiguous and authoritative data.</w:t>
      </w:r>
    </w:p>
    <w:p w14:paraId="0EF6A8E8" w14:textId="783A68B8" w:rsidR="007D585F" w:rsidRPr="00A86EA0" w:rsidRDefault="007D585F" w:rsidP="00C56459">
      <w:pPr>
        <w:pStyle w:val="ListParagraph"/>
        <w:numPr>
          <w:ilvl w:val="0"/>
          <w:numId w:val="30"/>
        </w:numPr>
        <w:shd w:val="clear" w:color="auto" w:fill="FFFFFF"/>
        <w:spacing w:after="0" w:line="410" w:lineRule="exact"/>
        <w:ind w:left="0" w:firstLine="556"/>
        <w:jc w:val="both"/>
        <w:rPr>
          <w:rFonts w:ascii="Times New Roman" w:hAnsi="Times New Roman" w:cs="Times New Roman"/>
          <w:sz w:val="28"/>
          <w:szCs w:val="28"/>
        </w:rPr>
      </w:pPr>
      <w:r w:rsidRPr="00A86EA0">
        <w:rPr>
          <w:rFonts w:ascii="Times New Roman" w:hAnsi="Times New Roman" w:cs="Times New Roman"/>
          <w:sz w:val="28"/>
          <w:szCs w:val="28"/>
        </w:rPr>
        <w:t xml:space="preserve">The elements which, in our opinion, should enter into the appropriate scheme of distribution of income-tax thus are: (i) a general measure of needs furnished by population, and (ii) contribution. It will be perfectly justifiable, in our view, to give a moderate weight in the scheme of distribution to the factor of contribution. It is pertinent to bear in mind the fact that there is all over the country a core of incomes—particularly in the range of personal and small business incomes—which could be treated as local in origin. Having regard to the essential postulate of definiteness in the factors chosen, the figures of collections furnish the only index available in respect of contribution, though, as the preceding paragraphs indicate, they </w:t>
      </w:r>
      <w:r w:rsidRPr="00A86EA0">
        <w:rPr>
          <w:rFonts w:ascii="Times New Roman" w:hAnsi="Times New Roman" w:cs="Times New Roman"/>
          <w:sz w:val="28"/>
          <w:szCs w:val="28"/>
        </w:rPr>
        <w:lastRenderedPageBreak/>
        <w:t>are an inadequate and partial measure. On a broad view of the position, we propose that twenty per cent of the States’ share of the divisible pool should be distributed among the States on the basis of the relative collections of States and eighty per cent on the basis of their relative population according to the census of 1951.</w:t>
      </w:r>
    </w:p>
    <w:p w14:paraId="27BA8920" w14:textId="0FB5C68E" w:rsidR="007D585F" w:rsidRDefault="007D585F" w:rsidP="00C56459">
      <w:pPr>
        <w:pStyle w:val="ListParagraph"/>
        <w:numPr>
          <w:ilvl w:val="0"/>
          <w:numId w:val="30"/>
        </w:numPr>
        <w:shd w:val="clear" w:color="auto" w:fill="FFFFFF"/>
        <w:spacing w:after="0" w:line="410" w:lineRule="exact"/>
        <w:ind w:left="0" w:firstLine="556"/>
        <w:jc w:val="both"/>
        <w:rPr>
          <w:rFonts w:ascii="Times New Roman" w:hAnsi="Times New Roman" w:cs="Times New Roman"/>
          <w:sz w:val="28"/>
          <w:szCs w:val="28"/>
        </w:rPr>
      </w:pPr>
      <w:r w:rsidRPr="00A86EA0">
        <w:rPr>
          <w:rFonts w:ascii="Times New Roman" w:hAnsi="Times New Roman" w:cs="Times New Roman"/>
          <w:sz w:val="28"/>
          <w:szCs w:val="28"/>
        </w:rPr>
        <w:t>As regards the actual distribution of the States’ share in each year, we consider that it will be convenient, both to the States and to the Centre, if as at present, the shares are expressed as fixed percentages instead of our formula being left to be applied each year. We accordingly propose that the shares of each of the States should be expressed as a percentage of the total States’ share. We have applied the formula for distribution which we propose to the actual figures of collections for the three years ending 1950–51 with suitable adjustments in the case of the Part B States; figures of population taken by us relate to the 1951 census. We accordingly recommend that the percentage</w:t>
      </w:r>
      <w:r w:rsidRPr="00154A50">
        <w:rPr>
          <w:rFonts w:ascii="Times New Roman" w:hAnsi="Times New Roman" w:cs="Times New Roman"/>
          <w:sz w:val="28"/>
          <w:szCs w:val="28"/>
        </w:rPr>
        <w:t xml:space="preserve"> share of the net proceeds of income-tax assigned to the States should be distributed among them in the following manner:—</w:t>
      </w:r>
    </w:p>
    <w:p w14:paraId="49EE7078" w14:textId="77777777" w:rsidR="00A86EA0" w:rsidRDefault="00A86EA0" w:rsidP="00A86EA0">
      <w:pPr>
        <w:pStyle w:val="ListParagraph"/>
        <w:shd w:val="clear" w:color="auto" w:fill="FFFFFF"/>
        <w:spacing w:after="0" w:line="440" w:lineRule="exact"/>
        <w:ind w:left="556"/>
        <w:jc w:val="both"/>
        <w:rPr>
          <w:rFonts w:ascii="Times New Roman" w:hAnsi="Times New Roman" w:cs="Times New Roman"/>
          <w:sz w:val="28"/>
          <w:szCs w:val="28"/>
        </w:rPr>
      </w:pPr>
    </w:p>
    <w:tbl>
      <w:tblPr>
        <w:tblW w:w="5139" w:type="dxa"/>
        <w:jc w:val="center"/>
        <w:tblLook w:val="04A0" w:firstRow="1" w:lastRow="0" w:firstColumn="1" w:lastColumn="0" w:noHBand="0" w:noVBand="1"/>
      </w:tblPr>
      <w:tblGrid>
        <w:gridCol w:w="3286"/>
        <w:gridCol w:w="1853"/>
      </w:tblGrid>
      <w:tr w:rsidR="00A86EA0" w:rsidRPr="00A86EA0" w14:paraId="73F57D5B" w14:textId="77777777" w:rsidTr="00A86EA0">
        <w:trPr>
          <w:trHeight w:val="20"/>
          <w:jc w:val="center"/>
        </w:trPr>
        <w:tc>
          <w:tcPr>
            <w:tcW w:w="3286" w:type="dxa"/>
            <w:tcBorders>
              <w:top w:val="single" w:sz="4" w:space="0" w:color="auto"/>
              <w:left w:val="single" w:sz="4" w:space="0" w:color="auto"/>
              <w:bottom w:val="single" w:sz="4" w:space="0" w:color="auto"/>
              <w:right w:val="single" w:sz="4" w:space="0" w:color="auto"/>
            </w:tcBorders>
            <w:vAlign w:val="center"/>
            <w:hideMark/>
          </w:tcPr>
          <w:p w14:paraId="67229382" w14:textId="77777777" w:rsidR="00A86EA0" w:rsidRPr="00B95B14" w:rsidRDefault="00A86EA0" w:rsidP="00A86EA0">
            <w:pPr>
              <w:pStyle w:val="Tables"/>
              <w:rPr>
                <w:b/>
                <w:bCs/>
              </w:rPr>
            </w:pPr>
            <w:r w:rsidRPr="00B95B14">
              <w:rPr>
                <w:b/>
                <w:bCs/>
              </w:rPr>
              <w:t>State</w:t>
            </w:r>
          </w:p>
        </w:tc>
        <w:tc>
          <w:tcPr>
            <w:tcW w:w="1853" w:type="dxa"/>
            <w:tcBorders>
              <w:top w:val="single" w:sz="4" w:space="0" w:color="auto"/>
              <w:left w:val="nil"/>
              <w:bottom w:val="single" w:sz="4" w:space="0" w:color="auto"/>
              <w:right w:val="single" w:sz="4" w:space="0" w:color="auto"/>
            </w:tcBorders>
            <w:vAlign w:val="center"/>
            <w:hideMark/>
          </w:tcPr>
          <w:p w14:paraId="3481D5D8" w14:textId="77777777" w:rsidR="00A86EA0" w:rsidRPr="00B95B14" w:rsidRDefault="00A86EA0" w:rsidP="00A86EA0">
            <w:pPr>
              <w:pStyle w:val="Tables"/>
              <w:rPr>
                <w:b/>
                <w:bCs/>
              </w:rPr>
            </w:pPr>
            <w:r w:rsidRPr="00B95B14">
              <w:rPr>
                <w:b/>
                <w:bCs/>
              </w:rPr>
              <w:t>Per cent</w:t>
            </w:r>
          </w:p>
        </w:tc>
      </w:tr>
      <w:tr w:rsidR="00A86EA0" w:rsidRPr="00A86EA0" w14:paraId="3BADF662" w14:textId="77777777" w:rsidTr="00A86EA0">
        <w:trPr>
          <w:trHeight w:val="20"/>
          <w:jc w:val="center"/>
        </w:trPr>
        <w:tc>
          <w:tcPr>
            <w:tcW w:w="3286" w:type="dxa"/>
            <w:tcBorders>
              <w:top w:val="nil"/>
              <w:left w:val="single" w:sz="4" w:space="0" w:color="auto"/>
              <w:bottom w:val="single" w:sz="4" w:space="0" w:color="auto"/>
              <w:right w:val="single" w:sz="4" w:space="0" w:color="auto"/>
            </w:tcBorders>
            <w:vAlign w:val="center"/>
            <w:hideMark/>
          </w:tcPr>
          <w:p w14:paraId="2BD70D9C" w14:textId="77777777" w:rsidR="00A86EA0" w:rsidRPr="00A86EA0" w:rsidRDefault="00A86EA0" w:rsidP="00A86EA0">
            <w:pPr>
              <w:pStyle w:val="Tables"/>
            </w:pPr>
            <w:r w:rsidRPr="00A86EA0">
              <w:t>Assam</w:t>
            </w:r>
          </w:p>
        </w:tc>
        <w:tc>
          <w:tcPr>
            <w:tcW w:w="1853" w:type="dxa"/>
            <w:tcBorders>
              <w:top w:val="nil"/>
              <w:left w:val="nil"/>
              <w:bottom w:val="single" w:sz="4" w:space="0" w:color="auto"/>
              <w:right w:val="single" w:sz="4" w:space="0" w:color="auto"/>
            </w:tcBorders>
            <w:vAlign w:val="center"/>
            <w:hideMark/>
          </w:tcPr>
          <w:p w14:paraId="7431F5C2" w14:textId="77777777" w:rsidR="00A86EA0" w:rsidRPr="00A86EA0" w:rsidRDefault="00A86EA0" w:rsidP="00A86EA0">
            <w:pPr>
              <w:pStyle w:val="Tables"/>
            </w:pPr>
            <w:r w:rsidRPr="00A86EA0">
              <w:t>2.25</w:t>
            </w:r>
          </w:p>
        </w:tc>
      </w:tr>
      <w:tr w:rsidR="00A86EA0" w:rsidRPr="00A86EA0" w14:paraId="56CF0EB7" w14:textId="77777777" w:rsidTr="00A86EA0">
        <w:trPr>
          <w:trHeight w:val="20"/>
          <w:jc w:val="center"/>
        </w:trPr>
        <w:tc>
          <w:tcPr>
            <w:tcW w:w="3286" w:type="dxa"/>
            <w:tcBorders>
              <w:top w:val="nil"/>
              <w:left w:val="single" w:sz="4" w:space="0" w:color="auto"/>
              <w:bottom w:val="single" w:sz="4" w:space="0" w:color="auto"/>
              <w:right w:val="single" w:sz="4" w:space="0" w:color="auto"/>
            </w:tcBorders>
            <w:vAlign w:val="center"/>
            <w:hideMark/>
          </w:tcPr>
          <w:p w14:paraId="1BD1DE74" w14:textId="77777777" w:rsidR="00A86EA0" w:rsidRPr="00A86EA0" w:rsidRDefault="00A86EA0" w:rsidP="00A86EA0">
            <w:pPr>
              <w:pStyle w:val="Tables"/>
            </w:pPr>
            <w:r w:rsidRPr="00A86EA0">
              <w:t>Bihar</w:t>
            </w:r>
          </w:p>
        </w:tc>
        <w:tc>
          <w:tcPr>
            <w:tcW w:w="1853" w:type="dxa"/>
            <w:tcBorders>
              <w:top w:val="nil"/>
              <w:left w:val="nil"/>
              <w:bottom w:val="single" w:sz="4" w:space="0" w:color="auto"/>
              <w:right w:val="single" w:sz="4" w:space="0" w:color="auto"/>
            </w:tcBorders>
            <w:vAlign w:val="center"/>
            <w:hideMark/>
          </w:tcPr>
          <w:p w14:paraId="5D4FBB3E" w14:textId="77777777" w:rsidR="00A86EA0" w:rsidRPr="00A86EA0" w:rsidRDefault="00A86EA0" w:rsidP="00A86EA0">
            <w:pPr>
              <w:pStyle w:val="Tables"/>
            </w:pPr>
            <w:r w:rsidRPr="00A86EA0">
              <w:t>9.75</w:t>
            </w:r>
          </w:p>
        </w:tc>
      </w:tr>
      <w:tr w:rsidR="00A86EA0" w:rsidRPr="00A86EA0" w14:paraId="5484D7D8" w14:textId="77777777" w:rsidTr="00A86EA0">
        <w:trPr>
          <w:trHeight w:val="20"/>
          <w:jc w:val="center"/>
        </w:trPr>
        <w:tc>
          <w:tcPr>
            <w:tcW w:w="3286" w:type="dxa"/>
            <w:tcBorders>
              <w:top w:val="nil"/>
              <w:left w:val="single" w:sz="4" w:space="0" w:color="auto"/>
              <w:bottom w:val="single" w:sz="4" w:space="0" w:color="auto"/>
              <w:right w:val="single" w:sz="4" w:space="0" w:color="auto"/>
            </w:tcBorders>
            <w:vAlign w:val="center"/>
            <w:hideMark/>
          </w:tcPr>
          <w:p w14:paraId="60747079" w14:textId="77777777" w:rsidR="00A86EA0" w:rsidRPr="00A86EA0" w:rsidRDefault="00A86EA0" w:rsidP="00A86EA0">
            <w:pPr>
              <w:pStyle w:val="Tables"/>
            </w:pPr>
            <w:r w:rsidRPr="00A86EA0">
              <w:t>Bombay</w:t>
            </w:r>
          </w:p>
        </w:tc>
        <w:tc>
          <w:tcPr>
            <w:tcW w:w="1853" w:type="dxa"/>
            <w:tcBorders>
              <w:top w:val="nil"/>
              <w:left w:val="nil"/>
              <w:bottom w:val="single" w:sz="4" w:space="0" w:color="auto"/>
              <w:right w:val="single" w:sz="4" w:space="0" w:color="auto"/>
            </w:tcBorders>
            <w:vAlign w:val="center"/>
            <w:hideMark/>
          </w:tcPr>
          <w:p w14:paraId="6E0BC4AB" w14:textId="7F942791" w:rsidR="00A86EA0" w:rsidRPr="00A86EA0" w:rsidRDefault="00A86EA0" w:rsidP="00A86EA0">
            <w:pPr>
              <w:pStyle w:val="Tables"/>
            </w:pPr>
            <w:r w:rsidRPr="00A86EA0">
              <w:t>17.5</w:t>
            </w:r>
            <w:r w:rsidR="00A34085">
              <w:t>0</w:t>
            </w:r>
          </w:p>
        </w:tc>
      </w:tr>
      <w:tr w:rsidR="00A86EA0" w:rsidRPr="00A86EA0" w14:paraId="1E9EC689" w14:textId="77777777" w:rsidTr="00A86EA0">
        <w:trPr>
          <w:trHeight w:val="20"/>
          <w:jc w:val="center"/>
        </w:trPr>
        <w:tc>
          <w:tcPr>
            <w:tcW w:w="3286" w:type="dxa"/>
            <w:tcBorders>
              <w:top w:val="nil"/>
              <w:left w:val="single" w:sz="4" w:space="0" w:color="auto"/>
              <w:bottom w:val="single" w:sz="4" w:space="0" w:color="auto"/>
              <w:right w:val="single" w:sz="4" w:space="0" w:color="auto"/>
            </w:tcBorders>
            <w:vAlign w:val="center"/>
            <w:hideMark/>
          </w:tcPr>
          <w:p w14:paraId="07595FE6" w14:textId="77777777" w:rsidR="00A86EA0" w:rsidRPr="00A86EA0" w:rsidRDefault="00A86EA0" w:rsidP="00A86EA0">
            <w:pPr>
              <w:pStyle w:val="Tables"/>
            </w:pPr>
            <w:r w:rsidRPr="00A86EA0">
              <w:t>Hyderabad</w:t>
            </w:r>
          </w:p>
        </w:tc>
        <w:tc>
          <w:tcPr>
            <w:tcW w:w="1853" w:type="dxa"/>
            <w:tcBorders>
              <w:top w:val="nil"/>
              <w:left w:val="nil"/>
              <w:bottom w:val="single" w:sz="4" w:space="0" w:color="auto"/>
              <w:right w:val="single" w:sz="4" w:space="0" w:color="auto"/>
            </w:tcBorders>
            <w:vAlign w:val="center"/>
            <w:hideMark/>
          </w:tcPr>
          <w:p w14:paraId="0AC0B9A6" w14:textId="71BEDBAF" w:rsidR="00A86EA0" w:rsidRPr="00A86EA0" w:rsidRDefault="00A86EA0" w:rsidP="00A86EA0">
            <w:pPr>
              <w:pStyle w:val="Tables"/>
            </w:pPr>
            <w:r w:rsidRPr="00A86EA0">
              <w:t>4.5</w:t>
            </w:r>
            <w:r w:rsidR="00A34085">
              <w:t>0</w:t>
            </w:r>
          </w:p>
        </w:tc>
      </w:tr>
      <w:tr w:rsidR="00A86EA0" w:rsidRPr="00A86EA0" w14:paraId="760A016C" w14:textId="77777777" w:rsidTr="00A86EA0">
        <w:trPr>
          <w:trHeight w:val="20"/>
          <w:jc w:val="center"/>
        </w:trPr>
        <w:tc>
          <w:tcPr>
            <w:tcW w:w="3286" w:type="dxa"/>
            <w:tcBorders>
              <w:top w:val="nil"/>
              <w:left w:val="single" w:sz="4" w:space="0" w:color="auto"/>
              <w:bottom w:val="nil"/>
              <w:right w:val="single" w:sz="4" w:space="0" w:color="auto"/>
            </w:tcBorders>
            <w:vAlign w:val="center"/>
            <w:hideMark/>
          </w:tcPr>
          <w:p w14:paraId="4C333635" w14:textId="77777777" w:rsidR="00A86EA0" w:rsidRPr="00A86EA0" w:rsidRDefault="00A86EA0" w:rsidP="00A86EA0">
            <w:pPr>
              <w:pStyle w:val="Tables"/>
            </w:pPr>
            <w:r w:rsidRPr="00A86EA0">
              <w:t>Madhya Bharat</w:t>
            </w:r>
          </w:p>
        </w:tc>
        <w:tc>
          <w:tcPr>
            <w:tcW w:w="1853" w:type="dxa"/>
            <w:tcBorders>
              <w:top w:val="nil"/>
              <w:left w:val="nil"/>
              <w:bottom w:val="nil"/>
              <w:right w:val="single" w:sz="4" w:space="0" w:color="auto"/>
            </w:tcBorders>
            <w:vAlign w:val="center"/>
            <w:hideMark/>
          </w:tcPr>
          <w:p w14:paraId="63B3712F" w14:textId="77777777" w:rsidR="00A86EA0" w:rsidRPr="00A86EA0" w:rsidRDefault="00A86EA0" w:rsidP="00A86EA0">
            <w:pPr>
              <w:pStyle w:val="Tables"/>
            </w:pPr>
            <w:r w:rsidRPr="00A86EA0">
              <w:t>1.75</w:t>
            </w:r>
          </w:p>
        </w:tc>
      </w:tr>
      <w:tr w:rsidR="00A86EA0" w:rsidRPr="00A86EA0" w14:paraId="6FF37F16" w14:textId="77777777" w:rsidTr="00A86EA0">
        <w:trPr>
          <w:trHeight w:val="20"/>
          <w:jc w:val="center"/>
        </w:trPr>
        <w:tc>
          <w:tcPr>
            <w:tcW w:w="3286" w:type="dxa"/>
            <w:tcBorders>
              <w:top w:val="single" w:sz="4" w:space="0" w:color="auto"/>
              <w:left w:val="single" w:sz="4" w:space="0" w:color="auto"/>
              <w:bottom w:val="single" w:sz="4" w:space="0" w:color="auto"/>
              <w:right w:val="single" w:sz="4" w:space="0" w:color="auto"/>
            </w:tcBorders>
            <w:vAlign w:val="center"/>
            <w:hideMark/>
          </w:tcPr>
          <w:p w14:paraId="78E574E8" w14:textId="77777777" w:rsidR="00A86EA0" w:rsidRPr="00A86EA0" w:rsidRDefault="00A86EA0" w:rsidP="00A86EA0">
            <w:pPr>
              <w:pStyle w:val="Tables"/>
            </w:pPr>
            <w:r w:rsidRPr="00A86EA0">
              <w:t>Madhya Pradesh</w:t>
            </w:r>
          </w:p>
        </w:tc>
        <w:tc>
          <w:tcPr>
            <w:tcW w:w="1853" w:type="dxa"/>
            <w:tcBorders>
              <w:top w:val="single" w:sz="4" w:space="0" w:color="auto"/>
              <w:left w:val="nil"/>
              <w:bottom w:val="single" w:sz="4" w:space="0" w:color="auto"/>
              <w:right w:val="single" w:sz="4" w:space="0" w:color="auto"/>
            </w:tcBorders>
            <w:vAlign w:val="center"/>
            <w:hideMark/>
          </w:tcPr>
          <w:p w14:paraId="15C2DF0C" w14:textId="77777777" w:rsidR="00A86EA0" w:rsidRPr="00A86EA0" w:rsidRDefault="00A86EA0" w:rsidP="00A86EA0">
            <w:pPr>
              <w:pStyle w:val="Tables"/>
            </w:pPr>
            <w:r w:rsidRPr="00A86EA0">
              <w:t>5.25</w:t>
            </w:r>
          </w:p>
        </w:tc>
      </w:tr>
      <w:tr w:rsidR="00A86EA0" w:rsidRPr="00A86EA0" w14:paraId="7DA04FB7" w14:textId="77777777" w:rsidTr="00A86EA0">
        <w:trPr>
          <w:trHeight w:val="20"/>
          <w:jc w:val="center"/>
        </w:trPr>
        <w:tc>
          <w:tcPr>
            <w:tcW w:w="3286" w:type="dxa"/>
            <w:tcBorders>
              <w:top w:val="nil"/>
              <w:left w:val="single" w:sz="4" w:space="0" w:color="auto"/>
              <w:bottom w:val="single" w:sz="4" w:space="0" w:color="auto"/>
              <w:right w:val="single" w:sz="4" w:space="0" w:color="auto"/>
            </w:tcBorders>
            <w:vAlign w:val="center"/>
            <w:hideMark/>
          </w:tcPr>
          <w:p w14:paraId="6B5F63E1" w14:textId="77777777" w:rsidR="00A86EA0" w:rsidRPr="00A86EA0" w:rsidRDefault="00A86EA0" w:rsidP="00A86EA0">
            <w:pPr>
              <w:pStyle w:val="Tables"/>
            </w:pPr>
            <w:r w:rsidRPr="00A86EA0">
              <w:t>Madras</w:t>
            </w:r>
          </w:p>
        </w:tc>
        <w:tc>
          <w:tcPr>
            <w:tcW w:w="1853" w:type="dxa"/>
            <w:tcBorders>
              <w:top w:val="nil"/>
              <w:left w:val="nil"/>
              <w:bottom w:val="single" w:sz="4" w:space="0" w:color="auto"/>
              <w:right w:val="single" w:sz="4" w:space="0" w:color="auto"/>
            </w:tcBorders>
            <w:vAlign w:val="center"/>
            <w:hideMark/>
          </w:tcPr>
          <w:p w14:paraId="4587965D" w14:textId="77777777" w:rsidR="00A86EA0" w:rsidRPr="00A86EA0" w:rsidRDefault="00A86EA0" w:rsidP="00A86EA0">
            <w:pPr>
              <w:pStyle w:val="Tables"/>
            </w:pPr>
            <w:r w:rsidRPr="00A86EA0">
              <w:t>15.25</w:t>
            </w:r>
          </w:p>
        </w:tc>
      </w:tr>
      <w:tr w:rsidR="00A86EA0" w:rsidRPr="00A86EA0" w14:paraId="6F5B375D" w14:textId="77777777" w:rsidTr="00A86EA0">
        <w:trPr>
          <w:trHeight w:val="20"/>
          <w:jc w:val="center"/>
        </w:trPr>
        <w:tc>
          <w:tcPr>
            <w:tcW w:w="3286" w:type="dxa"/>
            <w:tcBorders>
              <w:top w:val="nil"/>
              <w:left w:val="single" w:sz="4" w:space="0" w:color="auto"/>
              <w:bottom w:val="single" w:sz="4" w:space="0" w:color="auto"/>
              <w:right w:val="single" w:sz="4" w:space="0" w:color="auto"/>
            </w:tcBorders>
            <w:vAlign w:val="center"/>
            <w:hideMark/>
          </w:tcPr>
          <w:p w14:paraId="0A1F08D5" w14:textId="77777777" w:rsidR="00A86EA0" w:rsidRPr="00A86EA0" w:rsidRDefault="00A86EA0" w:rsidP="00A86EA0">
            <w:pPr>
              <w:pStyle w:val="Tables"/>
            </w:pPr>
            <w:r w:rsidRPr="00A86EA0">
              <w:t>Mysore</w:t>
            </w:r>
          </w:p>
        </w:tc>
        <w:tc>
          <w:tcPr>
            <w:tcW w:w="1853" w:type="dxa"/>
            <w:tcBorders>
              <w:top w:val="nil"/>
              <w:left w:val="nil"/>
              <w:bottom w:val="single" w:sz="4" w:space="0" w:color="auto"/>
              <w:right w:val="single" w:sz="4" w:space="0" w:color="auto"/>
            </w:tcBorders>
            <w:vAlign w:val="center"/>
            <w:hideMark/>
          </w:tcPr>
          <w:p w14:paraId="63A295D7" w14:textId="77777777" w:rsidR="00A86EA0" w:rsidRPr="00A86EA0" w:rsidRDefault="00A86EA0" w:rsidP="00A86EA0">
            <w:pPr>
              <w:pStyle w:val="Tables"/>
            </w:pPr>
            <w:r w:rsidRPr="00A86EA0">
              <w:t>2.25</w:t>
            </w:r>
          </w:p>
        </w:tc>
      </w:tr>
      <w:tr w:rsidR="00A86EA0" w:rsidRPr="00A86EA0" w14:paraId="5AD1A629" w14:textId="77777777" w:rsidTr="00A86EA0">
        <w:trPr>
          <w:trHeight w:val="20"/>
          <w:jc w:val="center"/>
        </w:trPr>
        <w:tc>
          <w:tcPr>
            <w:tcW w:w="3286" w:type="dxa"/>
            <w:tcBorders>
              <w:top w:val="nil"/>
              <w:left w:val="single" w:sz="4" w:space="0" w:color="auto"/>
              <w:bottom w:val="single" w:sz="4" w:space="0" w:color="auto"/>
              <w:right w:val="single" w:sz="4" w:space="0" w:color="auto"/>
            </w:tcBorders>
            <w:vAlign w:val="center"/>
            <w:hideMark/>
          </w:tcPr>
          <w:p w14:paraId="1967D7F5" w14:textId="77777777" w:rsidR="00A86EA0" w:rsidRPr="00A86EA0" w:rsidRDefault="00A86EA0" w:rsidP="00A86EA0">
            <w:pPr>
              <w:pStyle w:val="Tables"/>
            </w:pPr>
            <w:r w:rsidRPr="00A86EA0">
              <w:t>Orissa</w:t>
            </w:r>
          </w:p>
        </w:tc>
        <w:tc>
          <w:tcPr>
            <w:tcW w:w="1853" w:type="dxa"/>
            <w:tcBorders>
              <w:top w:val="nil"/>
              <w:left w:val="nil"/>
              <w:bottom w:val="single" w:sz="4" w:space="0" w:color="auto"/>
              <w:right w:val="single" w:sz="4" w:space="0" w:color="auto"/>
            </w:tcBorders>
            <w:vAlign w:val="center"/>
            <w:hideMark/>
          </w:tcPr>
          <w:p w14:paraId="3FD49E82" w14:textId="41FECC13" w:rsidR="00A86EA0" w:rsidRPr="00A86EA0" w:rsidRDefault="00A86EA0" w:rsidP="00A86EA0">
            <w:pPr>
              <w:pStyle w:val="Tables"/>
            </w:pPr>
            <w:r w:rsidRPr="00A86EA0">
              <w:t>3.5</w:t>
            </w:r>
            <w:r w:rsidR="00A34085">
              <w:t>0</w:t>
            </w:r>
          </w:p>
        </w:tc>
      </w:tr>
      <w:tr w:rsidR="00A86EA0" w:rsidRPr="00A86EA0" w14:paraId="5942C25C" w14:textId="77777777" w:rsidTr="00A86EA0">
        <w:trPr>
          <w:trHeight w:val="20"/>
          <w:jc w:val="center"/>
        </w:trPr>
        <w:tc>
          <w:tcPr>
            <w:tcW w:w="3286" w:type="dxa"/>
            <w:tcBorders>
              <w:top w:val="nil"/>
              <w:left w:val="single" w:sz="4" w:space="0" w:color="auto"/>
              <w:bottom w:val="single" w:sz="4" w:space="0" w:color="auto"/>
              <w:right w:val="single" w:sz="4" w:space="0" w:color="auto"/>
            </w:tcBorders>
            <w:vAlign w:val="center"/>
            <w:hideMark/>
          </w:tcPr>
          <w:p w14:paraId="37E050EE" w14:textId="77777777" w:rsidR="00A86EA0" w:rsidRPr="00A86EA0" w:rsidRDefault="00A86EA0" w:rsidP="00A86EA0">
            <w:pPr>
              <w:pStyle w:val="Tables"/>
            </w:pPr>
            <w:r w:rsidRPr="00A86EA0">
              <w:t>Patiala and East Punjab States Union</w:t>
            </w:r>
          </w:p>
        </w:tc>
        <w:tc>
          <w:tcPr>
            <w:tcW w:w="1853" w:type="dxa"/>
            <w:tcBorders>
              <w:top w:val="nil"/>
              <w:left w:val="nil"/>
              <w:bottom w:val="single" w:sz="4" w:space="0" w:color="auto"/>
              <w:right w:val="single" w:sz="4" w:space="0" w:color="auto"/>
            </w:tcBorders>
            <w:vAlign w:val="center"/>
            <w:hideMark/>
          </w:tcPr>
          <w:p w14:paraId="338D92BA" w14:textId="77777777" w:rsidR="00A86EA0" w:rsidRPr="00A86EA0" w:rsidRDefault="00A86EA0" w:rsidP="00A86EA0">
            <w:pPr>
              <w:pStyle w:val="Tables"/>
            </w:pPr>
            <w:r w:rsidRPr="00A86EA0">
              <w:t>0.75</w:t>
            </w:r>
          </w:p>
        </w:tc>
      </w:tr>
      <w:tr w:rsidR="00A86EA0" w:rsidRPr="00A86EA0" w14:paraId="0A83B1E4" w14:textId="77777777" w:rsidTr="00A86EA0">
        <w:trPr>
          <w:trHeight w:val="20"/>
          <w:jc w:val="center"/>
        </w:trPr>
        <w:tc>
          <w:tcPr>
            <w:tcW w:w="3286" w:type="dxa"/>
            <w:tcBorders>
              <w:top w:val="nil"/>
              <w:left w:val="single" w:sz="4" w:space="0" w:color="auto"/>
              <w:bottom w:val="single" w:sz="4" w:space="0" w:color="auto"/>
              <w:right w:val="single" w:sz="4" w:space="0" w:color="auto"/>
            </w:tcBorders>
            <w:vAlign w:val="center"/>
            <w:hideMark/>
          </w:tcPr>
          <w:p w14:paraId="712726A0" w14:textId="77777777" w:rsidR="00A86EA0" w:rsidRPr="00A86EA0" w:rsidRDefault="00A86EA0" w:rsidP="00A86EA0">
            <w:pPr>
              <w:pStyle w:val="Tables"/>
            </w:pPr>
            <w:r w:rsidRPr="00A86EA0">
              <w:t>Punjab</w:t>
            </w:r>
          </w:p>
        </w:tc>
        <w:tc>
          <w:tcPr>
            <w:tcW w:w="1853" w:type="dxa"/>
            <w:tcBorders>
              <w:top w:val="nil"/>
              <w:left w:val="nil"/>
              <w:bottom w:val="single" w:sz="4" w:space="0" w:color="auto"/>
              <w:right w:val="single" w:sz="4" w:space="0" w:color="auto"/>
            </w:tcBorders>
            <w:vAlign w:val="center"/>
            <w:hideMark/>
          </w:tcPr>
          <w:p w14:paraId="0601B4DA" w14:textId="77777777" w:rsidR="00A86EA0" w:rsidRPr="00A86EA0" w:rsidRDefault="00A86EA0" w:rsidP="00A86EA0">
            <w:pPr>
              <w:pStyle w:val="Tables"/>
            </w:pPr>
            <w:r w:rsidRPr="00A86EA0">
              <w:t>3.25</w:t>
            </w:r>
          </w:p>
        </w:tc>
      </w:tr>
      <w:tr w:rsidR="00A86EA0" w:rsidRPr="00A86EA0" w14:paraId="1BD43B9E" w14:textId="77777777" w:rsidTr="00A86EA0">
        <w:trPr>
          <w:trHeight w:val="20"/>
          <w:jc w:val="center"/>
        </w:trPr>
        <w:tc>
          <w:tcPr>
            <w:tcW w:w="3286" w:type="dxa"/>
            <w:tcBorders>
              <w:top w:val="nil"/>
              <w:left w:val="single" w:sz="4" w:space="0" w:color="auto"/>
              <w:bottom w:val="single" w:sz="4" w:space="0" w:color="auto"/>
              <w:right w:val="single" w:sz="4" w:space="0" w:color="auto"/>
            </w:tcBorders>
            <w:vAlign w:val="center"/>
            <w:hideMark/>
          </w:tcPr>
          <w:p w14:paraId="794C2F1F" w14:textId="77777777" w:rsidR="00A86EA0" w:rsidRPr="00A86EA0" w:rsidRDefault="00A86EA0" w:rsidP="00A86EA0">
            <w:pPr>
              <w:pStyle w:val="Tables"/>
            </w:pPr>
            <w:r w:rsidRPr="00A86EA0">
              <w:t>Rajasthan</w:t>
            </w:r>
          </w:p>
        </w:tc>
        <w:tc>
          <w:tcPr>
            <w:tcW w:w="1853" w:type="dxa"/>
            <w:tcBorders>
              <w:top w:val="nil"/>
              <w:left w:val="nil"/>
              <w:bottom w:val="single" w:sz="4" w:space="0" w:color="auto"/>
              <w:right w:val="single" w:sz="4" w:space="0" w:color="auto"/>
            </w:tcBorders>
            <w:vAlign w:val="center"/>
            <w:hideMark/>
          </w:tcPr>
          <w:p w14:paraId="7AB8BA69" w14:textId="66E7C659" w:rsidR="00A86EA0" w:rsidRPr="00A86EA0" w:rsidRDefault="00A86EA0" w:rsidP="00A86EA0">
            <w:pPr>
              <w:pStyle w:val="Tables"/>
            </w:pPr>
            <w:r w:rsidRPr="00A86EA0">
              <w:t>3.5</w:t>
            </w:r>
            <w:r w:rsidR="00A34085">
              <w:t>0</w:t>
            </w:r>
          </w:p>
        </w:tc>
      </w:tr>
      <w:tr w:rsidR="00A86EA0" w:rsidRPr="00A86EA0" w14:paraId="33A3628A" w14:textId="77777777" w:rsidTr="00A86EA0">
        <w:trPr>
          <w:trHeight w:val="20"/>
          <w:jc w:val="center"/>
        </w:trPr>
        <w:tc>
          <w:tcPr>
            <w:tcW w:w="3286" w:type="dxa"/>
            <w:tcBorders>
              <w:top w:val="nil"/>
              <w:left w:val="single" w:sz="4" w:space="0" w:color="auto"/>
              <w:bottom w:val="single" w:sz="4" w:space="0" w:color="auto"/>
              <w:right w:val="single" w:sz="4" w:space="0" w:color="auto"/>
            </w:tcBorders>
            <w:vAlign w:val="center"/>
            <w:hideMark/>
          </w:tcPr>
          <w:p w14:paraId="37FFDE69" w14:textId="77777777" w:rsidR="00A86EA0" w:rsidRPr="00A86EA0" w:rsidRDefault="00A86EA0" w:rsidP="00A86EA0">
            <w:pPr>
              <w:pStyle w:val="Tables"/>
            </w:pPr>
            <w:r w:rsidRPr="00A86EA0">
              <w:t>Saurashtra</w:t>
            </w:r>
          </w:p>
        </w:tc>
        <w:tc>
          <w:tcPr>
            <w:tcW w:w="1853" w:type="dxa"/>
            <w:tcBorders>
              <w:top w:val="nil"/>
              <w:left w:val="nil"/>
              <w:bottom w:val="single" w:sz="4" w:space="0" w:color="auto"/>
              <w:right w:val="single" w:sz="4" w:space="0" w:color="auto"/>
            </w:tcBorders>
            <w:vAlign w:val="center"/>
            <w:hideMark/>
          </w:tcPr>
          <w:p w14:paraId="6E043CF5" w14:textId="4F6F9E9A" w:rsidR="00A86EA0" w:rsidRPr="00A86EA0" w:rsidRDefault="00A86EA0" w:rsidP="00A86EA0">
            <w:pPr>
              <w:pStyle w:val="Tables"/>
            </w:pPr>
            <w:r w:rsidRPr="00A86EA0">
              <w:t>1</w:t>
            </w:r>
            <w:r w:rsidR="00A34085">
              <w:t>.00</w:t>
            </w:r>
          </w:p>
        </w:tc>
      </w:tr>
      <w:tr w:rsidR="00A86EA0" w:rsidRPr="00A86EA0" w14:paraId="07DD0520" w14:textId="77777777" w:rsidTr="00A86EA0">
        <w:trPr>
          <w:trHeight w:val="20"/>
          <w:jc w:val="center"/>
        </w:trPr>
        <w:tc>
          <w:tcPr>
            <w:tcW w:w="3286" w:type="dxa"/>
            <w:tcBorders>
              <w:top w:val="nil"/>
              <w:left w:val="single" w:sz="4" w:space="0" w:color="auto"/>
              <w:bottom w:val="single" w:sz="4" w:space="0" w:color="auto"/>
              <w:right w:val="single" w:sz="4" w:space="0" w:color="auto"/>
            </w:tcBorders>
            <w:vAlign w:val="center"/>
            <w:hideMark/>
          </w:tcPr>
          <w:p w14:paraId="1E081264" w14:textId="77777777" w:rsidR="00A86EA0" w:rsidRPr="00A86EA0" w:rsidRDefault="00A86EA0" w:rsidP="00A86EA0">
            <w:pPr>
              <w:pStyle w:val="Tables"/>
            </w:pPr>
            <w:r w:rsidRPr="00A86EA0">
              <w:t>Travancore–Cochin</w:t>
            </w:r>
          </w:p>
        </w:tc>
        <w:tc>
          <w:tcPr>
            <w:tcW w:w="1853" w:type="dxa"/>
            <w:tcBorders>
              <w:top w:val="nil"/>
              <w:left w:val="nil"/>
              <w:bottom w:val="single" w:sz="4" w:space="0" w:color="auto"/>
              <w:right w:val="single" w:sz="4" w:space="0" w:color="auto"/>
            </w:tcBorders>
            <w:vAlign w:val="center"/>
            <w:hideMark/>
          </w:tcPr>
          <w:p w14:paraId="36B63A08" w14:textId="0824507E" w:rsidR="00A86EA0" w:rsidRPr="00A86EA0" w:rsidRDefault="00A86EA0" w:rsidP="00A86EA0">
            <w:pPr>
              <w:pStyle w:val="Tables"/>
            </w:pPr>
            <w:r w:rsidRPr="00A86EA0">
              <w:t>2.5</w:t>
            </w:r>
            <w:r w:rsidR="00A34085">
              <w:t>0</w:t>
            </w:r>
          </w:p>
        </w:tc>
      </w:tr>
      <w:tr w:rsidR="00A86EA0" w:rsidRPr="00A86EA0" w14:paraId="20FDE7FD" w14:textId="77777777" w:rsidTr="00A86EA0">
        <w:trPr>
          <w:trHeight w:val="20"/>
          <w:jc w:val="center"/>
        </w:trPr>
        <w:tc>
          <w:tcPr>
            <w:tcW w:w="3286" w:type="dxa"/>
            <w:tcBorders>
              <w:top w:val="nil"/>
              <w:left w:val="single" w:sz="4" w:space="0" w:color="auto"/>
              <w:bottom w:val="single" w:sz="4" w:space="0" w:color="auto"/>
              <w:right w:val="single" w:sz="4" w:space="0" w:color="auto"/>
            </w:tcBorders>
            <w:vAlign w:val="center"/>
            <w:hideMark/>
          </w:tcPr>
          <w:p w14:paraId="451A434A" w14:textId="77777777" w:rsidR="00A86EA0" w:rsidRPr="00A86EA0" w:rsidRDefault="00A86EA0" w:rsidP="00A86EA0">
            <w:pPr>
              <w:pStyle w:val="Tables"/>
            </w:pPr>
            <w:r w:rsidRPr="00A86EA0">
              <w:t>Uttar Pradesh</w:t>
            </w:r>
          </w:p>
        </w:tc>
        <w:tc>
          <w:tcPr>
            <w:tcW w:w="1853" w:type="dxa"/>
            <w:tcBorders>
              <w:top w:val="nil"/>
              <w:left w:val="nil"/>
              <w:bottom w:val="single" w:sz="4" w:space="0" w:color="auto"/>
              <w:right w:val="single" w:sz="4" w:space="0" w:color="auto"/>
            </w:tcBorders>
            <w:vAlign w:val="center"/>
            <w:hideMark/>
          </w:tcPr>
          <w:p w14:paraId="1B943D3C" w14:textId="77777777" w:rsidR="00A86EA0" w:rsidRPr="00A86EA0" w:rsidRDefault="00A86EA0" w:rsidP="00A86EA0">
            <w:pPr>
              <w:pStyle w:val="Tables"/>
            </w:pPr>
            <w:r w:rsidRPr="00A86EA0">
              <w:t>15.75</w:t>
            </w:r>
          </w:p>
        </w:tc>
      </w:tr>
      <w:tr w:rsidR="00A86EA0" w:rsidRPr="00A86EA0" w14:paraId="58E88413" w14:textId="77777777" w:rsidTr="00A86EA0">
        <w:trPr>
          <w:trHeight w:val="20"/>
          <w:jc w:val="center"/>
        </w:trPr>
        <w:tc>
          <w:tcPr>
            <w:tcW w:w="3286" w:type="dxa"/>
            <w:tcBorders>
              <w:top w:val="nil"/>
              <w:left w:val="single" w:sz="4" w:space="0" w:color="auto"/>
              <w:bottom w:val="single" w:sz="4" w:space="0" w:color="auto"/>
              <w:right w:val="single" w:sz="4" w:space="0" w:color="auto"/>
            </w:tcBorders>
            <w:vAlign w:val="center"/>
            <w:hideMark/>
          </w:tcPr>
          <w:p w14:paraId="47B9896F" w14:textId="77777777" w:rsidR="00A86EA0" w:rsidRPr="00A86EA0" w:rsidRDefault="00A86EA0" w:rsidP="00A86EA0">
            <w:pPr>
              <w:pStyle w:val="Tables"/>
            </w:pPr>
            <w:r w:rsidRPr="00A86EA0">
              <w:t>West Bengal</w:t>
            </w:r>
          </w:p>
        </w:tc>
        <w:tc>
          <w:tcPr>
            <w:tcW w:w="1853" w:type="dxa"/>
            <w:tcBorders>
              <w:top w:val="nil"/>
              <w:left w:val="nil"/>
              <w:bottom w:val="single" w:sz="4" w:space="0" w:color="auto"/>
              <w:right w:val="single" w:sz="4" w:space="0" w:color="auto"/>
            </w:tcBorders>
            <w:vAlign w:val="center"/>
            <w:hideMark/>
          </w:tcPr>
          <w:p w14:paraId="33DA4DD4" w14:textId="77777777" w:rsidR="00A86EA0" w:rsidRPr="00A86EA0" w:rsidRDefault="00A86EA0" w:rsidP="00A86EA0">
            <w:pPr>
              <w:pStyle w:val="Tables"/>
            </w:pPr>
            <w:r w:rsidRPr="00A86EA0">
              <w:t>11.25</w:t>
            </w:r>
          </w:p>
        </w:tc>
      </w:tr>
    </w:tbl>
    <w:p w14:paraId="4A7BCE28" w14:textId="27800F4E" w:rsidR="00245680" w:rsidRPr="00154A50" w:rsidRDefault="00245680" w:rsidP="00A86EA0">
      <w:pPr>
        <w:pStyle w:val="ListParagraph"/>
        <w:numPr>
          <w:ilvl w:val="0"/>
          <w:numId w:val="30"/>
        </w:numPr>
        <w:shd w:val="clear" w:color="auto" w:fill="FFFFFF"/>
        <w:spacing w:after="0" w:line="420" w:lineRule="exact"/>
        <w:ind w:left="0" w:firstLine="556"/>
        <w:jc w:val="both"/>
        <w:rPr>
          <w:rFonts w:ascii="Times New Roman" w:hAnsi="Times New Roman" w:cs="Times New Roman"/>
          <w:sz w:val="28"/>
          <w:szCs w:val="28"/>
        </w:rPr>
      </w:pPr>
      <w:r w:rsidRPr="00A86EA0">
        <w:rPr>
          <w:rFonts w:ascii="Times New Roman" w:hAnsi="Times New Roman" w:cs="Times New Roman"/>
          <w:i/>
          <w:iCs/>
          <w:sz w:val="28"/>
          <w:szCs w:val="28"/>
        </w:rPr>
        <w:t xml:space="preserve"> Share attributable to Part C States.—</w:t>
      </w:r>
      <w:r w:rsidRPr="00154A50">
        <w:rPr>
          <w:rFonts w:ascii="Times New Roman" w:hAnsi="Times New Roman" w:cs="Times New Roman"/>
          <w:sz w:val="28"/>
          <w:szCs w:val="28"/>
        </w:rPr>
        <w:t xml:space="preserve">As regards the percentage to be fixed under sub-clause (3) of Article 270 in regard to the Part C States we recommend that this should be prescribed as two and three-quarters per cent of the net proceeds of the tax instead of at one per cent as at present. We have arrived at this figure by allocating to all the Part C States taken together the share which would have accrued </w:t>
      </w:r>
      <w:r w:rsidRPr="00154A50">
        <w:rPr>
          <w:rFonts w:ascii="Times New Roman" w:hAnsi="Times New Roman" w:cs="Times New Roman"/>
          <w:sz w:val="28"/>
          <w:szCs w:val="28"/>
        </w:rPr>
        <w:lastRenderedPageBreak/>
        <w:t>to them collectively had they been entitled to a share of income-tax on the same basis as that adopted by us for the Part A and Part B States.</w:t>
      </w:r>
    </w:p>
    <w:p w14:paraId="0AA0A7C8" w14:textId="15F9B389" w:rsidR="00245680" w:rsidRPr="00154A50" w:rsidRDefault="00245680" w:rsidP="00A86EA0">
      <w:pPr>
        <w:pStyle w:val="ListParagraph"/>
        <w:numPr>
          <w:ilvl w:val="0"/>
          <w:numId w:val="30"/>
        </w:numPr>
        <w:shd w:val="clear" w:color="auto" w:fill="FFFFFF"/>
        <w:spacing w:after="0" w:line="420" w:lineRule="exact"/>
        <w:ind w:left="0" w:firstLine="556"/>
        <w:jc w:val="both"/>
        <w:rPr>
          <w:rFonts w:ascii="Times New Roman" w:hAnsi="Times New Roman" w:cs="Times New Roman"/>
          <w:sz w:val="28"/>
          <w:szCs w:val="28"/>
        </w:rPr>
      </w:pPr>
      <w:r w:rsidRPr="00A86EA0">
        <w:rPr>
          <w:rFonts w:ascii="Times New Roman" w:hAnsi="Times New Roman" w:cs="Times New Roman"/>
          <w:i/>
          <w:iCs/>
          <w:sz w:val="28"/>
          <w:szCs w:val="28"/>
        </w:rPr>
        <w:t>Cost of collection.—</w:t>
      </w:r>
      <w:r w:rsidRPr="00154A50">
        <w:rPr>
          <w:rFonts w:ascii="Times New Roman" w:hAnsi="Times New Roman" w:cs="Times New Roman"/>
          <w:sz w:val="28"/>
          <w:szCs w:val="28"/>
        </w:rPr>
        <w:t xml:space="preserve">We should like to draw attention to an incidental point in connection with the calculation of the net proceeds of income-tax. We understand that the practice has been to apportion the cost of collection </w:t>
      </w:r>
      <w:r w:rsidRPr="006B7D8E">
        <w:rPr>
          <w:rFonts w:ascii="Times New Roman" w:hAnsi="Times New Roman" w:cs="Times New Roman"/>
          <w:i/>
          <w:iCs/>
          <w:sz w:val="28"/>
          <w:szCs w:val="28"/>
        </w:rPr>
        <w:t>pro rata</w:t>
      </w:r>
      <w:r w:rsidRPr="00154A50">
        <w:rPr>
          <w:rFonts w:ascii="Times New Roman" w:hAnsi="Times New Roman" w:cs="Times New Roman"/>
          <w:sz w:val="28"/>
          <w:szCs w:val="28"/>
        </w:rPr>
        <w:t xml:space="preserve"> between income-tax and corporation tax on the basis of the net revenue under these heads. This method of apportionment was originally suggested by Sir Otto Niemeyer. We were informed by the Central Board of Revenue that recent experience indicated that this method did not secure an equitable apportionment of the cost between corporation tax and income-tax, and they suggested an alternative formula for our consideration. This, however, seems to us to be a matter for the Comptroller and Auditor-General to decide, as under Article 279(1) of the Constitution the “net proceeds” in relation to any tax or duty have to be ascertained and certified by him, and in the process, the cost of collection has to be taken into account. In such computations as we have had to make of the net proceeds of income-tax we have, however, allowed for the fact that a somewhat larger share of the cost of collection may be allocable to income-tax than under the present formula.</w:t>
      </w:r>
    </w:p>
    <w:p w14:paraId="1E6E7189" w14:textId="48F318CA" w:rsidR="00CB4283" w:rsidRPr="00154A50" w:rsidRDefault="00CB4283" w:rsidP="00A86EA0">
      <w:pPr>
        <w:pStyle w:val="ListParagraph"/>
        <w:numPr>
          <w:ilvl w:val="0"/>
          <w:numId w:val="30"/>
        </w:numPr>
        <w:shd w:val="clear" w:color="auto" w:fill="FFFFFF"/>
        <w:spacing w:after="0" w:line="420" w:lineRule="exact"/>
        <w:ind w:left="0" w:firstLine="556"/>
        <w:jc w:val="both"/>
        <w:rPr>
          <w:rFonts w:ascii="Times New Roman" w:hAnsi="Times New Roman" w:cs="Times New Roman"/>
          <w:sz w:val="28"/>
          <w:szCs w:val="28"/>
        </w:rPr>
      </w:pPr>
      <w:r w:rsidRPr="00A86EA0">
        <w:rPr>
          <w:rFonts w:ascii="Times New Roman" w:hAnsi="Times New Roman" w:cs="Times New Roman"/>
          <w:i/>
          <w:iCs/>
          <w:sz w:val="28"/>
          <w:szCs w:val="28"/>
        </w:rPr>
        <w:t>"Revenue gap grant" of Part A States.—</w:t>
      </w:r>
      <w:r w:rsidRPr="00154A50">
        <w:rPr>
          <w:rFonts w:ascii="Times New Roman" w:hAnsi="Times New Roman" w:cs="Times New Roman"/>
          <w:sz w:val="28"/>
          <w:szCs w:val="28"/>
        </w:rPr>
        <w:t>In making our recommendations in regard to the percentage of the net proceeds of income-tax to be assigned to the States and the distribution of the States’ share among them we have taken into account the population and the collections of the "merged areas" included in the various Part A States. As these States will be receiving their share of divisible taxes on a common basis with all the other States, the "revenue gap grants" which the States of Bihar, Bombay, Madhya Pradesh and West Bengal are now receiving in respect of the "merged areas" should be discontinued with effect from the 1st April 1952 and any payments made in the current year should be adjusted against their respective shares of the divisible taxes for the year.</w:t>
      </w:r>
    </w:p>
    <w:p w14:paraId="0A510579" w14:textId="77777777" w:rsidR="00CB4283" w:rsidRPr="0003452E" w:rsidRDefault="00CB4283" w:rsidP="00154A50">
      <w:pPr>
        <w:spacing w:after="0" w:line="440" w:lineRule="exact"/>
        <w:jc w:val="both"/>
        <w:rPr>
          <w:rFonts w:ascii="Times New Roman" w:hAnsi="Times New Roman" w:cs="Times New Roman"/>
        </w:rPr>
      </w:pPr>
      <w:r w:rsidRPr="00154A50">
        <w:rPr>
          <w:rFonts w:ascii="Times New Roman" w:hAnsi="Times New Roman" w:cs="Times New Roman"/>
          <w:sz w:val="28"/>
          <w:szCs w:val="28"/>
        </w:rPr>
        <w:br w:type="page"/>
      </w:r>
    </w:p>
    <w:p w14:paraId="47A8E581" w14:textId="69C76568" w:rsidR="00245680" w:rsidRPr="0003452E" w:rsidRDefault="00CB4283" w:rsidP="00833E1A">
      <w:pPr>
        <w:pStyle w:val="Heading1"/>
      </w:pPr>
      <w:bookmarkStart w:id="6" w:name="_Toc221007115"/>
      <w:r w:rsidRPr="0003452E">
        <w:lastRenderedPageBreak/>
        <w:t xml:space="preserve">CHAPTER V </w:t>
      </w:r>
      <w:r w:rsidR="00833E1A">
        <w:br/>
      </w:r>
      <w:r w:rsidR="001B3FBA" w:rsidRPr="0003452E">
        <w:t>DIVISION OF UNION EXCISES</w:t>
      </w:r>
      <w:bookmarkEnd w:id="6"/>
    </w:p>
    <w:p w14:paraId="1DC80976" w14:textId="77777777" w:rsidR="00CB4283" w:rsidRPr="00833E1A" w:rsidRDefault="00CB4283" w:rsidP="00833E1A">
      <w:pPr>
        <w:pStyle w:val="ListParagraph"/>
        <w:numPr>
          <w:ilvl w:val="0"/>
          <w:numId w:val="32"/>
        </w:numPr>
        <w:shd w:val="clear" w:color="auto" w:fill="FFFFFF"/>
        <w:spacing w:after="0" w:line="420" w:lineRule="exact"/>
        <w:ind w:left="0" w:firstLine="556"/>
        <w:jc w:val="both"/>
        <w:rPr>
          <w:rFonts w:ascii="Times New Roman" w:hAnsi="Times New Roman" w:cs="Times New Roman"/>
          <w:sz w:val="28"/>
          <w:szCs w:val="28"/>
        </w:rPr>
      </w:pPr>
      <w:r w:rsidRPr="00833E1A">
        <w:rPr>
          <w:rFonts w:ascii="Times New Roman" w:hAnsi="Times New Roman" w:cs="Times New Roman"/>
          <w:i/>
          <w:iCs/>
          <w:sz w:val="28"/>
          <w:szCs w:val="28"/>
        </w:rPr>
        <w:t>Constitutional provisions.—</w:t>
      </w:r>
      <w:r w:rsidRPr="00833E1A">
        <w:rPr>
          <w:rFonts w:ascii="Times New Roman" w:hAnsi="Times New Roman" w:cs="Times New Roman"/>
          <w:sz w:val="28"/>
          <w:szCs w:val="28"/>
        </w:rPr>
        <w:t>The distribution between the Union and the States of Union duties of excise, other than such duties on medicinal and toilet preparations, is governed by Article 272 of the Constitution which runs as follows:</w:t>
      </w:r>
    </w:p>
    <w:p w14:paraId="1E1FB312" w14:textId="77777777" w:rsidR="00CB4283" w:rsidRPr="00B95B14" w:rsidRDefault="00CB4283" w:rsidP="00833E1A">
      <w:pPr>
        <w:tabs>
          <w:tab w:val="left" w:pos="7305"/>
        </w:tabs>
        <w:spacing w:line="420" w:lineRule="exact"/>
        <w:ind w:left="556"/>
        <w:jc w:val="both"/>
        <w:rPr>
          <w:rFonts w:ascii="Times New Roman" w:hAnsi="Times New Roman" w:cs="Times New Roman"/>
          <w:sz w:val="28"/>
          <w:szCs w:val="28"/>
        </w:rPr>
      </w:pPr>
      <w:r w:rsidRPr="00B95B14">
        <w:rPr>
          <w:rFonts w:ascii="Times New Roman" w:hAnsi="Times New Roman" w:cs="Times New Roman"/>
          <w:sz w:val="28"/>
          <w:szCs w:val="28"/>
        </w:rPr>
        <w:t>"Union duties of excise other than such duties of excise on medicinal and toilet preparations as are mentioned in the Union List shall be levied and collected by the Government of India, but, if Parliament by law so provides, there shall be paid out of the Consolidated Fund of India to the States to which the law imposing the duty extends sums equivalent to the whole or any part of the net proceeds of that duty, and those sums shall be distributed among those States in accordance with such principles of distribution as may be formulated by such law."</w:t>
      </w:r>
    </w:p>
    <w:p w14:paraId="41258867" w14:textId="77777777" w:rsidR="00CB4283" w:rsidRPr="00833E1A" w:rsidRDefault="00CB4283" w:rsidP="00833E1A">
      <w:pPr>
        <w:pStyle w:val="ListParagraph"/>
        <w:numPr>
          <w:ilvl w:val="0"/>
          <w:numId w:val="32"/>
        </w:numPr>
        <w:shd w:val="clear" w:color="auto" w:fill="FFFFFF"/>
        <w:spacing w:after="0" w:line="420" w:lineRule="exact"/>
        <w:ind w:left="0" w:firstLine="556"/>
        <w:jc w:val="both"/>
        <w:rPr>
          <w:rFonts w:ascii="Times New Roman" w:hAnsi="Times New Roman" w:cs="Times New Roman"/>
          <w:sz w:val="28"/>
          <w:szCs w:val="28"/>
        </w:rPr>
      </w:pPr>
      <w:r w:rsidRPr="00833E1A">
        <w:rPr>
          <w:rFonts w:ascii="Times New Roman" w:hAnsi="Times New Roman" w:cs="Times New Roman"/>
          <w:sz w:val="28"/>
          <w:szCs w:val="28"/>
        </w:rPr>
        <w:t>In Chapter I we have briefly indicated the reasons which have led us to suggest that a part of the additional resources to be made available to the States should take the form of a share of the revenue from Union excises. We had first to consider whether, having regard to the provisions of Article 272 of the Constitution which leaves it to Parliament to provide by law for the distribution of Union excises between the Union and the States, the Commission were competent to make recommendations in this behalf to the President. Article 280(3)(a) which casts upon the Commission the duty of making recommendations in regard to the distribution between the Union and the States of the net proceeds of divided taxes does not limit the Commission’s functions to such taxes as are already divisible but refers also to taxes which "may be" divided between the Union and the States. We, therefore, consider that it is within the competence of the Commission to recommend to the President the division of Union excises, although our recommendations in this behalf cannot be implemented without a law of Parliament.</w:t>
      </w:r>
    </w:p>
    <w:p w14:paraId="4D46F8CA" w14:textId="3CDD7506" w:rsidR="00123DF2" w:rsidRPr="00833E1A" w:rsidRDefault="00CB4283" w:rsidP="00833E1A">
      <w:pPr>
        <w:pStyle w:val="ListParagraph"/>
        <w:numPr>
          <w:ilvl w:val="0"/>
          <w:numId w:val="32"/>
        </w:numPr>
        <w:shd w:val="clear" w:color="auto" w:fill="FFFFFF"/>
        <w:spacing w:after="0" w:line="420" w:lineRule="exact"/>
        <w:ind w:left="0" w:firstLine="556"/>
        <w:jc w:val="both"/>
        <w:rPr>
          <w:rFonts w:ascii="Times New Roman" w:hAnsi="Times New Roman" w:cs="Times New Roman"/>
          <w:sz w:val="28"/>
          <w:szCs w:val="28"/>
        </w:rPr>
      </w:pPr>
      <w:r w:rsidRPr="00833E1A">
        <w:rPr>
          <w:rFonts w:ascii="Times New Roman" w:hAnsi="Times New Roman" w:cs="Times New Roman"/>
          <w:i/>
          <w:iCs/>
          <w:sz w:val="28"/>
          <w:szCs w:val="28"/>
        </w:rPr>
        <w:t>Historical retrospect.—</w:t>
      </w:r>
      <w:r w:rsidRPr="00833E1A">
        <w:rPr>
          <w:rFonts w:ascii="Times New Roman" w:hAnsi="Times New Roman" w:cs="Times New Roman"/>
          <w:sz w:val="28"/>
          <w:szCs w:val="28"/>
        </w:rPr>
        <w:t xml:space="preserve">Prior to the 1st April 1921 there were excise duties on intoxicating spirits and drugs, salt, cotton cloth and petroleum. The excise duty on salt, cotton cloth and petroleum was retained wholly by the Centre. The excise on intoxicating spirits and drugs was wholly provincial in some of the Provinces and a divided head in others. The Government of India Act, 1919, allocated the excise </w:t>
      </w:r>
      <w:r w:rsidRPr="00833E1A">
        <w:rPr>
          <w:rFonts w:ascii="Times New Roman" w:hAnsi="Times New Roman" w:cs="Times New Roman"/>
          <w:sz w:val="28"/>
          <w:szCs w:val="28"/>
        </w:rPr>
        <w:lastRenderedPageBreak/>
        <w:t xml:space="preserve">duty on intoxicating liquors and drugs wholly to the Provinces and left the other excise duties to the Centre. The duty on cotton </w:t>
      </w:r>
      <w:r w:rsidR="00123DF2" w:rsidRPr="00833E1A">
        <w:rPr>
          <w:rFonts w:ascii="Times New Roman" w:hAnsi="Times New Roman" w:cs="Times New Roman"/>
          <w:sz w:val="28"/>
          <w:szCs w:val="28"/>
        </w:rPr>
        <w:t>cloth was subsequently removed but duties on matches, sugar, steel ingots and kerosene were levied from time to time. By 1937-38 the total revenue from these four excises and the excise on petrol amounted to Rs. 7.66 crores, against Rs. 2.71 crores realised from the excise duties on cotton cloth and petrol in 1921-22. With the outbreak of the war, the need to meet the rising cost of defence expenditure led to increases in the rates of duty on these commodities and to the levy of excise duties on other articles. A duty on pneumatic tyres and tubes was imposed in 1941-42 while in 1942-43 the first step was taken in the levy of an excise duty on tobacco, which has since developed into the most fruitful single source of excise tapped so far. An excise duty on “vegetable products” was levied in 1943-44 and duties on betelnuts, tea and coffee were imposed in the following year. An excise duty on cloth was imposed in 1947-48 while the duty on betelnut was withdrawn in 1948-49. At present twelve important commodities are subject to Union excises and the revenue from them in 1951-52 amounted to Rs. 84 crores.</w:t>
      </w:r>
    </w:p>
    <w:p w14:paraId="36C34EAD" w14:textId="2DB5E30F" w:rsidR="00123DF2" w:rsidRPr="00833E1A" w:rsidRDefault="00123DF2" w:rsidP="00833E1A">
      <w:pPr>
        <w:pStyle w:val="ListParagraph"/>
        <w:numPr>
          <w:ilvl w:val="0"/>
          <w:numId w:val="32"/>
        </w:numPr>
        <w:shd w:val="clear" w:color="auto" w:fill="FFFFFF"/>
        <w:spacing w:after="0" w:line="420" w:lineRule="exact"/>
        <w:ind w:left="0" w:firstLine="556"/>
        <w:jc w:val="both"/>
        <w:rPr>
          <w:rFonts w:ascii="Times New Roman" w:hAnsi="Times New Roman" w:cs="Times New Roman"/>
          <w:sz w:val="28"/>
          <w:szCs w:val="28"/>
        </w:rPr>
      </w:pPr>
      <w:r w:rsidRPr="00833E1A">
        <w:rPr>
          <w:rFonts w:ascii="Times New Roman" w:hAnsi="Times New Roman" w:cs="Times New Roman"/>
          <w:sz w:val="28"/>
          <w:szCs w:val="28"/>
        </w:rPr>
        <w:t>The Taxation Enquiry Committee recommended that excise duties levied for revenue purposes, which in many cases may have to be regulated with reference to customs duties and where consumption of the commodities may also be difficult to trace, should be Central. During the discussions preceding the enactment of the Government of India Act, 1935, the question of utilising Union excises for making more resources available to the units was first considered by the Statutory Commission. The Commission proposed that a Provincial Fund should be established from the proceeds of certain new excises and possibly of the salt duty. The amount in the fund was to be automatically distributed to the Provinces on a per capita basis. The Percy Committee (1932) recommended that the Federal Legislature should be empowered to assign to the units the whole or any part of the proceeds of federal excises. This was endorsed by the Joint Committee of Parliament on Indian Constitutional Reforms and embodied in section 140 (1) of the Government of India Act, 1935. The provision in this section was, however, not availed of for transferring a part of any Central excise to the Provinces.</w:t>
      </w:r>
    </w:p>
    <w:p w14:paraId="7DAE0EE5" w14:textId="04B0E1CF" w:rsidR="00123DF2" w:rsidRPr="00833E1A" w:rsidRDefault="00123DF2" w:rsidP="00833E1A">
      <w:pPr>
        <w:pStyle w:val="ListParagraph"/>
        <w:numPr>
          <w:ilvl w:val="0"/>
          <w:numId w:val="32"/>
        </w:numPr>
        <w:shd w:val="clear" w:color="auto" w:fill="FFFFFF"/>
        <w:spacing w:after="0" w:line="420" w:lineRule="exact"/>
        <w:ind w:left="0" w:firstLine="556"/>
        <w:jc w:val="both"/>
        <w:rPr>
          <w:rFonts w:ascii="Times New Roman" w:hAnsi="Times New Roman" w:cs="Times New Roman"/>
          <w:sz w:val="28"/>
          <w:szCs w:val="28"/>
        </w:rPr>
      </w:pPr>
      <w:r w:rsidRPr="00833E1A">
        <w:rPr>
          <w:rFonts w:ascii="Times New Roman" w:hAnsi="Times New Roman" w:cs="Times New Roman"/>
          <w:sz w:val="28"/>
          <w:szCs w:val="28"/>
        </w:rPr>
        <w:t xml:space="preserve">The Expert Committee on the Financial Provisions of the Union Constitution recommended no change in the Constitutional position as embodied in the Government of India Act, 1935, but suggested that one-half of the net proceeds of </w:t>
      </w:r>
      <w:r w:rsidRPr="00833E1A">
        <w:rPr>
          <w:rFonts w:ascii="Times New Roman" w:hAnsi="Times New Roman" w:cs="Times New Roman"/>
          <w:sz w:val="28"/>
          <w:szCs w:val="28"/>
        </w:rPr>
        <w:lastRenderedPageBreak/>
        <w:t>the duty on tobacco should be assigned to the Provinces and distributed on the basis of estimated consumption. The Constitution made no specific provision for the sharing of any excise duty and left the matter to be regulated, as in the past, by an Act of the Union Parliament.</w:t>
      </w:r>
    </w:p>
    <w:p w14:paraId="5F3C313E" w14:textId="35A0B9DF" w:rsidR="00123DF2" w:rsidRPr="00833E1A" w:rsidRDefault="00123DF2" w:rsidP="00833E1A">
      <w:pPr>
        <w:pStyle w:val="ListParagraph"/>
        <w:numPr>
          <w:ilvl w:val="0"/>
          <w:numId w:val="32"/>
        </w:numPr>
        <w:shd w:val="clear" w:color="auto" w:fill="FFFFFF"/>
        <w:spacing w:after="0" w:line="420" w:lineRule="exact"/>
        <w:ind w:left="0" w:firstLine="556"/>
        <w:jc w:val="both"/>
        <w:rPr>
          <w:rFonts w:ascii="Times New Roman" w:hAnsi="Times New Roman" w:cs="Times New Roman"/>
          <w:sz w:val="28"/>
          <w:szCs w:val="28"/>
        </w:rPr>
      </w:pPr>
      <w:r w:rsidRPr="00833E1A">
        <w:rPr>
          <w:rFonts w:ascii="Times New Roman" w:hAnsi="Times New Roman" w:cs="Times New Roman"/>
          <w:sz w:val="28"/>
          <w:szCs w:val="28"/>
        </w:rPr>
        <w:t>While, as mentioned earlier, Union excises were not shared between the Centre and the Provinces, there were arrangements for</w:t>
      </w:r>
      <w:r w:rsidR="00833E1A" w:rsidRPr="00833E1A">
        <w:rPr>
          <w:rFonts w:ascii="Times New Roman" w:hAnsi="Times New Roman" w:cs="Times New Roman"/>
          <w:sz w:val="28"/>
          <w:szCs w:val="28"/>
        </w:rPr>
        <w:t xml:space="preserve"> </w:t>
      </w:r>
      <w:r w:rsidRPr="00833E1A">
        <w:rPr>
          <w:rFonts w:ascii="Times New Roman" w:hAnsi="Times New Roman" w:cs="Times New Roman"/>
          <w:sz w:val="28"/>
          <w:szCs w:val="28"/>
        </w:rPr>
        <w:t>the sharing of some of the excises like those on matches, sugar, tobacco and vegetable products with some of the former Indian States before their integration. These sharing arrangements, the basis of which sometimes varied from State to State, lapsed with the financial integration of these States and no State is now in receipt of a share of any Central excise duty.</w:t>
      </w:r>
    </w:p>
    <w:p w14:paraId="2339FC27" w14:textId="1435E8B7" w:rsidR="00123DF2" w:rsidRPr="00833E1A" w:rsidRDefault="00123DF2" w:rsidP="00833E1A">
      <w:pPr>
        <w:pStyle w:val="ListParagraph"/>
        <w:numPr>
          <w:ilvl w:val="0"/>
          <w:numId w:val="32"/>
        </w:numPr>
        <w:shd w:val="clear" w:color="auto" w:fill="FFFFFF"/>
        <w:spacing w:after="0" w:line="420" w:lineRule="exact"/>
        <w:ind w:left="0" w:firstLine="556"/>
        <w:jc w:val="both"/>
        <w:rPr>
          <w:rFonts w:ascii="Times New Roman" w:hAnsi="Times New Roman" w:cs="Times New Roman"/>
          <w:sz w:val="28"/>
          <w:szCs w:val="28"/>
        </w:rPr>
      </w:pPr>
      <w:r w:rsidRPr="00833E1A">
        <w:rPr>
          <w:rFonts w:ascii="Times New Roman" w:hAnsi="Times New Roman" w:cs="Times New Roman"/>
          <w:i/>
          <w:iCs/>
          <w:sz w:val="28"/>
          <w:szCs w:val="28"/>
        </w:rPr>
        <w:t>Claims advanced by States.—</w:t>
      </w:r>
      <w:r w:rsidRPr="00833E1A">
        <w:rPr>
          <w:rFonts w:ascii="Times New Roman" w:hAnsi="Times New Roman" w:cs="Times New Roman"/>
          <w:sz w:val="28"/>
          <w:szCs w:val="28"/>
        </w:rPr>
        <w:t>During our earlier discussions with the State Governments, the possibility of distributing Union excises was not prominently before us, although this had been raised by a few of the State Governments nor had we specifically asked for the views of the State Governments on this question. But as our discussions with the State Governments progressed we felt that we should formally obtain their views. We accordingly addressed them on the 19th September 1952 and we reproduce the communication in Appendix IV. We received the views of all the State Governments, and have taken them into account in making our recommendations.</w:t>
      </w:r>
    </w:p>
    <w:p w14:paraId="2DC34A2A" w14:textId="773A98D4" w:rsidR="004E1BB7" w:rsidRPr="00833E1A" w:rsidRDefault="00123DF2" w:rsidP="00833E1A">
      <w:pPr>
        <w:pStyle w:val="ListParagraph"/>
        <w:numPr>
          <w:ilvl w:val="0"/>
          <w:numId w:val="32"/>
        </w:numPr>
        <w:shd w:val="clear" w:color="auto" w:fill="FFFFFF"/>
        <w:spacing w:after="0" w:line="420" w:lineRule="exact"/>
        <w:ind w:left="0" w:firstLine="556"/>
        <w:jc w:val="both"/>
        <w:rPr>
          <w:rFonts w:ascii="Times New Roman" w:hAnsi="Times New Roman" w:cs="Times New Roman"/>
          <w:sz w:val="28"/>
          <w:szCs w:val="28"/>
        </w:rPr>
      </w:pPr>
      <w:r w:rsidRPr="00833E1A">
        <w:rPr>
          <w:rFonts w:ascii="Times New Roman" w:hAnsi="Times New Roman" w:cs="Times New Roman"/>
          <w:sz w:val="28"/>
          <w:szCs w:val="28"/>
        </w:rPr>
        <w:t xml:space="preserve">All the States except Bombay, Madhya Pradesh, Assam and Rajasthan, suggested the distribution of all the excise duties. The Bombay Government suggested the distribution of the duties on tobacco, matches, cloth, sugar and tyres, the Madhya Pradesh Government the duty on tobacco, the Assam Government the duties on sugar, cotton cloth, tobacco, matches, petrol and tea and the Rajasthan Government the duties on cloth, sugar, matches and tobacco. All the States except Assam, Mysore, Travancore-Cochin, Saurashtra, Punjab and Rajasthan proposed that the duties suggested by them should be divided equally between the Centre and the States. The Government of Assam suggested that a fund of Rs. 30 crores should be created annually for the benefit of the States from the proceeds of the duties on sugar, cotton cloth, tobacco and matches, while the excise duty on tea should be divided equally between the Centre and the States. In regard to petrol, the State asked for a special allocation of 75 per cent of the duty to Assam on the basis of production. The Governments of Mysore and Travancore-Cochin proposed that 70 per cent of the net </w:t>
      </w:r>
      <w:r w:rsidRPr="00833E1A">
        <w:rPr>
          <w:rFonts w:ascii="Times New Roman" w:hAnsi="Times New Roman" w:cs="Times New Roman"/>
          <w:sz w:val="28"/>
          <w:szCs w:val="28"/>
        </w:rPr>
        <w:lastRenderedPageBreak/>
        <w:t>proceeds of all excise duties should be allocated to the States while the Government of Saurashtra suggested that 60 per cent should be the States' share. The Punjab and Rajasthan Governments expressed no view on this aspect of the question. As regards the distribution of the States' share among them Madras, West Bengal, Punjab and Bihar suggested consumption as the basis. Uttar Pradesh, Madhya Pradesh, Assam, Madhya Bharat, Travancore-Cochin and the Patiala and East Punjab States Union proposed population. Orissa suggested that half the States' share should be distributed on the basis of population and the balance on the basis of area of the State, and Saurashtra that 80 per cent should be distributed on a population basis and the balance on a consumption basis. The Government of Bombay suggested the distribution of the States' share according to</w:t>
      </w:r>
      <w:r w:rsidR="00833E1A">
        <w:rPr>
          <w:rFonts w:ascii="Times New Roman" w:hAnsi="Times New Roman" w:cs="Times New Roman"/>
          <w:sz w:val="28"/>
          <w:szCs w:val="28"/>
        </w:rPr>
        <w:t xml:space="preserve"> </w:t>
      </w:r>
      <w:r w:rsidR="004E1BB7" w:rsidRPr="00833E1A">
        <w:rPr>
          <w:rFonts w:ascii="Times New Roman" w:hAnsi="Times New Roman" w:cs="Times New Roman"/>
          <w:sz w:val="28"/>
          <w:szCs w:val="28"/>
        </w:rPr>
        <w:t>their relative contribution to the receipts. The Government of Mysore suggested that 45 per cent to 60 per cent of the States’ share might be distributed on the basis of collection, 35 per cent to 50 per cent on the basis of population or consumption and 5 per cent with reference to special circumstances.</w:t>
      </w:r>
    </w:p>
    <w:p w14:paraId="380101B4" w14:textId="36AAD4A5" w:rsidR="004E1BB7" w:rsidRPr="00833E1A" w:rsidRDefault="004E1BB7" w:rsidP="00833E1A">
      <w:pPr>
        <w:pStyle w:val="ListParagraph"/>
        <w:numPr>
          <w:ilvl w:val="0"/>
          <w:numId w:val="32"/>
        </w:numPr>
        <w:shd w:val="clear" w:color="auto" w:fill="FFFFFF"/>
        <w:spacing w:after="0" w:line="420" w:lineRule="exact"/>
        <w:ind w:left="0" w:firstLine="556"/>
        <w:jc w:val="both"/>
        <w:rPr>
          <w:rFonts w:ascii="Times New Roman" w:hAnsi="Times New Roman" w:cs="Times New Roman"/>
          <w:sz w:val="28"/>
          <w:szCs w:val="28"/>
        </w:rPr>
      </w:pPr>
      <w:r w:rsidRPr="00833E1A">
        <w:rPr>
          <w:rFonts w:ascii="Times New Roman" w:hAnsi="Times New Roman" w:cs="Times New Roman"/>
          <w:i/>
          <w:iCs/>
          <w:sz w:val="28"/>
          <w:szCs w:val="28"/>
        </w:rPr>
        <w:t>Selection of excises to be divided and States’ share.—</w:t>
      </w:r>
      <w:r w:rsidRPr="00833E1A">
        <w:rPr>
          <w:rFonts w:ascii="Times New Roman" w:hAnsi="Times New Roman" w:cs="Times New Roman"/>
          <w:sz w:val="28"/>
          <w:szCs w:val="28"/>
        </w:rPr>
        <w:t>We had first to consider whether the States should be given a share in all the Union excises or in only one or more selected excises. We consider that it is inadvisable, at any rate to begin with, to divide too many excises, particularly as the yield from some of them is relatively small, and that it is desirable to restrict the division to a few selected excises. The selected excises should be such as are levied on commodities which are of common and widespread consumption and which yield a sizeable sum of revenue for distribution. There should also be reasonable stability of yield and comparative immunity of the duties selected from fluctuations related to changes in the customs tariff. Taking all these factors into account we have come to the conclusion that duties on tobacco (including cigarettes, cigars, etc.), matches and vegetable products are the most suitable for distribution. We recommend that 40 per cent of the net proceeds of these duties be allocated to the States. We have fixed the States’ share with reference to the amount which, in our scheme as a whole, we consider it appropriate should be transferred to the States by the division of excise duties.</w:t>
      </w:r>
    </w:p>
    <w:p w14:paraId="19AB2511" w14:textId="77777777" w:rsidR="004E1BB7" w:rsidRPr="00833E1A" w:rsidRDefault="004E1BB7" w:rsidP="00833E1A">
      <w:pPr>
        <w:pStyle w:val="ListParagraph"/>
        <w:numPr>
          <w:ilvl w:val="0"/>
          <w:numId w:val="32"/>
        </w:numPr>
        <w:shd w:val="clear" w:color="auto" w:fill="FFFFFF"/>
        <w:spacing w:after="0" w:line="420" w:lineRule="exact"/>
        <w:ind w:left="0" w:firstLine="556"/>
        <w:jc w:val="both"/>
        <w:rPr>
          <w:rFonts w:ascii="Times New Roman" w:hAnsi="Times New Roman" w:cs="Times New Roman"/>
          <w:sz w:val="28"/>
          <w:szCs w:val="28"/>
        </w:rPr>
      </w:pPr>
      <w:r w:rsidRPr="00833E1A">
        <w:rPr>
          <w:rFonts w:ascii="Times New Roman" w:hAnsi="Times New Roman" w:cs="Times New Roman"/>
          <w:i/>
          <w:iCs/>
          <w:sz w:val="28"/>
          <w:szCs w:val="28"/>
        </w:rPr>
        <w:t>Distribution of States’ share.—</w:t>
      </w:r>
      <w:r w:rsidRPr="00833E1A">
        <w:rPr>
          <w:rFonts w:ascii="Times New Roman" w:hAnsi="Times New Roman" w:cs="Times New Roman"/>
          <w:sz w:val="28"/>
          <w:szCs w:val="28"/>
        </w:rPr>
        <w:t xml:space="preserve">The question of determining the mode of distribution remains. The resources of the States require to be strengthened. At the same time, the scheme of distribution needs to be balanced and equitable as a whole. For the period with which we are concerned, we believe these objectives can be </w:t>
      </w:r>
      <w:r w:rsidRPr="00833E1A">
        <w:rPr>
          <w:rFonts w:ascii="Times New Roman" w:hAnsi="Times New Roman" w:cs="Times New Roman"/>
          <w:sz w:val="28"/>
          <w:szCs w:val="28"/>
        </w:rPr>
        <w:lastRenderedPageBreak/>
        <w:t>achieved by recommending the distribution of the excise duties on a per capita basis. We, therefore, recommend that the States’ share of the excise duties be distributed among them on the basis of population.</w:t>
      </w:r>
    </w:p>
    <w:p w14:paraId="55B9CC60" w14:textId="77777777" w:rsidR="004E1BB7" w:rsidRPr="00833E1A" w:rsidRDefault="004E1BB7" w:rsidP="00833E1A">
      <w:pPr>
        <w:pStyle w:val="ListParagraph"/>
        <w:numPr>
          <w:ilvl w:val="0"/>
          <w:numId w:val="32"/>
        </w:numPr>
        <w:shd w:val="clear" w:color="auto" w:fill="FFFFFF"/>
        <w:spacing w:after="0" w:line="420" w:lineRule="exact"/>
        <w:ind w:left="0" w:firstLine="556"/>
        <w:jc w:val="both"/>
        <w:rPr>
          <w:rFonts w:ascii="Times New Roman" w:hAnsi="Times New Roman" w:cs="Times New Roman"/>
          <w:sz w:val="28"/>
          <w:szCs w:val="28"/>
        </w:rPr>
      </w:pPr>
      <w:r w:rsidRPr="00833E1A">
        <w:rPr>
          <w:rFonts w:ascii="Times New Roman" w:hAnsi="Times New Roman" w:cs="Times New Roman"/>
          <w:sz w:val="28"/>
          <w:szCs w:val="28"/>
        </w:rPr>
        <w:t>As we have mentioned earlier, some States have suggested consumption as the basis of distribution. That basis cannot at present be considered, as there are no reliable data regarding the consumption of each of the commodities in the various States. We recommend that steps should be taken to collect and maintain statistics of the consumption of all major commodities that may be subject to Union excise from time to time, so that the data may be available to the Commission in future. We recognize, however, that meticulous accuracy in regard to these figures may not be possible.</w:t>
      </w:r>
    </w:p>
    <w:p w14:paraId="464ECCB9" w14:textId="132F923C" w:rsidR="004E1BB7" w:rsidRPr="00833E1A" w:rsidRDefault="004E1BB7" w:rsidP="00833E1A">
      <w:pPr>
        <w:pStyle w:val="ListParagraph"/>
        <w:numPr>
          <w:ilvl w:val="0"/>
          <w:numId w:val="32"/>
        </w:numPr>
        <w:shd w:val="clear" w:color="auto" w:fill="FFFFFF"/>
        <w:spacing w:after="0" w:line="420" w:lineRule="exact"/>
        <w:ind w:left="0" w:firstLine="556"/>
        <w:jc w:val="both"/>
        <w:rPr>
          <w:rFonts w:ascii="Times New Roman" w:hAnsi="Times New Roman" w:cs="Times New Roman"/>
          <w:sz w:val="28"/>
          <w:szCs w:val="28"/>
        </w:rPr>
      </w:pPr>
      <w:r w:rsidRPr="00833E1A">
        <w:rPr>
          <w:rFonts w:ascii="Times New Roman" w:hAnsi="Times New Roman" w:cs="Times New Roman"/>
          <w:sz w:val="28"/>
          <w:szCs w:val="28"/>
        </w:rPr>
        <w:t>Even if the requisite data become available during the period covered by our recommendations, we are of the opinion that the basis for distribution which we have suggested should not be disturbed</w:t>
      </w:r>
      <w:r w:rsidR="00833E1A">
        <w:rPr>
          <w:rFonts w:ascii="Times New Roman" w:hAnsi="Times New Roman" w:cs="Times New Roman"/>
          <w:sz w:val="28"/>
          <w:szCs w:val="28"/>
        </w:rPr>
        <w:t xml:space="preserve"> </w:t>
      </w:r>
      <w:r w:rsidRPr="00833E1A">
        <w:rPr>
          <w:rFonts w:ascii="Times New Roman" w:hAnsi="Times New Roman" w:cs="Times New Roman"/>
          <w:sz w:val="28"/>
          <w:szCs w:val="28"/>
        </w:rPr>
        <w:t>during this period. Firstly, the States should have the least uncertainty with regard to their share of the duties. Secondly, it is not possible at this stage to say what adjustments would be called for in our scheme of distribution of revenues, which we wish to be treated as an integrated one, if the excise duties were to be distributed on the basis of consumption.</w:t>
      </w:r>
    </w:p>
    <w:p w14:paraId="5810B291" w14:textId="7036FFB6" w:rsidR="004E1BB7" w:rsidRDefault="004E1BB7" w:rsidP="00833E1A">
      <w:pPr>
        <w:pStyle w:val="ListParagraph"/>
        <w:numPr>
          <w:ilvl w:val="0"/>
          <w:numId w:val="32"/>
        </w:numPr>
        <w:shd w:val="clear" w:color="auto" w:fill="FFFFFF"/>
        <w:spacing w:after="0" w:line="420" w:lineRule="exact"/>
        <w:ind w:left="0" w:firstLine="556"/>
        <w:jc w:val="both"/>
        <w:rPr>
          <w:rFonts w:ascii="Times New Roman" w:hAnsi="Times New Roman" w:cs="Times New Roman"/>
          <w:sz w:val="28"/>
          <w:szCs w:val="28"/>
        </w:rPr>
      </w:pPr>
      <w:r w:rsidRPr="00833E1A">
        <w:rPr>
          <w:rFonts w:ascii="Times New Roman" w:hAnsi="Times New Roman" w:cs="Times New Roman"/>
          <w:sz w:val="28"/>
          <w:szCs w:val="28"/>
        </w:rPr>
        <w:t>Our recommendations on this subject can be given effect to only by an Act of Parliament and we suggest that action to promote the necessary legislation may be taken at the earliest possible date. We further recommend that this legislation should be given effect to from the 1st April 1952. The Act may provide for the distribution of the share of the net proceeds of the three excises suggested by us for allocation to the States on the following basis, which represents the percentages of the population of the different States in accordance with the Census of 1951.</w:t>
      </w:r>
    </w:p>
    <w:p w14:paraId="68B76CBF" w14:textId="77777777" w:rsidR="00833E1A" w:rsidRPr="00833E1A" w:rsidRDefault="00833E1A" w:rsidP="00833E1A">
      <w:pPr>
        <w:pStyle w:val="ListParagraph"/>
        <w:shd w:val="clear" w:color="auto" w:fill="FFFFFF"/>
        <w:spacing w:after="0" w:line="420" w:lineRule="exact"/>
        <w:ind w:left="556"/>
        <w:jc w:val="both"/>
        <w:rPr>
          <w:rFonts w:ascii="Times New Roman" w:hAnsi="Times New Roman" w:cs="Times New Roman"/>
          <w:sz w:val="28"/>
          <w:szCs w:val="28"/>
        </w:rPr>
      </w:pPr>
    </w:p>
    <w:tbl>
      <w:tblPr>
        <w:tblStyle w:val="TableGrid"/>
        <w:tblW w:w="4186" w:type="dxa"/>
        <w:jc w:val="center"/>
        <w:tblLook w:val="04A0" w:firstRow="1" w:lastRow="0" w:firstColumn="1" w:lastColumn="0" w:noHBand="0" w:noVBand="1"/>
      </w:tblPr>
      <w:tblGrid>
        <w:gridCol w:w="2825"/>
        <w:gridCol w:w="1361"/>
      </w:tblGrid>
      <w:tr w:rsidR="004E1BB7" w:rsidRPr="00833E1A" w14:paraId="713E09A2" w14:textId="77777777" w:rsidTr="00B95B14">
        <w:trPr>
          <w:trHeight w:val="54"/>
          <w:jc w:val="center"/>
        </w:trPr>
        <w:tc>
          <w:tcPr>
            <w:tcW w:w="2825" w:type="dxa"/>
            <w:vAlign w:val="center"/>
            <w:hideMark/>
          </w:tcPr>
          <w:p w14:paraId="139F566C" w14:textId="77777777" w:rsidR="004E1BB7" w:rsidRPr="00B95B14" w:rsidRDefault="004E1BB7" w:rsidP="00833E1A">
            <w:pPr>
              <w:pStyle w:val="Tables"/>
              <w:rPr>
                <w:b/>
                <w:bCs/>
              </w:rPr>
            </w:pPr>
            <w:r w:rsidRPr="00B95B14">
              <w:rPr>
                <w:b/>
                <w:bCs/>
              </w:rPr>
              <w:t>State</w:t>
            </w:r>
          </w:p>
        </w:tc>
        <w:tc>
          <w:tcPr>
            <w:tcW w:w="1361" w:type="dxa"/>
            <w:vAlign w:val="center"/>
            <w:hideMark/>
          </w:tcPr>
          <w:p w14:paraId="62C3165E" w14:textId="77777777" w:rsidR="004E1BB7" w:rsidRPr="00B95B14" w:rsidRDefault="004E1BB7" w:rsidP="00833E1A">
            <w:pPr>
              <w:pStyle w:val="Tables"/>
              <w:rPr>
                <w:b/>
                <w:bCs/>
              </w:rPr>
            </w:pPr>
            <w:r w:rsidRPr="00B95B14">
              <w:rPr>
                <w:b/>
                <w:bCs/>
              </w:rPr>
              <w:t>Per cent</w:t>
            </w:r>
          </w:p>
        </w:tc>
      </w:tr>
      <w:tr w:rsidR="004E1BB7" w:rsidRPr="00833E1A" w14:paraId="32DA044F" w14:textId="77777777" w:rsidTr="00B95B14">
        <w:trPr>
          <w:trHeight w:val="54"/>
          <w:jc w:val="center"/>
        </w:trPr>
        <w:tc>
          <w:tcPr>
            <w:tcW w:w="2825" w:type="dxa"/>
            <w:vAlign w:val="center"/>
            <w:hideMark/>
          </w:tcPr>
          <w:p w14:paraId="740484DC" w14:textId="77777777" w:rsidR="004E1BB7" w:rsidRPr="00833E1A" w:rsidRDefault="004E1BB7" w:rsidP="00B95B14">
            <w:pPr>
              <w:pStyle w:val="Tables"/>
              <w:jc w:val="left"/>
            </w:pPr>
            <w:r w:rsidRPr="00833E1A">
              <w:t>Assam</w:t>
            </w:r>
          </w:p>
        </w:tc>
        <w:tc>
          <w:tcPr>
            <w:tcW w:w="1361" w:type="dxa"/>
            <w:vAlign w:val="center"/>
            <w:hideMark/>
          </w:tcPr>
          <w:p w14:paraId="6C69D33F" w14:textId="77777777" w:rsidR="004E1BB7" w:rsidRPr="00833E1A" w:rsidRDefault="004E1BB7" w:rsidP="00833E1A">
            <w:pPr>
              <w:pStyle w:val="Tables"/>
            </w:pPr>
            <w:r w:rsidRPr="00833E1A">
              <w:t>2.61</w:t>
            </w:r>
          </w:p>
        </w:tc>
      </w:tr>
      <w:tr w:rsidR="004E1BB7" w:rsidRPr="00833E1A" w14:paraId="2DCA6090" w14:textId="77777777" w:rsidTr="00B95B14">
        <w:trPr>
          <w:trHeight w:val="54"/>
          <w:jc w:val="center"/>
        </w:trPr>
        <w:tc>
          <w:tcPr>
            <w:tcW w:w="2825" w:type="dxa"/>
            <w:vAlign w:val="center"/>
            <w:hideMark/>
          </w:tcPr>
          <w:p w14:paraId="70E41E3E" w14:textId="77777777" w:rsidR="004E1BB7" w:rsidRPr="00833E1A" w:rsidRDefault="004E1BB7" w:rsidP="00B95B14">
            <w:pPr>
              <w:pStyle w:val="Tables"/>
              <w:jc w:val="left"/>
            </w:pPr>
            <w:r w:rsidRPr="00833E1A">
              <w:t>Bihar</w:t>
            </w:r>
          </w:p>
        </w:tc>
        <w:tc>
          <w:tcPr>
            <w:tcW w:w="1361" w:type="dxa"/>
            <w:vAlign w:val="center"/>
            <w:hideMark/>
          </w:tcPr>
          <w:p w14:paraId="7A691EAA" w14:textId="77777777" w:rsidR="004E1BB7" w:rsidRPr="00833E1A" w:rsidRDefault="004E1BB7" w:rsidP="00833E1A">
            <w:pPr>
              <w:pStyle w:val="Tables"/>
            </w:pPr>
            <w:r w:rsidRPr="00833E1A">
              <w:t>11.60</w:t>
            </w:r>
          </w:p>
        </w:tc>
      </w:tr>
      <w:tr w:rsidR="004E1BB7" w:rsidRPr="00833E1A" w14:paraId="7E8436EA" w14:textId="77777777" w:rsidTr="00B95B14">
        <w:trPr>
          <w:trHeight w:val="54"/>
          <w:jc w:val="center"/>
        </w:trPr>
        <w:tc>
          <w:tcPr>
            <w:tcW w:w="2825" w:type="dxa"/>
            <w:vAlign w:val="center"/>
            <w:hideMark/>
          </w:tcPr>
          <w:p w14:paraId="47E73114" w14:textId="77777777" w:rsidR="004E1BB7" w:rsidRPr="00833E1A" w:rsidRDefault="004E1BB7" w:rsidP="00B95B14">
            <w:pPr>
              <w:pStyle w:val="Tables"/>
              <w:jc w:val="left"/>
            </w:pPr>
            <w:r w:rsidRPr="00833E1A">
              <w:t>Bombay</w:t>
            </w:r>
          </w:p>
        </w:tc>
        <w:tc>
          <w:tcPr>
            <w:tcW w:w="1361" w:type="dxa"/>
            <w:vAlign w:val="center"/>
            <w:hideMark/>
          </w:tcPr>
          <w:p w14:paraId="0B52B206" w14:textId="77777777" w:rsidR="004E1BB7" w:rsidRPr="00833E1A" w:rsidRDefault="004E1BB7" w:rsidP="00833E1A">
            <w:pPr>
              <w:pStyle w:val="Tables"/>
            </w:pPr>
            <w:r w:rsidRPr="00833E1A">
              <w:t>10.37</w:t>
            </w:r>
          </w:p>
        </w:tc>
      </w:tr>
      <w:tr w:rsidR="004E1BB7" w:rsidRPr="00833E1A" w14:paraId="16688B6A" w14:textId="77777777" w:rsidTr="00B95B14">
        <w:trPr>
          <w:trHeight w:val="54"/>
          <w:jc w:val="center"/>
        </w:trPr>
        <w:tc>
          <w:tcPr>
            <w:tcW w:w="2825" w:type="dxa"/>
            <w:vAlign w:val="center"/>
            <w:hideMark/>
          </w:tcPr>
          <w:p w14:paraId="313BABB1" w14:textId="77777777" w:rsidR="004E1BB7" w:rsidRPr="00833E1A" w:rsidRDefault="004E1BB7" w:rsidP="00B95B14">
            <w:pPr>
              <w:pStyle w:val="Tables"/>
              <w:jc w:val="left"/>
            </w:pPr>
            <w:r w:rsidRPr="00833E1A">
              <w:t>Hyderabad</w:t>
            </w:r>
          </w:p>
        </w:tc>
        <w:tc>
          <w:tcPr>
            <w:tcW w:w="1361" w:type="dxa"/>
            <w:vAlign w:val="center"/>
            <w:hideMark/>
          </w:tcPr>
          <w:p w14:paraId="5936625E" w14:textId="77777777" w:rsidR="004E1BB7" w:rsidRPr="00833E1A" w:rsidRDefault="004E1BB7" w:rsidP="00833E1A">
            <w:pPr>
              <w:pStyle w:val="Tables"/>
            </w:pPr>
            <w:r w:rsidRPr="00833E1A">
              <w:t>5.39</w:t>
            </w:r>
          </w:p>
        </w:tc>
      </w:tr>
      <w:tr w:rsidR="004E1BB7" w:rsidRPr="00833E1A" w14:paraId="48368965" w14:textId="77777777" w:rsidTr="00B95B14">
        <w:trPr>
          <w:trHeight w:val="54"/>
          <w:jc w:val="center"/>
        </w:trPr>
        <w:tc>
          <w:tcPr>
            <w:tcW w:w="2825" w:type="dxa"/>
            <w:vAlign w:val="center"/>
            <w:hideMark/>
          </w:tcPr>
          <w:p w14:paraId="43B91E20" w14:textId="77777777" w:rsidR="004E1BB7" w:rsidRPr="00833E1A" w:rsidRDefault="004E1BB7" w:rsidP="00B95B14">
            <w:pPr>
              <w:pStyle w:val="Tables"/>
              <w:jc w:val="left"/>
            </w:pPr>
            <w:r w:rsidRPr="00833E1A">
              <w:t>Madhya Bharat</w:t>
            </w:r>
          </w:p>
        </w:tc>
        <w:tc>
          <w:tcPr>
            <w:tcW w:w="1361" w:type="dxa"/>
            <w:vAlign w:val="center"/>
            <w:hideMark/>
          </w:tcPr>
          <w:p w14:paraId="2FC58971" w14:textId="77777777" w:rsidR="004E1BB7" w:rsidRPr="00833E1A" w:rsidRDefault="004E1BB7" w:rsidP="00833E1A">
            <w:pPr>
              <w:pStyle w:val="Tables"/>
            </w:pPr>
            <w:r w:rsidRPr="00833E1A">
              <w:t>2.29</w:t>
            </w:r>
          </w:p>
        </w:tc>
      </w:tr>
      <w:tr w:rsidR="004E1BB7" w:rsidRPr="00833E1A" w14:paraId="3B2154F6" w14:textId="77777777" w:rsidTr="00B95B14">
        <w:trPr>
          <w:trHeight w:val="54"/>
          <w:jc w:val="center"/>
        </w:trPr>
        <w:tc>
          <w:tcPr>
            <w:tcW w:w="2825" w:type="dxa"/>
            <w:vAlign w:val="center"/>
            <w:hideMark/>
          </w:tcPr>
          <w:p w14:paraId="6F41BD42" w14:textId="77777777" w:rsidR="004E1BB7" w:rsidRPr="00833E1A" w:rsidRDefault="004E1BB7" w:rsidP="00B95B14">
            <w:pPr>
              <w:pStyle w:val="Tables"/>
              <w:jc w:val="left"/>
            </w:pPr>
            <w:r w:rsidRPr="00833E1A">
              <w:t>Madhya Pradesh</w:t>
            </w:r>
          </w:p>
        </w:tc>
        <w:tc>
          <w:tcPr>
            <w:tcW w:w="1361" w:type="dxa"/>
            <w:vAlign w:val="center"/>
            <w:hideMark/>
          </w:tcPr>
          <w:p w14:paraId="48067773" w14:textId="77777777" w:rsidR="004E1BB7" w:rsidRPr="00833E1A" w:rsidRDefault="004E1BB7" w:rsidP="00833E1A">
            <w:pPr>
              <w:pStyle w:val="Tables"/>
            </w:pPr>
            <w:r w:rsidRPr="00833E1A">
              <w:t>6.13</w:t>
            </w:r>
          </w:p>
        </w:tc>
      </w:tr>
      <w:tr w:rsidR="004E1BB7" w:rsidRPr="00833E1A" w14:paraId="1E536A73" w14:textId="77777777" w:rsidTr="00B95B14">
        <w:trPr>
          <w:trHeight w:val="54"/>
          <w:jc w:val="center"/>
        </w:trPr>
        <w:tc>
          <w:tcPr>
            <w:tcW w:w="2825" w:type="dxa"/>
            <w:vAlign w:val="center"/>
            <w:hideMark/>
          </w:tcPr>
          <w:p w14:paraId="08C54793" w14:textId="77777777" w:rsidR="004E1BB7" w:rsidRPr="00833E1A" w:rsidRDefault="004E1BB7" w:rsidP="00B95B14">
            <w:pPr>
              <w:pStyle w:val="Tables"/>
              <w:jc w:val="left"/>
            </w:pPr>
            <w:r w:rsidRPr="00833E1A">
              <w:t>Madras</w:t>
            </w:r>
          </w:p>
        </w:tc>
        <w:tc>
          <w:tcPr>
            <w:tcW w:w="1361" w:type="dxa"/>
            <w:vAlign w:val="center"/>
            <w:hideMark/>
          </w:tcPr>
          <w:p w14:paraId="13577C97" w14:textId="77777777" w:rsidR="004E1BB7" w:rsidRPr="00833E1A" w:rsidRDefault="004E1BB7" w:rsidP="00833E1A">
            <w:pPr>
              <w:pStyle w:val="Tables"/>
            </w:pPr>
            <w:r w:rsidRPr="00833E1A">
              <w:t>16.44</w:t>
            </w:r>
          </w:p>
        </w:tc>
      </w:tr>
      <w:tr w:rsidR="004E1BB7" w:rsidRPr="00833E1A" w14:paraId="305DD0A3" w14:textId="77777777" w:rsidTr="00B95B14">
        <w:trPr>
          <w:trHeight w:val="54"/>
          <w:jc w:val="center"/>
        </w:trPr>
        <w:tc>
          <w:tcPr>
            <w:tcW w:w="2825" w:type="dxa"/>
            <w:vAlign w:val="center"/>
            <w:hideMark/>
          </w:tcPr>
          <w:p w14:paraId="01277D19" w14:textId="77777777" w:rsidR="004E1BB7" w:rsidRPr="00833E1A" w:rsidRDefault="004E1BB7" w:rsidP="00B95B14">
            <w:pPr>
              <w:pStyle w:val="Tables"/>
              <w:jc w:val="left"/>
            </w:pPr>
            <w:r w:rsidRPr="00833E1A">
              <w:t>Mysore</w:t>
            </w:r>
          </w:p>
        </w:tc>
        <w:tc>
          <w:tcPr>
            <w:tcW w:w="1361" w:type="dxa"/>
            <w:vAlign w:val="center"/>
            <w:hideMark/>
          </w:tcPr>
          <w:p w14:paraId="62F6C7DA" w14:textId="77777777" w:rsidR="004E1BB7" w:rsidRPr="00833E1A" w:rsidRDefault="004E1BB7" w:rsidP="00833E1A">
            <w:pPr>
              <w:pStyle w:val="Tables"/>
            </w:pPr>
            <w:r w:rsidRPr="00833E1A">
              <w:t>2.62</w:t>
            </w:r>
          </w:p>
        </w:tc>
      </w:tr>
      <w:tr w:rsidR="004E1BB7" w:rsidRPr="00833E1A" w14:paraId="786C1EAB" w14:textId="77777777" w:rsidTr="00B95B14">
        <w:trPr>
          <w:trHeight w:val="54"/>
          <w:jc w:val="center"/>
        </w:trPr>
        <w:tc>
          <w:tcPr>
            <w:tcW w:w="2825" w:type="dxa"/>
            <w:vAlign w:val="center"/>
            <w:hideMark/>
          </w:tcPr>
          <w:p w14:paraId="1A19C560" w14:textId="77777777" w:rsidR="004E1BB7" w:rsidRPr="00833E1A" w:rsidRDefault="004E1BB7" w:rsidP="00B95B14">
            <w:pPr>
              <w:pStyle w:val="Tables"/>
              <w:jc w:val="left"/>
            </w:pPr>
            <w:r w:rsidRPr="00833E1A">
              <w:t>Orissa</w:t>
            </w:r>
          </w:p>
        </w:tc>
        <w:tc>
          <w:tcPr>
            <w:tcW w:w="1361" w:type="dxa"/>
            <w:vAlign w:val="center"/>
            <w:hideMark/>
          </w:tcPr>
          <w:p w14:paraId="69B5A447" w14:textId="77777777" w:rsidR="004E1BB7" w:rsidRPr="00833E1A" w:rsidRDefault="004E1BB7" w:rsidP="00833E1A">
            <w:pPr>
              <w:pStyle w:val="Tables"/>
            </w:pPr>
            <w:r w:rsidRPr="00833E1A">
              <w:t>4.22</w:t>
            </w:r>
          </w:p>
        </w:tc>
      </w:tr>
      <w:tr w:rsidR="004E1BB7" w:rsidRPr="00833E1A" w14:paraId="7C74A70B" w14:textId="77777777" w:rsidTr="00B95B14">
        <w:trPr>
          <w:trHeight w:val="54"/>
          <w:jc w:val="center"/>
        </w:trPr>
        <w:tc>
          <w:tcPr>
            <w:tcW w:w="2825" w:type="dxa"/>
            <w:vAlign w:val="center"/>
            <w:hideMark/>
          </w:tcPr>
          <w:p w14:paraId="66E16F05" w14:textId="77777777" w:rsidR="004E1BB7" w:rsidRPr="00833E1A" w:rsidRDefault="004E1BB7" w:rsidP="00B95B14">
            <w:pPr>
              <w:pStyle w:val="Tables"/>
              <w:jc w:val="left"/>
            </w:pPr>
            <w:r w:rsidRPr="00833E1A">
              <w:lastRenderedPageBreak/>
              <w:t>Patiala and East Punjab States Union</w:t>
            </w:r>
          </w:p>
        </w:tc>
        <w:tc>
          <w:tcPr>
            <w:tcW w:w="1361" w:type="dxa"/>
            <w:vAlign w:val="center"/>
            <w:hideMark/>
          </w:tcPr>
          <w:p w14:paraId="716CF80B" w14:textId="77777777" w:rsidR="004E1BB7" w:rsidRPr="00833E1A" w:rsidRDefault="004E1BB7" w:rsidP="00833E1A">
            <w:pPr>
              <w:pStyle w:val="Tables"/>
            </w:pPr>
            <w:r w:rsidRPr="00833E1A">
              <w:t>1.00</w:t>
            </w:r>
          </w:p>
        </w:tc>
      </w:tr>
      <w:tr w:rsidR="004E1BB7" w:rsidRPr="00833E1A" w14:paraId="0288AF99" w14:textId="77777777" w:rsidTr="00B95B14">
        <w:trPr>
          <w:trHeight w:val="54"/>
          <w:jc w:val="center"/>
        </w:trPr>
        <w:tc>
          <w:tcPr>
            <w:tcW w:w="2825" w:type="dxa"/>
            <w:vAlign w:val="center"/>
            <w:hideMark/>
          </w:tcPr>
          <w:p w14:paraId="22394450" w14:textId="77777777" w:rsidR="004E1BB7" w:rsidRPr="00833E1A" w:rsidRDefault="004E1BB7" w:rsidP="00B95B14">
            <w:pPr>
              <w:pStyle w:val="Tables"/>
              <w:jc w:val="left"/>
            </w:pPr>
            <w:r w:rsidRPr="00833E1A">
              <w:t>Punjab</w:t>
            </w:r>
          </w:p>
        </w:tc>
        <w:tc>
          <w:tcPr>
            <w:tcW w:w="1361" w:type="dxa"/>
            <w:vAlign w:val="center"/>
            <w:hideMark/>
          </w:tcPr>
          <w:p w14:paraId="09FE7986" w14:textId="77777777" w:rsidR="004E1BB7" w:rsidRPr="00833E1A" w:rsidRDefault="004E1BB7" w:rsidP="00833E1A">
            <w:pPr>
              <w:pStyle w:val="Tables"/>
            </w:pPr>
            <w:r w:rsidRPr="00833E1A">
              <w:t>3.66</w:t>
            </w:r>
          </w:p>
        </w:tc>
      </w:tr>
      <w:tr w:rsidR="004E1BB7" w:rsidRPr="00833E1A" w14:paraId="29A38FAF" w14:textId="77777777" w:rsidTr="00B95B14">
        <w:trPr>
          <w:trHeight w:val="54"/>
          <w:jc w:val="center"/>
        </w:trPr>
        <w:tc>
          <w:tcPr>
            <w:tcW w:w="2825" w:type="dxa"/>
            <w:vAlign w:val="center"/>
            <w:hideMark/>
          </w:tcPr>
          <w:p w14:paraId="50C5309C" w14:textId="77777777" w:rsidR="004E1BB7" w:rsidRPr="00833E1A" w:rsidRDefault="004E1BB7" w:rsidP="00B95B14">
            <w:pPr>
              <w:pStyle w:val="Tables"/>
              <w:jc w:val="left"/>
            </w:pPr>
            <w:r w:rsidRPr="00833E1A">
              <w:t>Rajasthan</w:t>
            </w:r>
          </w:p>
        </w:tc>
        <w:tc>
          <w:tcPr>
            <w:tcW w:w="1361" w:type="dxa"/>
            <w:vAlign w:val="center"/>
            <w:hideMark/>
          </w:tcPr>
          <w:p w14:paraId="37E6BB13" w14:textId="77777777" w:rsidR="004E1BB7" w:rsidRPr="00833E1A" w:rsidRDefault="004E1BB7" w:rsidP="00833E1A">
            <w:pPr>
              <w:pStyle w:val="Tables"/>
            </w:pPr>
            <w:r w:rsidRPr="00833E1A">
              <w:t>4.41</w:t>
            </w:r>
          </w:p>
        </w:tc>
      </w:tr>
      <w:tr w:rsidR="004E1BB7" w:rsidRPr="00833E1A" w14:paraId="197E5373" w14:textId="77777777" w:rsidTr="00B95B14">
        <w:trPr>
          <w:trHeight w:val="54"/>
          <w:jc w:val="center"/>
        </w:trPr>
        <w:tc>
          <w:tcPr>
            <w:tcW w:w="2825" w:type="dxa"/>
            <w:vAlign w:val="center"/>
            <w:hideMark/>
          </w:tcPr>
          <w:p w14:paraId="02CC06DE" w14:textId="77777777" w:rsidR="004E1BB7" w:rsidRPr="00833E1A" w:rsidRDefault="004E1BB7" w:rsidP="00B95B14">
            <w:pPr>
              <w:pStyle w:val="Tables"/>
              <w:jc w:val="left"/>
            </w:pPr>
            <w:r w:rsidRPr="00833E1A">
              <w:t>Saurashtra</w:t>
            </w:r>
          </w:p>
        </w:tc>
        <w:tc>
          <w:tcPr>
            <w:tcW w:w="1361" w:type="dxa"/>
            <w:vAlign w:val="center"/>
            <w:hideMark/>
          </w:tcPr>
          <w:p w14:paraId="68302167" w14:textId="77777777" w:rsidR="004E1BB7" w:rsidRPr="00833E1A" w:rsidRDefault="004E1BB7" w:rsidP="00833E1A">
            <w:pPr>
              <w:pStyle w:val="Tables"/>
            </w:pPr>
            <w:r w:rsidRPr="00833E1A">
              <w:t>1.19</w:t>
            </w:r>
          </w:p>
        </w:tc>
      </w:tr>
      <w:tr w:rsidR="004E1BB7" w:rsidRPr="00833E1A" w14:paraId="7FD64B02" w14:textId="77777777" w:rsidTr="00B95B14">
        <w:trPr>
          <w:trHeight w:val="54"/>
          <w:jc w:val="center"/>
        </w:trPr>
        <w:tc>
          <w:tcPr>
            <w:tcW w:w="2825" w:type="dxa"/>
            <w:vAlign w:val="center"/>
            <w:hideMark/>
          </w:tcPr>
          <w:p w14:paraId="1E5423E4" w14:textId="77777777" w:rsidR="004E1BB7" w:rsidRPr="00833E1A" w:rsidRDefault="004E1BB7" w:rsidP="00B95B14">
            <w:pPr>
              <w:pStyle w:val="Tables"/>
              <w:jc w:val="left"/>
            </w:pPr>
            <w:r w:rsidRPr="00833E1A">
              <w:t>Travancore-Cochin</w:t>
            </w:r>
          </w:p>
        </w:tc>
        <w:tc>
          <w:tcPr>
            <w:tcW w:w="1361" w:type="dxa"/>
            <w:vAlign w:val="center"/>
            <w:hideMark/>
          </w:tcPr>
          <w:p w14:paraId="1CF1B5C0" w14:textId="77777777" w:rsidR="004E1BB7" w:rsidRPr="00833E1A" w:rsidRDefault="004E1BB7" w:rsidP="00833E1A">
            <w:pPr>
              <w:pStyle w:val="Tables"/>
            </w:pPr>
            <w:r w:rsidRPr="00833E1A">
              <w:t>2.68</w:t>
            </w:r>
          </w:p>
        </w:tc>
      </w:tr>
      <w:tr w:rsidR="004E1BB7" w:rsidRPr="00833E1A" w14:paraId="4B739BE5" w14:textId="77777777" w:rsidTr="00B95B14">
        <w:trPr>
          <w:trHeight w:val="54"/>
          <w:jc w:val="center"/>
        </w:trPr>
        <w:tc>
          <w:tcPr>
            <w:tcW w:w="2825" w:type="dxa"/>
            <w:vAlign w:val="center"/>
            <w:hideMark/>
          </w:tcPr>
          <w:p w14:paraId="5B0877C6" w14:textId="77777777" w:rsidR="004E1BB7" w:rsidRPr="00833E1A" w:rsidRDefault="004E1BB7" w:rsidP="00B95B14">
            <w:pPr>
              <w:pStyle w:val="Tables"/>
              <w:jc w:val="left"/>
            </w:pPr>
            <w:r w:rsidRPr="00833E1A">
              <w:t>Uttar Pradesh</w:t>
            </w:r>
          </w:p>
        </w:tc>
        <w:tc>
          <w:tcPr>
            <w:tcW w:w="1361" w:type="dxa"/>
            <w:vAlign w:val="center"/>
            <w:hideMark/>
          </w:tcPr>
          <w:p w14:paraId="6EE7BE12" w14:textId="77777777" w:rsidR="004E1BB7" w:rsidRPr="00833E1A" w:rsidRDefault="004E1BB7" w:rsidP="00833E1A">
            <w:pPr>
              <w:pStyle w:val="Tables"/>
            </w:pPr>
            <w:r w:rsidRPr="00833E1A">
              <w:t>18.23</w:t>
            </w:r>
          </w:p>
        </w:tc>
      </w:tr>
      <w:tr w:rsidR="004E1BB7" w:rsidRPr="00833E1A" w14:paraId="4B267D07" w14:textId="77777777" w:rsidTr="00B95B14">
        <w:trPr>
          <w:trHeight w:val="54"/>
          <w:jc w:val="center"/>
        </w:trPr>
        <w:tc>
          <w:tcPr>
            <w:tcW w:w="2825" w:type="dxa"/>
            <w:vAlign w:val="center"/>
            <w:hideMark/>
          </w:tcPr>
          <w:p w14:paraId="2D3074A3" w14:textId="77777777" w:rsidR="004E1BB7" w:rsidRPr="00833E1A" w:rsidRDefault="004E1BB7" w:rsidP="00B95B14">
            <w:pPr>
              <w:pStyle w:val="Tables"/>
              <w:jc w:val="left"/>
            </w:pPr>
            <w:r w:rsidRPr="00833E1A">
              <w:t>West Bengal</w:t>
            </w:r>
          </w:p>
        </w:tc>
        <w:tc>
          <w:tcPr>
            <w:tcW w:w="1361" w:type="dxa"/>
            <w:vAlign w:val="center"/>
            <w:hideMark/>
          </w:tcPr>
          <w:p w14:paraId="36F75FE4" w14:textId="77777777" w:rsidR="004E1BB7" w:rsidRPr="00833E1A" w:rsidRDefault="004E1BB7" w:rsidP="00833E1A">
            <w:pPr>
              <w:pStyle w:val="Tables"/>
            </w:pPr>
            <w:r w:rsidRPr="00833E1A">
              <w:t>7.16</w:t>
            </w:r>
          </w:p>
        </w:tc>
      </w:tr>
    </w:tbl>
    <w:p w14:paraId="0E043E46" w14:textId="77777777" w:rsidR="004E1BB7" w:rsidRPr="00833E1A" w:rsidRDefault="004E1BB7" w:rsidP="00833E1A">
      <w:pPr>
        <w:tabs>
          <w:tab w:val="left" w:pos="7305"/>
        </w:tabs>
        <w:spacing w:line="420" w:lineRule="exact"/>
        <w:ind w:left="720"/>
        <w:jc w:val="both"/>
        <w:rPr>
          <w:rFonts w:ascii="Times New Roman" w:hAnsi="Times New Roman" w:cs="Times New Roman"/>
          <w:sz w:val="28"/>
          <w:szCs w:val="28"/>
        </w:rPr>
      </w:pPr>
    </w:p>
    <w:p w14:paraId="1801AE8B" w14:textId="12DACA65" w:rsidR="00056FF6" w:rsidRPr="00833E1A" w:rsidRDefault="004E1BB7" w:rsidP="00833E1A">
      <w:pPr>
        <w:pStyle w:val="ListParagraph"/>
        <w:numPr>
          <w:ilvl w:val="0"/>
          <w:numId w:val="32"/>
        </w:numPr>
        <w:shd w:val="clear" w:color="auto" w:fill="FFFFFF"/>
        <w:spacing w:after="0" w:line="420" w:lineRule="exact"/>
        <w:ind w:left="0" w:firstLine="556"/>
        <w:jc w:val="both"/>
        <w:rPr>
          <w:rFonts w:ascii="Times New Roman" w:hAnsi="Times New Roman" w:cs="Times New Roman"/>
          <w:sz w:val="28"/>
          <w:szCs w:val="28"/>
        </w:rPr>
      </w:pPr>
      <w:r w:rsidRPr="00833E1A">
        <w:rPr>
          <w:rFonts w:ascii="Times New Roman" w:hAnsi="Times New Roman" w:cs="Times New Roman"/>
          <w:sz w:val="28"/>
          <w:szCs w:val="28"/>
        </w:rPr>
        <w:t>When the excise duty on tobacco was first levied in 1943-44, the Central Government considered it desirable to avoid the taxation of this commodity both by the Centre and by the Provinces. They accordingly invited the four Provinces that were taxing tobacco, in one form or another, namely, Bombay, Madras, Central Provinces and Punjab, to suspend their measures of taxation and refrain from taxing tobacco. They agreed to pay a compensation on this account of Rs. 29 lakhs a year to Bombay, Rs. 22 lakhs a year to Madras, Rs. 1.5 lakhs a year to the Central Provinces and Rs. 6,000 a year to</w:t>
      </w:r>
      <w:r w:rsidR="00833E1A">
        <w:rPr>
          <w:rFonts w:ascii="Times New Roman" w:hAnsi="Times New Roman" w:cs="Times New Roman"/>
          <w:sz w:val="28"/>
          <w:szCs w:val="28"/>
        </w:rPr>
        <w:t xml:space="preserve"> </w:t>
      </w:r>
      <w:r w:rsidR="00056FF6" w:rsidRPr="00833E1A">
        <w:rPr>
          <w:rFonts w:ascii="Times New Roman" w:hAnsi="Times New Roman" w:cs="Times New Roman"/>
          <w:sz w:val="28"/>
          <w:szCs w:val="28"/>
        </w:rPr>
        <w:t>Punjab for a period of five years, when the position was to be further reviewed. The compensation paid to Punjab was withdrawn after the partition while the payment to Madhya Pradesh has remained unchanged. With effect from the 1st April 1949 the amount of compensation payable to Madras was raised to Rs. 56 lakhs and that to Bombay to Rs. 54 lakhs. We see no reason why, when the remaining States are left free to tax tobacco (and some of them actually do so), only these three States should be called upon to refrain from doing so and receive a compensation on this account. As we are recommending that a part of the excise duty on this commodity should be distributed to the States, we feel that it would be anomalous to continue the compensation payments to these States. We accordingly recommend that the existing arrangements with these States should be terminated with effect from the 1st April 1953, leaving them free to levy such taxes as they may like.</w:t>
      </w:r>
    </w:p>
    <w:p w14:paraId="559CDF6F" w14:textId="77777777" w:rsidR="00056FF6" w:rsidRPr="0003452E" w:rsidRDefault="00056FF6" w:rsidP="00833E1A">
      <w:pPr>
        <w:spacing w:line="420" w:lineRule="exact"/>
        <w:jc w:val="both"/>
        <w:rPr>
          <w:rFonts w:ascii="Times New Roman" w:hAnsi="Times New Roman" w:cs="Times New Roman"/>
        </w:rPr>
      </w:pPr>
      <w:r w:rsidRPr="00833E1A">
        <w:rPr>
          <w:rFonts w:ascii="Times New Roman" w:hAnsi="Times New Roman" w:cs="Times New Roman"/>
          <w:sz w:val="28"/>
          <w:szCs w:val="28"/>
        </w:rPr>
        <w:br w:type="page"/>
      </w:r>
    </w:p>
    <w:p w14:paraId="301AC64D" w14:textId="717B9719" w:rsidR="00056FF6" w:rsidRPr="0003452E" w:rsidRDefault="00056FF6" w:rsidP="001B3FBA">
      <w:pPr>
        <w:pStyle w:val="Heading1"/>
      </w:pPr>
      <w:bookmarkStart w:id="7" w:name="_Toc221007116"/>
      <w:r w:rsidRPr="0003452E">
        <w:lastRenderedPageBreak/>
        <w:t>CHAPTER VI</w:t>
      </w:r>
      <w:r w:rsidR="001B3FBA">
        <w:t xml:space="preserve"> </w:t>
      </w:r>
      <w:r w:rsidR="001B3FBA">
        <w:br/>
      </w:r>
      <w:r w:rsidRPr="0003452E">
        <w:t>GRANTS-IN-AID IN LIEU OF JUTE EXPORT DUTY</w:t>
      </w:r>
      <w:bookmarkEnd w:id="7"/>
    </w:p>
    <w:p w14:paraId="58D9066D" w14:textId="77777777" w:rsidR="00056FF6" w:rsidRPr="001B3FBA" w:rsidRDefault="00056FF6" w:rsidP="00726385">
      <w:pPr>
        <w:pStyle w:val="ListParagraph"/>
        <w:numPr>
          <w:ilvl w:val="0"/>
          <w:numId w:val="33"/>
        </w:numPr>
        <w:shd w:val="clear" w:color="auto" w:fill="FFFFFF"/>
        <w:spacing w:after="0" w:line="400" w:lineRule="exact"/>
        <w:ind w:left="0" w:firstLine="556"/>
        <w:jc w:val="both"/>
        <w:rPr>
          <w:rFonts w:ascii="Times New Roman" w:hAnsi="Times New Roman" w:cs="Times New Roman"/>
          <w:sz w:val="28"/>
          <w:szCs w:val="28"/>
        </w:rPr>
      </w:pPr>
      <w:r w:rsidRPr="001B3FBA">
        <w:rPr>
          <w:rFonts w:ascii="Times New Roman" w:hAnsi="Times New Roman" w:cs="Times New Roman"/>
          <w:i/>
          <w:iCs/>
          <w:sz w:val="28"/>
          <w:szCs w:val="28"/>
        </w:rPr>
        <w:t>Constitutional provision.</w:t>
      </w:r>
      <w:r w:rsidRPr="001B3FBA">
        <w:rPr>
          <w:rFonts w:ascii="Times New Roman" w:hAnsi="Times New Roman" w:cs="Times New Roman"/>
          <w:sz w:val="28"/>
          <w:szCs w:val="28"/>
        </w:rPr>
        <w:t>—One of the forms of grants-in-aid provided for by the Constitution is to the four States of West Bengal, Bihar, Assam and Orissa in lieu of their share of the export duty on jute and jute products. We have been directed by the President to make recommendations to him regarding the sums to be prescribed as grants-in-aid payable to these States under Article 273.</w:t>
      </w:r>
    </w:p>
    <w:p w14:paraId="18D85FD6" w14:textId="7432B596" w:rsidR="00056FF6" w:rsidRPr="001B3FBA" w:rsidRDefault="00056FF6" w:rsidP="00726385">
      <w:pPr>
        <w:pStyle w:val="ListParagraph"/>
        <w:numPr>
          <w:ilvl w:val="0"/>
          <w:numId w:val="33"/>
        </w:numPr>
        <w:shd w:val="clear" w:color="auto" w:fill="FFFFFF"/>
        <w:spacing w:after="0" w:line="400" w:lineRule="exact"/>
        <w:ind w:left="0" w:firstLine="556"/>
        <w:jc w:val="both"/>
        <w:rPr>
          <w:rFonts w:ascii="Times New Roman" w:hAnsi="Times New Roman" w:cs="Times New Roman"/>
          <w:sz w:val="28"/>
          <w:szCs w:val="28"/>
        </w:rPr>
      </w:pPr>
      <w:r w:rsidRPr="001B3FBA">
        <w:rPr>
          <w:rFonts w:ascii="Times New Roman" w:hAnsi="Times New Roman" w:cs="Times New Roman"/>
          <w:i/>
          <w:iCs/>
          <w:sz w:val="28"/>
          <w:szCs w:val="28"/>
        </w:rPr>
        <w:t>Historical retrospect.—</w:t>
      </w:r>
      <w:r w:rsidRPr="001B3FBA">
        <w:rPr>
          <w:rFonts w:ascii="Times New Roman" w:hAnsi="Times New Roman" w:cs="Times New Roman"/>
          <w:sz w:val="28"/>
          <w:szCs w:val="28"/>
        </w:rPr>
        <w:t>The jute export duty was first levied in 1916 and became divisible with the jute-growing Provinces only under the Government of India Act, 1935. The question of giving the jute-growing Provinces a share of the export duty on jute and jute products was considered during the constitutional discussions preceding the enactment of the Government of India Act, 1935. The Government of India Act, 1935, in Section 140(2) provided that “one half or such greater proportion as His Majesty in Council may determine of the net proceeds in each year of any export duty on jute or jute products shall not form part of the revenues of the federation, but shall be assigned to the Provinces or federated States in which jute is grown in proportion to the respective amounts of jute grown therein.” Sir Otto Niemeyer who was asked to make recommendations regarding the proportion of the export duty to be assigned to the Provinces recommended that the provincial share be increased to 62½ per cent of the net proceeds and this recommendation was embodied in the Government of India (Distribution of Revenues) Order, 1936.</w:t>
      </w:r>
    </w:p>
    <w:p w14:paraId="5580C842" w14:textId="75DB1DF4" w:rsidR="00253632" w:rsidRPr="001B3FBA" w:rsidRDefault="00056FF6" w:rsidP="00726385">
      <w:pPr>
        <w:pStyle w:val="ListParagraph"/>
        <w:numPr>
          <w:ilvl w:val="0"/>
          <w:numId w:val="33"/>
        </w:numPr>
        <w:shd w:val="clear" w:color="auto" w:fill="FFFFFF"/>
        <w:spacing w:after="0" w:line="400" w:lineRule="exact"/>
        <w:ind w:left="0" w:firstLine="556"/>
        <w:jc w:val="both"/>
        <w:rPr>
          <w:rFonts w:ascii="Times New Roman" w:hAnsi="Times New Roman" w:cs="Times New Roman"/>
          <w:sz w:val="28"/>
          <w:szCs w:val="28"/>
        </w:rPr>
      </w:pPr>
      <w:r w:rsidRPr="001B3FBA">
        <w:rPr>
          <w:rFonts w:ascii="Times New Roman" w:hAnsi="Times New Roman" w:cs="Times New Roman"/>
          <w:sz w:val="28"/>
          <w:szCs w:val="28"/>
        </w:rPr>
        <w:t>The division of Bengal and Assam on the partition of the country, which resulted in roughly 70 per cent of the jute growing area of undivided India being included in Pakistan, necessitated the reconsideration of the allocation of the duty made in the Government of India Act, 1935, particularly as the basis of distribution between the Provinces was the amount of jute grown in them. Accordingly, when the Government of India Act, 1935, was adapted at the time of the transfer of power, the provision in Section 140 about the proportion of the jute export duty allocable to the Provinces was amended and the provincial share was left to be prescribed by Order of the Governor General. In the altered circumstances the Government of India decided that the share of the jute export duty allocable to the Provinces should be reduced from 62½ per cent of the net proceeds to 20 per cent, the basis of allocation among the Provinces continuing to be the amount of jute grown in them. The necessary</w:t>
      </w:r>
      <w:r w:rsidR="001B3FBA" w:rsidRPr="001B3FBA">
        <w:rPr>
          <w:rFonts w:ascii="Times New Roman" w:hAnsi="Times New Roman" w:cs="Times New Roman"/>
          <w:sz w:val="28"/>
          <w:szCs w:val="28"/>
        </w:rPr>
        <w:t xml:space="preserve"> </w:t>
      </w:r>
      <w:r w:rsidR="00253632" w:rsidRPr="001B3FBA">
        <w:rPr>
          <w:rFonts w:ascii="Times New Roman" w:hAnsi="Times New Roman" w:cs="Times New Roman"/>
          <w:sz w:val="28"/>
          <w:szCs w:val="28"/>
        </w:rPr>
        <w:t xml:space="preserve">Order was made by the Governor General from year to year prescribing </w:t>
      </w:r>
      <w:r w:rsidR="00253632" w:rsidRPr="001B3FBA">
        <w:rPr>
          <w:rFonts w:ascii="Times New Roman" w:hAnsi="Times New Roman" w:cs="Times New Roman"/>
          <w:sz w:val="28"/>
          <w:szCs w:val="28"/>
        </w:rPr>
        <w:lastRenderedPageBreak/>
        <w:t xml:space="preserve">this percentage. This reduction in the share of the jute export duty led to protests from certain jute-growing States. The difficulty created for the Government of West Bengal by the loss of revenue from this source was recognised by the Government of India who sanctioned </w:t>
      </w:r>
      <w:r w:rsidR="00253632" w:rsidRPr="00406DCE">
        <w:rPr>
          <w:rFonts w:ascii="Times New Roman" w:hAnsi="Times New Roman" w:cs="Times New Roman"/>
          <w:i/>
          <w:iCs/>
          <w:sz w:val="28"/>
          <w:szCs w:val="28"/>
        </w:rPr>
        <w:t>ad hoc</w:t>
      </w:r>
      <w:r w:rsidR="00253632" w:rsidRPr="001B3FBA">
        <w:rPr>
          <w:rFonts w:ascii="Times New Roman" w:hAnsi="Times New Roman" w:cs="Times New Roman"/>
          <w:sz w:val="28"/>
          <w:szCs w:val="28"/>
        </w:rPr>
        <w:t xml:space="preserve"> grants of Rs. 40 lakhs in 1947-48 and Rs. 50 lakhs in each of the years 1948-49 and 1949-50.</w:t>
      </w:r>
    </w:p>
    <w:p w14:paraId="488F825D" w14:textId="695B99E3" w:rsidR="00253632" w:rsidRPr="001B3FBA" w:rsidRDefault="00253632" w:rsidP="00726385">
      <w:pPr>
        <w:pStyle w:val="ListParagraph"/>
        <w:numPr>
          <w:ilvl w:val="0"/>
          <w:numId w:val="33"/>
        </w:numPr>
        <w:shd w:val="clear" w:color="auto" w:fill="FFFFFF"/>
        <w:spacing w:after="0" w:line="400" w:lineRule="exact"/>
        <w:ind w:left="0" w:firstLine="556"/>
        <w:jc w:val="both"/>
        <w:rPr>
          <w:rFonts w:ascii="Times New Roman" w:hAnsi="Times New Roman" w:cs="Times New Roman"/>
          <w:sz w:val="28"/>
          <w:szCs w:val="28"/>
        </w:rPr>
      </w:pPr>
      <w:r w:rsidRPr="001B3FBA">
        <w:rPr>
          <w:rFonts w:ascii="Times New Roman" w:hAnsi="Times New Roman" w:cs="Times New Roman"/>
          <w:sz w:val="28"/>
          <w:szCs w:val="28"/>
        </w:rPr>
        <w:t>The Expert Committee on the Financial Provisions of the Union Constitution held that export duties were unsuitable for sharing with the Provinces and recommended that these should be entirely Central. They, however, proposed that the Provinces which were receiving a share of the export duty on jute and jute products should be compensated for the loss of this item of revenue. They suggested a grant of Rs. 100 lakhs to West Bengal, Rs. 15 lakhs to Assam, Rs. 17 lakhs to Bihar and Rs. 3 lakhs to Orissa.</w:t>
      </w:r>
    </w:p>
    <w:p w14:paraId="44890353" w14:textId="77777777" w:rsidR="00253632" w:rsidRPr="001B3FBA" w:rsidRDefault="00253632" w:rsidP="00726385">
      <w:pPr>
        <w:pStyle w:val="ListParagraph"/>
        <w:numPr>
          <w:ilvl w:val="0"/>
          <w:numId w:val="33"/>
        </w:numPr>
        <w:shd w:val="clear" w:color="auto" w:fill="FFFFFF"/>
        <w:spacing w:after="0" w:line="400" w:lineRule="exact"/>
        <w:ind w:left="0" w:firstLine="556"/>
        <w:jc w:val="both"/>
        <w:rPr>
          <w:rFonts w:ascii="Times New Roman" w:hAnsi="Times New Roman" w:cs="Times New Roman"/>
          <w:sz w:val="28"/>
          <w:szCs w:val="28"/>
        </w:rPr>
      </w:pPr>
      <w:r w:rsidRPr="001B3FBA">
        <w:rPr>
          <w:rFonts w:ascii="Times New Roman" w:hAnsi="Times New Roman" w:cs="Times New Roman"/>
          <w:sz w:val="28"/>
          <w:szCs w:val="28"/>
        </w:rPr>
        <w:t>The Constitution has made no provision for the sharing of export duties. The principle of compensation, for a transitional period, to the four jute-growing States was incorporated in Article 273. The sums to be paid were not, however, specified but were left to be prescribed by the Order of the President. After a Finance Commission have been constituted, the President is required to make the Order after considering the recommendations of the Commission.</w:t>
      </w:r>
    </w:p>
    <w:p w14:paraId="1B7CA87D" w14:textId="77777777" w:rsidR="00406DCE" w:rsidRDefault="00253632" w:rsidP="00726385">
      <w:pPr>
        <w:pStyle w:val="ListParagraph"/>
        <w:numPr>
          <w:ilvl w:val="0"/>
          <w:numId w:val="33"/>
        </w:numPr>
        <w:shd w:val="clear" w:color="auto" w:fill="FFFFFF"/>
        <w:spacing w:after="0" w:line="400" w:lineRule="exact"/>
        <w:ind w:left="0" w:firstLine="556"/>
        <w:jc w:val="both"/>
        <w:rPr>
          <w:rFonts w:ascii="Times New Roman" w:hAnsi="Times New Roman" w:cs="Times New Roman"/>
          <w:sz w:val="28"/>
          <w:szCs w:val="28"/>
        </w:rPr>
      </w:pPr>
      <w:r w:rsidRPr="001B3FBA">
        <w:rPr>
          <w:rFonts w:ascii="Times New Roman" w:hAnsi="Times New Roman" w:cs="Times New Roman"/>
          <w:sz w:val="28"/>
          <w:szCs w:val="28"/>
        </w:rPr>
        <w:t>In November 1949 the Government of India requested Shri C. D. Deshmukh to determine the grants-in-aid payable to the four States mentioned above. Shri Deshmukh held that the grants-in-aid payable to these States must necessarily be related to the sums actually received in the past by the States concerned, viewed as part of their revenue, and could not be related to any estimates of the net proceeds in future years of the export duty. He decided that, until the Finance Commission proposed any revision, the following annual grants-in-aid should be paid to these States:—</w:t>
      </w:r>
    </w:p>
    <w:p w14:paraId="6085452A" w14:textId="2DB461E7" w:rsidR="001B3FBA" w:rsidRPr="00B95B14" w:rsidRDefault="00253632" w:rsidP="00406DCE">
      <w:pPr>
        <w:pStyle w:val="ListParagraph"/>
        <w:shd w:val="clear" w:color="auto" w:fill="FFFFFF"/>
        <w:spacing w:after="0" w:line="400" w:lineRule="exact"/>
        <w:ind w:left="3436" w:firstLine="164"/>
        <w:jc w:val="center"/>
        <w:rPr>
          <w:rFonts w:ascii="Times New Roman" w:hAnsi="Times New Roman" w:cs="Times New Roman"/>
          <w:i/>
          <w:iCs/>
          <w:sz w:val="28"/>
          <w:szCs w:val="28"/>
        </w:rPr>
      </w:pPr>
      <w:r w:rsidRPr="00B95B14">
        <w:rPr>
          <w:rFonts w:ascii="Times New Roman" w:hAnsi="Times New Roman" w:cs="Times New Roman"/>
          <w:i/>
          <w:iCs/>
          <w:sz w:val="28"/>
          <w:szCs w:val="28"/>
        </w:rPr>
        <w:t>(In lakhs of rupees)</w:t>
      </w:r>
    </w:p>
    <w:tbl>
      <w:tblPr>
        <w:tblStyle w:val="TableGrid"/>
        <w:tblW w:w="0" w:type="auto"/>
        <w:jc w:val="center"/>
        <w:tblLook w:val="04A0" w:firstRow="1" w:lastRow="0" w:firstColumn="1" w:lastColumn="0" w:noHBand="0" w:noVBand="1"/>
      </w:tblPr>
      <w:tblGrid>
        <w:gridCol w:w="3244"/>
        <w:gridCol w:w="2694"/>
      </w:tblGrid>
      <w:tr w:rsidR="00253632" w:rsidRPr="001B3FBA" w14:paraId="4499009F" w14:textId="77777777" w:rsidTr="001B3FBA">
        <w:trPr>
          <w:trHeight w:val="340"/>
          <w:jc w:val="center"/>
        </w:trPr>
        <w:tc>
          <w:tcPr>
            <w:tcW w:w="3244" w:type="dxa"/>
            <w:vAlign w:val="center"/>
          </w:tcPr>
          <w:p w14:paraId="1D1FA869" w14:textId="6FA33666" w:rsidR="00253632" w:rsidRPr="001B3FBA" w:rsidRDefault="00253632" w:rsidP="001B3FBA">
            <w:pPr>
              <w:pStyle w:val="Tables"/>
            </w:pPr>
            <w:r w:rsidRPr="001B3FBA">
              <w:t>West Bengal</w:t>
            </w:r>
          </w:p>
        </w:tc>
        <w:tc>
          <w:tcPr>
            <w:tcW w:w="2694" w:type="dxa"/>
            <w:vAlign w:val="center"/>
          </w:tcPr>
          <w:p w14:paraId="628C8A0D" w14:textId="26FDE9F6" w:rsidR="00253632" w:rsidRPr="001B3FBA" w:rsidRDefault="00253632" w:rsidP="001B3FBA">
            <w:pPr>
              <w:pStyle w:val="Tables"/>
            </w:pPr>
            <w:r w:rsidRPr="001B3FBA">
              <w:t>105</w:t>
            </w:r>
          </w:p>
        </w:tc>
      </w:tr>
      <w:tr w:rsidR="00253632" w:rsidRPr="001B3FBA" w14:paraId="2311E548" w14:textId="77777777" w:rsidTr="001B3FBA">
        <w:trPr>
          <w:trHeight w:val="340"/>
          <w:jc w:val="center"/>
        </w:trPr>
        <w:tc>
          <w:tcPr>
            <w:tcW w:w="3244" w:type="dxa"/>
            <w:vAlign w:val="center"/>
          </w:tcPr>
          <w:p w14:paraId="3CB99CD1" w14:textId="0FDB3E6E" w:rsidR="00253632" w:rsidRPr="001B3FBA" w:rsidRDefault="00253632" w:rsidP="001B3FBA">
            <w:pPr>
              <w:pStyle w:val="Tables"/>
            </w:pPr>
            <w:r w:rsidRPr="001B3FBA">
              <w:t>Assam</w:t>
            </w:r>
          </w:p>
        </w:tc>
        <w:tc>
          <w:tcPr>
            <w:tcW w:w="2694" w:type="dxa"/>
            <w:vAlign w:val="center"/>
          </w:tcPr>
          <w:p w14:paraId="37C1DB96" w14:textId="76053816" w:rsidR="00253632" w:rsidRPr="001B3FBA" w:rsidRDefault="00253632" w:rsidP="001B3FBA">
            <w:pPr>
              <w:pStyle w:val="Tables"/>
            </w:pPr>
            <w:r w:rsidRPr="001B3FBA">
              <w:t>40</w:t>
            </w:r>
          </w:p>
        </w:tc>
      </w:tr>
      <w:tr w:rsidR="00253632" w:rsidRPr="001B3FBA" w14:paraId="2FF03989" w14:textId="77777777" w:rsidTr="001B3FBA">
        <w:trPr>
          <w:trHeight w:val="340"/>
          <w:jc w:val="center"/>
        </w:trPr>
        <w:tc>
          <w:tcPr>
            <w:tcW w:w="3244" w:type="dxa"/>
            <w:vAlign w:val="center"/>
          </w:tcPr>
          <w:p w14:paraId="0095C231" w14:textId="00A62A13" w:rsidR="00253632" w:rsidRPr="001B3FBA" w:rsidRDefault="00253632" w:rsidP="001B3FBA">
            <w:pPr>
              <w:pStyle w:val="Tables"/>
            </w:pPr>
            <w:r w:rsidRPr="001B3FBA">
              <w:t>Bihar</w:t>
            </w:r>
          </w:p>
        </w:tc>
        <w:tc>
          <w:tcPr>
            <w:tcW w:w="2694" w:type="dxa"/>
            <w:vAlign w:val="center"/>
          </w:tcPr>
          <w:p w14:paraId="0C478CC6" w14:textId="4145AD43" w:rsidR="00253632" w:rsidRPr="001B3FBA" w:rsidRDefault="00253632" w:rsidP="001B3FBA">
            <w:pPr>
              <w:pStyle w:val="Tables"/>
            </w:pPr>
            <w:r w:rsidRPr="001B3FBA">
              <w:t>35</w:t>
            </w:r>
          </w:p>
        </w:tc>
      </w:tr>
      <w:tr w:rsidR="00253632" w:rsidRPr="001B3FBA" w14:paraId="17C44DC8" w14:textId="77777777" w:rsidTr="001B3FBA">
        <w:trPr>
          <w:trHeight w:val="340"/>
          <w:jc w:val="center"/>
        </w:trPr>
        <w:tc>
          <w:tcPr>
            <w:tcW w:w="3244" w:type="dxa"/>
            <w:vAlign w:val="center"/>
          </w:tcPr>
          <w:p w14:paraId="2DDC0530" w14:textId="2914B430" w:rsidR="00253632" w:rsidRPr="001B3FBA" w:rsidRDefault="00253632" w:rsidP="001B3FBA">
            <w:pPr>
              <w:pStyle w:val="Tables"/>
            </w:pPr>
            <w:r w:rsidRPr="001B3FBA">
              <w:t>Orissa</w:t>
            </w:r>
          </w:p>
        </w:tc>
        <w:tc>
          <w:tcPr>
            <w:tcW w:w="2694" w:type="dxa"/>
            <w:vAlign w:val="center"/>
          </w:tcPr>
          <w:p w14:paraId="6CBFDE69" w14:textId="1A516EE8" w:rsidR="00253632" w:rsidRPr="001B3FBA" w:rsidRDefault="00253632" w:rsidP="001B3FBA">
            <w:pPr>
              <w:pStyle w:val="Tables"/>
            </w:pPr>
            <w:r w:rsidRPr="001B3FBA">
              <w:t>5</w:t>
            </w:r>
          </w:p>
        </w:tc>
      </w:tr>
    </w:tbl>
    <w:p w14:paraId="293F72D5" w14:textId="77777777" w:rsidR="00253632" w:rsidRPr="001B3FBA" w:rsidRDefault="00253632" w:rsidP="001B3FBA">
      <w:pPr>
        <w:tabs>
          <w:tab w:val="left" w:pos="7305"/>
        </w:tabs>
        <w:spacing w:line="420" w:lineRule="exact"/>
        <w:jc w:val="both"/>
        <w:rPr>
          <w:rFonts w:ascii="Times New Roman" w:hAnsi="Times New Roman" w:cs="Times New Roman"/>
          <w:sz w:val="28"/>
          <w:szCs w:val="28"/>
        </w:rPr>
      </w:pPr>
    </w:p>
    <w:p w14:paraId="49E21D66" w14:textId="50EA3D05" w:rsidR="00253632" w:rsidRPr="001B3FBA" w:rsidRDefault="00253632" w:rsidP="001B3FBA">
      <w:pPr>
        <w:tabs>
          <w:tab w:val="left" w:pos="7305"/>
        </w:tabs>
        <w:spacing w:line="420" w:lineRule="exact"/>
        <w:jc w:val="both"/>
        <w:rPr>
          <w:rFonts w:ascii="Times New Roman" w:hAnsi="Times New Roman" w:cs="Times New Roman"/>
          <w:sz w:val="28"/>
          <w:szCs w:val="28"/>
        </w:rPr>
      </w:pPr>
      <w:r w:rsidRPr="001B3FBA">
        <w:rPr>
          <w:rFonts w:ascii="Times New Roman" w:hAnsi="Times New Roman" w:cs="Times New Roman"/>
          <w:sz w:val="28"/>
          <w:szCs w:val="28"/>
        </w:rPr>
        <w:t>These grants-in-aid were paid in 1950-51 and 1951-52.</w:t>
      </w:r>
    </w:p>
    <w:p w14:paraId="00A4412A" w14:textId="4A9FFCC0" w:rsidR="00253632" w:rsidRPr="001B3FBA" w:rsidRDefault="00253632" w:rsidP="00726385">
      <w:pPr>
        <w:pStyle w:val="ListParagraph"/>
        <w:numPr>
          <w:ilvl w:val="0"/>
          <w:numId w:val="33"/>
        </w:numPr>
        <w:shd w:val="clear" w:color="auto" w:fill="FFFFFF"/>
        <w:spacing w:after="0" w:line="390" w:lineRule="exact"/>
        <w:ind w:left="0" w:firstLine="556"/>
        <w:jc w:val="both"/>
        <w:rPr>
          <w:rFonts w:ascii="Times New Roman" w:hAnsi="Times New Roman" w:cs="Times New Roman"/>
          <w:sz w:val="28"/>
          <w:szCs w:val="28"/>
        </w:rPr>
      </w:pPr>
      <w:r w:rsidRPr="001B3FBA">
        <w:rPr>
          <w:rFonts w:ascii="Times New Roman" w:hAnsi="Times New Roman" w:cs="Times New Roman"/>
          <w:i/>
          <w:iCs/>
          <w:sz w:val="28"/>
          <w:szCs w:val="28"/>
        </w:rPr>
        <w:lastRenderedPageBreak/>
        <w:t>Claims by States.</w:t>
      </w:r>
      <w:r w:rsidRPr="001B3FBA">
        <w:rPr>
          <w:rFonts w:ascii="Times New Roman" w:hAnsi="Times New Roman" w:cs="Times New Roman"/>
          <w:sz w:val="28"/>
          <w:szCs w:val="28"/>
        </w:rPr>
        <w:t>—In their representations to the Commission the Government of West Bengal stated that the reduction of the provincial share of the jute export duty by the Government of India in 1947 without consulting the Provinces was unjustified and did not take into account the fact that because of the location of the jute industry</w:t>
      </w:r>
      <w:r w:rsidR="001B3FBA">
        <w:rPr>
          <w:rFonts w:ascii="Times New Roman" w:hAnsi="Times New Roman" w:cs="Times New Roman"/>
          <w:sz w:val="28"/>
          <w:szCs w:val="28"/>
        </w:rPr>
        <w:t xml:space="preserve"> </w:t>
      </w:r>
      <w:r w:rsidRPr="001B3FBA">
        <w:rPr>
          <w:rFonts w:ascii="Times New Roman" w:hAnsi="Times New Roman" w:cs="Times New Roman"/>
          <w:sz w:val="28"/>
          <w:szCs w:val="28"/>
        </w:rPr>
        <w:t>in Calcutta there was no diminution in the revenue from the export duty as a result of the partition. They contended that the reduction in the provincial share and its distribution on the basis of the volume of jute grown adversely affected West Bengal only where almost the whole of the manufacturing capacity was located, and not the other jute-growing Provinces. They also stated that the decision of Shri C. D. Deshmukh about the amount of the grant-in-aid payable to West Bengal, which related it to the sums actually received in the past, was not correct, as the basis of the previous allocation itself was open to question. They submitted that the Commission had first to decide, having regard to the language of Article 273 (1), whether the grants should vary from year to year in relation to the net proceeds of each year and, if the Commission came to the conclusion that the grants should be fixed once for all, they suggested that the grants should be fixed in relation to the revenue of 1951-52. Incidentally, we may mention that the Government of West Bengal in their comments on the Deshmukh award (a copy of which was submitted by them to us) agreed "that the grants or the compensation payments must be related to the sums received in the past and not what may be received in the future".</w:t>
      </w:r>
    </w:p>
    <w:p w14:paraId="38649451" w14:textId="77777777" w:rsidR="00253632" w:rsidRPr="001B3FBA" w:rsidRDefault="00253632" w:rsidP="00B95B14">
      <w:pPr>
        <w:tabs>
          <w:tab w:val="left" w:pos="7305"/>
        </w:tabs>
        <w:spacing w:after="0" w:line="390" w:lineRule="exact"/>
        <w:ind w:firstLine="567"/>
        <w:jc w:val="both"/>
        <w:rPr>
          <w:rFonts w:ascii="Times New Roman" w:hAnsi="Times New Roman" w:cs="Times New Roman"/>
          <w:sz w:val="28"/>
          <w:szCs w:val="28"/>
        </w:rPr>
      </w:pPr>
      <w:r w:rsidRPr="001B3FBA">
        <w:rPr>
          <w:rFonts w:ascii="Times New Roman" w:hAnsi="Times New Roman" w:cs="Times New Roman"/>
          <w:sz w:val="28"/>
          <w:szCs w:val="28"/>
        </w:rPr>
        <w:t>The Government of Assam urged that the Commission should restore the States’ share of the duty to the original 62½ per cent.</w:t>
      </w:r>
    </w:p>
    <w:p w14:paraId="059AB9C7" w14:textId="77777777" w:rsidR="00253632" w:rsidRPr="001B3FBA" w:rsidRDefault="00253632" w:rsidP="00726385">
      <w:pPr>
        <w:tabs>
          <w:tab w:val="left" w:pos="7305"/>
        </w:tabs>
        <w:spacing w:after="0" w:line="390" w:lineRule="exact"/>
        <w:ind w:firstLine="567"/>
        <w:jc w:val="both"/>
        <w:rPr>
          <w:rFonts w:ascii="Times New Roman" w:hAnsi="Times New Roman" w:cs="Times New Roman"/>
          <w:sz w:val="28"/>
          <w:szCs w:val="28"/>
        </w:rPr>
      </w:pPr>
      <w:r w:rsidRPr="001B3FBA">
        <w:rPr>
          <w:rFonts w:ascii="Times New Roman" w:hAnsi="Times New Roman" w:cs="Times New Roman"/>
          <w:sz w:val="28"/>
          <w:szCs w:val="28"/>
        </w:rPr>
        <w:t>The Government of Orissa were of the view that if the grant-in-aid was to be in the nature of a compensation the amount should be fixed on the basis of what the States had actually received in the past.</w:t>
      </w:r>
    </w:p>
    <w:p w14:paraId="1BD5B7C6" w14:textId="77777777" w:rsidR="00253632" w:rsidRPr="001B3FBA" w:rsidRDefault="00253632" w:rsidP="00726385">
      <w:pPr>
        <w:tabs>
          <w:tab w:val="left" w:pos="7305"/>
        </w:tabs>
        <w:spacing w:after="0" w:line="390" w:lineRule="exact"/>
        <w:ind w:firstLine="567"/>
        <w:jc w:val="both"/>
        <w:rPr>
          <w:rFonts w:ascii="Times New Roman" w:hAnsi="Times New Roman" w:cs="Times New Roman"/>
          <w:sz w:val="28"/>
          <w:szCs w:val="28"/>
        </w:rPr>
      </w:pPr>
      <w:r w:rsidRPr="001B3FBA">
        <w:rPr>
          <w:rFonts w:ascii="Times New Roman" w:hAnsi="Times New Roman" w:cs="Times New Roman"/>
          <w:sz w:val="28"/>
          <w:szCs w:val="28"/>
        </w:rPr>
        <w:t>The Government of Bihar suggested that the share of the jute-growing Provinces should be fixed at a suitable percentage, above 20 per cent of the net proceeds of the duty, and distributed on the basis of the amount of jute grown in each Province.</w:t>
      </w:r>
    </w:p>
    <w:p w14:paraId="430D9B9C" w14:textId="5B652AB9" w:rsidR="00A40437" w:rsidRPr="001B3FBA" w:rsidRDefault="00253632" w:rsidP="00726385">
      <w:pPr>
        <w:pStyle w:val="ListParagraph"/>
        <w:numPr>
          <w:ilvl w:val="0"/>
          <w:numId w:val="33"/>
        </w:numPr>
        <w:shd w:val="clear" w:color="auto" w:fill="FFFFFF"/>
        <w:spacing w:after="0" w:line="390" w:lineRule="exact"/>
        <w:ind w:left="0" w:firstLine="556"/>
        <w:jc w:val="both"/>
        <w:rPr>
          <w:rFonts w:ascii="Times New Roman" w:hAnsi="Times New Roman" w:cs="Times New Roman"/>
          <w:sz w:val="28"/>
          <w:szCs w:val="28"/>
        </w:rPr>
      </w:pPr>
      <w:r w:rsidRPr="001B3FBA">
        <w:rPr>
          <w:rFonts w:ascii="Times New Roman" w:hAnsi="Times New Roman" w:cs="Times New Roman"/>
          <w:i/>
          <w:iCs/>
          <w:sz w:val="28"/>
          <w:szCs w:val="28"/>
        </w:rPr>
        <w:t>Implications of Constitutional provisions.—</w:t>
      </w:r>
      <w:r w:rsidRPr="001B3FBA">
        <w:rPr>
          <w:rFonts w:ascii="Times New Roman" w:hAnsi="Times New Roman" w:cs="Times New Roman"/>
          <w:sz w:val="28"/>
          <w:szCs w:val="28"/>
        </w:rPr>
        <w:t xml:space="preserve">In view of the point raised by some of the States regarding the construction of Article 273 we had first to consider whether the language of this Article required the grants-in-aid to be related to the net proceeds of the duty in each year. After a careful examination of the question we have come to the conclusion that the Article cannot bear such an interpretation. Firstly, if the intention of the Constitution had been to maintain, for the limited period mentioned in Article 273, the right of the four States mentioned in that Article to a </w:t>
      </w:r>
      <w:r w:rsidRPr="001B3FBA">
        <w:rPr>
          <w:rFonts w:ascii="Times New Roman" w:hAnsi="Times New Roman" w:cs="Times New Roman"/>
          <w:sz w:val="28"/>
          <w:szCs w:val="28"/>
        </w:rPr>
        <w:lastRenderedPageBreak/>
        <w:t>grant equivalent to a share of the export duty on jute and jute products, the Constitution would have made a specific provision to that effect. Secondly, in terms, this Article requires the President to prescribe sums of money for each State and not shares of revenue. Thirdly, as jute is grown in some of the other States also it could not have been the intention of the Constitution to limit the payment of the grants-in-aid to these four States, except</w:t>
      </w:r>
      <w:r w:rsidR="001B3FBA" w:rsidRPr="001B3FBA">
        <w:rPr>
          <w:rFonts w:ascii="Times New Roman" w:hAnsi="Times New Roman" w:cs="Times New Roman"/>
          <w:sz w:val="28"/>
          <w:szCs w:val="28"/>
        </w:rPr>
        <w:t xml:space="preserve"> </w:t>
      </w:r>
      <w:r w:rsidR="00A40437" w:rsidRPr="001B3FBA">
        <w:rPr>
          <w:rFonts w:ascii="Times New Roman" w:hAnsi="Times New Roman" w:cs="Times New Roman"/>
          <w:sz w:val="28"/>
          <w:szCs w:val="28"/>
        </w:rPr>
        <w:t>on the basis of compensation for the loss of an item of revenue which had accrued to them in the past. We consider that the references in this Article to the payment being in lieu of a share of the export duty should be construed not as continuing a right to a share of revenue but as indicating the reason for which the grants-in-aid are to be made. Similarly, the reference in sub-clause (2) of that Article to the continuance of the export duty on jute as a condition to the making of the grant should be construed not as establishing any direct connection between the amounts of the grants-in-aid and the revenue collected in each year, but as limiting the payment of the grant to the period during which the duty itself—in regard to which the temporary right to receive a grant arose—continues. We are, therefore, of the view that the grants-in-aid under this Article should not be related to the amount of the revenue in each year subsequent to the commencement of the Constitution. For the same reason, we are unable to accept the contention of West Bengal that the grants-in-aid should be related to the revenue of 1951-52.</w:t>
      </w:r>
    </w:p>
    <w:p w14:paraId="7C178E01" w14:textId="31A93CED" w:rsidR="00A40437" w:rsidRPr="001B3FBA" w:rsidRDefault="00A40437" w:rsidP="00726385">
      <w:pPr>
        <w:pStyle w:val="ListParagraph"/>
        <w:numPr>
          <w:ilvl w:val="0"/>
          <w:numId w:val="33"/>
        </w:numPr>
        <w:shd w:val="clear" w:color="auto" w:fill="FFFFFF"/>
        <w:spacing w:after="0" w:line="390" w:lineRule="exact"/>
        <w:ind w:left="0" w:firstLine="556"/>
        <w:jc w:val="both"/>
        <w:rPr>
          <w:rFonts w:ascii="Times New Roman" w:hAnsi="Times New Roman" w:cs="Times New Roman"/>
          <w:sz w:val="28"/>
          <w:szCs w:val="28"/>
        </w:rPr>
      </w:pPr>
      <w:r w:rsidRPr="001B3FBA">
        <w:rPr>
          <w:rFonts w:ascii="Times New Roman" w:hAnsi="Times New Roman" w:cs="Times New Roman"/>
          <w:sz w:val="28"/>
          <w:szCs w:val="28"/>
        </w:rPr>
        <w:t>A suggestion was made before us by a Chamber of Commerce that the grants-in-aid to these four States should be determined with reference to the proportion which the revenue from this source bore in the past to the total revenue of the State. In the allocation of the States’ share of the export duty in the past this had never been a consideration and we see no reason why it should now be imported into this question. The suggestion also seems to ignore the fact that under the Constitution sums have to be prescribed which, once prescribed, will continue to be charged; it would be impossible to do this if the grants-in-aid were to be related to the total revenue of the State in subsequent years, which cannot be foreseen.</w:t>
      </w:r>
    </w:p>
    <w:p w14:paraId="2EAFB081" w14:textId="77777777" w:rsidR="00A40437" w:rsidRPr="001B3FBA" w:rsidRDefault="00A40437" w:rsidP="00726385">
      <w:pPr>
        <w:pStyle w:val="ListParagraph"/>
        <w:numPr>
          <w:ilvl w:val="0"/>
          <w:numId w:val="33"/>
        </w:numPr>
        <w:shd w:val="clear" w:color="auto" w:fill="FFFFFF"/>
        <w:spacing w:after="0" w:line="390" w:lineRule="exact"/>
        <w:ind w:left="0" w:firstLine="556"/>
        <w:jc w:val="both"/>
        <w:rPr>
          <w:rFonts w:ascii="Times New Roman" w:hAnsi="Times New Roman" w:cs="Times New Roman"/>
          <w:sz w:val="28"/>
          <w:szCs w:val="28"/>
        </w:rPr>
      </w:pPr>
      <w:r w:rsidRPr="00B95B14">
        <w:rPr>
          <w:rFonts w:ascii="Times New Roman" w:hAnsi="Times New Roman" w:cs="Times New Roman"/>
          <w:i/>
          <w:iCs/>
          <w:sz w:val="28"/>
          <w:szCs w:val="28"/>
        </w:rPr>
        <w:t>Determination of grants-in-</w:t>
      </w:r>
      <w:proofErr w:type="gramStart"/>
      <w:r w:rsidRPr="00B95B14">
        <w:rPr>
          <w:rFonts w:ascii="Times New Roman" w:hAnsi="Times New Roman" w:cs="Times New Roman"/>
          <w:i/>
          <w:iCs/>
          <w:sz w:val="28"/>
          <w:szCs w:val="28"/>
        </w:rPr>
        <w:t>aid.—</w:t>
      </w:r>
      <w:proofErr w:type="gramEnd"/>
      <w:r w:rsidRPr="001B3FBA">
        <w:rPr>
          <w:rFonts w:ascii="Times New Roman" w:hAnsi="Times New Roman" w:cs="Times New Roman"/>
          <w:sz w:val="28"/>
          <w:szCs w:val="28"/>
        </w:rPr>
        <w:t xml:space="preserve">On the view of the constitutional provision taken by us the grants-in-aid payable to these States </w:t>
      </w:r>
      <w:proofErr w:type="gramStart"/>
      <w:r w:rsidRPr="001B3FBA">
        <w:rPr>
          <w:rFonts w:ascii="Times New Roman" w:hAnsi="Times New Roman" w:cs="Times New Roman"/>
          <w:sz w:val="28"/>
          <w:szCs w:val="28"/>
        </w:rPr>
        <w:t>have to</w:t>
      </w:r>
      <w:proofErr w:type="gramEnd"/>
      <w:r w:rsidRPr="001B3FBA">
        <w:rPr>
          <w:rFonts w:ascii="Times New Roman" w:hAnsi="Times New Roman" w:cs="Times New Roman"/>
          <w:sz w:val="28"/>
          <w:szCs w:val="28"/>
        </w:rPr>
        <w:t xml:space="preserve"> be of fixed sums. Considering, however, the objection raised by the Governments of these States that the alteration in the provincial share of the export duty by the Government of India in 1947 was made without consulting them, we feel that it would not be proper to fix the grants-in-aid with reference to the actual sums received by the four States under the revised allocation. In our opinion it would be reasonable if the shares of </w:t>
      </w:r>
      <w:r w:rsidRPr="001B3FBA">
        <w:rPr>
          <w:rFonts w:ascii="Times New Roman" w:hAnsi="Times New Roman" w:cs="Times New Roman"/>
          <w:sz w:val="28"/>
          <w:szCs w:val="28"/>
        </w:rPr>
        <w:lastRenderedPageBreak/>
        <w:t>these States in 1949-50—the last year in which the States were entitled to a share of the jute export duty—were worked out on the basis of allocation before its modification by the Government of India in 1947, and grants were determined accordingly.</w:t>
      </w:r>
    </w:p>
    <w:p w14:paraId="31F08244" w14:textId="56444268" w:rsidR="001B3FBA" w:rsidRDefault="00A40437" w:rsidP="00726385">
      <w:pPr>
        <w:pStyle w:val="ListParagraph"/>
        <w:numPr>
          <w:ilvl w:val="0"/>
          <w:numId w:val="33"/>
        </w:numPr>
        <w:shd w:val="clear" w:color="auto" w:fill="FFFFFF"/>
        <w:spacing w:after="0" w:line="390" w:lineRule="exact"/>
        <w:ind w:left="0" w:firstLine="556"/>
        <w:jc w:val="both"/>
        <w:rPr>
          <w:rFonts w:ascii="Times New Roman" w:hAnsi="Times New Roman" w:cs="Times New Roman"/>
          <w:sz w:val="28"/>
          <w:szCs w:val="28"/>
        </w:rPr>
      </w:pPr>
      <w:r w:rsidRPr="001B3FBA">
        <w:rPr>
          <w:rFonts w:ascii="Times New Roman" w:hAnsi="Times New Roman" w:cs="Times New Roman"/>
          <w:sz w:val="28"/>
          <w:szCs w:val="28"/>
        </w:rPr>
        <w:t>The Government of India Act, 1935, read with the Government of India (Distribution of Revenues) Order, 1936, provided for the distribution of 62½ per cent of the net proceeds of the export duty on jute and jute products among the jute-growing Provinces in proportion to the volume of jute grown therein. In 1949-50 the net proceeds</w:t>
      </w:r>
      <w:r w:rsidR="001B3FBA" w:rsidRPr="001B3FBA">
        <w:rPr>
          <w:rFonts w:ascii="Times New Roman" w:hAnsi="Times New Roman" w:cs="Times New Roman"/>
          <w:sz w:val="28"/>
          <w:szCs w:val="28"/>
        </w:rPr>
        <w:t xml:space="preserve"> </w:t>
      </w:r>
      <w:r w:rsidRPr="001B3FBA">
        <w:rPr>
          <w:rFonts w:ascii="Times New Roman" w:hAnsi="Times New Roman" w:cs="Times New Roman"/>
          <w:sz w:val="28"/>
          <w:szCs w:val="28"/>
        </w:rPr>
        <w:t>of the export duty were Rs. 968 lakhs and the divisible pool for that year at 62½ per cent would amount to Rs. 605 lakhs. The total quantity of raw jute exported in 1949-50 was 2.01 lakh tons and the raw jute used in the manufactured goods exported in that year (on the assumption</w:t>
      </w:r>
      <w:r w:rsidR="00B95B14">
        <w:rPr>
          <w:rStyle w:val="FootnoteReference"/>
          <w:rFonts w:ascii="Times New Roman" w:hAnsi="Times New Roman" w:cs="Times New Roman"/>
          <w:sz w:val="28"/>
          <w:szCs w:val="28"/>
        </w:rPr>
        <w:footnoteReference w:id="5"/>
      </w:r>
      <w:r w:rsidRPr="001B3FBA">
        <w:rPr>
          <w:rFonts w:ascii="Times New Roman" w:hAnsi="Times New Roman" w:cs="Times New Roman"/>
          <w:sz w:val="28"/>
          <w:szCs w:val="28"/>
        </w:rPr>
        <w:t xml:space="preserve"> that the manufacture of 1 ton of jute goods requires 29 maunds of raw jute) was 8.38 lakh tons. During that year the production of raw jute in these four States was:</w:t>
      </w:r>
    </w:p>
    <w:p w14:paraId="28C127AB" w14:textId="19A6E01D" w:rsidR="00A40437" w:rsidRPr="00B95B14" w:rsidRDefault="00A40437" w:rsidP="00527601">
      <w:pPr>
        <w:pStyle w:val="ListParagraph"/>
        <w:shd w:val="clear" w:color="auto" w:fill="FFFFFF"/>
        <w:spacing w:after="0" w:line="420" w:lineRule="exact"/>
        <w:ind w:left="6316" w:firstLine="164"/>
        <w:jc w:val="both"/>
        <w:rPr>
          <w:rFonts w:ascii="Times New Roman" w:hAnsi="Times New Roman" w:cs="Times New Roman"/>
          <w:i/>
          <w:iCs/>
          <w:sz w:val="28"/>
          <w:szCs w:val="28"/>
        </w:rPr>
      </w:pPr>
      <w:r w:rsidRPr="00B95B14">
        <w:rPr>
          <w:rFonts w:ascii="Times New Roman" w:hAnsi="Times New Roman" w:cs="Times New Roman"/>
          <w:i/>
          <w:iCs/>
          <w:sz w:val="28"/>
          <w:szCs w:val="28"/>
        </w:rPr>
        <w:t>(In lakhs of tons)</w:t>
      </w:r>
    </w:p>
    <w:tbl>
      <w:tblPr>
        <w:tblStyle w:val="TableGrid"/>
        <w:tblW w:w="0" w:type="auto"/>
        <w:jc w:val="center"/>
        <w:tblLook w:val="04A0" w:firstRow="1" w:lastRow="0" w:firstColumn="1" w:lastColumn="0" w:noHBand="0" w:noVBand="1"/>
      </w:tblPr>
      <w:tblGrid>
        <w:gridCol w:w="3905"/>
        <w:gridCol w:w="3178"/>
      </w:tblGrid>
      <w:tr w:rsidR="00A40437" w:rsidRPr="001B3FBA" w14:paraId="2207584C" w14:textId="77777777" w:rsidTr="00527601">
        <w:trPr>
          <w:trHeight w:val="113"/>
          <w:jc w:val="center"/>
        </w:trPr>
        <w:tc>
          <w:tcPr>
            <w:tcW w:w="3905" w:type="dxa"/>
            <w:vAlign w:val="center"/>
            <w:hideMark/>
          </w:tcPr>
          <w:p w14:paraId="3C82238A" w14:textId="77777777" w:rsidR="00A40437" w:rsidRPr="001B3FBA" w:rsidRDefault="00A40437" w:rsidP="00726385">
            <w:pPr>
              <w:pStyle w:val="Tables"/>
            </w:pPr>
            <w:r w:rsidRPr="001B3FBA">
              <w:t>West Bengal</w:t>
            </w:r>
          </w:p>
        </w:tc>
        <w:tc>
          <w:tcPr>
            <w:tcW w:w="3178" w:type="dxa"/>
            <w:vAlign w:val="center"/>
            <w:hideMark/>
          </w:tcPr>
          <w:p w14:paraId="679A359B" w14:textId="77777777" w:rsidR="00A40437" w:rsidRPr="001B3FBA" w:rsidRDefault="00A40437" w:rsidP="00726385">
            <w:pPr>
              <w:pStyle w:val="Tables"/>
            </w:pPr>
            <w:r w:rsidRPr="001B3FBA">
              <w:t>2.59</w:t>
            </w:r>
          </w:p>
        </w:tc>
      </w:tr>
      <w:tr w:rsidR="00A40437" w:rsidRPr="001B3FBA" w14:paraId="3BAEBDDC" w14:textId="77777777" w:rsidTr="00527601">
        <w:trPr>
          <w:trHeight w:val="113"/>
          <w:jc w:val="center"/>
        </w:trPr>
        <w:tc>
          <w:tcPr>
            <w:tcW w:w="3905" w:type="dxa"/>
            <w:vAlign w:val="center"/>
            <w:hideMark/>
          </w:tcPr>
          <w:p w14:paraId="0ED31F0C" w14:textId="77777777" w:rsidR="00A40437" w:rsidRPr="001B3FBA" w:rsidRDefault="00A40437" w:rsidP="00726385">
            <w:pPr>
              <w:pStyle w:val="Tables"/>
            </w:pPr>
            <w:r w:rsidRPr="001B3FBA">
              <w:t>Bihar</w:t>
            </w:r>
          </w:p>
        </w:tc>
        <w:tc>
          <w:tcPr>
            <w:tcW w:w="3178" w:type="dxa"/>
            <w:vAlign w:val="center"/>
            <w:hideMark/>
          </w:tcPr>
          <w:p w14:paraId="545AD51E" w14:textId="77777777" w:rsidR="00A40437" w:rsidRPr="001B3FBA" w:rsidRDefault="00A40437" w:rsidP="00726385">
            <w:pPr>
              <w:pStyle w:val="Tables"/>
            </w:pPr>
            <w:r w:rsidRPr="001B3FBA">
              <w:t>1.29</w:t>
            </w:r>
          </w:p>
        </w:tc>
      </w:tr>
      <w:tr w:rsidR="00A40437" w:rsidRPr="001B3FBA" w14:paraId="29DEBF72" w14:textId="77777777" w:rsidTr="00527601">
        <w:trPr>
          <w:trHeight w:val="113"/>
          <w:jc w:val="center"/>
        </w:trPr>
        <w:tc>
          <w:tcPr>
            <w:tcW w:w="3905" w:type="dxa"/>
            <w:vAlign w:val="center"/>
            <w:hideMark/>
          </w:tcPr>
          <w:p w14:paraId="39B67238" w14:textId="77777777" w:rsidR="00A40437" w:rsidRPr="001B3FBA" w:rsidRDefault="00A40437" w:rsidP="00726385">
            <w:pPr>
              <w:pStyle w:val="Tables"/>
            </w:pPr>
            <w:r w:rsidRPr="001B3FBA">
              <w:t>Assam</w:t>
            </w:r>
          </w:p>
        </w:tc>
        <w:tc>
          <w:tcPr>
            <w:tcW w:w="3178" w:type="dxa"/>
            <w:vAlign w:val="center"/>
            <w:hideMark/>
          </w:tcPr>
          <w:p w14:paraId="2748AB42" w14:textId="77777777" w:rsidR="00A40437" w:rsidRPr="001B3FBA" w:rsidRDefault="00A40437" w:rsidP="00726385">
            <w:pPr>
              <w:pStyle w:val="Tables"/>
            </w:pPr>
            <w:r w:rsidRPr="001B3FBA">
              <w:t>1.28</w:t>
            </w:r>
          </w:p>
        </w:tc>
      </w:tr>
      <w:tr w:rsidR="00A40437" w:rsidRPr="001B3FBA" w14:paraId="03730434" w14:textId="77777777" w:rsidTr="00527601">
        <w:trPr>
          <w:trHeight w:val="113"/>
          <w:jc w:val="center"/>
        </w:trPr>
        <w:tc>
          <w:tcPr>
            <w:tcW w:w="3905" w:type="dxa"/>
            <w:vAlign w:val="center"/>
            <w:hideMark/>
          </w:tcPr>
          <w:p w14:paraId="6163424B" w14:textId="77777777" w:rsidR="00A40437" w:rsidRPr="001B3FBA" w:rsidRDefault="00A40437" w:rsidP="00726385">
            <w:pPr>
              <w:pStyle w:val="Tables"/>
            </w:pPr>
            <w:r w:rsidRPr="001B3FBA">
              <w:t>Orissa</w:t>
            </w:r>
          </w:p>
        </w:tc>
        <w:tc>
          <w:tcPr>
            <w:tcW w:w="3178" w:type="dxa"/>
            <w:vAlign w:val="center"/>
            <w:hideMark/>
          </w:tcPr>
          <w:p w14:paraId="37F314D5" w14:textId="77777777" w:rsidR="00A40437" w:rsidRPr="001B3FBA" w:rsidRDefault="00A40437" w:rsidP="00726385">
            <w:pPr>
              <w:pStyle w:val="Tables"/>
            </w:pPr>
            <w:r w:rsidRPr="001B3FBA">
              <w:t>0.26</w:t>
            </w:r>
          </w:p>
        </w:tc>
      </w:tr>
    </w:tbl>
    <w:p w14:paraId="690C33B4" w14:textId="77777777" w:rsidR="001B3FBA" w:rsidRDefault="00A40437" w:rsidP="00726385">
      <w:pPr>
        <w:tabs>
          <w:tab w:val="left" w:pos="7305"/>
        </w:tabs>
        <w:spacing w:after="0" w:line="390" w:lineRule="exact"/>
        <w:ind w:firstLine="567"/>
        <w:jc w:val="both"/>
        <w:rPr>
          <w:rFonts w:ascii="Times New Roman" w:hAnsi="Times New Roman" w:cs="Times New Roman"/>
          <w:sz w:val="28"/>
          <w:szCs w:val="28"/>
        </w:rPr>
      </w:pPr>
      <w:r w:rsidRPr="001B3FBA">
        <w:rPr>
          <w:rFonts w:ascii="Times New Roman" w:hAnsi="Times New Roman" w:cs="Times New Roman"/>
          <w:sz w:val="28"/>
          <w:szCs w:val="28"/>
        </w:rPr>
        <w:t>As the basis of distribution, which has remained unchanged ever since the jute duty began to be shared, is the amount of jute grown, these four States cannot, in equity, lay claim to the whole of the divisible pool as a much larger quantity of jute than grown in these States went into the total exports for that year, taking raw jute and manufactured goods together. Even on the assumption that the entire production of these States went into exports in that year and that the demand for local consumption was met entirely from other sources, the pro rata share of these States in the divisible pool for that year would, in round figures, amount to:</w:t>
      </w:r>
    </w:p>
    <w:p w14:paraId="154F6B2C" w14:textId="796A0A53" w:rsidR="00A40437" w:rsidRPr="00B95B14" w:rsidRDefault="00726385" w:rsidP="00726385">
      <w:pPr>
        <w:tabs>
          <w:tab w:val="left" w:pos="7305"/>
        </w:tabs>
        <w:spacing w:after="0" w:line="420" w:lineRule="exact"/>
        <w:jc w:val="both"/>
        <w:rPr>
          <w:rFonts w:ascii="Times New Roman" w:hAnsi="Times New Roman" w:cs="Times New Roman"/>
          <w:i/>
          <w:iCs/>
          <w:sz w:val="28"/>
          <w:szCs w:val="28"/>
        </w:rPr>
      </w:pPr>
      <w:r>
        <w:rPr>
          <w:rFonts w:ascii="Times New Roman" w:hAnsi="Times New Roman" w:cs="Times New Roman"/>
          <w:sz w:val="28"/>
          <w:szCs w:val="28"/>
        </w:rPr>
        <w:t xml:space="preserve">                                                       </w:t>
      </w:r>
      <w:r w:rsidR="00DC2623">
        <w:rPr>
          <w:rFonts w:ascii="Times New Roman" w:hAnsi="Times New Roman" w:cs="Times New Roman"/>
          <w:sz w:val="28"/>
          <w:szCs w:val="28"/>
        </w:rPr>
        <w:t xml:space="preserve">                      </w:t>
      </w:r>
      <w:r w:rsidRPr="00B95B14">
        <w:rPr>
          <w:rFonts w:ascii="Times New Roman" w:hAnsi="Times New Roman" w:cs="Times New Roman"/>
          <w:i/>
          <w:iCs/>
          <w:sz w:val="28"/>
          <w:szCs w:val="28"/>
        </w:rPr>
        <w:t xml:space="preserve"> </w:t>
      </w:r>
      <w:r w:rsidR="00A40437" w:rsidRPr="00B95B14">
        <w:rPr>
          <w:rFonts w:ascii="Times New Roman" w:hAnsi="Times New Roman" w:cs="Times New Roman"/>
          <w:i/>
          <w:iCs/>
          <w:sz w:val="28"/>
          <w:szCs w:val="28"/>
        </w:rPr>
        <w:t>(In lakhs of rupees)</w:t>
      </w:r>
    </w:p>
    <w:tbl>
      <w:tblPr>
        <w:tblStyle w:val="TableGrid"/>
        <w:tblW w:w="0" w:type="auto"/>
        <w:jc w:val="center"/>
        <w:tblLook w:val="04A0" w:firstRow="1" w:lastRow="0" w:firstColumn="1" w:lastColumn="0" w:noHBand="0" w:noVBand="1"/>
      </w:tblPr>
      <w:tblGrid>
        <w:gridCol w:w="3359"/>
        <w:gridCol w:w="3346"/>
      </w:tblGrid>
      <w:tr w:rsidR="00A40437" w:rsidRPr="00F25C4B" w14:paraId="57D9DE16" w14:textId="77777777" w:rsidTr="00F25C4B">
        <w:trPr>
          <w:trHeight w:val="92"/>
          <w:jc w:val="center"/>
        </w:trPr>
        <w:tc>
          <w:tcPr>
            <w:tcW w:w="3359" w:type="dxa"/>
            <w:vAlign w:val="center"/>
            <w:hideMark/>
          </w:tcPr>
          <w:p w14:paraId="33CEC4C6" w14:textId="77777777" w:rsidR="00A40437" w:rsidRPr="00F25C4B" w:rsidRDefault="00A40437" w:rsidP="00726385">
            <w:pPr>
              <w:pStyle w:val="Tables"/>
              <w:rPr>
                <w:sz w:val="22"/>
                <w:szCs w:val="22"/>
              </w:rPr>
            </w:pPr>
            <w:r w:rsidRPr="00F25C4B">
              <w:rPr>
                <w:sz w:val="22"/>
                <w:szCs w:val="22"/>
              </w:rPr>
              <w:t>West Bengal</w:t>
            </w:r>
          </w:p>
        </w:tc>
        <w:tc>
          <w:tcPr>
            <w:tcW w:w="3346" w:type="dxa"/>
            <w:vAlign w:val="center"/>
            <w:hideMark/>
          </w:tcPr>
          <w:p w14:paraId="1E5FAF6E" w14:textId="77777777" w:rsidR="00A40437" w:rsidRPr="00F25C4B" w:rsidRDefault="00A40437" w:rsidP="00726385">
            <w:pPr>
              <w:pStyle w:val="Tables"/>
              <w:rPr>
                <w:sz w:val="22"/>
                <w:szCs w:val="22"/>
              </w:rPr>
            </w:pPr>
            <w:r w:rsidRPr="00F25C4B">
              <w:rPr>
                <w:sz w:val="22"/>
                <w:szCs w:val="22"/>
              </w:rPr>
              <w:t>150</w:t>
            </w:r>
          </w:p>
        </w:tc>
      </w:tr>
      <w:tr w:rsidR="00A40437" w:rsidRPr="00F25C4B" w14:paraId="70A5229B" w14:textId="77777777" w:rsidTr="00F25C4B">
        <w:trPr>
          <w:trHeight w:val="92"/>
          <w:jc w:val="center"/>
        </w:trPr>
        <w:tc>
          <w:tcPr>
            <w:tcW w:w="3359" w:type="dxa"/>
            <w:vAlign w:val="center"/>
            <w:hideMark/>
          </w:tcPr>
          <w:p w14:paraId="5C29C4A3" w14:textId="77777777" w:rsidR="00A40437" w:rsidRPr="00F25C4B" w:rsidRDefault="00A40437" w:rsidP="00726385">
            <w:pPr>
              <w:pStyle w:val="Tables"/>
              <w:rPr>
                <w:sz w:val="22"/>
                <w:szCs w:val="22"/>
              </w:rPr>
            </w:pPr>
            <w:r w:rsidRPr="00F25C4B">
              <w:rPr>
                <w:sz w:val="22"/>
                <w:szCs w:val="22"/>
              </w:rPr>
              <w:t>Bihar</w:t>
            </w:r>
          </w:p>
        </w:tc>
        <w:tc>
          <w:tcPr>
            <w:tcW w:w="3346" w:type="dxa"/>
            <w:vAlign w:val="center"/>
            <w:hideMark/>
          </w:tcPr>
          <w:p w14:paraId="49698877" w14:textId="77777777" w:rsidR="00A40437" w:rsidRPr="00F25C4B" w:rsidRDefault="00A40437" w:rsidP="00726385">
            <w:pPr>
              <w:pStyle w:val="Tables"/>
              <w:rPr>
                <w:sz w:val="22"/>
                <w:szCs w:val="22"/>
              </w:rPr>
            </w:pPr>
            <w:r w:rsidRPr="00F25C4B">
              <w:rPr>
                <w:sz w:val="22"/>
                <w:szCs w:val="22"/>
              </w:rPr>
              <w:t>75</w:t>
            </w:r>
          </w:p>
        </w:tc>
      </w:tr>
      <w:tr w:rsidR="00A40437" w:rsidRPr="00F25C4B" w14:paraId="5B2AFE2D" w14:textId="77777777" w:rsidTr="00F25C4B">
        <w:trPr>
          <w:trHeight w:val="92"/>
          <w:jc w:val="center"/>
        </w:trPr>
        <w:tc>
          <w:tcPr>
            <w:tcW w:w="3359" w:type="dxa"/>
            <w:vAlign w:val="center"/>
            <w:hideMark/>
          </w:tcPr>
          <w:p w14:paraId="0A2D8B4C" w14:textId="77777777" w:rsidR="00A40437" w:rsidRPr="00F25C4B" w:rsidRDefault="00A40437" w:rsidP="00726385">
            <w:pPr>
              <w:pStyle w:val="Tables"/>
              <w:rPr>
                <w:sz w:val="22"/>
                <w:szCs w:val="22"/>
              </w:rPr>
            </w:pPr>
            <w:r w:rsidRPr="00F25C4B">
              <w:rPr>
                <w:sz w:val="22"/>
                <w:szCs w:val="22"/>
              </w:rPr>
              <w:t>Assam</w:t>
            </w:r>
          </w:p>
        </w:tc>
        <w:tc>
          <w:tcPr>
            <w:tcW w:w="3346" w:type="dxa"/>
            <w:vAlign w:val="center"/>
            <w:hideMark/>
          </w:tcPr>
          <w:p w14:paraId="1045A72C" w14:textId="77777777" w:rsidR="00A40437" w:rsidRPr="00F25C4B" w:rsidRDefault="00A40437" w:rsidP="00726385">
            <w:pPr>
              <w:pStyle w:val="Tables"/>
              <w:rPr>
                <w:sz w:val="22"/>
                <w:szCs w:val="22"/>
              </w:rPr>
            </w:pPr>
            <w:r w:rsidRPr="00F25C4B">
              <w:rPr>
                <w:sz w:val="22"/>
                <w:szCs w:val="22"/>
              </w:rPr>
              <w:t>75</w:t>
            </w:r>
          </w:p>
        </w:tc>
      </w:tr>
      <w:tr w:rsidR="00A40437" w:rsidRPr="00F25C4B" w14:paraId="2D8680CB" w14:textId="77777777" w:rsidTr="00F25C4B">
        <w:trPr>
          <w:trHeight w:val="92"/>
          <w:jc w:val="center"/>
        </w:trPr>
        <w:tc>
          <w:tcPr>
            <w:tcW w:w="3359" w:type="dxa"/>
            <w:vAlign w:val="center"/>
            <w:hideMark/>
          </w:tcPr>
          <w:p w14:paraId="1B65F139" w14:textId="77777777" w:rsidR="00A40437" w:rsidRPr="00F25C4B" w:rsidRDefault="00A40437" w:rsidP="001B3FBA">
            <w:pPr>
              <w:pStyle w:val="Tables"/>
              <w:rPr>
                <w:sz w:val="22"/>
                <w:szCs w:val="22"/>
              </w:rPr>
            </w:pPr>
            <w:r w:rsidRPr="00F25C4B">
              <w:rPr>
                <w:sz w:val="22"/>
                <w:szCs w:val="22"/>
              </w:rPr>
              <w:t>Orissa</w:t>
            </w:r>
          </w:p>
        </w:tc>
        <w:tc>
          <w:tcPr>
            <w:tcW w:w="3346" w:type="dxa"/>
            <w:vAlign w:val="center"/>
            <w:hideMark/>
          </w:tcPr>
          <w:p w14:paraId="30E3C843" w14:textId="77777777" w:rsidR="00A40437" w:rsidRPr="00F25C4B" w:rsidRDefault="00A40437" w:rsidP="001B3FBA">
            <w:pPr>
              <w:pStyle w:val="Tables"/>
              <w:rPr>
                <w:sz w:val="22"/>
                <w:szCs w:val="22"/>
              </w:rPr>
            </w:pPr>
            <w:r w:rsidRPr="00F25C4B">
              <w:rPr>
                <w:sz w:val="22"/>
                <w:szCs w:val="22"/>
              </w:rPr>
              <w:t>15</w:t>
            </w:r>
          </w:p>
        </w:tc>
      </w:tr>
    </w:tbl>
    <w:p w14:paraId="7B086CC0" w14:textId="624EED10" w:rsidR="001B3FBA" w:rsidRPr="00B95B14" w:rsidRDefault="00A40437" w:rsidP="00B95B14">
      <w:pPr>
        <w:tabs>
          <w:tab w:val="left" w:pos="7305"/>
        </w:tabs>
        <w:spacing w:line="420" w:lineRule="exact"/>
        <w:ind w:firstLine="567"/>
        <w:jc w:val="both"/>
        <w:rPr>
          <w:rFonts w:ascii="Times New Roman" w:hAnsi="Times New Roman" w:cs="Times New Roman"/>
          <w:sz w:val="28"/>
          <w:szCs w:val="28"/>
        </w:rPr>
      </w:pPr>
      <w:r w:rsidRPr="001B3FBA">
        <w:rPr>
          <w:rFonts w:ascii="Times New Roman" w:hAnsi="Times New Roman" w:cs="Times New Roman"/>
          <w:sz w:val="28"/>
          <w:szCs w:val="28"/>
        </w:rPr>
        <w:t>We recommend that these sums be prescribed as grants-in-aid payable annually to these States under Article 273 of the Constitution, with effect from 1952-53.</w:t>
      </w:r>
      <w:r w:rsidR="001B3FBA" w:rsidRPr="00F25C4B">
        <w:rPr>
          <w:rFonts w:ascii="Times New Roman" w:hAnsi="Times New Roman" w:cs="Times New Roman"/>
          <w:b/>
          <w:bCs/>
          <w:sz w:val="28"/>
          <w:szCs w:val="28"/>
        </w:rPr>
        <w:br w:type="page"/>
      </w:r>
    </w:p>
    <w:p w14:paraId="110DE448" w14:textId="3BE152A5" w:rsidR="00865D2E" w:rsidRPr="0003452E" w:rsidRDefault="00865D2E" w:rsidP="00F060CA">
      <w:pPr>
        <w:pStyle w:val="Heading1"/>
      </w:pPr>
      <w:bookmarkStart w:id="8" w:name="_Toc221007117"/>
      <w:r w:rsidRPr="0003452E">
        <w:lastRenderedPageBreak/>
        <w:t>CHAPTER VII</w:t>
      </w:r>
      <w:r w:rsidR="00F060CA">
        <w:t xml:space="preserve"> </w:t>
      </w:r>
      <w:r w:rsidR="00F060CA">
        <w:br/>
      </w:r>
      <w:r w:rsidRPr="0003452E">
        <w:t>PRINCIPLES OF GRANTS-IN-AID</w:t>
      </w:r>
      <w:bookmarkEnd w:id="8"/>
    </w:p>
    <w:p w14:paraId="68C79264" w14:textId="752DC385" w:rsidR="00865D2E" w:rsidRPr="00730CD7" w:rsidRDefault="00A00D03" w:rsidP="00730CD7">
      <w:pPr>
        <w:pStyle w:val="ListParagraph"/>
        <w:numPr>
          <w:ilvl w:val="0"/>
          <w:numId w:val="34"/>
        </w:numPr>
        <w:shd w:val="clear" w:color="auto" w:fill="FFFFFF"/>
        <w:spacing w:after="0" w:line="390" w:lineRule="exact"/>
        <w:ind w:left="0" w:firstLine="556"/>
        <w:jc w:val="both"/>
        <w:rPr>
          <w:rFonts w:ascii="Times New Roman" w:hAnsi="Times New Roman" w:cs="Times New Roman"/>
          <w:sz w:val="28"/>
          <w:szCs w:val="28"/>
        </w:rPr>
      </w:pPr>
      <w:r>
        <w:rPr>
          <w:rFonts w:ascii="Times New Roman" w:hAnsi="Times New Roman" w:cs="Times New Roman"/>
          <w:i/>
          <w:iCs/>
          <w:sz w:val="28"/>
          <w:szCs w:val="28"/>
        </w:rPr>
        <w:t xml:space="preserve">  </w:t>
      </w:r>
      <w:r w:rsidR="00865D2E" w:rsidRPr="00730CD7">
        <w:rPr>
          <w:rFonts w:ascii="Times New Roman" w:hAnsi="Times New Roman" w:cs="Times New Roman"/>
          <w:i/>
          <w:iCs/>
          <w:sz w:val="28"/>
          <w:szCs w:val="28"/>
        </w:rPr>
        <w:t>Constitutional provisions.—</w:t>
      </w:r>
      <w:r w:rsidR="00865D2E" w:rsidRPr="00730CD7">
        <w:rPr>
          <w:rFonts w:ascii="Times New Roman" w:hAnsi="Times New Roman" w:cs="Times New Roman"/>
          <w:sz w:val="28"/>
          <w:szCs w:val="28"/>
        </w:rPr>
        <w:t>The Finance Commission have been charged under Article 280 (1) (b) of the Constitution, with the duty of making recommendations to the President as to the principles which should govern the grants-in-aid of the revenues of the States out of the Consolidated Fund of India. Article 275 provides for the payment of such sums as Parliament may by law provide as grants-in-aid of the revenues of such States as Parliament may determine to be in need of assistance. The first proviso to Article 275 requires grants to be made to a State to enable it to meet the cost of schemes of development undertaken with the approval of the Central Government for the purpose of promoting the welfare of the Scheduled Tribes or to raise the level of administration of the Scheduled Areas in the State to that of the rest of the areas of that State. In regard to Assam, the second proviso requires the payment of a grant-in-aid equivalent to the average excess of expenditure over the revenues of the State during the two years preceding the commencement of the Constitution in respect of the administration of the tribal areas specified in Part A of the table in paragraph 20 of the Sixth Schedule, and the cost of such schemes of development as may be undertaken by that State, with the approval of the Government of India, for raising the level of administration of these areas to that of the rest of the areas of that State. Provision is made in Article 273 for grants-in-aid of the revenues of the States of Assam, Bihar, Orissa and West Bengal in lieu of their share of the net proceeds of the jute export duty.</w:t>
      </w:r>
    </w:p>
    <w:p w14:paraId="4B47F1B3" w14:textId="002F8104" w:rsidR="00865D2E" w:rsidRPr="00730CD7" w:rsidRDefault="00865D2E" w:rsidP="00730CD7">
      <w:pPr>
        <w:pStyle w:val="ListParagraph"/>
        <w:numPr>
          <w:ilvl w:val="0"/>
          <w:numId w:val="34"/>
        </w:numPr>
        <w:shd w:val="clear" w:color="auto" w:fill="FFFFFF"/>
        <w:spacing w:after="0" w:line="390" w:lineRule="exact"/>
        <w:ind w:left="0" w:firstLine="556"/>
        <w:jc w:val="both"/>
        <w:rPr>
          <w:rFonts w:ascii="Times New Roman" w:hAnsi="Times New Roman" w:cs="Times New Roman"/>
          <w:sz w:val="28"/>
          <w:szCs w:val="28"/>
        </w:rPr>
      </w:pPr>
      <w:r w:rsidRPr="00730CD7">
        <w:rPr>
          <w:rFonts w:ascii="Times New Roman" w:hAnsi="Times New Roman" w:cs="Times New Roman"/>
          <w:sz w:val="28"/>
          <w:szCs w:val="28"/>
        </w:rPr>
        <w:t>We have dealt with the grants-in-aid in lieu of the share of jute export duty in an earlier chapter. In regard to the grants-in-aid under the provisos to Article 275, the principles of these grants are contained in the provisos themselves. The principles which we enunciate in this chapter would, therefore, concern the grants-in-aid of the revenues of States, under the substantive portion of clause (1) of Article 275.</w:t>
      </w:r>
    </w:p>
    <w:p w14:paraId="3452B4DC" w14:textId="6D8A4866" w:rsidR="00865D2E" w:rsidRPr="00730CD7" w:rsidRDefault="00865D2E" w:rsidP="00730CD7">
      <w:pPr>
        <w:pStyle w:val="ListParagraph"/>
        <w:numPr>
          <w:ilvl w:val="0"/>
          <w:numId w:val="34"/>
        </w:numPr>
        <w:shd w:val="clear" w:color="auto" w:fill="FFFFFF"/>
        <w:spacing w:after="0" w:line="390" w:lineRule="exact"/>
        <w:ind w:left="0" w:firstLine="556"/>
        <w:jc w:val="both"/>
        <w:rPr>
          <w:rFonts w:ascii="Times New Roman" w:hAnsi="Times New Roman" w:cs="Times New Roman"/>
          <w:i/>
          <w:iCs/>
          <w:sz w:val="28"/>
          <w:szCs w:val="28"/>
        </w:rPr>
      </w:pPr>
      <w:r w:rsidRPr="00B95B14">
        <w:rPr>
          <w:rFonts w:ascii="Times New Roman" w:hAnsi="Times New Roman" w:cs="Times New Roman"/>
          <w:i/>
          <w:iCs/>
          <w:sz w:val="28"/>
          <w:szCs w:val="28"/>
        </w:rPr>
        <w:t xml:space="preserve">Scope of grants-in-aid of </w:t>
      </w:r>
      <w:proofErr w:type="gramStart"/>
      <w:r w:rsidRPr="00B95B14">
        <w:rPr>
          <w:rFonts w:ascii="Times New Roman" w:hAnsi="Times New Roman" w:cs="Times New Roman"/>
          <w:i/>
          <w:iCs/>
          <w:sz w:val="28"/>
          <w:szCs w:val="28"/>
        </w:rPr>
        <w:t>revenues.—</w:t>
      </w:r>
      <w:proofErr w:type="gramEnd"/>
      <w:r w:rsidRPr="00730CD7">
        <w:rPr>
          <w:rFonts w:ascii="Times New Roman" w:hAnsi="Times New Roman" w:cs="Times New Roman"/>
          <w:sz w:val="28"/>
          <w:szCs w:val="28"/>
        </w:rPr>
        <w:t>The term "grants-in-aid of the revenues" has not been defined in the Constitution. Both the Government of India Act, 1935, and the Constitution contain provisions under which assistance may be given to the States by way of grants. Section 142 of the Government of India Act provided for the payment of such sums as might be prescribed by His Majesty in Council as grants-in-aid of the revenues of such Provinces as His Majesty might determine to be in need of assistance, while Section 150 gave the</w:t>
      </w:r>
      <w:r w:rsidR="00730CD7">
        <w:rPr>
          <w:rFonts w:ascii="Times New Roman" w:hAnsi="Times New Roman" w:cs="Times New Roman"/>
          <w:sz w:val="28"/>
          <w:szCs w:val="28"/>
        </w:rPr>
        <w:t xml:space="preserve"> </w:t>
      </w:r>
      <w:r w:rsidRPr="00730CD7">
        <w:rPr>
          <w:rFonts w:ascii="Times New Roman" w:hAnsi="Times New Roman" w:cs="Times New Roman"/>
          <w:sz w:val="28"/>
          <w:szCs w:val="28"/>
        </w:rPr>
        <w:t xml:space="preserve">Centre or a Province </w:t>
      </w:r>
      <w:r w:rsidRPr="00730CD7">
        <w:rPr>
          <w:rFonts w:ascii="Times New Roman" w:hAnsi="Times New Roman" w:cs="Times New Roman"/>
          <w:sz w:val="28"/>
          <w:szCs w:val="28"/>
        </w:rPr>
        <w:lastRenderedPageBreak/>
        <w:t>power to make grants for any purpose, notwithstanding that the purpose was not one with respect to which the Federal or the Provincial Legislature, as the case might be, might make laws provided the burden on the revenues was for the purpose of India or some part of India. Article 275(1) of the Constitution, in its substantive part, is worded similarly to Section 142 of the Government of India Act, 1935, while Article 282, except for the substitution of ‘any public purpose’ for ‘any purpose’ also follows the wording of Section 150 of the Government of India Act, 1935. Thus Article 282 permits the Union or a State to make grants for any public purpose notwithstanding that the purpose is not one with respect to which Parliament or the Legislature of a State, as the case may be, may make laws.</w:t>
      </w:r>
    </w:p>
    <w:p w14:paraId="63F127BF" w14:textId="7BAA898C" w:rsidR="00865D2E" w:rsidRPr="00730CD7" w:rsidRDefault="00865D2E" w:rsidP="00730CD7">
      <w:pPr>
        <w:pStyle w:val="ListParagraph"/>
        <w:numPr>
          <w:ilvl w:val="0"/>
          <w:numId w:val="34"/>
        </w:numPr>
        <w:shd w:val="clear" w:color="auto" w:fill="FFFFFF"/>
        <w:spacing w:after="0" w:line="390" w:lineRule="exact"/>
        <w:ind w:left="0" w:firstLine="556"/>
        <w:jc w:val="both"/>
        <w:rPr>
          <w:rFonts w:ascii="Times New Roman" w:hAnsi="Times New Roman" w:cs="Times New Roman"/>
          <w:sz w:val="28"/>
          <w:szCs w:val="28"/>
        </w:rPr>
      </w:pPr>
      <w:r w:rsidRPr="00730CD7">
        <w:rPr>
          <w:rFonts w:ascii="Times New Roman" w:hAnsi="Times New Roman" w:cs="Times New Roman"/>
          <w:sz w:val="28"/>
          <w:szCs w:val="28"/>
        </w:rPr>
        <w:t>The grants made to the Provinces under Section 142 of the Government of India Act, 1935, the grants made to Assam, Punjab and Orissa so far under Article 275 of the Constitution and the grants made to the four jute-growing Provinces under Article 273, have been of the nature of unconditional assistance to the revenues of these States. All the grants have been made by formal orders issued in accordance with the provisions of the Constitution. The “revenue gap grants” made to Part B States under Article 278(1)(b) of the Constitution and similar grants to the Part A States in respect of “merged areas” have likewise been unconditional grants. Under the powers given to the Centre by Article 282 (and previously by Section 150 of the Government of India Act, 1935) large sums have in the past been made available to the States by way of specific grants and such grants still continue to be made. A reference to some of these grants is made later in the chapter.</w:t>
      </w:r>
    </w:p>
    <w:p w14:paraId="358EC3B2" w14:textId="77777777" w:rsidR="00865D2E" w:rsidRPr="00730CD7" w:rsidRDefault="00865D2E" w:rsidP="00730CD7">
      <w:pPr>
        <w:pStyle w:val="ListParagraph"/>
        <w:numPr>
          <w:ilvl w:val="0"/>
          <w:numId w:val="34"/>
        </w:numPr>
        <w:shd w:val="clear" w:color="auto" w:fill="FFFFFF"/>
        <w:spacing w:after="0" w:line="390" w:lineRule="exact"/>
        <w:ind w:left="0" w:firstLine="556"/>
        <w:jc w:val="both"/>
        <w:rPr>
          <w:rFonts w:ascii="Times New Roman" w:hAnsi="Times New Roman" w:cs="Times New Roman"/>
          <w:sz w:val="28"/>
          <w:szCs w:val="28"/>
        </w:rPr>
      </w:pPr>
      <w:r w:rsidRPr="00730CD7">
        <w:rPr>
          <w:rFonts w:ascii="Times New Roman" w:hAnsi="Times New Roman" w:cs="Times New Roman"/>
          <w:sz w:val="28"/>
          <w:szCs w:val="28"/>
        </w:rPr>
        <w:t>It is possible to argue that the term “grants-in-aid of the revenues” should be construed as confining it to such grants as are intended for the augmentation of the revenues of the receiving State without any limitation as to how the money so made available should be spent. We consider that the problem has to be viewed in the larger perspective of securing an equitable allocation of resources among the units. We are, therefore, of the view that the scope of Article 275 or Article 280(3)(b) should not be limited solely to grants-in-aid which are completely unconditional; grants directed to broad but well-defined purposes could reasonably be considered as falling within their scope. In enunciating the principles which should govern grants-in-aid of the revenues of the States we accordingly propose to cover both general grants and grants for broad purposes.</w:t>
      </w:r>
    </w:p>
    <w:p w14:paraId="604736FB" w14:textId="700A59C4" w:rsidR="00865D2E" w:rsidRPr="00730CD7" w:rsidRDefault="00865D2E" w:rsidP="00730CD7">
      <w:pPr>
        <w:pStyle w:val="ListParagraph"/>
        <w:numPr>
          <w:ilvl w:val="0"/>
          <w:numId w:val="34"/>
        </w:numPr>
        <w:shd w:val="clear" w:color="auto" w:fill="FFFFFF"/>
        <w:spacing w:after="0" w:line="390" w:lineRule="exact"/>
        <w:ind w:left="0" w:firstLine="556"/>
        <w:jc w:val="both"/>
        <w:rPr>
          <w:rFonts w:ascii="Times New Roman" w:hAnsi="Times New Roman" w:cs="Times New Roman"/>
          <w:sz w:val="28"/>
          <w:szCs w:val="28"/>
        </w:rPr>
      </w:pPr>
      <w:r w:rsidRPr="00730CD7">
        <w:rPr>
          <w:rFonts w:ascii="Times New Roman" w:hAnsi="Times New Roman" w:cs="Times New Roman"/>
          <w:sz w:val="28"/>
          <w:szCs w:val="28"/>
        </w:rPr>
        <w:t>Before we proceed to a consideration of the principles which should govern grants-in-aid of the revenues of the States, we refer</w:t>
      </w:r>
      <w:r w:rsidR="00730CD7" w:rsidRPr="00730CD7">
        <w:rPr>
          <w:rFonts w:ascii="Times New Roman" w:hAnsi="Times New Roman" w:cs="Times New Roman"/>
          <w:sz w:val="28"/>
          <w:szCs w:val="28"/>
        </w:rPr>
        <w:t xml:space="preserve"> </w:t>
      </w:r>
      <w:r w:rsidRPr="00730CD7">
        <w:rPr>
          <w:rFonts w:ascii="Times New Roman" w:hAnsi="Times New Roman" w:cs="Times New Roman"/>
          <w:sz w:val="28"/>
          <w:szCs w:val="28"/>
        </w:rPr>
        <w:t xml:space="preserve">briefly to the grants-in-aid </w:t>
      </w:r>
      <w:r w:rsidRPr="00730CD7">
        <w:rPr>
          <w:rFonts w:ascii="Times New Roman" w:hAnsi="Times New Roman" w:cs="Times New Roman"/>
          <w:sz w:val="28"/>
          <w:szCs w:val="28"/>
        </w:rPr>
        <w:lastRenderedPageBreak/>
        <w:t>given in the past by the Central Government to the State Governments in India as well as the experience of other countries.</w:t>
      </w:r>
    </w:p>
    <w:p w14:paraId="2715146D" w14:textId="00CAAB55" w:rsidR="00865D2E" w:rsidRPr="00730CD7" w:rsidRDefault="00865D2E" w:rsidP="00730CD7">
      <w:pPr>
        <w:pStyle w:val="ListParagraph"/>
        <w:numPr>
          <w:ilvl w:val="0"/>
          <w:numId w:val="34"/>
        </w:numPr>
        <w:shd w:val="clear" w:color="auto" w:fill="FFFFFF"/>
        <w:spacing w:after="0" w:line="390" w:lineRule="exact"/>
        <w:ind w:left="0" w:firstLine="556"/>
        <w:jc w:val="both"/>
        <w:rPr>
          <w:rFonts w:ascii="Times New Roman" w:hAnsi="Times New Roman" w:cs="Times New Roman"/>
          <w:sz w:val="28"/>
          <w:szCs w:val="28"/>
        </w:rPr>
      </w:pPr>
      <w:r w:rsidRPr="00730CD7">
        <w:rPr>
          <w:rFonts w:ascii="Times New Roman" w:hAnsi="Times New Roman" w:cs="Times New Roman"/>
          <w:i/>
          <w:iCs/>
          <w:sz w:val="28"/>
          <w:szCs w:val="28"/>
        </w:rPr>
        <w:t>General grants.—</w:t>
      </w:r>
      <w:r w:rsidRPr="00730CD7">
        <w:rPr>
          <w:rFonts w:ascii="Times New Roman" w:hAnsi="Times New Roman" w:cs="Times New Roman"/>
          <w:sz w:val="28"/>
          <w:szCs w:val="28"/>
        </w:rPr>
        <w:t>The system of grants in India has had a fairly long history, some reference to which has been made in Chapter II. The system of Provincial assignments, which was in operation before 1919, was the earliest experiment in the field. The first statutory provision for grants-in-aid, however, came with the Government of India Act, 1935, under which grants-in-aid were given to Provinces in need of assistance. These were prescribed on the basis of Sir Otto Niemeyer’s Report. Sir Otto Niemeyer made his enquiry preparatory to the coming into effect of a new constitution. He proceeded from the premise that each Province should be so equipped as to be able to enjoy a reasonable prospect of maintaining financial equilibrium, and in particular that the chronic state of deficit into which some of the Provinces had fallen should be brought to an end, consistently with the condition of not jeopardising the solvency of the Centre. He stated that in any country of the size of India there must inevitably be substantial differences in standards of administrative needs and possibilities just as there were in other areas of the same size elsewhere in the world, or for that matter even in much smaller units. He recognised that “some Provinces are intrinsically better off than others and at the moment less urgently in need of additional resources; and it is both fair and inevitable that a certain measure of corrective should be applied, even if it means that Provinces which have been able to attain higher standards of administration should now to some slight extent have to progress more slowly”. Though he recognised the responsibility of the Provinces to look after their own budgets, he examined the budgetary position of the different Provinces and hence the needs of each Province, making necessary adjustments in the budget to make it reflect as far as possible the prospective position of a Province. He accordingly determined the measure of assistance which should be given to the various Provinces. This assistance, he recommended, should be afforded in various forms such as debt cancellation, increase in the share of the net proceeds of the jute export duty to be given to jute growing Provinces and grants-in-aid, either fixed or tapering, in the case of some Provinces. Grants-in-aid were thus based on an assessment of the final measure of need, being the amounts which were estimated to be sufficient to place the finances of the Provinces on an even keel, after taking into account all other forms of assistance including devolution of revenue and adjustment of debts.</w:t>
      </w:r>
    </w:p>
    <w:p w14:paraId="3663D7A3" w14:textId="0125A552" w:rsidR="00865D2E" w:rsidRPr="00730CD7" w:rsidRDefault="00865D2E" w:rsidP="00730CD7">
      <w:pPr>
        <w:pStyle w:val="ListParagraph"/>
        <w:numPr>
          <w:ilvl w:val="0"/>
          <w:numId w:val="34"/>
        </w:numPr>
        <w:shd w:val="clear" w:color="auto" w:fill="FFFFFF"/>
        <w:spacing w:after="0" w:line="390" w:lineRule="exact"/>
        <w:ind w:left="0" w:firstLine="556"/>
        <w:jc w:val="both"/>
        <w:rPr>
          <w:rFonts w:ascii="Times New Roman" w:hAnsi="Times New Roman" w:cs="Times New Roman"/>
          <w:sz w:val="28"/>
          <w:szCs w:val="28"/>
        </w:rPr>
      </w:pPr>
      <w:r w:rsidRPr="00730CD7">
        <w:rPr>
          <w:rFonts w:ascii="Times New Roman" w:hAnsi="Times New Roman" w:cs="Times New Roman"/>
          <w:sz w:val="28"/>
          <w:szCs w:val="28"/>
        </w:rPr>
        <w:lastRenderedPageBreak/>
        <w:t>Grants-in-aid which were recommended by Sir Otto Niemeyer were unconditional grants. The amounts were charged on the revenues of the Central Government and accrued as revenues to the</w:t>
      </w:r>
      <w:r w:rsidR="00730CD7" w:rsidRPr="00730CD7">
        <w:rPr>
          <w:rFonts w:ascii="Times New Roman" w:hAnsi="Times New Roman" w:cs="Times New Roman"/>
          <w:sz w:val="28"/>
          <w:szCs w:val="28"/>
        </w:rPr>
        <w:t xml:space="preserve"> </w:t>
      </w:r>
      <w:r w:rsidRPr="00730CD7">
        <w:rPr>
          <w:rFonts w:ascii="Times New Roman" w:hAnsi="Times New Roman" w:cs="Times New Roman"/>
          <w:sz w:val="28"/>
          <w:szCs w:val="28"/>
        </w:rPr>
        <w:t>Governments of the units, and there was no question of the help Governments conforming to any conditions. Later, grants-in-aid amounting to Rs. 100 lakhs in 1947-48, Rs. 150 lakhs each in the following two years, and Rs. 75 lakhs in 1950-51 were made to Punjab under Section 142 of the Government of India Act.</w:t>
      </w:r>
    </w:p>
    <w:p w14:paraId="2F544E33" w14:textId="246A932E" w:rsidR="00865D2E" w:rsidRPr="00730CD7" w:rsidRDefault="00865D2E" w:rsidP="00730CD7">
      <w:pPr>
        <w:pStyle w:val="ListParagraph"/>
        <w:numPr>
          <w:ilvl w:val="0"/>
          <w:numId w:val="34"/>
        </w:numPr>
        <w:shd w:val="clear" w:color="auto" w:fill="FFFFFF"/>
        <w:spacing w:after="0" w:line="390" w:lineRule="exact"/>
        <w:ind w:left="0" w:firstLine="556"/>
        <w:jc w:val="both"/>
        <w:rPr>
          <w:rFonts w:ascii="Times New Roman" w:hAnsi="Times New Roman" w:cs="Times New Roman"/>
          <w:sz w:val="28"/>
          <w:szCs w:val="28"/>
        </w:rPr>
      </w:pPr>
      <w:r w:rsidRPr="00730CD7">
        <w:rPr>
          <w:rFonts w:ascii="Times New Roman" w:hAnsi="Times New Roman" w:cs="Times New Roman"/>
          <w:i/>
          <w:iCs/>
          <w:sz w:val="28"/>
          <w:szCs w:val="28"/>
        </w:rPr>
        <w:t>Other grants.—</w:t>
      </w:r>
      <w:r w:rsidRPr="00730CD7">
        <w:rPr>
          <w:rFonts w:ascii="Times New Roman" w:hAnsi="Times New Roman" w:cs="Times New Roman"/>
          <w:sz w:val="28"/>
          <w:szCs w:val="28"/>
        </w:rPr>
        <w:t>Besides these general or unconditional grants, there were also other forms of grants given by the Centre, mainly of the specific type. The more important of these may be noticed briefly.</w:t>
      </w:r>
    </w:p>
    <w:p w14:paraId="5048C707" w14:textId="77777777" w:rsidR="00865D2E" w:rsidRPr="00730CD7" w:rsidRDefault="00865D2E" w:rsidP="00730CD7">
      <w:pPr>
        <w:shd w:val="clear" w:color="auto" w:fill="FFFFFF"/>
        <w:spacing w:after="0" w:line="390" w:lineRule="exact"/>
        <w:ind w:firstLine="567"/>
        <w:jc w:val="both"/>
        <w:rPr>
          <w:rFonts w:ascii="Times New Roman" w:hAnsi="Times New Roman" w:cs="Times New Roman"/>
          <w:sz w:val="28"/>
          <w:szCs w:val="28"/>
        </w:rPr>
      </w:pPr>
      <w:r w:rsidRPr="00730CD7">
        <w:rPr>
          <w:rFonts w:ascii="Times New Roman" w:hAnsi="Times New Roman" w:cs="Times New Roman"/>
          <w:sz w:val="28"/>
          <w:szCs w:val="28"/>
        </w:rPr>
        <w:t>During the three years ending 1945-46 the Centre gave the Government of Bengal a total grant of Rs. 18 crores to assist them in meeting a part of the expenditure on famine and the subsequent rehabilitation measures.</w:t>
      </w:r>
    </w:p>
    <w:p w14:paraId="130842D8" w14:textId="315B2F1E" w:rsidR="00865D2E" w:rsidRPr="00730CD7" w:rsidRDefault="00865D2E" w:rsidP="00730CD7">
      <w:pPr>
        <w:shd w:val="clear" w:color="auto" w:fill="FFFFFF"/>
        <w:spacing w:after="0" w:line="390" w:lineRule="exact"/>
        <w:ind w:firstLine="567"/>
        <w:jc w:val="both"/>
        <w:rPr>
          <w:rFonts w:ascii="Times New Roman" w:hAnsi="Times New Roman" w:cs="Times New Roman"/>
          <w:sz w:val="28"/>
          <w:szCs w:val="28"/>
        </w:rPr>
      </w:pPr>
      <w:r w:rsidRPr="00730CD7">
        <w:rPr>
          <w:rFonts w:ascii="Times New Roman" w:hAnsi="Times New Roman" w:cs="Times New Roman"/>
          <w:sz w:val="28"/>
          <w:szCs w:val="28"/>
        </w:rPr>
        <w:t>From 1944-45 onwards, the Central Government have been giving the States substantial assistance for “Grow More Food” schemes. The grants are given on the basis of schemes of additional food production prepared by State Governments. Allocations of funds are not made to each State as such, but care is taken to see that “every State gets a fair share of the total block allocation, provided that the State has useful and productive schemes to execute”. “The underlying principle is to produce the maximum quantity of foodgrains at minimum cost irrespective of regional considerations”. Between the 15th August 1947 and 31st March 1952, these grants aggregated to Rs. 13</w:t>
      </w:r>
      <w:r w:rsidR="00B1751C">
        <w:rPr>
          <w:rFonts w:ascii="Times New Roman" w:hAnsi="Times New Roman" w:cs="Times New Roman"/>
          <w:sz w:val="28"/>
          <w:szCs w:val="28"/>
        </w:rPr>
        <w:t>.</w:t>
      </w:r>
      <w:r w:rsidRPr="00730CD7">
        <w:rPr>
          <w:rFonts w:ascii="Times New Roman" w:hAnsi="Times New Roman" w:cs="Times New Roman"/>
          <w:sz w:val="28"/>
          <w:szCs w:val="28"/>
        </w:rPr>
        <w:t>71 crores.</w:t>
      </w:r>
    </w:p>
    <w:p w14:paraId="3EF91024" w14:textId="7727D568" w:rsidR="00865D2E" w:rsidRPr="00730CD7" w:rsidRDefault="00865D2E" w:rsidP="00730CD7">
      <w:pPr>
        <w:shd w:val="clear" w:color="auto" w:fill="FFFFFF"/>
        <w:spacing w:after="0" w:line="390" w:lineRule="exact"/>
        <w:ind w:firstLine="567"/>
        <w:jc w:val="both"/>
        <w:rPr>
          <w:rFonts w:ascii="Times New Roman" w:hAnsi="Times New Roman" w:cs="Times New Roman"/>
          <w:sz w:val="28"/>
          <w:szCs w:val="28"/>
        </w:rPr>
      </w:pPr>
      <w:r w:rsidRPr="00730CD7">
        <w:rPr>
          <w:rFonts w:ascii="Times New Roman" w:hAnsi="Times New Roman" w:cs="Times New Roman"/>
          <w:sz w:val="28"/>
          <w:szCs w:val="28"/>
        </w:rPr>
        <w:t>Another important category of grants was the post-war development grant. They were related to specific schemes of development in respect of which the State Governments were expected to contribute a proportion of the cost—usually one-half, but lower or nil in the case of certain Provinces like Orissa, Assam and Punjab. Between 15th August 1947 and 31st March 1950, when the grants were generally stopped, the total of these grants amounted to Rs. 38</w:t>
      </w:r>
      <w:r w:rsidR="00FC097A">
        <w:rPr>
          <w:rFonts w:ascii="Times New Roman" w:hAnsi="Times New Roman" w:cs="Times New Roman"/>
          <w:sz w:val="28"/>
          <w:szCs w:val="28"/>
        </w:rPr>
        <w:t>.</w:t>
      </w:r>
      <w:r w:rsidRPr="00730CD7">
        <w:rPr>
          <w:rFonts w:ascii="Times New Roman" w:hAnsi="Times New Roman" w:cs="Times New Roman"/>
          <w:sz w:val="28"/>
          <w:szCs w:val="28"/>
        </w:rPr>
        <w:t>32 crores.</w:t>
      </w:r>
    </w:p>
    <w:p w14:paraId="73ED0D57" w14:textId="77777777" w:rsidR="00865D2E" w:rsidRPr="00730CD7" w:rsidRDefault="00865D2E" w:rsidP="00730CD7">
      <w:pPr>
        <w:shd w:val="clear" w:color="auto" w:fill="FFFFFF"/>
        <w:spacing w:after="0" w:line="390" w:lineRule="exact"/>
        <w:ind w:firstLine="567"/>
        <w:jc w:val="both"/>
        <w:rPr>
          <w:rFonts w:ascii="Times New Roman" w:hAnsi="Times New Roman" w:cs="Times New Roman"/>
          <w:sz w:val="28"/>
          <w:szCs w:val="28"/>
        </w:rPr>
      </w:pPr>
      <w:r w:rsidRPr="00730CD7">
        <w:rPr>
          <w:rFonts w:ascii="Times New Roman" w:hAnsi="Times New Roman" w:cs="Times New Roman"/>
          <w:sz w:val="28"/>
          <w:szCs w:val="28"/>
        </w:rPr>
        <w:t>Mention may also be made of the Special Development Grant of Rs. 3 crores to the four States of Saurashtra, Madhya Bharat, Rajasthan and Patiala and East Punjab States Union over the two years 1951-52 and 1952-53 for the purpose of financing specific development schemes to remedy their special backwardness, which is distributed largely on a population basis.</w:t>
      </w:r>
    </w:p>
    <w:p w14:paraId="6555972E" w14:textId="5B9A191E" w:rsidR="00865D2E" w:rsidRPr="00730CD7" w:rsidRDefault="00865D2E" w:rsidP="00217922">
      <w:pPr>
        <w:shd w:val="clear" w:color="auto" w:fill="FFFFFF"/>
        <w:spacing w:after="0" w:line="390" w:lineRule="exact"/>
        <w:ind w:firstLine="567"/>
        <w:jc w:val="both"/>
        <w:rPr>
          <w:rFonts w:ascii="Times New Roman" w:hAnsi="Times New Roman" w:cs="Times New Roman"/>
          <w:sz w:val="28"/>
          <w:szCs w:val="28"/>
        </w:rPr>
      </w:pPr>
      <w:r w:rsidRPr="00730CD7">
        <w:rPr>
          <w:rFonts w:ascii="Times New Roman" w:hAnsi="Times New Roman" w:cs="Times New Roman"/>
          <w:sz w:val="28"/>
          <w:szCs w:val="28"/>
        </w:rPr>
        <w:t xml:space="preserve">Under sub-clause (a) of the second proviso to Article 275, which requires a grant-in-aid to be paid to Assam, equivalent to the average excess of expenditure over the </w:t>
      </w:r>
      <w:r w:rsidRPr="00730CD7">
        <w:rPr>
          <w:rFonts w:ascii="Times New Roman" w:hAnsi="Times New Roman" w:cs="Times New Roman"/>
          <w:sz w:val="28"/>
          <w:szCs w:val="28"/>
        </w:rPr>
        <w:lastRenderedPageBreak/>
        <w:t>revenue during the two years immediately preceding the commencement of the Constitution in respect of the administration of certain tribal areas, a grant of Rs. 40 lakhs per annum is paid to the State. In addition, under sub-clause (b), a grant-in-aid of Rs. 36 lakhs in 1951-52 and Rs. 35 lakhs in 1952-53 is provided for payment to Assam for meeting the expenditure on</w:t>
      </w:r>
      <w:r w:rsidR="00217922">
        <w:rPr>
          <w:rFonts w:ascii="Times New Roman" w:hAnsi="Times New Roman" w:cs="Times New Roman"/>
          <w:sz w:val="28"/>
          <w:szCs w:val="28"/>
        </w:rPr>
        <w:t xml:space="preserve"> </w:t>
      </w:r>
      <w:r w:rsidRPr="00730CD7">
        <w:rPr>
          <w:rFonts w:ascii="Times New Roman" w:hAnsi="Times New Roman" w:cs="Times New Roman"/>
          <w:sz w:val="28"/>
          <w:szCs w:val="28"/>
        </w:rPr>
        <w:t>schemes of development. Under proviso (1) which prescribes grants for the development of scheduled tribes and areas, Rs. 24 lakhs and Rs. 124</w:t>
      </w:r>
      <w:r w:rsidR="00217922">
        <w:rPr>
          <w:rFonts w:ascii="Times New Roman" w:hAnsi="Times New Roman" w:cs="Times New Roman"/>
          <w:sz w:val="28"/>
          <w:szCs w:val="28"/>
        </w:rPr>
        <w:t>.</w:t>
      </w:r>
      <w:r w:rsidRPr="00730CD7">
        <w:rPr>
          <w:rFonts w:ascii="Times New Roman" w:hAnsi="Times New Roman" w:cs="Times New Roman"/>
          <w:sz w:val="28"/>
          <w:szCs w:val="28"/>
        </w:rPr>
        <w:t>8 lakhs were given in the years 1950-51 and 1951-52 respectively; the provision for 1952-53 is Rs. 135</w:t>
      </w:r>
      <w:r w:rsidR="00217922">
        <w:rPr>
          <w:rFonts w:ascii="Times New Roman" w:hAnsi="Times New Roman" w:cs="Times New Roman"/>
          <w:sz w:val="28"/>
          <w:szCs w:val="28"/>
        </w:rPr>
        <w:t>.</w:t>
      </w:r>
      <w:r w:rsidRPr="00730CD7">
        <w:rPr>
          <w:rFonts w:ascii="Times New Roman" w:hAnsi="Times New Roman" w:cs="Times New Roman"/>
          <w:sz w:val="28"/>
          <w:szCs w:val="28"/>
        </w:rPr>
        <w:t>5 lakhs.</w:t>
      </w:r>
    </w:p>
    <w:p w14:paraId="1F95B7C0" w14:textId="77777777" w:rsidR="00865D2E" w:rsidRPr="00730CD7" w:rsidRDefault="00865D2E" w:rsidP="00730CD7">
      <w:pPr>
        <w:shd w:val="clear" w:color="auto" w:fill="FFFFFF"/>
        <w:spacing w:after="0" w:line="390" w:lineRule="exact"/>
        <w:ind w:firstLine="567"/>
        <w:jc w:val="both"/>
        <w:rPr>
          <w:rFonts w:ascii="Times New Roman" w:hAnsi="Times New Roman" w:cs="Times New Roman"/>
          <w:sz w:val="28"/>
          <w:szCs w:val="28"/>
        </w:rPr>
      </w:pPr>
      <w:r w:rsidRPr="00730CD7">
        <w:rPr>
          <w:rFonts w:ascii="Times New Roman" w:hAnsi="Times New Roman" w:cs="Times New Roman"/>
          <w:sz w:val="28"/>
          <w:szCs w:val="28"/>
        </w:rPr>
        <w:t>A new category of grants is that relating to the community projects which involve recurring and non-recurring expenditure by State and Central Governments and sizeable grants by the Centre. Broadly, the scheme postulates a progressively diminishing contribution by the Central Government supplemented by an increasing contribution by the State Governments themselves.</w:t>
      </w:r>
    </w:p>
    <w:p w14:paraId="4DB6F3C7" w14:textId="5B54B931" w:rsidR="00865D2E" w:rsidRPr="00730CD7" w:rsidRDefault="00865D2E" w:rsidP="00730CD7">
      <w:pPr>
        <w:pStyle w:val="ListParagraph"/>
        <w:numPr>
          <w:ilvl w:val="0"/>
          <w:numId w:val="34"/>
        </w:numPr>
        <w:shd w:val="clear" w:color="auto" w:fill="FFFFFF"/>
        <w:spacing w:after="0" w:line="390" w:lineRule="exact"/>
        <w:ind w:left="0" w:firstLine="556"/>
        <w:jc w:val="both"/>
        <w:rPr>
          <w:rFonts w:ascii="Times New Roman" w:hAnsi="Times New Roman" w:cs="Times New Roman"/>
          <w:sz w:val="28"/>
          <w:szCs w:val="28"/>
        </w:rPr>
      </w:pPr>
      <w:r w:rsidRPr="00730CD7">
        <w:rPr>
          <w:rFonts w:ascii="Times New Roman" w:hAnsi="Times New Roman" w:cs="Times New Roman"/>
          <w:i/>
          <w:iCs/>
          <w:sz w:val="28"/>
          <w:szCs w:val="28"/>
        </w:rPr>
        <w:t>Experience of other countries.—</w:t>
      </w:r>
      <w:r w:rsidRPr="00730CD7">
        <w:rPr>
          <w:rFonts w:ascii="Times New Roman" w:hAnsi="Times New Roman" w:cs="Times New Roman"/>
          <w:sz w:val="28"/>
          <w:szCs w:val="28"/>
        </w:rPr>
        <w:t>Both general or unconditional and specific or conditional grants have been used with comparative success in different countries and the debate on their relative merits continues. Unconditional grants have been tried and are in operation more prominently in Canada and Australia. Of these a type of grants which is of particular interest to us is that of ‘special’ grants in Australia. In that country where special grants are given to three States, called the claimant States, the principles of general grants-in-aid have been elaborated and refined to a greater degree than perhaps in any other country. The concept of the budgetary standard underlies the whole procedure of such grants. This is basically founded on the criterion of need, modified to ensure that a State receiving aid is not extravagant in its expenditure and does its best to tap its own sources of revenue. The modifications are applied by taking into account in the grants given any scope that may exist for reducing the expenditure or enlarging the receipts from taxation. Subject to these adjustments, the objective of grants is to enable the States obtaining them to function at a standard not appreciably below that of the States which do not claim any assistance. A margin is maintained on the ground that a State should not expect to be brought to a level of equality with other States which rely on their own resources and that a State’s incentive to exert itself to better its position should be left unimpaired. But the system depends for its efficient functioning on an annual enquiry into and determination by the Commonwealth Grants Commission of the record of performance and needs of the States.</w:t>
      </w:r>
    </w:p>
    <w:p w14:paraId="7EB2E784" w14:textId="77777777" w:rsidR="00865D2E" w:rsidRPr="00730CD7" w:rsidRDefault="00865D2E" w:rsidP="00730CD7">
      <w:pPr>
        <w:pStyle w:val="ListParagraph"/>
        <w:numPr>
          <w:ilvl w:val="0"/>
          <w:numId w:val="34"/>
        </w:numPr>
        <w:shd w:val="clear" w:color="auto" w:fill="FFFFFF"/>
        <w:spacing w:after="0" w:line="390" w:lineRule="exact"/>
        <w:ind w:left="0" w:firstLine="556"/>
        <w:jc w:val="both"/>
        <w:rPr>
          <w:rFonts w:ascii="Times New Roman" w:hAnsi="Times New Roman" w:cs="Times New Roman"/>
          <w:sz w:val="28"/>
          <w:szCs w:val="28"/>
        </w:rPr>
      </w:pPr>
      <w:r w:rsidRPr="00730CD7">
        <w:rPr>
          <w:rFonts w:ascii="Times New Roman" w:hAnsi="Times New Roman" w:cs="Times New Roman"/>
          <w:sz w:val="28"/>
          <w:szCs w:val="28"/>
        </w:rPr>
        <w:lastRenderedPageBreak/>
        <w:t>In other countries, specific grants are also given for the development of particular services and activities which are felt to be of national concern. Usually such grants are made subject to conditions of ‘matching’ the federal grants with equal or varying degrees of contribution by the States. While in Canada and Australia, the conditional grants exist side by side with the unconditional, in the U.S.A. they constitute virtually the only method of assistance to the States, the federal aid being channelled to the support of particular activities.</w:t>
      </w:r>
    </w:p>
    <w:p w14:paraId="13C606FD" w14:textId="7FD187F7" w:rsidR="00865D2E" w:rsidRPr="00730CD7" w:rsidRDefault="00865D2E" w:rsidP="00730CD7">
      <w:pPr>
        <w:pStyle w:val="ListParagraph"/>
        <w:numPr>
          <w:ilvl w:val="0"/>
          <w:numId w:val="34"/>
        </w:numPr>
        <w:shd w:val="clear" w:color="auto" w:fill="FFFFFF"/>
        <w:spacing w:after="0" w:line="390" w:lineRule="exact"/>
        <w:ind w:left="0" w:firstLine="556"/>
        <w:jc w:val="both"/>
        <w:rPr>
          <w:rFonts w:ascii="Times New Roman" w:hAnsi="Times New Roman" w:cs="Times New Roman"/>
          <w:sz w:val="28"/>
          <w:szCs w:val="28"/>
        </w:rPr>
      </w:pPr>
      <w:r w:rsidRPr="00730CD7">
        <w:rPr>
          <w:rFonts w:ascii="Times New Roman" w:hAnsi="Times New Roman" w:cs="Times New Roman"/>
          <w:sz w:val="28"/>
          <w:szCs w:val="28"/>
        </w:rPr>
        <w:t>Wherever specific grants have been developed, the main case in favour of them rests on (1) the deficiency of States’ resources in relation to functions; (2) the concern of the federal government in seeing that welfare services (e.g., education, health, etc.) and developmental activities (e.g., roads) are maintained at a certain minimum standard throughout the country; (3) the interest of the federal government in developing some activities which State Governments, left to themselves, might neglect (e.g., unemployment insurance, social security, etc.); (4) the possibility of improving the quality of performance in the sphere of social services, owing to the superior technical advice available to the higher level of government; and (5) the desirability of some co-ordination of standards which can be achieved thereby.</w:t>
      </w:r>
    </w:p>
    <w:p w14:paraId="2F06C611" w14:textId="77777777" w:rsidR="00865D2E" w:rsidRPr="00730CD7" w:rsidRDefault="00865D2E" w:rsidP="00730CD7">
      <w:pPr>
        <w:pStyle w:val="ListParagraph"/>
        <w:numPr>
          <w:ilvl w:val="0"/>
          <w:numId w:val="34"/>
        </w:numPr>
        <w:shd w:val="clear" w:color="auto" w:fill="FFFFFF"/>
        <w:spacing w:after="0" w:line="390" w:lineRule="exact"/>
        <w:ind w:left="0" w:firstLine="556"/>
        <w:jc w:val="both"/>
        <w:rPr>
          <w:rFonts w:ascii="Times New Roman" w:hAnsi="Times New Roman" w:cs="Times New Roman"/>
          <w:sz w:val="28"/>
          <w:szCs w:val="28"/>
        </w:rPr>
      </w:pPr>
      <w:r w:rsidRPr="00730CD7">
        <w:rPr>
          <w:rFonts w:ascii="Times New Roman" w:hAnsi="Times New Roman" w:cs="Times New Roman"/>
          <w:sz w:val="28"/>
          <w:szCs w:val="28"/>
        </w:rPr>
        <w:t>It should be noted, however, that historically such grants became important owing to the first factor, viz., deficient resources of States, at a time when the impact of a rapidly changing economic situation created large and insistent demands for new governmental services, though the interest of the federal government in maintaining certain minimum standards was responsible for the earliest excursions into the field.</w:t>
      </w:r>
    </w:p>
    <w:p w14:paraId="31E94FD2" w14:textId="77777777" w:rsidR="00865D2E" w:rsidRPr="00730CD7" w:rsidRDefault="00865D2E" w:rsidP="00730CD7">
      <w:pPr>
        <w:pStyle w:val="ListParagraph"/>
        <w:numPr>
          <w:ilvl w:val="0"/>
          <w:numId w:val="34"/>
        </w:numPr>
        <w:shd w:val="clear" w:color="auto" w:fill="FFFFFF"/>
        <w:spacing w:after="0" w:line="390" w:lineRule="exact"/>
        <w:ind w:left="0" w:firstLine="556"/>
        <w:jc w:val="both"/>
        <w:rPr>
          <w:rFonts w:ascii="Times New Roman" w:hAnsi="Times New Roman" w:cs="Times New Roman"/>
          <w:sz w:val="28"/>
          <w:szCs w:val="28"/>
        </w:rPr>
      </w:pPr>
      <w:r w:rsidRPr="00730CD7">
        <w:rPr>
          <w:rFonts w:ascii="Times New Roman" w:hAnsi="Times New Roman" w:cs="Times New Roman"/>
          <w:sz w:val="28"/>
          <w:szCs w:val="28"/>
        </w:rPr>
        <w:t>The most important factors that appear to have influenced policy in the field of conditional grants are the increasing adaptation of these grants on the one hand to the ability or fiscal capacity of the units and on the other to their relative need for the specific services concerned. The former factor leads to the varying of the requirement to ‘match’ the federal grant with a State contribution so as to reduce the State contribution in the case of financially weaker States. The principle of need is, of course, innate in the purpose of a grant, and implies that States with a deficiency of the particular service which is assisted, e.g., education or roads, would receive a proportionately greater measure of assistance than those which are relatively better served.</w:t>
      </w:r>
    </w:p>
    <w:p w14:paraId="5EA7F65E" w14:textId="77777777" w:rsidR="00865D2E" w:rsidRPr="00730CD7" w:rsidRDefault="00865D2E" w:rsidP="00730CD7">
      <w:pPr>
        <w:pStyle w:val="ListParagraph"/>
        <w:numPr>
          <w:ilvl w:val="0"/>
          <w:numId w:val="34"/>
        </w:numPr>
        <w:shd w:val="clear" w:color="auto" w:fill="FFFFFF"/>
        <w:spacing w:after="0" w:line="390" w:lineRule="exact"/>
        <w:ind w:left="0" w:firstLine="556"/>
        <w:jc w:val="both"/>
        <w:rPr>
          <w:rFonts w:ascii="Times New Roman" w:hAnsi="Times New Roman" w:cs="Times New Roman"/>
          <w:sz w:val="28"/>
          <w:szCs w:val="28"/>
        </w:rPr>
      </w:pPr>
      <w:r w:rsidRPr="00730CD7">
        <w:rPr>
          <w:rFonts w:ascii="Times New Roman" w:hAnsi="Times New Roman" w:cs="Times New Roman"/>
          <w:sz w:val="28"/>
          <w:szCs w:val="28"/>
        </w:rPr>
        <w:t xml:space="preserve">As regards the relative role of unconditional and conditional grants in the scheme of financial assistance by the federal authority, there is no clear lead in the </w:t>
      </w:r>
      <w:r w:rsidRPr="00730CD7">
        <w:rPr>
          <w:rFonts w:ascii="Times New Roman" w:hAnsi="Times New Roman" w:cs="Times New Roman"/>
          <w:sz w:val="28"/>
          <w:szCs w:val="28"/>
        </w:rPr>
        <w:lastRenderedPageBreak/>
        <w:t>experience of other federations, there being no single system of universal applicability in regard to this sector of federal financial relations. It appears that each country has tried to find for itself the system or combination of systems that best fits the facts of its political, economic and administrative conditions.</w:t>
      </w:r>
    </w:p>
    <w:p w14:paraId="131C8849" w14:textId="6DF484CD" w:rsidR="00865D2E" w:rsidRPr="00730CD7" w:rsidRDefault="00865D2E" w:rsidP="00730CD7">
      <w:pPr>
        <w:pStyle w:val="ListParagraph"/>
        <w:numPr>
          <w:ilvl w:val="0"/>
          <w:numId w:val="34"/>
        </w:numPr>
        <w:shd w:val="clear" w:color="auto" w:fill="FFFFFF"/>
        <w:spacing w:after="0" w:line="390" w:lineRule="exact"/>
        <w:ind w:left="0" w:firstLine="556"/>
        <w:jc w:val="both"/>
        <w:rPr>
          <w:rFonts w:ascii="Times New Roman" w:hAnsi="Times New Roman" w:cs="Times New Roman"/>
          <w:sz w:val="28"/>
          <w:szCs w:val="28"/>
        </w:rPr>
      </w:pPr>
      <w:r w:rsidRPr="00730CD7">
        <w:rPr>
          <w:rFonts w:ascii="Times New Roman" w:hAnsi="Times New Roman" w:cs="Times New Roman"/>
          <w:sz w:val="28"/>
          <w:szCs w:val="28"/>
        </w:rPr>
        <w:t>We believe that both the methods of conditional and unconditional grants should have their part to play in the scheme of assistance by the Centre. Unconditional grants should reinforce the general resources of the State Governments, which they would be free to</w:t>
      </w:r>
      <w:r w:rsidR="00730CD7" w:rsidRPr="00730CD7">
        <w:rPr>
          <w:rFonts w:ascii="Times New Roman" w:hAnsi="Times New Roman" w:cs="Times New Roman"/>
          <w:sz w:val="28"/>
          <w:szCs w:val="28"/>
        </w:rPr>
        <w:t xml:space="preserve"> </w:t>
      </w:r>
      <w:r w:rsidRPr="00730CD7">
        <w:rPr>
          <w:rFonts w:ascii="Times New Roman" w:hAnsi="Times New Roman" w:cs="Times New Roman"/>
          <w:sz w:val="28"/>
          <w:szCs w:val="28"/>
        </w:rPr>
        <w:t>allocate among competing purposes according to their best judgment, subject to the usual administrative and parliamentary checks. Grants for broad purposes may be given to stimulate the expansion of particular categories of services rather than specified schemes under those categories. In the following paragraphs we consider the principles which should govern grants-in-aid to States.</w:t>
      </w:r>
    </w:p>
    <w:p w14:paraId="48A50BB2" w14:textId="77777777" w:rsidR="00865D2E" w:rsidRPr="00730CD7" w:rsidRDefault="00865D2E" w:rsidP="00730CD7">
      <w:pPr>
        <w:pStyle w:val="ListParagraph"/>
        <w:shd w:val="clear" w:color="auto" w:fill="FFFFFF"/>
        <w:spacing w:after="0" w:line="390" w:lineRule="exact"/>
        <w:ind w:left="556"/>
        <w:jc w:val="center"/>
        <w:rPr>
          <w:rFonts w:ascii="Times New Roman" w:hAnsi="Times New Roman" w:cs="Times New Roman"/>
          <w:sz w:val="28"/>
          <w:szCs w:val="28"/>
        </w:rPr>
      </w:pPr>
      <w:r w:rsidRPr="00730CD7">
        <w:rPr>
          <w:rFonts w:ascii="Times New Roman" w:hAnsi="Times New Roman" w:cs="Times New Roman"/>
          <w:sz w:val="28"/>
          <w:szCs w:val="28"/>
        </w:rPr>
        <w:t>PRINCIPLES RECOMMENDED</w:t>
      </w:r>
    </w:p>
    <w:p w14:paraId="7EBE87D3" w14:textId="52D136BA" w:rsidR="00865D2E" w:rsidRPr="00730CD7" w:rsidRDefault="00865D2E" w:rsidP="00730CD7">
      <w:pPr>
        <w:pStyle w:val="ListParagraph"/>
        <w:numPr>
          <w:ilvl w:val="0"/>
          <w:numId w:val="34"/>
        </w:numPr>
        <w:shd w:val="clear" w:color="auto" w:fill="FFFFFF"/>
        <w:spacing w:after="0" w:line="390" w:lineRule="exact"/>
        <w:ind w:left="0" w:firstLine="556"/>
        <w:jc w:val="both"/>
        <w:rPr>
          <w:rFonts w:ascii="Times New Roman" w:hAnsi="Times New Roman" w:cs="Times New Roman"/>
          <w:sz w:val="28"/>
          <w:szCs w:val="28"/>
        </w:rPr>
      </w:pPr>
      <w:r w:rsidRPr="00730CD7">
        <w:rPr>
          <w:rFonts w:ascii="Times New Roman" w:hAnsi="Times New Roman" w:cs="Times New Roman"/>
          <w:i/>
          <w:iCs/>
          <w:sz w:val="28"/>
          <w:szCs w:val="28"/>
        </w:rPr>
        <w:t>Budgetary needs.—</w:t>
      </w:r>
      <w:r w:rsidRPr="00730CD7">
        <w:rPr>
          <w:rFonts w:ascii="Times New Roman" w:hAnsi="Times New Roman" w:cs="Times New Roman"/>
          <w:sz w:val="28"/>
          <w:szCs w:val="28"/>
        </w:rPr>
        <w:t>As budgetary needs are an important criterion for determining the eligibility of a State for a grant-in-aid as well as for the assessment of the amount of the grant-in-aid, the budget has necessarily to be the starting point of an examination of fiscal need. In using the budget as a basis for this purpose, several adjustments are, however, necessary in the State budgets. These adjustments should, in the first place, reduce all budgets to a comparable basis. Adjustments are called for in respect of any abnormal or unusual and non-recurrent items of receipts or expenditure which may vitiate comparisons unless these are excluded. Besides such adjustments, which should be made for the purpose of arriving at what might be broadly termed a normal budget, certain other allowances mentioned below have also to be made.</w:t>
      </w:r>
    </w:p>
    <w:p w14:paraId="60FA4585" w14:textId="62DE3C02" w:rsidR="00AE0D13" w:rsidRPr="00730CD7" w:rsidRDefault="00865D2E" w:rsidP="00730CD7">
      <w:pPr>
        <w:pStyle w:val="ListParagraph"/>
        <w:numPr>
          <w:ilvl w:val="0"/>
          <w:numId w:val="34"/>
        </w:numPr>
        <w:shd w:val="clear" w:color="auto" w:fill="FFFFFF"/>
        <w:spacing w:after="0" w:line="390" w:lineRule="exact"/>
        <w:ind w:left="0" w:firstLine="556"/>
        <w:jc w:val="both"/>
        <w:rPr>
          <w:rFonts w:ascii="Times New Roman" w:hAnsi="Times New Roman" w:cs="Times New Roman"/>
          <w:sz w:val="28"/>
          <w:szCs w:val="28"/>
        </w:rPr>
      </w:pPr>
      <w:r w:rsidRPr="00730CD7">
        <w:rPr>
          <w:rFonts w:ascii="Times New Roman" w:hAnsi="Times New Roman" w:cs="Times New Roman"/>
          <w:i/>
          <w:iCs/>
          <w:sz w:val="28"/>
          <w:szCs w:val="28"/>
        </w:rPr>
        <w:t>Tax effort.—</w:t>
      </w:r>
      <w:r w:rsidRPr="00730CD7">
        <w:rPr>
          <w:rFonts w:ascii="Times New Roman" w:hAnsi="Times New Roman" w:cs="Times New Roman"/>
          <w:sz w:val="28"/>
          <w:szCs w:val="28"/>
        </w:rPr>
        <w:t xml:space="preserve">The extent of self-help of a State should determine the eligibility for, as well as the amount of, help from the Centre. This requires an assessment of the general scope for additional taxation in the States and of their tax effort. The point may be made that differences in relative taxation from State to State are of no relevance for the purpose of determining the degree of Central assistance to various States, as such assistance should be based primarily on the comparative poverty or affluence of the States, as judged by indices of their relative per capita incomes. This argument seems to miss the rationale of taking the relative tax effort of States into consideration. A State which is prepared to raise the maximum amount of revenue through taxation is better entitled to Central assistance than a State which does not itself act sufficiently in the same direction. In respect of a State in the latter </w:t>
      </w:r>
      <w:r w:rsidRPr="00730CD7">
        <w:rPr>
          <w:rFonts w:ascii="Times New Roman" w:hAnsi="Times New Roman" w:cs="Times New Roman"/>
          <w:sz w:val="28"/>
          <w:szCs w:val="28"/>
        </w:rPr>
        <w:lastRenderedPageBreak/>
        <w:t>class, there is no guarantee that the benefit of external assistance will, in fact, accrue to the weaker sections of the community for whom it would be intended. Assistance to such a State may have the effect of postponing action by the State to increase its own taxation. Such assistance from outside may thus go to relieve those who are comparatively well off from the necessity of contributing more to State revenues rather than help to increase public expenditure for the benefit of the general mass of the people. It may be observed that it is only in clear cases of inadequate taxation that this should affect the quantum of assistance a State would otherwise be qualified to get.</w:t>
      </w:r>
    </w:p>
    <w:p w14:paraId="2AD80DA6" w14:textId="74973A65" w:rsidR="00F41799" w:rsidRPr="00730CD7" w:rsidRDefault="00F41799" w:rsidP="00730CD7">
      <w:pPr>
        <w:pStyle w:val="ListParagraph"/>
        <w:numPr>
          <w:ilvl w:val="0"/>
          <w:numId w:val="34"/>
        </w:numPr>
        <w:shd w:val="clear" w:color="auto" w:fill="FFFFFF"/>
        <w:spacing w:after="0" w:line="390" w:lineRule="exact"/>
        <w:ind w:left="0" w:firstLine="556"/>
        <w:jc w:val="both"/>
        <w:rPr>
          <w:rFonts w:ascii="Times New Roman" w:hAnsi="Times New Roman" w:cs="Times New Roman"/>
          <w:sz w:val="28"/>
          <w:szCs w:val="28"/>
        </w:rPr>
      </w:pPr>
      <w:r w:rsidRPr="00730CD7">
        <w:rPr>
          <w:rFonts w:ascii="Times New Roman" w:hAnsi="Times New Roman" w:cs="Times New Roman"/>
          <w:i/>
          <w:iCs/>
          <w:sz w:val="28"/>
          <w:szCs w:val="28"/>
        </w:rPr>
        <w:t>Economy in expenditure.—</w:t>
      </w:r>
      <w:r w:rsidRPr="00730CD7">
        <w:rPr>
          <w:rFonts w:ascii="Times New Roman" w:hAnsi="Times New Roman" w:cs="Times New Roman"/>
          <w:sz w:val="28"/>
          <w:szCs w:val="28"/>
        </w:rPr>
        <w:t>An allowance should be made for possibilities of economy in expenditure. The principle of self-help also implies that a State should utilise its existing resources to good account before it makes a claim for assistance from the Centre. We should like to emphasise here that it is not the purpose of any system of grants-in-aid to diminish the responsibility of the State Governments to balance their own budgets. The method of extending financial assistance should be such as to avoid any suggestion that the Central Government have taken upon themselves the responsibility for helping the States to balance their budgets from year to year. If the amount of grants-in-aid were to be merely in proportion to the financial plight of a State, a direct premium might be placed on impecunious policies and a penalty imposed on financial prudence. On the other hand, if a State is eligible for a grant on other grounds, it should not be precluded from this benefit, merely because its budget is in order as a result of its sound financial management.</w:t>
      </w:r>
    </w:p>
    <w:p w14:paraId="3D9072EB" w14:textId="77777777" w:rsidR="00F41799" w:rsidRPr="00730CD7" w:rsidRDefault="00F41799" w:rsidP="00730CD7">
      <w:pPr>
        <w:pStyle w:val="ListParagraph"/>
        <w:numPr>
          <w:ilvl w:val="0"/>
          <w:numId w:val="34"/>
        </w:numPr>
        <w:shd w:val="clear" w:color="auto" w:fill="FFFFFF"/>
        <w:spacing w:after="0" w:line="390" w:lineRule="exact"/>
        <w:ind w:left="0" w:firstLine="556"/>
        <w:jc w:val="both"/>
        <w:rPr>
          <w:rFonts w:ascii="Times New Roman" w:hAnsi="Times New Roman" w:cs="Times New Roman"/>
          <w:sz w:val="28"/>
          <w:szCs w:val="28"/>
        </w:rPr>
      </w:pPr>
      <w:r w:rsidRPr="00730CD7">
        <w:rPr>
          <w:rFonts w:ascii="Times New Roman" w:hAnsi="Times New Roman" w:cs="Times New Roman"/>
          <w:i/>
          <w:iCs/>
          <w:sz w:val="28"/>
          <w:szCs w:val="28"/>
        </w:rPr>
        <w:t>Standard of social services.—</w:t>
      </w:r>
      <w:r w:rsidRPr="00730CD7">
        <w:rPr>
          <w:rFonts w:ascii="Times New Roman" w:hAnsi="Times New Roman" w:cs="Times New Roman"/>
          <w:sz w:val="28"/>
          <w:szCs w:val="28"/>
        </w:rPr>
        <w:t>An important purpose of grants-in-aid is to help in equalising standards of basic social services. The standards of social services in a State may be a criterion for grant-in-aid. Thus, of two States whose budgets, with the adjustments already indicated, point to the need for an equal amount of assistance, the one with a significantly lower level of social services should, in our view, qualify for a higher amount of assistance than the other with a relatively high level of such services. Alternatively, in marginal cases, a State with a high level of such services may become ineligible, while another State with a low level of services is eligible for a grant. Factors like the area of a State in relation to its population, economic backwardness, etc., would be reflected in the level of social services and the standard of development of a State, and would be taken into account accordingly under this principle.</w:t>
      </w:r>
    </w:p>
    <w:p w14:paraId="69958480" w14:textId="77777777" w:rsidR="00F41799" w:rsidRPr="00730CD7" w:rsidRDefault="00F41799" w:rsidP="00730CD7">
      <w:pPr>
        <w:pStyle w:val="ListParagraph"/>
        <w:numPr>
          <w:ilvl w:val="0"/>
          <w:numId w:val="34"/>
        </w:numPr>
        <w:shd w:val="clear" w:color="auto" w:fill="FFFFFF"/>
        <w:spacing w:after="0" w:line="390" w:lineRule="exact"/>
        <w:ind w:left="0" w:firstLine="556"/>
        <w:jc w:val="both"/>
        <w:rPr>
          <w:rFonts w:ascii="Times New Roman" w:hAnsi="Times New Roman" w:cs="Times New Roman"/>
          <w:sz w:val="28"/>
          <w:szCs w:val="28"/>
        </w:rPr>
      </w:pPr>
      <w:r w:rsidRPr="00730CD7">
        <w:rPr>
          <w:rFonts w:ascii="Times New Roman" w:hAnsi="Times New Roman" w:cs="Times New Roman"/>
          <w:i/>
          <w:iCs/>
          <w:sz w:val="28"/>
          <w:szCs w:val="28"/>
        </w:rPr>
        <w:lastRenderedPageBreak/>
        <w:t>Special obligations.—</w:t>
      </w:r>
      <w:r w:rsidRPr="00730CD7">
        <w:rPr>
          <w:rFonts w:ascii="Times New Roman" w:hAnsi="Times New Roman" w:cs="Times New Roman"/>
          <w:sz w:val="28"/>
          <w:szCs w:val="28"/>
        </w:rPr>
        <w:t>Grants-in-aid may be given to help a State to meet special burdens or obligations of national concern, though within the State sphere, if they involve an undue strain on its finances. Certain States may have special obligations or burdens likely to continue for a period of years, i.e., commitments arising out of abnormal conditions. These would justify assistance by way of grants-in-aid to the States concerned. The circumstances necessitating assistance may, for example, include the consequences of partition, such as the disruption of the institutional framework of a State, the strain on the economy and administration of a State, and its increased responsibility in respect of security.</w:t>
      </w:r>
    </w:p>
    <w:p w14:paraId="2BC5B42D" w14:textId="41CCCF88" w:rsidR="00F41799" w:rsidRPr="00730CD7" w:rsidRDefault="00F41799" w:rsidP="00730CD7">
      <w:pPr>
        <w:pStyle w:val="ListParagraph"/>
        <w:numPr>
          <w:ilvl w:val="0"/>
          <w:numId w:val="34"/>
        </w:numPr>
        <w:shd w:val="clear" w:color="auto" w:fill="FFFFFF"/>
        <w:spacing w:after="0" w:line="390" w:lineRule="exact"/>
        <w:ind w:left="0" w:firstLine="556"/>
        <w:jc w:val="both"/>
        <w:rPr>
          <w:rFonts w:ascii="Times New Roman" w:hAnsi="Times New Roman" w:cs="Times New Roman"/>
          <w:sz w:val="28"/>
          <w:szCs w:val="28"/>
        </w:rPr>
      </w:pPr>
      <w:r w:rsidRPr="00730CD7">
        <w:rPr>
          <w:rFonts w:ascii="Times New Roman" w:hAnsi="Times New Roman" w:cs="Times New Roman"/>
          <w:i/>
          <w:iCs/>
          <w:sz w:val="28"/>
          <w:szCs w:val="28"/>
        </w:rPr>
        <w:t>Broad purposes of national importance.—</w:t>
      </w:r>
      <w:r w:rsidRPr="00730CD7">
        <w:rPr>
          <w:rFonts w:ascii="Times New Roman" w:hAnsi="Times New Roman" w:cs="Times New Roman"/>
          <w:sz w:val="28"/>
          <w:szCs w:val="28"/>
        </w:rPr>
        <w:t>Independently of the budgetary criterion, grants may be given to further any beneficent service of primary importance in regard to which it is in</w:t>
      </w:r>
      <w:r w:rsidR="00730CD7" w:rsidRPr="00730CD7">
        <w:rPr>
          <w:rFonts w:ascii="Times New Roman" w:hAnsi="Times New Roman" w:cs="Times New Roman"/>
          <w:sz w:val="28"/>
          <w:szCs w:val="28"/>
        </w:rPr>
        <w:t xml:space="preserve"> </w:t>
      </w:r>
      <w:r w:rsidRPr="00730CD7">
        <w:rPr>
          <w:rFonts w:ascii="Times New Roman" w:hAnsi="Times New Roman" w:cs="Times New Roman"/>
          <w:sz w:val="28"/>
          <w:szCs w:val="28"/>
        </w:rPr>
        <w:t>the national interest to assist the less advanced States to go forward. It is, in our view, desirable to provide grants-in-aid for a broad purpose, selected with reference both to the importance of the service assisted and to the practicability of measuring, from time to time, the standard of the service on the basis of reliable indices.</w:t>
      </w:r>
    </w:p>
    <w:p w14:paraId="6939BF87" w14:textId="50023C1E" w:rsidR="00F41799" w:rsidRPr="00730CD7" w:rsidRDefault="00F41799" w:rsidP="00730CD7">
      <w:pPr>
        <w:pStyle w:val="ListParagraph"/>
        <w:numPr>
          <w:ilvl w:val="0"/>
          <w:numId w:val="34"/>
        </w:numPr>
        <w:shd w:val="clear" w:color="auto" w:fill="FFFFFF"/>
        <w:spacing w:after="0" w:line="390" w:lineRule="exact"/>
        <w:ind w:left="0" w:firstLine="556"/>
        <w:jc w:val="both"/>
        <w:rPr>
          <w:rFonts w:ascii="Times New Roman" w:hAnsi="Times New Roman" w:cs="Times New Roman"/>
        </w:rPr>
      </w:pPr>
      <w:r w:rsidRPr="00730CD7">
        <w:rPr>
          <w:rFonts w:ascii="Times New Roman" w:hAnsi="Times New Roman" w:cs="Times New Roman"/>
          <w:sz w:val="28"/>
          <w:szCs w:val="28"/>
        </w:rPr>
        <w:t>We have ourselves applied the above principles, as far as possible, in the determination of the States in need of assistance as well as of the amounts of grants-in-aid which we recommend for the various States. As information regarding the finances of State Governments and other relevant matters comes to be better organised, it may be possible to make a more precise application of the principles.</w:t>
      </w:r>
      <w:r w:rsidRPr="00730CD7">
        <w:rPr>
          <w:rFonts w:ascii="Times New Roman" w:hAnsi="Times New Roman" w:cs="Times New Roman"/>
        </w:rPr>
        <w:br w:type="page"/>
      </w:r>
    </w:p>
    <w:p w14:paraId="6D436CFF" w14:textId="4BF87C6A" w:rsidR="00F41799" w:rsidRPr="00C075ED" w:rsidRDefault="00F41799" w:rsidP="00C075ED">
      <w:pPr>
        <w:pStyle w:val="Heading1"/>
      </w:pPr>
      <w:bookmarkStart w:id="9" w:name="_Toc221007118"/>
      <w:r w:rsidRPr="00C075ED">
        <w:lastRenderedPageBreak/>
        <w:t>CHAPTER VIII</w:t>
      </w:r>
      <w:r w:rsidR="00C075ED" w:rsidRPr="00C075ED">
        <w:t xml:space="preserve"> </w:t>
      </w:r>
      <w:r w:rsidR="00C075ED">
        <w:br/>
      </w:r>
      <w:r w:rsidRPr="00C075ED">
        <w:t>GRANTS-IN-AID TO STATES</w:t>
      </w:r>
      <w:bookmarkEnd w:id="9"/>
    </w:p>
    <w:p w14:paraId="17B157EF" w14:textId="77777777" w:rsidR="00F41799" w:rsidRPr="00381E56" w:rsidRDefault="00F41799" w:rsidP="00381E56">
      <w:pPr>
        <w:pStyle w:val="ListParagraph"/>
        <w:numPr>
          <w:ilvl w:val="0"/>
          <w:numId w:val="35"/>
        </w:numPr>
        <w:shd w:val="clear" w:color="auto" w:fill="FFFFFF"/>
        <w:spacing w:after="0" w:line="390" w:lineRule="exact"/>
        <w:ind w:left="0" w:firstLine="556"/>
        <w:jc w:val="both"/>
        <w:rPr>
          <w:rFonts w:ascii="Times New Roman" w:hAnsi="Times New Roman" w:cs="Times New Roman"/>
          <w:sz w:val="28"/>
          <w:szCs w:val="28"/>
        </w:rPr>
      </w:pPr>
      <w:r w:rsidRPr="00381E56">
        <w:rPr>
          <w:rFonts w:ascii="Times New Roman" w:hAnsi="Times New Roman" w:cs="Times New Roman"/>
          <w:i/>
          <w:iCs/>
          <w:sz w:val="28"/>
          <w:szCs w:val="28"/>
        </w:rPr>
        <w:t xml:space="preserve">Constitutional </w:t>
      </w:r>
      <w:proofErr w:type="gramStart"/>
      <w:r w:rsidRPr="00381E56">
        <w:rPr>
          <w:rFonts w:ascii="Times New Roman" w:hAnsi="Times New Roman" w:cs="Times New Roman"/>
          <w:i/>
          <w:iCs/>
          <w:sz w:val="28"/>
          <w:szCs w:val="28"/>
        </w:rPr>
        <w:t>provisions.</w:t>
      </w:r>
      <w:r w:rsidRPr="00381E56">
        <w:rPr>
          <w:rFonts w:ascii="Times New Roman" w:hAnsi="Times New Roman" w:cs="Times New Roman"/>
          <w:sz w:val="28"/>
          <w:szCs w:val="28"/>
        </w:rPr>
        <w:t>—</w:t>
      </w:r>
      <w:proofErr w:type="gramEnd"/>
      <w:r w:rsidRPr="00381E56">
        <w:rPr>
          <w:rFonts w:ascii="Times New Roman" w:hAnsi="Times New Roman" w:cs="Times New Roman"/>
          <w:sz w:val="28"/>
          <w:szCs w:val="28"/>
        </w:rPr>
        <w:t xml:space="preserve">We have been directed by the President to make recommendations </w:t>
      </w:r>
      <w:proofErr w:type="gramStart"/>
      <w:r w:rsidRPr="00381E56">
        <w:rPr>
          <w:rFonts w:ascii="Times New Roman" w:hAnsi="Times New Roman" w:cs="Times New Roman"/>
          <w:sz w:val="28"/>
          <w:szCs w:val="28"/>
        </w:rPr>
        <w:t>in regard to</w:t>
      </w:r>
      <w:proofErr w:type="gramEnd"/>
      <w:r w:rsidRPr="00381E56">
        <w:rPr>
          <w:rFonts w:ascii="Times New Roman" w:hAnsi="Times New Roman" w:cs="Times New Roman"/>
          <w:sz w:val="28"/>
          <w:szCs w:val="28"/>
        </w:rPr>
        <w:t xml:space="preserve"> the States which may </w:t>
      </w:r>
      <w:proofErr w:type="gramStart"/>
      <w:r w:rsidRPr="00381E56">
        <w:rPr>
          <w:rFonts w:ascii="Times New Roman" w:hAnsi="Times New Roman" w:cs="Times New Roman"/>
          <w:sz w:val="28"/>
          <w:szCs w:val="28"/>
        </w:rPr>
        <w:t>be in need of</w:t>
      </w:r>
      <w:proofErr w:type="gramEnd"/>
      <w:r w:rsidRPr="00381E56">
        <w:rPr>
          <w:rFonts w:ascii="Times New Roman" w:hAnsi="Times New Roman" w:cs="Times New Roman"/>
          <w:sz w:val="28"/>
          <w:szCs w:val="28"/>
        </w:rPr>
        <w:t xml:space="preserve"> assistance and the sums to be paid to such States as grants-in-aid of their revenues, under the substantive portion of clause (1) of Article 275 of the Constitution.</w:t>
      </w:r>
    </w:p>
    <w:p w14:paraId="09872C6B" w14:textId="61D48F79" w:rsidR="00F41799" w:rsidRPr="00381E56" w:rsidRDefault="00F41799" w:rsidP="00381E56">
      <w:pPr>
        <w:pStyle w:val="ListParagraph"/>
        <w:numPr>
          <w:ilvl w:val="0"/>
          <w:numId w:val="35"/>
        </w:numPr>
        <w:shd w:val="clear" w:color="auto" w:fill="FFFFFF"/>
        <w:spacing w:after="0" w:line="390" w:lineRule="exact"/>
        <w:ind w:left="0" w:firstLine="556"/>
        <w:jc w:val="both"/>
        <w:rPr>
          <w:rFonts w:ascii="Times New Roman" w:hAnsi="Times New Roman" w:cs="Times New Roman"/>
          <w:sz w:val="28"/>
          <w:szCs w:val="28"/>
        </w:rPr>
      </w:pPr>
      <w:r w:rsidRPr="00381E56">
        <w:rPr>
          <w:rFonts w:ascii="Times New Roman" w:hAnsi="Times New Roman" w:cs="Times New Roman"/>
          <w:i/>
          <w:iCs/>
          <w:sz w:val="28"/>
          <w:szCs w:val="28"/>
        </w:rPr>
        <w:t>Some broad considerations.—</w:t>
      </w:r>
      <w:r w:rsidRPr="00381E56">
        <w:rPr>
          <w:rFonts w:ascii="Times New Roman" w:hAnsi="Times New Roman" w:cs="Times New Roman"/>
          <w:sz w:val="28"/>
          <w:szCs w:val="28"/>
        </w:rPr>
        <w:t>In assessing the needs of the States and formulating our recommendations in regard to the sums to be paid as grants-in-aid we have considered the budgetary position of the States and the probable amount which would accrue to them under our plan for the devolution of revenue from income-tax and Union excises, which we have explained in the earlier chapters of the Report. We have taken into account the additional burdens arising out of the partition of the country which have been placed upon some of the States. We have also kept before us the need for assisting to some extent, the less developed States by the provision of special grants which would enable them to raise the standards of one of the important social services. While it has not been possible for us to meet all the demands placed before us by the State Governments for assistance by way of grants, as a result of our scheme most States will receive, by the devolution of revenue and Central grants, more resources than they received in the past.</w:t>
      </w:r>
    </w:p>
    <w:p w14:paraId="45F3F8E2" w14:textId="58EB5285" w:rsidR="00AE0D13" w:rsidRPr="00381E56" w:rsidRDefault="00F41799" w:rsidP="00381E56">
      <w:pPr>
        <w:pStyle w:val="ListParagraph"/>
        <w:numPr>
          <w:ilvl w:val="0"/>
          <w:numId w:val="35"/>
        </w:numPr>
        <w:shd w:val="clear" w:color="auto" w:fill="FFFFFF"/>
        <w:spacing w:after="0" w:line="390" w:lineRule="exact"/>
        <w:ind w:left="0" w:firstLine="556"/>
        <w:jc w:val="both"/>
        <w:rPr>
          <w:rFonts w:ascii="Times New Roman" w:hAnsi="Times New Roman" w:cs="Times New Roman"/>
          <w:sz w:val="28"/>
          <w:szCs w:val="28"/>
        </w:rPr>
      </w:pPr>
      <w:r w:rsidRPr="00381E56">
        <w:rPr>
          <w:rFonts w:ascii="Times New Roman" w:hAnsi="Times New Roman" w:cs="Times New Roman"/>
          <w:i/>
          <w:iCs/>
          <w:sz w:val="28"/>
          <w:szCs w:val="28"/>
        </w:rPr>
        <w:t>Claims by States.—</w:t>
      </w:r>
      <w:r w:rsidRPr="00381E56">
        <w:rPr>
          <w:rFonts w:ascii="Times New Roman" w:hAnsi="Times New Roman" w:cs="Times New Roman"/>
          <w:sz w:val="28"/>
          <w:szCs w:val="28"/>
        </w:rPr>
        <w:t>We received from the State Governments forecasts of the revenue and expenditure for the five years beginning with 1952-53. These were based on the existing levels of taxation and expenditure and were of considerable assistance to us in taking a view of their financial position. In addition to requests for assistance on the basis of budgetary needs most States also preferred a number of specific claims for assistance. These latter covered a wide field and among the more important we would mention claims for assistance for financing the Five-Year Plan and carrying out schemes not included in it; meeting the burdens in regard to the maintenance of security as a result of the partition and the subsequent developments; covering the recurring loss on the maintenance of certain minor ports; meeting expenditure on the reorganisation of pay structures in certain States as a result of the integration or merger of the former Indian States, and levelling up of administration in the "merged areas."</w:t>
      </w:r>
    </w:p>
    <w:p w14:paraId="71C26CB6" w14:textId="003D26B7" w:rsidR="00EF348D" w:rsidRPr="00381E56" w:rsidRDefault="00EF348D" w:rsidP="00381E56">
      <w:pPr>
        <w:pStyle w:val="ListParagraph"/>
        <w:numPr>
          <w:ilvl w:val="0"/>
          <w:numId w:val="35"/>
        </w:numPr>
        <w:shd w:val="clear" w:color="auto" w:fill="FFFFFF"/>
        <w:spacing w:after="0" w:line="390" w:lineRule="exact"/>
        <w:ind w:left="0" w:firstLine="556"/>
        <w:jc w:val="both"/>
        <w:rPr>
          <w:rFonts w:ascii="Times New Roman" w:hAnsi="Times New Roman" w:cs="Times New Roman"/>
          <w:sz w:val="28"/>
          <w:szCs w:val="28"/>
        </w:rPr>
      </w:pPr>
      <w:r w:rsidRPr="00381E56">
        <w:rPr>
          <w:rFonts w:ascii="Times New Roman" w:hAnsi="Times New Roman" w:cs="Times New Roman"/>
          <w:sz w:val="28"/>
          <w:szCs w:val="28"/>
        </w:rPr>
        <w:t xml:space="preserve">So far as the claims relate to finance required for schemes of capital outlay, these are hardly likely to be met by grants from revenue with which we are primarily concerned. Nor are we concerned with the provision of finance for the </w:t>
      </w:r>
      <w:r w:rsidRPr="00381E56">
        <w:rPr>
          <w:rFonts w:ascii="Times New Roman" w:hAnsi="Times New Roman" w:cs="Times New Roman"/>
          <w:sz w:val="28"/>
          <w:szCs w:val="28"/>
        </w:rPr>
        <w:lastRenderedPageBreak/>
        <w:t>various individual schemes included in the Five-Year Plan taken by themselves. In so far as they involve expenditure on revenue account this will have to be met from the revenues, as augmented by the States’ efforts or by our scheme.</w:t>
      </w:r>
    </w:p>
    <w:p w14:paraId="4AD17103" w14:textId="77777777" w:rsidR="00EF348D" w:rsidRPr="00381E56" w:rsidRDefault="00EF348D" w:rsidP="00381E56">
      <w:pPr>
        <w:pStyle w:val="ListParagraph"/>
        <w:numPr>
          <w:ilvl w:val="0"/>
          <w:numId w:val="35"/>
        </w:numPr>
        <w:shd w:val="clear" w:color="auto" w:fill="FFFFFF"/>
        <w:spacing w:after="0" w:line="390" w:lineRule="exact"/>
        <w:ind w:left="0" w:firstLine="556"/>
        <w:jc w:val="both"/>
        <w:rPr>
          <w:rFonts w:ascii="Times New Roman" w:hAnsi="Times New Roman" w:cs="Times New Roman"/>
          <w:sz w:val="28"/>
          <w:szCs w:val="28"/>
        </w:rPr>
      </w:pPr>
      <w:r w:rsidRPr="00381E56">
        <w:rPr>
          <w:rFonts w:ascii="Times New Roman" w:hAnsi="Times New Roman" w:cs="Times New Roman"/>
          <w:sz w:val="28"/>
          <w:szCs w:val="28"/>
        </w:rPr>
        <w:t>As regards the other requests for grants which relate to expenditure normally met out of the revenue budget, we have given them our careful consideration and taken them into account in assessing the needs of the individual States. Some of the factors, such as the effects of “mergers”, given as the ground for the claims are already reflected in the expenditure budgets of the States which we have taken into account. For the rest, these demands will have to be financed from the future budgets of these States to the extent to which their finances permit. In our view, so long as the claim relates to a subject which is constitutionally the responsibility of a State Government, it can arise ordinarily only as part of the total financial commitments of the State as a whole. Lastly, for reasons explained in an earlier chapter we have not gone into the complaints made by some of the Part B States against the fixation of the “revenue gap grants”.</w:t>
      </w:r>
    </w:p>
    <w:p w14:paraId="5FE95355" w14:textId="77777777" w:rsidR="00EF348D" w:rsidRPr="00381E56" w:rsidRDefault="00EF348D" w:rsidP="00381E56">
      <w:pPr>
        <w:pStyle w:val="ListParagraph"/>
        <w:numPr>
          <w:ilvl w:val="0"/>
          <w:numId w:val="35"/>
        </w:numPr>
        <w:shd w:val="clear" w:color="auto" w:fill="FFFFFF"/>
        <w:spacing w:after="0" w:line="390" w:lineRule="exact"/>
        <w:ind w:left="0" w:firstLine="556"/>
        <w:jc w:val="both"/>
        <w:rPr>
          <w:rFonts w:ascii="Times New Roman" w:hAnsi="Times New Roman" w:cs="Times New Roman"/>
          <w:sz w:val="28"/>
          <w:szCs w:val="28"/>
        </w:rPr>
      </w:pPr>
      <w:r w:rsidRPr="00381E56">
        <w:rPr>
          <w:rFonts w:ascii="Times New Roman" w:hAnsi="Times New Roman" w:cs="Times New Roman"/>
          <w:sz w:val="28"/>
          <w:szCs w:val="28"/>
        </w:rPr>
        <w:t>The Government of Travancore-Cochin asked for the continuance of the grant of Rs. 3 crores promised to them in the current year to meet the expenditure on subsidising food in the State. This grant is now presumably being made under Article 282 of the Constitution with which we are not required to deal. In any case, the question of giving a subsidy in the future will have to be considered from time to time with reference to changes in policy in regard to imports and internal procurement, the then ruling prices and the price level which the State Government may be required by the Centre to maintain. It is not, therefore, possible to take any view on this problematic matter but we merely mention it because of the importance attached to this point by the State Government. We should not, thereby, be considered as having expressed any opinion on the merits of the claim.</w:t>
      </w:r>
    </w:p>
    <w:p w14:paraId="152EDC84" w14:textId="77777777" w:rsidR="00EF348D" w:rsidRPr="00381E56" w:rsidRDefault="00EF348D" w:rsidP="00381E56">
      <w:pPr>
        <w:pStyle w:val="ListParagraph"/>
        <w:numPr>
          <w:ilvl w:val="0"/>
          <w:numId w:val="35"/>
        </w:numPr>
        <w:shd w:val="clear" w:color="auto" w:fill="FFFFFF"/>
        <w:spacing w:after="0" w:line="390" w:lineRule="exact"/>
        <w:ind w:left="0" w:firstLine="556"/>
        <w:jc w:val="both"/>
        <w:rPr>
          <w:rFonts w:ascii="Times New Roman" w:hAnsi="Times New Roman" w:cs="Times New Roman"/>
          <w:sz w:val="28"/>
          <w:szCs w:val="28"/>
        </w:rPr>
      </w:pPr>
      <w:r w:rsidRPr="00381E56">
        <w:rPr>
          <w:rFonts w:ascii="Times New Roman" w:hAnsi="Times New Roman" w:cs="Times New Roman"/>
          <w:i/>
          <w:iCs/>
          <w:sz w:val="28"/>
          <w:szCs w:val="28"/>
        </w:rPr>
        <w:t>Revenue and expenditure of States.—</w:t>
      </w:r>
      <w:r w:rsidRPr="00381E56">
        <w:rPr>
          <w:rFonts w:ascii="Times New Roman" w:hAnsi="Times New Roman" w:cs="Times New Roman"/>
          <w:sz w:val="28"/>
          <w:szCs w:val="28"/>
        </w:rPr>
        <w:t>Appendix VIII summarises for each State its revenue and expenditure in the last three years and the estimated position in the current year, excluding from its revenue the share of income-tax and the statutory grants from the Centre.</w:t>
      </w:r>
    </w:p>
    <w:p w14:paraId="49B8E44B" w14:textId="046FFC3F" w:rsidR="00EF348D" w:rsidRPr="00381E56" w:rsidRDefault="00EF348D" w:rsidP="00381E56">
      <w:pPr>
        <w:pStyle w:val="ListParagraph"/>
        <w:numPr>
          <w:ilvl w:val="0"/>
          <w:numId w:val="35"/>
        </w:numPr>
        <w:shd w:val="clear" w:color="auto" w:fill="FFFFFF"/>
        <w:spacing w:after="0" w:line="390" w:lineRule="exact"/>
        <w:ind w:left="0" w:firstLine="556"/>
        <w:jc w:val="both"/>
        <w:rPr>
          <w:rFonts w:ascii="Times New Roman" w:hAnsi="Times New Roman" w:cs="Times New Roman"/>
          <w:sz w:val="28"/>
          <w:szCs w:val="28"/>
        </w:rPr>
      </w:pPr>
      <w:r w:rsidRPr="00381E56">
        <w:rPr>
          <w:rFonts w:ascii="Times New Roman" w:hAnsi="Times New Roman" w:cs="Times New Roman"/>
          <w:i/>
          <w:iCs/>
          <w:sz w:val="28"/>
          <w:szCs w:val="28"/>
        </w:rPr>
        <w:t>Claims examined.—</w:t>
      </w:r>
      <w:r w:rsidRPr="00381E56">
        <w:rPr>
          <w:rFonts w:ascii="Times New Roman" w:hAnsi="Times New Roman" w:cs="Times New Roman"/>
          <w:sz w:val="28"/>
          <w:szCs w:val="28"/>
        </w:rPr>
        <w:t>Under our scheme for the devolution of revenue all the States except Bombay, Punjab, Mysore, Travancore-Cochin and Saurashtra are likely to receive a larger measure of</w:t>
      </w:r>
      <w:r w:rsidR="00381E56" w:rsidRPr="00381E56">
        <w:rPr>
          <w:rFonts w:ascii="Times New Roman" w:hAnsi="Times New Roman" w:cs="Times New Roman"/>
          <w:sz w:val="28"/>
          <w:szCs w:val="28"/>
        </w:rPr>
        <w:t xml:space="preserve"> </w:t>
      </w:r>
      <w:r w:rsidRPr="00381E56">
        <w:rPr>
          <w:rFonts w:ascii="Times New Roman" w:hAnsi="Times New Roman" w:cs="Times New Roman"/>
          <w:sz w:val="28"/>
          <w:szCs w:val="28"/>
        </w:rPr>
        <w:t xml:space="preserve">assistance than at present. Mysore, Travancore-Cochin and Saurashtra will continue to receive the “revenue gap grants” guaranteed to them as their share of revenue under our scheme would be less than these grants. </w:t>
      </w:r>
      <w:r w:rsidRPr="00381E56">
        <w:rPr>
          <w:rFonts w:ascii="Times New Roman" w:hAnsi="Times New Roman" w:cs="Times New Roman"/>
          <w:sz w:val="28"/>
          <w:szCs w:val="28"/>
        </w:rPr>
        <w:lastRenderedPageBreak/>
        <w:t>They are not therefore affected by our scheme. The cases of Bombay and Punjab are dealt with separately later.</w:t>
      </w:r>
    </w:p>
    <w:p w14:paraId="551AE205" w14:textId="2E0EA536" w:rsidR="00EF348D" w:rsidRPr="00381E56" w:rsidRDefault="00EF348D" w:rsidP="00381E56">
      <w:pPr>
        <w:pStyle w:val="ListParagraph"/>
        <w:numPr>
          <w:ilvl w:val="0"/>
          <w:numId w:val="35"/>
        </w:numPr>
        <w:shd w:val="clear" w:color="auto" w:fill="FFFFFF"/>
        <w:spacing w:after="0" w:line="390" w:lineRule="exact"/>
        <w:ind w:left="0" w:firstLine="556"/>
        <w:jc w:val="both"/>
        <w:rPr>
          <w:rFonts w:ascii="Times New Roman" w:hAnsi="Times New Roman" w:cs="Times New Roman"/>
          <w:sz w:val="28"/>
          <w:szCs w:val="28"/>
        </w:rPr>
      </w:pPr>
      <w:r w:rsidRPr="00381E56">
        <w:rPr>
          <w:rFonts w:ascii="Times New Roman" w:hAnsi="Times New Roman" w:cs="Times New Roman"/>
          <w:sz w:val="28"/>
          <w:szCs w:val="28"/>
        </w:rPr>
        <w:t>We now deal with the question of determining, after taking into account the devolution of revenue and the grants-in-aid in lieu of export duty on jute to some of the States suggested by us, which States would be in need of assistance by way of grants-in-aid. In considering this problem we have had in mind two or three broad considerations. One is that the assistance suggested by us should meet what could conveniently be called the normal budgetary needs of these States and should allow a reasonable margin for expansion. Another consideration is that the special problems created for some of the States by the partition of the country which have caused a significant addition to their expenditure should be adequately met. It is not possible, particularly in present circumstances, when the country is in the process of carrying through a large development programme covering both the revenue and capital sections of the budget, to take a precise view of the requirements of individual States. There are also unforeseeable factors like famine and other natural calamities or upheavals in the nature of abnormal movements of population in regard to which it is difficult to make a forecast for the purpose of determining in advance the assistance that may be required. We have not taken these factors into account, but have based our assessment largely on the financial position of the States as disclosed by their actual revenue and expenditure in recent years, corrected where necessary, with reference to their budget estimates for the year 1952-53 and such subsequent information affecting these estimates as became available to us.</w:t>
      </w:r>
    </w:p>
    <w:p w14:paraId="035DAC51" w14:textId="77777777" w:rsidR="00EF348D" w:rsidRPr="00381E56" w:rsidRDefault="00EF348D" w:rsidP="00381E56">
      <w:pPr>
        <w:pStyle w:val="ListParagraph"/>
        <w:numPr>
          <w:ilvl w:val="0"/>
          <w:numId w:val="35"/>
        </w:numPr>
        <w:shd w:val="clear" w:color="auto" w:fill="FFFFFF"/>
        <w:spacing w:after="0" w:line="390" w:lineRule="exact"/>
        <w:ind w:left="0" w:firstLine="556"/>
        <w:jc w:val="both"/>
        <w:rPr>
          <w:rFonts w:ascii="Times New Roman" w:hAnsi="Times New Roman" w:cs="Times New Roman"/>
          <w:sz w:val="28"/>
          <w:szCs w:val="28"/>
        </w:rPr>
      </w:pPr>
      <w:r w:rsidRPr="00381E56">
        <w:rPr>
          <w:rFonts w:ascii="Times New Roman" w:hAnsi="Times New Roman" w:cs="Times New Roman"/>
          <w:i/>
          <w:iCs/>
          <w:sz w:val="28"/>
          <w:szCs w:val="28"/>
        </w:rPr>
        <w:t>Grants-in-aid recommended.—</w:t>
      </w:r>
      <w:r w:rsidRPr="00381E56">
        <w:rPr>
          <w:rFonts w:ascii="Times New Roman" w:hAnsi="Times New Roman" w:cs="Times New Roman"/>
          <w:sz w:val="28"/>
          <w:szCs w:val="28"/>
        </w:rPr>
        <w:t>On the criteria explained above, we have come to the conclusion that Madras, Uttar Pradesh, Bihar, Madhya Pradesh, Hyderabad, Rajasthan, Madhya Bharat and the Patiala and East Punjab States Union cannot be considered as being in need of assistance: we deal with Mysore and Travancore-Cochin later. Bombay, West Bengal, Orissa and Saurashtra may be said to be marginal cases, while Punjab and Assam would be definitely in need of assistance.</w:t>
      </w:r>
    </w:p>
    <w:p w14:paraId="77F58067" w14:textId="6A28BDED" w:rsidR="00EF348D" w:rsidRPr="00381E56" w:rsidRDefault="00EF348D" w:rsidP="00381E56">
      <w:pPr>
        <w:shd w:val="clear" w:color="auto" w:fill="FFFFFF"/>
        <w:spacing w:after="0" w:line="390" w:lineRule="exact"/>
        <w:ind w:firstLine="567"/>
        <w:jc w:val="both"/>
        <w:rPr>
          <w:rFonts w:ascii="Times New Roman" w:hAnsi="Times New Roman" w:cs="Times New Roman"/>
          <w:sz w:val="28"/>
          <w:szCs w:val="28"/>
        </w:rPr>
      </w:pPr>
      <w:r w:rsidRPr="00381E56">
        <w:rPr>
          <w:rFonts w:ascii="Times New Roman" w:hAnsi="Times New Roman" w:cs="Times New Roman"/>
          <w:sz w:val="28"/>
          <w:szCs w:val="28"/>
        </w:rPr>
        <w:t>So far as Bombay is concerned, the proposed withdrawal of the present restriction on taxing tobacco will leave the State free to raise additional revenue from this source. Considering, moreover, the well developed economy of the State, the size of its budget and the resilience of its resources, we do not recommend any grant-in-aid to it.</w:t>
      </w:r>
    </w:p>
    <w:p w14:paraId="7472BD81" w14:textId="77777777" w:rsidR="00EF348D" w:rsidRPr="00381E56" w:rsidRDefault="00EF348D" w:rsidP="006C1CE3">
      <w:pPr>
        <w:shd w:val="clear" w:color="auto" w:fill="FFFFFF"/>
        <w:spacing w:after="0" w:line="390" w:lineRule="exact"/>
        <w:ind w:firstLine="567"/>
        <w:jc w:val="both"/>
        <w:rPr>
          <w:rFonts w:ascii="Times New Roman" w:hAnsi="Times New Roman" w:cs="Times New Roman"/>
          <w:sz w:val="28"/>
          <w:szCs w:val="28"/>
        </w:rPr>
      </w:pPr>
      <w:r w:rsidRPr="00381E56">
        <w:rPr>
          <w:rFonts w:ascii="Times New Roman" w:hAnsi="Times New Roman" w:cs="Times New Roman"/>
          <w:sz w:val="28"/>
          <w:szCs w:val="28"/>
        </w:rPr>
        <w:lastRenderedPageBreak/>
        <w:t>West Bengal has special problems to face as a result of the partition and the continuing movement of displaced persons from East Pakistan, leading to additional strain on the administration and the finances of the State. Its requirements would not be adequately met by its share of the divisible taxes and the grant-in-aid in lieu of the jute export duty recommended by us and we recommend a grant-in-aid of Rs. 80 lakhs a year to this State.</w:t>
      </w:r>
    </w:p>
    <w:p w14:paraId="70DCE111" w14:textId="77777777" w:rsidR="00EF348D" w:rsidRPr="00381E56" w:rsidRDefault="00EF348D" w:rsidP="006C1CE3">
      <w:pPr>
        <w:shd w:val="clear" w:color="auto" w:fill="FFFFFF"/>
        <w:spacing w:after="0" w:line="390" w:lineRule="exact"/>
        <w:ind w:firstLine="567"/>
        <w:jc w:val="both"/>
        <w:rPr>
          <w:rFonts w:ascii="Times New Roman" w:hAnsi="Times New Roman" w:cs="Times New Roman"/>
          <w:sz w:val="28"/>
          <w:szCs w:val="28"/>
        </w:rPr>
      </w:pPr>
      <w:r w:rsidRPr="00381E56">
        <w:rPr>
          <w:rFonts w:ascii="Times New Roman" w:hAnsi="Times New Roman" w:cs="Times New Roman"/>
          <w:sz w:val="28"/>
          <w:szCs w:val="28"/>
        </w:rPr>
        <w:t>We are satisfied that the devolution of revenue and the grant in lieu of the jute export duty will not leave Orissa a margin for further development. Orissa has in recent years been unable to make an advance in the field of social services owing to want of adequate finance. It has had a large accession of relatively backward territory in its "merged areas". It has a substantial element of Scheduled Tribes and other backward classes and in certain directions like communications the State is very poorly served. Taking these various considerations into account we recommend that the present grant-in-aid of Rs. 40 lakhs be raised to 75 lakhs.</w:t>
      </w:r>
    </w:p>
    <w:p w14:paraId="64B335E5" w14:textId="77777777" w:rsidR="00EF348D" w:rsidRPr="00381E56" w:rsidRDefault="00EF348D" w:rsidP="006C1CE3">
      <w:pPr>
        <w:shd w:val="clear" w:color="auto" w:fill="FFFFFF"/>
        <w:spacing w:after="0" w:line="390" w:lineRule="exact"/>
        <w:ind w:firstLine="567"/>
        <w:jc w:val="both"/>
        <w:rPr>
          <w:rFonts w:ascii="Times New Roman" w:hAnsi="Times New Roman" w:cs="Times New Roman"/>
          <w:sz w:val="28"/>
          <w:szCs w:val="28"/>
        </w:rPr>
      </w:pPr>
      <w:r w:rsidRPr="00381E56">
        <w:rPr>
          <w:rFonts w:ascii="Times New Roman" w:hAnsi="Times New Roman" w:cs="Times New Roman"/>
          <w:sz w:val="28"/>
          <w:szCs w:val="28"/>
        </w:rPr>
        <w:t>In the case of Saurashtra, there appears to be some scope for the State to improve its revenue position. Considering, however, the size of the State and of its budget we think that a measure of assistance is necessary and we recommend a grant-in-aid of Rs. 40 lakhs to that State.</w:t>
      </w:r>
    </w:p>
    <w:p w14:paraId="4A27819C" w14:textId="77777777" w:rsidR="00EF348D" w:rsidRPr="00381E56" w:rsidRDefault="00EF348D" w:rsidP="006C1CE3">
      <w:pPr>
        <w:shd w:val="clear" w:color="auto" w:fill="FFFFFF"/>
        <w:spacing w:after="0" w:line="390" w:lineRule="exact"/>
        <w:ind w:firstLine="567"/>
        <w:jc w:val="both"/>
        <w:rPr>
          <w:rFonts w:ascii="Times New Roman" w:hAnsi="Times New Roman" w:cs="Times New Roman"/>
          <w:sz w:val="28"/>
          <w:szCs w:val="28"/>
        </w:rPr>
      </w:pPr>
      <w:r w:rsidRPr="00381E56">
        <w:rPr>
          <w:rFonts w:ascii="Times New Roman" w:hAnsi="Times New Roman" w:cs="Times New Roman"/>
          <w:sz w:val="28"/>
          <w:szCs w:val="28"/>
        </w:rPr>
        <w:t>For Punjab the allocation of revenue recommended by us will not meet its budgetary needs, much less leave any margin for development. The State has additional responsibilities such as in the sphere of law and order arising out of the partition, over and above the problem of coping with the disabilities created by it, which have affected its budgetary position. We recommend a grant-in-aid of Rs. 125 lakhs a year to that State.</w:t>
      </w:r>
    </w:p>
    <w:p w14:paraId="68A41B55" w14:textId="77777777" w:rsidR="00EF348D" w:rsidRPr="00381E56" w:rsidRDefault="00EF348D" w:rsidP="006C1CE3">
      <w:pPr>
        <w:shd w:val="clear" w:color="auto" w:fill="FFFFFF"/>
        <w:spacing w:after="0" w:line="390" w:lineRule="exact"/>
        <w:ind w:firstLine="567"/>
        <w:jc w:val="both"/>
        <w:rPr>
          <w:rFonts w:ascii="Times New Roman" w:hAnsi="Times New Roman" w:cs="Times New Roman"/>
          <w:sz w:val="28"/>
          <w:szCs w:val="28"/>
        </w:rPr>
      </w:pPr>
      <w:r w:rsidRPr="00381E56">
        <w:rPr>
          <w:rFonts w:ascii="Times New Roman" w:hAnsi="Times New Roman" w:cs="Times New Roman"/>
          <w:sz w:val="28"/>
          <w:szCs w:val="28"/>
        </w:rPr>
        <w:t>Assam is another State for which the suggested allocation of revenue will, in our view, be inadequate. It is also a State with special difficulties resulting from partition and it is necessary to allow it some margin for development. A grant-in-aid of Rs. 1 crore a year to that State would meet its requirements and we recommend that the present grant-in-aid of Rs. 30 lakhs be raised to Rs. 1 crore.</w:t>
      </w:r>
    </w:p>
    <w:p w14:paraId="7AB967AA" w14:textId="77777777" w:rsidR="00EF348D" w:rsidRPr="00381E56" w:rsidRDefault="00EF348D" w:rsidP="006C1CE3">
      <w:pPr>
        <w:shd w:val="clear" w:color="auto" w:fill="FFFFFF"/>
        <w:spacing w:after="0" w:line="390" w:lineRule="exact"/>
        <w:ind w:firstLine="567"/>
        <w:jc w:val="both"/>
        <w:rPr>
          <w:rFonts w:ascii="Times New Roman" w:hAnsi="Times New Roman" w:cs="Times New Roman"/>
          <w:sz w:val="28"/>
          <w:szCs w:val="28"/>
        </w:rPr>
      </w:pPr>
      <w:r w:rsidRPr="00381E56">
        <w:rPr>
          <w:rFonts w:ascii="Times New Roman" w:hAnsi="Times New Roman" w:cs="Times New Roman"/>
          <w:sz w:val="28"/>
          <w:szCs w:val="28"/>
        </w:rPr>
        <w:t>In the case of Assam, West Bengal and Punjab we are assuming that the expenditure on relief and rehabilitation of displaced persons will continue to be borne mainly by the Centre and that no appreciable additional burden will be placed upon these States on this account.</w:t>
      </w:r>
    </w:p>
    <w:p w14:paraId="1A577C01" w14:textId="762963EB" w:rsidR="00EF348D" w:rsidRPr="006C1CE3" w:rsidRDefault="00EF348D" w:rsidP="006C1CE3">
      <w:pPr>
        <w:pStyle w:val="ListParagraph"/>
        <w:numPr>
          <w:ilvl w:val="0"/>
          <w:numId w:val="35"/>
        </w:numPr>
        <w:shd w:val="clear" w:color="auto" w:fill="FFFFFF"/>
        <w:spacing w:after="0" w:line="390" w:lineRule="exact"/>
        <w:ind w:left="0" w:firstLine="556"/>
        <w:jc w:val="both"/>
        <w:rPr>
          <w:rFonts w:ascii="Times New Roman" w:hAnsi="Times New Roman" w:cs="Times New Roman"/>
          <w:sz w:val="28"/>
          <w:szCs w:val="28"/>
        </w:rPr>
      </w:pPr>
      <w:r w:rsidRPr="00381E56">
        <w:rPr>
          <w:rFonts w:ascii="Times New Roman" w:hAnsi="Times New Roman" w:cs="Times New Roman"/>
          <w:sz w:val="28"/>
          <w:szCs w:val="28"/>
        </w:rPr>
        <w:t xml:space="preserve">Mysore and Travancore-Cochin are States with relatively limited resources and we consider it desirable, taking all the circumstances into account, that </w:t>
      </w:r>
      <w:r w:rsidRPr="00381E56">
        <w:rPr>
          <w:rFonts w:ascii="Times New Roman" w:hAnsi="Times New Roman" w:cs="Times New Roman"/>
          <w:sz w:val="28"/>
          <w:szCs w:val="28"/>
        </w:rPr>
        <w:lastRenderedPageBreak/>
        <w:t>both these States should be given a measure of assistance to help them to maintain their progress. We</w:t>
      </w:r>
      <w:r w:rsidR="006C1CE3">
        <w:rPr>
          <w:rFonts w:ascii="Times New Roman" w:hAnsi="Times New Roman" w:cs="Times New Roman"/>
          <w:sz w:val="28"/>
          <w:szCs w:val="28"/>
        </w:rPr>
        <w:t xml:space="preserve"> </w:t>
      </w:r>
      <w:r w:rsidRPr="006C1CE3">
        <w:rPr>
          <w:rFonts w:ascii="Times New Roman" w:hAnsi="Times New Roman" w:cs="Times New Roman"/>
          <w:sz w:val="28"/>
          <w:szCs w:val="28"/>
        </w:rPr>
        <w:t>accordingly recommend grants-in-aid of Rs. 40 lakhs for Mysore and Rs. 45 lakhs for Travancore-Cochin.</w:t>
      </w:r>
    </w:p>
    <w:p w14:paraId="293D005E" w14:textId="77EBEEFF" w:rsidR="00EF348D" w:rsidRPr="00381E56" w:rsidRDefault="00EF348D" w:rsidP="00381E56">
      <w:pPr>
        <w:pStyle w:val="ListParagraph"/>
        <w:numPr>
          <w:ilvl w:val="0"/>
          <w:numId w:val="35"/>
        </w:numPr>
        <w:shd w:val="clear" w:color="auto" w:fill="FFFFFF"/>
        <w:spacing w:after="0" w:line="390" w:lineRule="exact"/>
        <w:ind w:left="0" w:firstLine="556"/>
        <w:jc w:val="both"/>
        <w:rPr>
          <w:rFonts w:ascii="Times New Roman" w:hAnsi="Times New Roman" w:cs="Times New Roman"/>
          <w:sz w:val="28"/>
          <w:szCs w:val="28"/>
        </w:rPr>
      </w:pPr>
      <w:r w:rsidRPr="006C1CE3">
        <w:rPr>
          <w:rFonts w:ascii="Times New Roman" w:hAnsi="Times New Roman" w:cs="Times New Roman"/>
          <w:i/>
          <w:iCs/>
          <w:sz w:val="28"/>
          <w:szCs w:val="28"/>
        </w:rPr>
        <w:t>Grants-in-aid for primary education.—</w:t>
      </w:r>
      <w:r w:rsidRPr="00381E56">
        <w:rPr>
          <w:rFonts w:ascii="Times New Roman" w:hAnsi="Times New Roman" w:cs="Times New Roman"/>
          <w:sz w:val="28"/>
          <w:szCs w:val="28"/>
        </w:rPr>
        <w:t>Some of the State Governments have impressed upon us the need for taking large strides in the field of primary education. We find that quite a few States have to make a considerable advance from the present position if they are to attain the average position in the country. We, therefore, consider that it is in the national interest to allocate a part of such assistance as the Centre may be able to give to the advancement of such an important social service as primary education.</w:t>
      </w:r>
    </w:p>
    <w:p w14:paraId="2443CCFF" w14:textId="77777777" w:rsidR="00EF348D" w:rsidRDefault="00EF348D" w:rsidP="00381E56">
      <w:pPr>
        <w:pStyle w:val="ListParagraph"/>
        <w:numPr>
          <w:ilvl w:val="0"/>
          <w:numId w:val="35"/>
        </w:numPr>
        <w:shd w:val="clear" w:color="auto" w:fill="FFFFFF"/>
        <w:spacing w:after="0" w:line="390" w:lineRule="exact"/>
        <w:ind w:left="0" w:firstLine="556"/>
        <w:jc w:val="both"/>
        <w:rPr>
          <w:rFonts w:ascii="Times New Roman" w:hAnsi="Times New Roman" w:cs="Times New Roman"/>
          <w:sz w:val="28"/>
          <w:szCs w:val="28"/>
        </w:rPr>
      </w:pPr>
      <w:r w:rsidRPr="00381E56">
        <w:rPr>
          <w:rFonts w:ascii="Times New Roman" w:hAnsi="Times New Roman" w:cs="Times New Roman"/>
          <w:sz w:val="28"/>
          <w:szCs w:val="28"/>
        </w:rPr>
        <w:t xml:space="preserve">For purposes of gauging the need for development we took as the basis the extent of the spread of primary education in the States. A good measure of this is afforded by the proportion of the children between the ages of 6 and 11 who actually attend school. The table below summarises the present position </w:t>
      </w:r>
      <w:proofErr w:type="gramStart"/>
      <w:r w:rsidRPr="00381E56">
        <w:rPr>
          <w:rFonts w:ascii="Times New Roman" w:hAnsi="Times New Roman" w:cs="Times New Roman"/>
          <w:sz w:val="28"/>
          <w:szCs w:val="28"/>
        </w:rPr>
        <w:t>in regard to</w:t>
      </w:r>
      <w:proofErr w:type="gramEnd"/>
      <w:r w:rsidRPr="00381E56">
        <w:rPr>
          <w:rFonts w:ascii="Times New Roman" w:hAnsi="Times New Roman" w:cs="Times New Roman"/>
          <w:sz w:val="28"/>
          <w:szCs w:val="28"/>
        </w:rPr>
        <w:t xml:space="preserve"> primary education in the various </w:t>
      </w:r>
      <w:proofErr w:type="gramStart"/>
      <w:r w:rsidRPr="00381E56">
        <w:rPr>
          <w:rFonts w:ascii="Times New Roman" w:hAnsi="Times New Roman" w:cs="Times New Roman"/>
          <w:sz w:val="28"/>
          <w:szCs w:val="28"/>
        </w:rPr>
        <w:t>States:—</w:t>
      </w:r>
      <w:proofErr w:type="gramEnd"/>
    </w:p>
    <w:p w14:paraId="1FDFEB53" w14:textId="77777777" w:rsidR="00C80318" w:rsidRPr="00381E56" w:rsidRDefault="00C80318" w:rsidP="00C80318">
      <w:pPr>
        <w:pStyle w:val="ListParagraph"/>
        <w:shd w:val="clear" w:color="auto" w:fill="FFFFFF"/>
        <w:spacing w:after="0" w:line="390" w:lineRule="exact"/>
        <w:ind w:left="556"/>
        <w:jc w:val="both"/>
        <w:rPr>
          <w:rFonts w:ascii="Times New Roman" w:hAnsi="Times New Roman" w:cs="Times New Roman"/>
          <w:sz w:val="28"/>
          <w:szCs w:val="28"/>
        </w:rPr>
      </w:pPr>
    </w:p>
    <w:tbl>
      <w:tblPr>
        <w:tblStyle w:val="TableGrid"/>
        <w:tblW w:w="9819" w:type="dxa"/>
        <w:jc w:val="center"/>
        <w:tblLook w:val="04A0" w:firstRow="1" w:lastRow="0" w:firstColumn="1" w:lastColumn="0" w:noHBand="0" w:noVBand="1"/>
      </w:tblPr>
      <w:tblGrid>
        <w:gridCol w:w="1976"/>
        <w:gridCol w:w="1779"/>
        <w:gridCol w:w="2227"/>
        <w:gridCol w:w="2137"/>
        <w:gridCol w:w="1700"/>
      </w:tblGrid>
      <w:tr w:rsidR="00F10821" w:rsidRPr="006C1CE3" w14:paraId="2D097FD3" w14:textId="77777777" w:rsidTr="006C1CE3">
        <w:trPr>
          <w:trHeight w:val="20"/>
          <w:jc w:val="center"/>
        </w:trPr>
        <w:tc>
          <w:tcPr>
            <w:tcW w:w="0" w:type="auto"/>
            <w:vAlign w:val="center"/>
            <w:hideMark/>
          </w:tcPr>
          <w:p w14:paraId="581C2AFA" w14:textId="77777777" w:rsidR="00EF348D" w:rsidRPr="00C80318" w:rsidRDefault="00EF348D" w:rsidP="006C1CE3">
            <w:pPr>
              <w:pStyle w:val="Tables"/>
              <w:rPr>
                <w:b/>
                <w:bCs/>
              </w:rPr>
            </w:pPr>
            <w:r w:rsidRPr="00C80318">
              <w:rPr>
                <w:b/>
                <w:bCs/>
              </w:rPr>
              <w:t>State</w:t>
            </w:r>
          </w:p>
        </w:tc>
        <w:tc>
          <w:tcPr>
            <w:tcW w:w="0" w:type="auto"/>
            <w:vAlign w:val="center"/>
            <w:hideMark/>
          </w:tcPr>
          <w:p w14:paraId="4BA99894" w14:textId="77777777" w:rsidR="00EF348D" w:rsidRPr="00C80318" w:rsidRDefault="00EF348D" w:rsidP="006C1CE3">
            <w:pPr>
              <w:pStyle w:val="Tables"/>
              <w:rPr>
                <w:b/>
                <w:bCs/>
              </w:rPr>
            </w:pPr>
            <w:r w:rsidRPr="00C80318">
              <w:rPr>
                <w:b/>
                <w:bCs/>
              </w:rPr>
              <w:t>Population (in thousands)</w:t>
            </w:r>
          </w:p>
        </w:tc>
        <w:tc>
          <w:tcPr>
            <w:tcW w:w="0" w:type="auto"/>
            <w:vAlign w:val="center"/>
            <w:hideMark/>
          </w:tcPr>
          <w:p w14:paraId="444F44DA" w14:textId="77777777" w:rsidR="00EF348D" w:rsidRPr="00C80318" w:rsidRDefault="00EF348D" w:rsidP="006C1CE3">
            <w:pPr>
              <w:pStyle w:val="Tables"/>
              <w:rPr>
                <w:b/>
                <w:bCs/>
              </w:rPr>
            </w:pPr>
            <w:r w:rsidRPr="00C80318">
              <w:rPr>
                <w:b/>
                <w:bCs/>
              </w:rPr>
              <w:t>No. of Children in the age group 6-11 (in thousands)</w:t>
            </w:r>
          </w:p>
        </w:tc>
        <w:tc>
          <w:tcPr>
            <w:tcW w:w="2137" w:type="dxa"/>
            <w:vAlign w:val="center"/>
            <w:hideMark/>
          </w:tcPr>
          <w:p w14:paraId="301125EE" w14:textId="77777777" w:rsidR="00EF348D" w:rsidRPr="00C80318" w:rsidRDefault="00EF348D" w:rsidP="006C1CE3">
            <w:pPr>
              <w:pStyle w:val="Tables"/>
              <w:rPr>
                <w:b/>
                <w:bCs/>
              </w:rPr>
            </w:pPr>
            <w:r w:rsidRPr="00C80318">
              <w:rPr>
                <w:b/>
                <w:bCs/>
              </w:rPr>
              <w:t>Children in this age group attending school (in thousands)</w:t>
            </w:r>
          </w:p>
        </w:tc>
        <w:tc>
          <w:tcPr>
            <w:tcW w:w="1700" w:type="dxa"/>
            <w:vAlign w:val="center"/>
            <w:hideMark/>
          </w:tcPr>
          <w:p w14:paraId="1CE8E0EC" w14:textId="77777777" w:rsidR="00EF348D" w:rsidRPr="00C80318" w:rsidRDefault="00EF348D" w:rsidP="006C1CE3">
            <w:pPr>
              <w:pStyle w:val="Tables"/>
              <w:rPr>
                <w:b/>
                <w:bCs/>
              </w:rPr>
            </w:pPr>
            <w:r w:rsidRPr="00C80318">
              <w:rPr>
                <w:b/>
                <w:bCs/>
              </w:rPr>
              <w:t>Percentage of (4) to (3)</w:t>
            </w:r>
          </w:p>
        </w:tc>
      </w:tr>
      <w:tr w:rsidR="00F10821" w:rsidRPr="006C1CE3" w14:paraId="579D1461" w14:textId="77777777" w:rsidTr="006C1CE3">
        <w:trPr>
          <w:trHeight w:val="20"/>
          <w:jc w:val="center"/>
        </w:trPr>
        <w:tc>
          <w:tcPr>
            <w:tcW w:w="0" w:type="auto"/>
            <w:vAlign w:val="center"/>
            <w:hideMark/>
          </w:tcPr>
          <w:p w14:paraId="60797D12" w14:textId="77777777" w:rsidR="00EF348D" w:rsidRPr="00C80318" w:rsidRDefault="00EF348D" w:rsidP="006C1CE3">
            <w:pPr>
              <w:pStyle w:val="Tables"/>
              <w:rPr>
                <w:b/>
                <w:bCs/>
              </w:rPr>
            </w:pPr>
            <w:r w:rsidRPr="00C80318">
              <w:rPr>
                <w:b/>
                <w:bCs/>
              </w:rPr>
              <w:t>(1)</w:t>
            </w:r>
          </w:p>
        </w:tc>
        <w:tc>
          <w:tcPr>
            <w:tcW w:w="0" w:type="auto"/>
            <w:vAlign w:val="center"/>
            <w:hideMark/>
          </w:tcPr>
          <w:p w14:paraId="2FBFF6F4" w14:textId="77777777" w:rsidR="00EF348D" w:rsidRPr="00C80318" w:rsidRDefault="00EF348D" w:rsidP="006C1CE3">
            <w:pPr>
              <w:pStyle w:val="Tables"/>
              <w:rPr>
                <w:b/>
                <w:bCs/>
              </w:rPr>
            </w:pPr>
            <w:r w:rsidRPr="00C80318">
              <w:rPr>
                <w:b/>
                <w:bCs/>
              </w:rPr>
              <w:t>(2)</w:t>
            </w:r>
          </w:p>
        </w:tc>
        <w:tc>
          <w:tcPr>
            <w:tcW w:w="0" w:type="auto"/>
            <w:vAlign w:val="center"/>
            <w:hideMark/>
          </w:tcPr>
          <w:p w14:paraId="7271B931" w14:textId="77777777" w:rsidR="00EF348D" w:rsidRPr="00C80318" w:rsidRDefault="00EF348D" w:rsidP="006C1CE3">
            <w:pPr>
              <w:pStyle w:val="Tables"/>
              <w:rPr>
                <w:b/>
                <w:bCs/>
              </w:rPr>
            </w:pPr>
            <w:r w:rsidRPr="00C80318">
              <w:rPr>
                <w:b/>
                <w:bCs/>
              </w:rPr>
              <w:t>(3)</w:t>
            </w:r>
          </w:p>
        </w:tc>
        <w:tc>
          <w:tcPr>
            <w:tcW w:w="2137" w:type="dxa"/>
            <w:vAlign w:val="center"/>
            <w:hideMark/>
          </w:tcPr>
          <w:p w14:paraId="0FDA82BE" w14:textId="77777777" w:rsidR="00EF348D" w:rsidRPr="00C80318" w:rsidRDefault="00EF348D" w:rsidP="006C1CE3">
            <w:pPr>
              <w:pStyle w:val="Tables"/>
              <w:rPr>
                <w:b/>
                <w:bCs/>
              </w:rPr>
            </w:pPr>
            <w:r w:rsidRPr="00C80318">
              <w:rPr>
                <w:b/>
                <w:bCs/>
              </w:rPr>
              <w:t>(4)</w:t>
            </w:r>
          </w:p>
        </w:tc>
        <w:tc>
          <w:tcPr>
            <w:tcW w:w="1700" w:type="dxa"/>
            <w:vAlign w:val="center"/>
            <w:hideMark/>
          </w:tcPr>
          <w:p w14:paraId="4CD662E7" w14:textId="77777777" w:rsidR="00EF348D" w:rsidRPr="00C80318" w:rsidRDefault="00EF348D" w:rsidP="006C1CE3">
            <w:pPr>
              <w:pStyle w:val="Tables"/>
              <w:rPr>
                <w:b/>
                <w:bCs/>
              </w:rPr>
            </w:pPr>
            <w:r w:rsidRPr="00C80318">
              <w:rPr>
                <w:b/>
                <w:bCs/>
              </w:rPr>
              <w:t>(5)</w:t>
            </w:r>
          </w:p>
        </w:tc>
      </w:tr>
      <w:tr w:rsidR="00F10821" w:rsidRPr="006C1CE3" w14:paraId="7E3D6956" w14:textId="77777777" w:rsidTr="006C1CE3">
        <w:trPr>
          <w:trHeight w:val="20"/>
          <w:jc w:val="center"/>
        </w:trPr>
        <w:tc>
          <w:tcPr>
            <w:tcW w:w="0" w:type="auto"/>
            <w:vAlign w:val="center"/>
            <w:hideMark/>
          </w:tcPr>
          <w:p w14:paraId="4023AC9F" w14:textId="77777777" w:rsidR="00EF348D" w:rsidRPr="006C1CE3" w:rsidRDefault="00EF348D" w:rsidP="006C1CE3">
            <w:pPr>
              <w:pStyle w:val="Tables"/>
            </w:pPr>
            <w:r w:rsidRPr="006C1CE3">
              <w:t>Travancore-Cochin</w:t>
            </w:r>
          </w:p>
        </w:tc>
        <w:tc>
          <w:tcPr>
            <w:tcW w:w="0" w:type="auto"/>
            <w:vAlign w:val="center"/>
            <w:hideMark/>
          </w:tcPr>
          <w:p w14:paraId="33A2325E" w14:textId="77777777" w:rsidR="00EF348D" w:rsidRPr="006C1CE3" w:rsidRDefault="00EF348D" w:rsidP="006C1CE3">
            <w:pPr>
              <w:pStyle w:val="Tables"/>
            </w:pPr>
            <w:r w:rsidRPr="006C1CE3">
              <w:t>92,80</w:t>
            </w:r>
          </w:p>
        </w:tc>
        <w:tc>
          <w:tcPr>
            <w:tcW w:w="0" w:type="auto"/>
            <w:vAlign w:val="center"/>
            <w:hideMark/>
          </w:tcPr>
          <w:p w14:paraId="70731B7C" w14:textId="77777777" w:rsidR="00EF348D" w:rsidRPr="006C1CE3" w:rsidRDefault="00EF348D" w:rsidP="006C1CE3">
            <w:pPr>
              <w:pStyle w:val="Tables"/>
            </w:pPr>
            <w:r w:rsidRPr="006C1CE3">
              <w:t>11,79</w:t>
            </w:r>
          </w:p>
        </w:tc>
        <w:tc>
          <w:tcPr>
            <w:tcW w:w="2137" w:type="dxa"/>
            <w:vAlign w:val="center"/>
            <w:hideMark/>
          </w:tcPr>
          <w:p w14:paraId="0AF24E00" w14:textId="77777777" w:rsidR="00EF348D" w:rsidRPr="006C1CE3" w:rsidRDefault="00EF348D" w:rsidP="006C1CE3">
            <w:pPr>
              <w:pStyle w:val="Tables"/>
            </w:pPr>
            <w:r w:rsidRPr="006C1CE3">
              <w:t>11,64</w:t>
            </w:r>
          </w:p>
        </w:tc>
        <w:tc>
          <w:tcPr>
            <w:tcW w:w="1700" w:type="dxa"/>
            <w:vAlign w:val="center"/>
            <w:hideMark/>
          </w:tcPr>
          <w:p w14:paraId="0CA7037C" w14:textId="77777777" w:rsidR="00EF348D" w:rsidRPr="006C1CE3" w:rsidRDefault="00EF348D" w:rsidP="006C1CE3">
            <w:pPr>
              <w:pStyle w:val="Tables"/>
            </w:pPr>
            <w:r w:rsidRPr="006C1CE3">
              <w:t>98.8</w:t>
            </w:r>
          </w:p>
        </w:tc>
      </w:tr>
      <w:tr w:rsidR="00F10821" w:rsidRPr="006C1CE3" w14:paraId="484E47E1" w14:textId="77777777" w:rsidTr="006C1CE3">
        <w:trPr>
          <w:trHeight w:val="20"/>
          <w:jc w:val="center"/>
        </w:trPr>
        <w:tc>
          <w:tcPr>
            <w:tcW w:w="0" w:type="auto"/>
            <w:vAlign w:val="center"/>
            <w:hideMark/>
          </w:tcPr>
          <w:p w14:paraId="14FEF86A" w14:textId="77777777" w:rsidR="00EF348D" w:rsidRPr="006C1CE3" w:rsidRDefault="00EF348D" w:rsidP="006C1CE3">
            <w:pPr>
              <w:pStyle w:val="Tables"/>
            </w:pPr>
            <w:r w:rsidRPr="006C1CE3">
              <w:t>Bombay</w:t>
            </w:r>
          </w:p>
        </w:tc>
        <w:tc>
          <w:tcPr>
            <w:tcW w:w="0" w:type="auto"/>
            <w:vAlign w:val="center"/>
            <w:hideMark/>
          </w:tcPr>
          <w:p w14:paraId="148CAAD7" w14:textId="77777777" w:rsidR="00EF348D" w:rsidRPr="006C1CE3" w:rsidRDefault="00EF348D" w:rsidP="006C1CE3">
            <w:pPr>
              <w:pStyle w:val="Tables"/>
            </w:pPr>
            <w:r w:rsidRPr="006C1CE3">
              <w:t>3,59,56</w:t>
            </w:r>
          </w:p>
        </w:tc>
        <w:tc>
          <w:tcPr>
            <w:tcW w:w="0" w:type="auto"/>
            <w:vAlign w:val="center"/>
            <w:hideMark/>
          </w:tcPr>
          <w:p w14:paraId="7382B3A6" w14:textId="77777777" w:rsidR="00EF348D" w:rsidRPr="006C1CE3" w:rsidRDefault="00EF348D" w:rsidP="006C1CE3">
            <w:pPr>
              <w:pStyle w:val="Tables"/>
            </w:pPr>
            <w:r w:rsidRPr="006C1CE3">
              <w:t>45,66</w:t>
            </w:r>
          </w:p>
        </w:tc>
        <w:tc>
          <w:tcPr>
            <w:tcW w:w="2137" w:type="dxa"/>
            <w:vAlign w:val="center"/>
            <w:hideMark/>
          </w:tcPr>
          <w:p w14:paraId="7832D452" w14:textId="77777777" w:rsidR="00EF348D" w:rsidRPr="006C1CE3" w:rsidRDefault="00EF348D" w:rsidP="006C1CE3">
            <w:pPr>
              <w:pStyle w:val="Tables"/>
            </w:pPr>
            <w:r w:rsidRPr="006C1CE3">
              <w:t>29,24</w:t>
            </w:r>
          </w:p>
        </w:tc>
        <w:tc>
          <w:tcPr>
            <w:tcW w:w="1700" w:type="dxa"/>
            <w:vAlign w:val="center"/>
            <w:hideMark/>
          </w:tcPr>
          <w:p w14:paraId="51085914" w14:textId="77777777" w:rsidR="00EF348D" w:rsidRPr="006C1CE3" w:rsidRDefault="00EF348D" w:rsidP="006C1CE3">
            <w:pPr>
              <w:pStyle w:val="Tables"/>
            </w:pPr>
            <w:r w:rsidRPr="006C1CE3">
              <w:t>64.0</w:t>
            </w:r>
          </w:p>
        </w:tc>
      </w:tr>
      <w:tr w:rsidR="00F10821" w:rsidRPr="006C1CE3" w14:paraId="0E67681D" w14:textId="77777777" w:rsidTr="006C1CE3">
        <w:trPr>
          <w:trHeight w:val="20"/>
          <w:jc w:val="center"/>
        </w:trPr>
        <w:tc>
          <w:tcPr>
            <w:tcW w:w="0" w:type="auto"/>
            <w:vAlign w:val="center"/>
            <w:hideMark/>
          </w:tcPr>
          <w:p w14:paraId="7E2866FD" w14:textId="77777777" w:rsidR="00EF348D" w:rsidRPr="006C1CE3" w:rsidRDefault="00EF348D" w:rsidP="006C1CE3">
            <w:pPr>
              <w:pStyle w:val="Tables"/>
            </w:pPr>
            <w:r w:rsidRPr="006C1CE3">
              <w:t>Mysore</w:t>
            </w:r>
          </w:p>
        </w:tc>
        <w:tc>
          <w:tcPr>
            <w:tcW w:w="0" w:type="auto"/>
            <w:vAlign w:val="center"/>
            <w:hideMark/>
          </w:tcPr>
          <w:p w14:paraId="6F03F975" w14:textId="77777777" w:rsidR="00EF348D" w:rsidRPr="006C1CE3" w:rsidRDefault="00EF348D" w:rsidP="006C1CE3">
            <w:pPr>
              <w:pStyle w:val="Tables"/>
            </w:pPr>
            <w:r w:rsidRPr="006C1CE3">
              <w:t>90,75</w:t>
            </w:r>
          </w:p>
        </w:tc>
        <w:tc>
          <w:tcPr>
            <w:tcW w:w="0" w:type="auto"/>
            <w:vAlign w:val="center"/>
            <w:hideMark/>
          </w:tcPr>
          <w:p w14:paraId="0685FFF5" w14:textId="77777777" w:rsidR="00EF348D" w:rsidRPr="006C1CE3" w:rsidRDefault="00EF348D" w:rsidP="006C1CE3">
            <w:pPr>
              <w:pStyle w:val="Tables"/>
            </w:pPr>
            <w:r w:rsidRPr="006C1CE3">
              <w:t>11,53</w:t>
            </w:r>
          </w:p>
        </w:tc>
        <w:tc>
          <w:tcPr>
            <w:tcW w:w="2137" w:type="dxa"/>
            <w:vAlign w:val="center"/>
            <w:hideMark/>
          </w:tcPr>
          <w:p w14:paraId="5DB9169F" w14:textId="77777777" w:rsidR="00EF348D" w:rsidRPr="006C1CE3" w:rsidRDefault="00EF348D" w:rsidP="006C1CE3">
            <w:pPr>
              <w:pStyle w:val="Tables"/>
            </w:pPr>
            <w:r w:rsidRPr="006C1CE3">
              <w:t>6,57</w:t>
            </w:r>
          </w:p>
        </w:tc>
        <w:tc>
          <w:tcPr>
            <w:tcW w:w="1700" w:type="dxa"/>
            <w:vAlign w:val="center"/>
            <w:hideMark/>
          </w:tcPr>
          <w:p w14:paraId="20A5A994" w14:textId="77777777" w:rsidR="00EF348D" w:rsidRPr="006C1CE3" w:rsidRDefault="00EF348D" w:rsidP="006C1CE3">
            <w:pPr>
              <w:pStyle w:val="Tables"/>
            </w:pPr>
            <w:r w:rsidRPr="006C1CE3">
              <w:t>57.0</w:t>
            </w:r>
          </w:p>
        </w:tc>
      </w:tr>
      <w:tr w:rsidR="00F10821" w:rsidRPr="006C1CE3" w14:paraId="33D769FD" w14:textId="77777777" w:rsidTr="006C1CE3">
        <w:trPr>
          <w:trHeight w:val="20"/>
          <w:jc w:val="center"/>
        </w:trPr>
        <w:tc>
          <w:tcPr>
            <w:tcW w:w="0" w:type="auto"/>
            <w:vAlign w:val="center"/>
            <w:hideMark/>
          </w:tcPr>
          <w:p w14:paraId="3011CFBE" w14:textId="77777777" w:rsidR="00EF348D" w:rsidRPr="006C1CE3" w:rsidRDefault="00EF348D" w:rsidP="006C1CE3">
            <w:pPr>
              <w:pStyle w:val="Tables"/>
            </w:pPr>
            <w:r w:rsidRPr="006C1CE3">
              <w:t>Madras</w:t>
            </w:r>
          </w:p>
        </w:tc>
        <w:tc>
          <w:tcPr>
            <w:tcW w:w="0" w:type="auto"/>
            <w:vAlign w:val="center"/>
            <w:hideMark/>
          </w:tcPr>
          <w:p w14:paraId="365B7022" w14:textId="77777777" w:rsidR="00EF348D" w:rsidRPr="006C1CE3" w:rsidRDefault="00EF348D" w:rsidP="006C1CE3">
            <w:pPr>
              <w:pStyle w:val="Tables"/>
            </w:pPr>
            <w:r w:rsidRPr="006C1CE3">
              <w:t>5,70,16</w:t>
            </w:r>
          </w:p>
        </w:tc>
        <w:tc>
          <w:tcPr>
            <w:tcW w:w="0" w:type="auto"/>
            <w:vAlign w:val="center"/>
            <w:hideMark/>
          </w:tcPr>
          <w:p w14:paraId="6CE9A676" w14:textId="77777777" w:rsidR="00EF348D" w:rsidRPr="006C1CE3" w:rsidRDefault="00EF348D" w:rsidP="006C1CE3">
            <w:pPr>
              <w:pStyle w:val="Tables"/>
            </w:pPr>
            <w:r w:rsidRPr="006C1CE3">
              <w:t>72,41</w:t>
            </w:r>
          </w:p>
        </w:tc>
        <w:tc>
          <w:tcPr>
            <w:tcW w:w="2137" w:type="dxa"/>
            <w:vAlign w:val="center"/>
            <w:hideMark/>
          </w:tcPr>
          <w:p w14:paraId="5AA3DC1A" w14:textId="77777777" w:rsidR="00EF348D" w:rsidRPr="006C1CE3" w:rsidRDefault="00EF348D" w:rsidP="006C1CE3">
            <w:pPr>
              <w:pStyle w:val="Tables"/>
            </w:pPr>
            <w:r w:rsidRPr="006C1CE3">
              <w:t>38,17</w:t>
            </w:r>
          </w:p>
        </w:tc>
        <w:tc>
          <w:tcPr>
            <w:tcW w:w="1700" w:type="dxa"/>
            <w:vAlign w:val="center"/>
            <w:hideMark/>
          </w:tcPr>
          <w:p w14:paraId="5B3FA630" w14:textId="77777777" w:rsidR="00EF348D" w:rsidRPr="006C1CE3" w:rsidRDefault="00EF348D" w:rsidP="006C1CE3">
            <w:pPr>
              <w:pStyle w:val="Tables"/>
            </w:pPr>
            <w:r w:rsidRPr="006C1CE3">
              <w:t>52.7</w:t>
            </w:r>
          </w:p>
        </w:tc>
      </w:tr>
      <w:tr w:rsidR="00F10821" w:rsidRPr="006C1CE3" w14:paraId="615AD29F" w14:textId="77777777" w:rsidTr="006C1CE3">
        <w:trPr>
          <w:trHeight w:val="20"/>
          <w:jc w:val="center"/>
        </w:trPr>
        <w:tc>
          <w:tcPr>
            <w:tcW w:w="0" w:type="auto"/>
            <w:vAlign w:val="center"/>
            <w:hideMark/>
          </w:tcPr>
          <w:p w14:paraId="6A09CD9F" w14:textId="77777777" w:rsidR="00EF348D" w:rsidRPr="006C1CE3" w:rsidRDefault="00EF348D" w:rsidP="006C1CE3">
            <w:pPr>
              <w:pStyle w:val="Tables"/>
            </w:pPr>
            <w:r w:rsidRPr="006C1CE3">
              <w:t>Assam</w:t>
            </w:r>
          </w:p>
        </w:tc>
        <w:tc>
          <w:tcPr>
            <w:tcW w:w="0" w:type="auto"/>
            <w:vAlign w:val="center"/>
            <w:hideMark/>
          </w:tcPr>
          <w:p w14:paraId="15224E3E" w14:textId="77777777" w:rsidR="00EF348D" w:rsidRPr="006C1CE3" w:rsidRDefault="00EF348D" w:rsidP="006C1CE3">
            <w:pPr>
              <w:pStyle w:val="Tables"/>
            </w:pPr>
            <w:r w:rsidRPr="006C1CE3">
              <w:t>90,44</w:t>
            </w:r>
          </w:p>
        </w:tc>
        <w:tc>
          <w:tcPr>
            <w:tcW w:w="0" w:type="auto"/>
            <w:vAlign w:val="center"/>
            <w:hideMark/>
          </w:tcPr>
          <w:p w14:paraId="60204F34" w14:textId="77777777" w:rsidR="00EF348D" w:rsidRPr="006C1CE3" w:rsidRDefault="00EF348D" w:rsidP="006C1CE3">
            <w:pPr>
              <w:pStyle w:val="Tables"/>
            </w:pPr>
            <w:r w:rsidRPr="006C1CE3">
              <w:t>11,49</w:t>
            </w:r>
          </w:p>
        </w:tc>
        <w:tc>
          <w:tcPr>
            <w:tcW w:w="2137" w:type="dxa"/>
            <w:vAlign w:val="center"/>
            <w:hideMark/>
          </w:tcPr>
          <w:p w14:paraId="528B5DF3" w14:textId="77777777" w:rsidR="00EF348D" w:rsidRPr="006C1CE3" w:rsidRDefault="00EF348D" w:rsidP="006C1CE3">
            <w:pPr>
              <w:pStyle w:val="Tables"/>
            </w:pPr>
            <w:r w:rsidRPr="006C1CE3">
              <w:t>5,71</w:t>
            </w:r>
          </w:p>
        </w:tc>
        <w:tc>
          <w:tcPr>
            <w:tcW w:w="1700" w:type="dxa"/>
            <w:vAlign w:val="center"/>
            <w:hideMark/>
          </w:tcPr>
          <w:p w14:paraId="47A007DF" w14:textId="77777777" w:rsidR="00EF348D" w:rsidRPr="006C1CE3" w:rsidRDefault="00EF348D" w:rsidP="006C1CE3">
            <w:pPr>
              <w:pStyle w:val="Tables"/>
            </w:pPr>
            <w:r w:rsidRPr="006C1CE3">
              <w:t>49.7</w:t>
            </w:r>
          </w:p>
        </w:tc>
      </w:tr>
      <w:tr w:rsidR="00F10821" w:rsidRPr="006C1CE3" w14:paraId="7B6CDABA" w14:textId="77777777" w:rsidTr="006C1CE3">
        <w:trPr>
          <w:trHeight w:val="20"/>
          <w:jc w:val="center"/>
        </w:trPr>
        <w:tc>
          <w:tcPr>
            <w:tcW w:w="0" w:type="auto"/>
            <w:vAlign w:val="center"/>
            <w:hideMark/>
          </w:tcPr>
          <w:p w14:paraId="744F0B14" w14:textId="77777777" w:rsidR="00EF348D" w:rsidRPr="006C1CE3" w:rsidRDefault="00EF348D" w:rsidP="006C1CE3">
            <w:pPr>
              <w:pStyle w:val="Tables"/>
            </w:pPr>
            <w:r w:rsidRPr="006C1CE3">
              <w:t>Saurashtra</w:t>
            </w:r>
          </w:p>
        </w:tc>
        <w:tc>
          <w:tcPr>
            <w:tcW w:w="0" w:type="auto"/>
            <w:vAlign w:val="center"/>
            <w:hideMark/>
          </w:tcPr>
          <w:p w14:paraId="1768FEFF" w14:textId="77777777" w:rsidR="00EF348D" w:rsidRPr="006C1CE3" w:rsidRDefault="00EF348D" w:rsidP="006C1CE3">
            <w:pPr>
              <w:pStyle w:val="Tables"/>
            </w:pPr>
            <w:r w:rsidRPr="006C1CE3">
              <w:t>41,37</w:t>
            </w:r>
          </w:p>
        </w:tc>
        <w:tc>
          <w:tcPr>
            <w:tcW w:w="0" w:type="auto"/>
            <w:vAlign w:val="center"/>
            <w:hideMark/>
          </w:tcPr>
          <w:p w14:paraId="320B3283" w14:textId="77777777" w:rsidR="00EF348D" w:rsidRPr="006C1CE3" w:rsidRDefault="00EF348D" w:rsidP="006C1CE3">
            <w:pPr>
              <w:pStyle w:val="Tables"/>
            </w:pPr>
            <w:r w:rsidRPr="006C1CE3">
              <w:t>5,25</w:t>
            </w:r>
          </w:p>
        </w:tc>
        <w:tc>
          <w:tcPr>
            <w:tcW w:w="2137" w:type="dxa"/>
            <w:vAlign w:val="center"/>
            <w:hideMark/>
          </w:tcPr>
          <w:p w14:paraId="729D9611" w14:textId="77777777" w:rsidR="00EF348D" w:rsidRPr="006C1CE3" w:rsidRDefault="00EF348D" w:rsidP="006C1CE3">
            <w:pPr>
              <w:pStyle w:val="Tables"/>
            </w:pPr>
            <w:r w:rsidRPr="006C1CE3">
              <w:t>2,23</w:t>
            </w:r>
          </w:p>
        </w:tc>
        <w:tc>
          <w:tcPr>
            <w:tcW w:w="1700" w:type="dxa"/>
            <w:vAlign w:val="center"/>
            <w:hideMark/>
          </w:tcPr>
          <w:p w14:paraId="2292F926" w14:textId="77777777" w:rsidR="00EF348D" w:rsidRPr="006C1CE3" w:rsidRDefault="00EF348D" w:rsidP="006C1CE3">
            <w:pPr>
              <w:pStyle w:val="Tables"/>
            </w:pPr>
            <w:r w:rsidRPr="006C1CE3">
              <w:t>42.4</w:t>
            </w:r>
          </w:p>
        </w:tc>
      </w:tr>
      <w:tr w:rsidR="00F10821" w:rsidRPr="006C1CE3" w14:paraId="31402DFC" w14:textId="77777777" w:rsidTr="006C1CE3">
        <w:trPr>
          <w:trHeight w:val="20"/>
          <w:jc w:val="center"/>
        </w:trPr>
        <w:tc>
          <w:tcPr>
            <w:tcW w:w="0" w:type="auto"/>
            <w:vAlign w:val="center"/>
            <w:hideMark/>
          </w:tcPr>
          <w:p w14:paraId="1A100D0E" w14:textId="77777777" w:rsidR="00EF348D" w:rsidRPr="006C1CE3" w:rsidRDefault="00EF348D" w:rsidP="006C1CE3">
            <w:pPr>
              <w:pStyle w:val="Tables"/>
            </w:pPr>
            <w:r w:rsidRPr="006C1CE3">
              <w:t>West Bengal</w:t>
            </w:r>
          </w:p>
        </w:tc>
        <w:tc>
          <w:tcPr>
            <w:tcW w:w="0" w:type="auto"/>
            <w:vAlign w:val="center"/>
            <w:hideMark/>
          </w:tcPr>
          <w:p w14:paraId="74D192BF" w14:textId="77777777" w:rsidR="00EF348D" w:rsidRPr="006C1CE3" w:rsidRDefault="00EF348D" w:rsidP="006C1CE3">
            <w:pPr>
              <w:pStyle w:val="Tables"/>
            </w:pPr>
            <w:r w:rsidRPr="006C1CE3">
              <w:t>2,48,10</w:t>
            </w:r>
          </w:p>
        </w:tc>
        <w:tc>
          <w:tcPr>
            <w:tcW w:w="0" w:type="auto"/>
            <w:vAlign w:val="center"/>
            <w:hideMark/>
          </w:tcPr>
          <w:p w14:paraId="26F7A03A" w14:textId="77777777" w:rsidR="00EF348D" w:rsidRPr="006C1CE3" w:rsidRDefault="00EF348D" w:rsidP="006C1CE3">
            <w:pPr>
              <w:pStyle w:val="Tables"/>
            </w:pPr>
            <w:r w:rsidRPr="006C1CE3">
              <w:t>31,51</w:t>
            </w:r>
          </w:p>
        </w:tc>
        <w:tc>
          <w:tcPr>
            <w:tcW w:w="2137" w:type="dxa"/>
            <w:vAlign w:val="center"/>
            <w:hideMark/>
          </w:tcPr>
          <w:p w14:paraId="04CA87D9" w14:textId="77777777" w:rsidR="00EF348D" w:rsidRPr="006C1CE3" w:rsidRDefault="00EF348D" w:rsidP="006C1CE3">
            <w:pPr>
              <w:pStyle w:val="Tables"/>
            </w:pPr>
            <w:r w:rsidRPr="006C1CE3">
              <w:t>12,77</w:t>
            </w:r>
          </w:p>
        </w:tc>
        <w:tc>
          <w:tcPr>
            <w:tcW w:w="1700" w:type="dxa"/>
            <w:vAlign w:val="center"/>
            <w:hideMark/>
          </w:tcPr>
          <w:p w14:paraId="68CA3AD7" w14:textId="77777777" w:rsidR="00EF348D" w:rsidRPr="006C1CE3" w:rsidRDefault="00EF348D" w:rsidP="006C1CE3">
            <w:pPr>
              <w:pStyle w:val="Tables"/>
            </w:pPr>
            <w:r w:rsidRPr="006C1CE3">
              <w:t>40.5</w:t>
            </w:r>
          </w:p>
        </w:tc>
      </w:tr>
      <w:tr w:rsidR="00F10821" w:rsidRPr="006C1CE3" w14:paraId="09E1BF94" w14:textId="77777777" w:rsidTr="006C1CE3">
        <w:trPr>
          <w:trHeight w:val="20"/>
          <w:jc w:val="center"/>
        </w:trPr>
        <w:tc>
          <w:tcPr>
            <w:tcW w:w="0" w:type="auto"/>
            <w:vAlign w:val="center"/>
            <w:hideMark/>
          </w:tcPr>
          <w:p w14:paraId="0630FB43" w14:textId="77777777" w:rsidR="00EF348D" w:rsidRPr="006C1CE3" w:rsidRDefault="00EF348D" w:rsidP="006C1CE3">
            <w:pPr>
              <w:pStyle w:val="Tables"/>
            </w:pPr>
            <w:r w:rsidRPr="006C1CE3">
              <w:t>Uttar Pradesh</w:t>
            </w:r>
          </w:p>
        </w:tc>
        <w:tc>
          <w:tcPr>
            <w:tcW w:w="0" w:type="auto"/>
            <w:vAlign w:val="center"/>
            <w:hideMark/>
          </w:tcPr>
          <w:p w14:paraId="2023DD3C" w14:textId="77777777" w:rsidR="00EF348D" w:rsidRPr="006C1CE3" w:rsidRDefault="00EF348D" w:rsidP="006C1CE3">
            <w:pPr>
              <w:pStyle w:val="Tables"/>
            </w:pPr>
            <w:r w:rsidRPr="006C1CE3">
              <w:t>6,32,16</w:t>
            </w:r>
          </w:p>
        </w:tc>
        <w:tc>
          <w:tcPr>
            <w:tcW w:w="0" w:type="auto"/>
            <w:vAlign w:val="center"/>
            <w:hideMark/>
          </w:tcPr>
          <w:p w14:paraId="1AEAFA80" w14:textId="77777777" w:rsidR="00EF348D" w:rsidRPr="006C1CE3" w:rsidRDefault="00EF348D" w:rsidP="006C1CE3">
            <w:pPr>
              <w:pStyle w:val="Tables"/>
            </w:pPr>
            <w:r w:rsidRPr="006C1CE3">
              <w:t>80,28</w:t>
            </w:r>
          </w:p>
        </w:tc>
        <w:tc>
          <w:tcPr>
            <w:tcW w:w="2137" w:type="dxa"/>
            <w:vAlign w:val="center"/>
            <w:hideMark/>
          </w:tcPr>
          <w:p w14:paraId="4398C0B7" w14:textId="77777777" w:rsidR="00EF348D" w:rsidRPr="006C1CE3" w:rsidRDefault="00EF348D" w:rsidP="006C1CE3">
            <w:pPr>
              <w:pStyle w:val="Tables"/>
            </w:pPr>
            <w:r w:rsidRPr="006C1CE3">
              <w:t>27,28</w:t>
            </w:r>
          </w:p>
        </w:tc>
        <w:tc>
          <w:tcPr>
            <w:tcW w:w="1700" w:type="dxa"/>
            <w:vAlign w:val="center"/>
            <w:hideMark/>
          </w:tcPr>
          <w:p w14:paraId="5625F981" w14:textId="77777777" w:rsidR="00EF348D" w:rsidRPr="006C1CE3" w:rsidRDefault="00EF348D" w:rsidP="006C1CE3">
            <w:pPr>
              <w:pStyle w:val="Tables"/>
            </w:pPr>
            <w:r w:rsidRPr="006C1CE3">
              <w:t>34.0</w:t>
            </w:r>
          </w:p>
        </w:tc>
      </w:tr>
      <w:tr w:rsidR="00F10821" w:rsidRPr="006C1CE3" w14:paraId="4E8C5E27" w14:textId="77777777" w:rsidTr="006C1CE3">
        <w:trPr>
          <w:trHeight w:val="20"/>
          <w:jc w:val="center"/>
        </w:trPr>
        <w:tc>
          <w:tcPr>
            <w:tcW w:w="0" w:type="auto"/>
            <w:vAlign w:val="center"/>
            <w:hideMark/>
          </w:tcPr>
          <w:p w14:paraId="347F51F4" w14:textId="77777777" w:rsidR="00EF348D" w:rsidRPr="006C1CE3" w:rsidRDefault="00EF348D" w:rsidP="006C1CE3">
            <w:pPr>
              <w:pStyle w:val="Tables"/>
            </w:pPr>
            <w:r w:rsidRPr="006C1CE3">
              <w:t>Bihar</w:t>
            </w:r>
          </w:p>
        </w:tc>
        <w:tc>
          <w:tcPr>
            <w:tcW w:w="0" w:type="auto"/>
            <w:vAlign w:val="center"/>
            <w:hideMark/>
          </w:tcPr>
          <w:p w14:paraId="1377D888" w14:textId="77777777" w:rsidR="00EF348D" w:rsidRPr="006C1CE3" w:rsidRDefault="00EF348D" w:rsidP="006C1CE3">
            <w:pPr>
              <w:pStyle w:val="Tables"/>
            </w:pPr>
            <w:r w:rsidRPr="006C1CE3">
              <w:t>4,02,26</w:t>
            </w:r>
          </w:p>
        </w:tc>
        <w:tc>
          <w:tcPr>
            <w:tcW w:w="0" w:type="auto"/>
            <w:vAlign w:val="center"/>
            <w:hideMark/>
          </w:tcPr>
          <w:p w14:paraId="77BA998B" w14:textId="77777777" w:rsidR="00EF348D" w:rsidRPr="006C1CE3" w:rsidRDefault="00EF348D" w:rsidP="006C1CE3">
            <w:pPr>
              <w:pStyle w:val="Tables"/>
            </w:pPr>
            <w:r w:rsidRPr="006C1CE3">
              <w:t>51,09</w:t>
            </w:r>
          </w:p>
        </w:tc>
        <w:tc>
          <w:tcPr>
            <w:tcW w:w="2137" w:type="dxa"/>
            <w:vAlign w:val="center"/>
            <w:hideMark/>
          </w:tcPr>
          <w:p w14:paraId="4CA155EB" w14:textId="77777777" w:rsidR="00EF348D" w:rsidRPr="006C1CE3" w:rsidRDefault="00EF348D" w:rsidP="006C1CE3">
            <w:pPr>
              <w:pStyle w:val="Tables"/>
            </w:pPr>
            <w:r w:rsidRPr="006C1CE3">
              <w:t>14,98</w:t>
            </w:r>
          </w:p>
        </w:tc>
        <w:tc>
          <w:tcPr>
            <w:tcW w:w="1700" w:type="dxa"/>
            <w:vAlign w:val="center"/>
            <w:hideMark/>
          </w:tcPr>
          <w:p w14:paraId="6469EBEA" w14:textId="77777777" w:rsidR="00EF348D" w:rsidRPr="006C1CE3" w:rsidRDefault="00EF348D" w:rsidP="006C1CE3">
            <w:pPr>
              <w:pStyle w:val="Tables"/>
            </w:pPr>
            <w:r w:rsidRPr="006C1CE3">
              <w:t>29.3</w:t>
            </w:r>
          </w:p>
        </w:tc>
      </w:tr>
      <w:tr w:rsidR="00F10821" w:rsidRPr="006C1CE3" w14:paraId="683B06AE" w14:textId="77777777" w:rsidTr="006C1CE3">
        <w:trPr>
          <w:trHeight w:val="20"/>
          <w:jc w:val="center"/>
        </w:trPr>
        <w:tc>
          <w:tcPr>
            <w:tcW w:w="0" w:type="auto"/>
            <w:vAlign w:val="center"/>
            <w:hideMark/>
          </w:tcPr>
          <w:p w14:paraId="7A04D874" w14:textId="77777777" w:rsidR="00EF348D" w:rsidRPr="006C1CE3" w:rsidRDefault="00EF348D" w:rsidP="006C1CE3">
            <w:pPr>
              <w:pStyle w:val="Tables"/>
            </w:pPr>
            <w:r w:rsidRPr="006C1CE3">
              <w:t>Hyderabad</w:t>
            </w:r>
          </w:p>
        </w:tc>
        <w:tc>
          <w:tcPr>
            <w:tcW w:w="0" w:type="auto"/>
            <w:vAlign w:val="center"/>
            <w:hideMark/>
          </w:tcPr>
          <w:p w14:paraId="26F0D5A0" w14:textId="77777777" w:rsidR="00EF348D" w:rsidRPr="006C1CE3" w:rsidRDefault="00EF348D" w:rsidP="006C1CE3">
            <w:pPr>
              <w:pStyle w:val="Tables"/>
            </w:pPr>
            <w:r w:rsidRPr="006C1CE3">
              <w:t>1,86,55</w:t>
            </w:r>
          </w:p>
        </w:tc>
        <w:tc>
          <w:tcPr>
            <w:tcW w:w="0" w:type="auto"/>
            <w:vAlign w:val="center"/>
            <w:hideMark/>
          </w:tcPr>
          <w:p w14:paraId="00401BCB" w14:textId="77777777" w:rsidR="00EF348D" w:rsidRPr="006C1CE3" w:rsidRDefault="00EF348D" w:rsidP="006C1CE3">
            <w:pPr>
              <w:pStyle w:val="Tables"/>
            </w:pPr>
            <w:r w:rsidRPr="006C1CE3">
              <w:t>23,69</w:t>
            </w:r>
          </w:p>
        </w:tc>
        <w:tc>
          <w:tcPr>
            <w:tcW w:w="2137" w:type="dxa"/>
            <w:vAlign w:val="center"/>
            <w:hideMark/>
          </w:tcPr>
          <w:p w14:paraId="3676E4DB" w14:textId="77777777" w:rsidR="00EF348D" w:rsidRPr="006C1CE3" w:rsidRDefault="00EF348D" w:rsidP="006C1CE3">
            <w:pPr>
              <w:pStyle w:val="Tables"/>
            </w:pPr>
            <w:r w:rsidRPr="006C1CE3">
              <w:t>6,22</w:t>
            </w:r>
          </w:p>
        </w:tc>
        <w:tc>
          <w:tcPr>
            <w:tcW w:w="1700" w:type="dxa"/>
            <w:vAlign w:val="center"/>
            <w:hideMark/>
          </w:tcPr>
          <w:p w14:paraId="0A36828D" w14:textId="77777777" w:rsidR="00EF348D" w:rsidRPr="006C1CE3" w:rsidRDefault="00EF348D" w:rsidP="006C1CE3">
            <w:pPr>
              <w:pStyle w:val="Tables"/>
            </w:pPr>
            <w:r w:rsidRPr="006C1CE3">
              <w:t>26.2</w:t>
            </w:r>
          </w:p>
        </w:tc>
      </w:tr>
      <w:tr w:rsidR="00F10821" w:rsidRPr="006C1CE3" w14:paraId="2ADB9733" w14:textId="77777777" w:rsidTr="006C1CE3">
        <w:trPr>
          <w:trHeight w:val="20"/>
          <w:jc w:val="center"/>
        </w:trPr>
        <w:tc>
          <w:tcPr>
            <w:tcW w:w="0" w:type="auto"/>
            <w:vAlign w:val="center"/>
            <w:hideMark/>
          </w:tcPr>
          <w:p w14:paraId="3B7C288A" w14:textId="77777777" w:rsidR="00EF348D" w:rsidRPr="006C1CE3" w:rsidRDefault="00EF348D" w:rsidP="006C1CE3">
            <w:pPr>
              <w:pStyle w:val="Tables"/>
            </w:pPr>
            <w:r w:rsidRPr="006C1CE3">
              <w:t>Punjab</w:t>
            </w:r>
          </w:p>
        </w:tc>
        <w:tc>
          <w:tcPr>
            <w:tcW w:w="0" w:type="auto"/>
            <w:vAlign w:val="center"/>
            <w:hideMark/>
          </w:tcPr>
          <w:p w14:paraId="252BFC1E" w14:textId="77777777" w:rsidR="00EF348D" w:rsidRPr="006C1CE3" w:rsidRDefault="00EF348D" w:rsidP="006C1CE3">
            <w:pPr>
              <w:pStyle w:val="Tables"/>
            </w:pPr>
            <w:r w:rsidRPr="006C1CE3">
              <w:t>1,26,41</w:t>
            </w:r>
          </w:p>
        </w:tc>
        <w:tc>
          <w:tcPr>
            <w:tcW w:w="0" w:type="auto"/>
            <w:vAlign w:val="center"/>
            <w:hideMark/>
          </w:tcPr>
          <w:p w14:paraId="2373D767" w14:textId="77777777" w:rsidR="00EF348D" w:rsidRPr="006C1CE3" w:rsidRDefault="00EF348D" w:rsidP="006C1CE3">
            <w:pPr>
              <w:pStyle w:val="Tables"/>
            </w:pPr>
            <w:r w:rsidRPr="006C1CE3">
              <w:t>16,05</w:t>
            </w:r>
          </w:p>
        </w:tc>
        <w:tc>
          <w:tcPr>
            <w:tcW w:w="2137" w:type="dxa"/>
            <w:vAlign w:val="center"/>
            <w:hideMark/>
          </w:tcPr>
          <w:p w14:paraId="2E1B4F5A" w14:textId="77777777" w:rsidR="00EF348D" w:rsidRPr="006C1CE3" w:rsidRDefault="00EF348D" w:rsidP="006C1CE3">
            <w:pPr>
              <w:pStyle w:val="Tables"/>
            </w:pPr>
            <w:r w:rsidRPr="006C1CE3">
              <w:t>3,92</w:t>
            </w:r>
          </w:p>
        </w:tc>
        <w:tc>
          <w:tcPr>
            <w:tcW w:w="1700" w:type="dxa"/>
            <w:vAlign w:val="center"/>
            <w:hideMark/>
          </w:tcPr>
          <w:p w14:paraId="68C00DBA" w14:textId="77777777" w:rsidR="00EF348D" w:rsidRPr="006C1CE3" w:rsidRDefault="00EF348D" w:rsidP="006C1CE3">
            <w:pPr>
              <w:pStyle w:val="Tables"/>
            </w:pPr>
            <w:r w:rsidRPr="006C1CE3">
              <w:t>24.4</w:t>
            </w:r>
          </w:p>
        </w:tc>
      </w:tr>
      <w:tr w:rsidR="00F10821" w:rsidRPr="006C1CE3" w14:paraId="55901069" w14:textId="77777777" w:rsidTr="006C1CE3">
        <w:trPr>
          <w:trHeight w:val="20"/>
          <w:jc w:val="center"/>
        </w:trPr>
        <w:tc>
          <w:tcPr>
            <w:tcW w:w="0" w:type="auto"/>
            <w:vAlign w:val="center"/>
            <w:hideMark/>
          </w:tcPr>
          <w:p w14:paraId="45445851" w14:textId="77777777" w:rsidR="00EF348D" w:rsidRPr="006C1CE3" w:rsidRDefault="00EF348D" w:rsidP="006C1CE3">
            <w:pPr>
              <w:pStyle w:val="Tables"/>
            </w:pPr>
            <w:r w:rsidRPr="006C1CE3">
              <w:t>Orissa</w:t>
            </w:r>
          </w:p>
        </w:tc>
        <w:tc>
          <w:tcPr>
            <w:tcW w:w="0" w:type="auto"/>
            <w:vAlign w:val="center"/>
            <w:hideMark/>
          </w:tcPr>
          <w:p w14:paraId="69FCFEA1" w14:textId="77777777" w:rsidR="00EF348D" w:rsidRPr="006C1CE3" w:rsidRDefault="00EF348D" w:rsidP="006C1CE3">
            <w:pPr>
              <w:pStyle w:val="Tables"/>
            </w:pPr>
            <w:r w:rsidRPr="006C1CE3">
              <w:t>1,46,46</w:t>
            </w:r>
          </w:p>
        </w:tc>
        <w:tc>
          <w:tcPr>
            <w:tcW w:w="0" w:type="auto"/>
            <w:vAlign w:val="center"/>
            <w:hideMark/>
          </w:tcPr>
          <w:p w14:paraId="29C15336" w14:textId="77777777" w:rsidR="00EF348D" w:rsidRPr="006C1CE3" w:rsidRDefault="00EF348D" w:rsidP="006C1CE3">
            <w:pPr>
              <w:pStyle w:val="Tables"/>
            </w:pPr>
            <w:r w:rsidRPr="006C1CE3">
              <w:t>18,60</w:t>
            </w:r>
          </w:p>
        </w:tc>
        <w:tc>
          <w:tcPr>
            <w:tcW w:w="2137" w:type="dxa"/>
            <w:vAlign w:val="center"/>
            <w:hideMark/>
          </w:tcPr>
          <w:p w14:paraId="78A20798" w14:textId="77777777" w:rsidR="00EF348D" w:rsidRPr="006C1CE3" w:rsidRDefault="00EF348D" w:rsidP="006C1CE3">
            <w:pPr>
              <w:pStyle w:val="Tables"/>
            </w:pPr>
            <w:r w:rsidRPr="006C1CE3">
              <w:t>4,46</w:t>
            </w:r>
          </w:p>
        </w:tc>
        <w:tc>
          <w:tcPr>
            <w:tcW w:w="1700" w:type="dxa"/>
            <w:vAlign w:val="center"/>
            <w:hideMark/>
          </w:tcPr>
          <w:p w14:paraId="7B0A4F45" w14:textId="77777777" w:rsidR="00EF348D" w:rsidRPr="006C1CE3" w:rsidRDefault="00EF348D" w:rsidP="006C1CE3">
            <w:pPr>
              <w:pStyle w:val="Tables"/>
            </w:pPr>
            <w:r w:rsidRPr="006C1CE3">
              <w:t>24.0</w:t>
            </w:r>
          </w:p>
        </w:tc>
      </w:tr>
      <w:tr w:rsidR="00F10821" w:rsidRPr="006C1CE3" w14:paraId="1620E8A2" w14:textId="77777777" w:rsidTr="006C1CE3">
        <w:trPr>
          <w:trHeight w:val="20"/>
          <w:jc w:val="center"/>
        </w:trPr>
        <w:tc>
          <w:tcPr>
            <w:tcW w:w="0" w:type="auto"/>
            <w:vAlign w:val="center"/>
            <w:hideMark/>
          </w:tcPr>
          <w:p w14:paraId="12D28036" w14:textId="77777777" w:rsidR="00EF348D" w:rsidRPr="006C1CE3" w:rsidRDefault="00EF348D" w:rsidP="006C1CE3">
            <w:pPr>
              <w:pStyle w:val="Tables"/>
            </w:pPr>
            <w:r w:rsidRPr="006C1CE3">
              <w:t>Madhya Bharat</w:t>
            </w:r>
          </w:p>
        </w:tc>
        <w:tc>
          <w:tcPr>
            <w:tcW w:w="0" w:type="auto"/>
            <w:vAlign w:val="center"/>
            <w:hideMark/>
          </w:tcPr>
          <w:p w14:paraId="308D58F5" w14:textId="77777777" w:rsidR="00EF348D" w:rsidRPr="006C1CE3" w:rsidRDefault="00EF348D" w:rsidP="006C1CE3">
            <w:pPr>
              <w:pStyle w:val="Tables"/>
            </w:pPr>
            <w:r w:rsidRPr="006C1CE3">
              <w:t>79,54</w:t>
            </w:r>
          </w:p>
        </w:tc>
        <w:tc>
          <w:tcPr>
            <w:tcW w:w="0" w:type="auto"/>
            <w:vAlign w:val="center"/>
            <w:hideMark/>
          </w:tcPr>
          <w:p w14:paraId="399A7177" w14:textId="77777777" w:rsidR="00EF348D" w:rsidRPr="006C1CE3" w:rsidRDefault="00EF348D" w:rsidP="006C1CE3">
            <w:pPr>
              <w:pStyle w:val="Tables"/>
            </w:pPr>
            <w:r w:rsidRPr="006C1CE3">
              <w:t>10,10</w:t>
            </w:r>
          </w:p>
        </w:tc>
        <w:tc>
          <w:tcPr>
            <w:tcW w:w="2137" w:type="dxa"/>
            <w:vAlign w:val="center"/>
            <w:hideMark/>
          </w:tcPr>
          <w:p w14:paraId="74FFC07D" w14:textId="77777777" w:rsidR="00EF348D" w:rsidRPr="006C1CE3" w:rsidRDefault="00EF348D" w:rsidP="006C1CE3">
            <w:pPr>
              <w:pStyle w:val="Tables"/>
            </w:pPr>
            <w:r w:rsidRPr="006C1CE3">
              <w:t>2,03</w:t>
            </w:r>
          </w:p>
        </w:tc>
        <w:tc>
          <w:tcPr>
            <w:tcW w:w="1700" w:type="dxa"/>
            <w:vAlign w:val="center"/>
            <w:hideMark/>
          </w:tcPr>
          <w:p w14:paraId="12886895" w14:textId="77777777" w:rsidR="00EF348D" w:rsidRPr="006C1CE3" w:rsidRDefault="00EF348D" w:rsidP="006C1CE3">
            <w:pPr>
              <w:pStyle w:val="Tables"/>
            </w:pPr>
            <w:r w:rsidRPr="006C1CE3">
              <w:t>20.1</w:t>
            </w:r>
          </w:p>
        </w:tc>
      </w:tr>
      <w:tr w:rsidR="00F10821" w:rsidRPr="006C1CE3" w14:paraId="724EF1F8" w14:textId="77777777" w:rsidTr="006C1CE3">
        <w:trPr>
          <w:trHeight w:val="20"/>
          <w:jc w:val="center"/>
        </w:trPr>
        <w:tc>
          <w:tcPr>
            <w:tcW w:w="0" w:type="auto"/>
            <w:vAlign w:val="center"/>
            <w:hideMark/>
          </w:tcPr>
          <w:p w14:paraId="078953CA" w14:textId="77777777" w:rsidR="00EF348D" w:rsidRPr="006C1CE3" w:rsidRDefault="00EF348D" w:rsidP="006C1CE3">
            <w:pPr>
              <w:pStyle w:val="Tables"/>
            </w:pPr>
            <w:r w:rsidRPr="006C1CE3">
              <w:t>Madhya Pradesh</w:t>
            </w:r>
          </w:p>
        </w:tc>
        <w:tc>
          <w:tcPr>
            <w:tcW w:w="0" w:type="auto"/>
            <w:vAlign w:val="center"/>
            <w:hideMark/>
          </w:tcPr>
          <w:p w14:paraId="3A60240E" w14:textId="77777777" w:rsidR="00EF348D" w:rsidRPr="006C1CE3" w:rsidRDefault="00EF348D" w:rsidP="006C1CE3">
            <w:pPr>
              <w:pStyle w:val="Tables"/>
            </w:pPr>
            <w:r w:rsidRPr="006C1CE3">
              <w:t>2,12,48</w:t>
            </w:r>
          </w:p>
        </w:tc>
        <w:tc>
          <w:tcPr>
            <w:tcW w:w="0" w:type="auto"/>
            <w:vAlign w:val="center"/>
            <w:hideMark/>
          </w:tcPr>
          <w:p w14:paraId="1554055B" w14:textId="77777777" w:rsidR="00EF348D" w:rsidRPr="006C1CE3" w:rsidRDefault="00EF348D" w:rsidP="006C1CE3">
            <w:pPr>
              <w:pStyle w:val="Tables"/>
            </w:pPr>
            <w:r w:rsidRPr="006C1CE3">
              <w:t>26,98</w:t>
            </w:r>
          </w:p>
        </w:tc>
        <w:tc>
          <w:tcPr>
            <w:tcW w:w="2137" w:type="dxa"/>
            <w:vAlign w:val="center"/>
            <w:hideMark/>
          </w:tcPr>
          <w:p w14:paraId="535E267C" w14:textId="77777777" w:rsidR="00EF348D" w:rsidRPr="006C1CE3" w:rsidRDefault="00EF348D" w:rsidP="006C1CE3">
            <w:pPr>
              <w:pStyle w:val="Tables"/>
            </w:pPr>
            <w:r w:rsidRPr="006C1CE3">
              <w:t>5,38</w:t>
            </w:r>
          </w:p>
        </w:tc>
        <w:tc>
          <w:tcPr>
            <w:tcW w:w="1700" w:type="dxa"/>
            <w:vAlign w:val="center"/>
            <w:hideMark/>
          </w:tcPr>
          <w:p w14:paraId="5DF74640" w14:textId="77777777" w:rsidR="00EF348D" w:rsidRPr="006C1CE3" w:rsidRDefault="00EF348D" w:rsidP="006C1CE3">
            <w:pPr>
              <w:pStyle w:val="Tables"/>
            </w:pPr>
            <w:r w:rsidRPr="006C1CE3">
              <w:t>19.9</w:t>
            </w:r>
          </w:p>
        </w:tc>
      </w:tr>
      <w:tr w:rsidR="00F10821" w:rsidRPr="006C1CE3" w14:paraId="5B6B5727" w14:textId="77777777" w:rsidTr="006C1CE3">
        <w:trPr>
          <w:trHeight w:val="20"/>
          <w:jc w:val="center"/>
        </w:trPr>
        <w:tc>
          <w:tcPr>
            <w:tcW w:w="0" w:type="auto"/>
            <w:vAlign w:val="center"/>
            <w:hideMark/>
          </w:tcPr>
          <w:p w14:paraId="59A5A670" w14:textId="77777777" w:rsidR="00EF348D" w:rsidRPr="006C1CE3" w:rsidRDefault="00EF348D" w:rsidP="006C1CE3">
            <w:pPr>
              <w:pStyle w:val="Tables"/>
            </w:pPr>
            <w:r w:rsidRPr="006C1CE3">
              <w:t>Patiala and East Punjab States Union</w:t>
            </w:r>
          </w:p>
        </w:tc>
        <w:tc>
          <w:tcPr>
            <w:tcW w:w="0" w:type="auto"/>
            <w:vAlign w:val="center"/>
            <w:hideMark/>
          </w:tcPr>
          <w:p w14:paraId="42EEED88" w14:textId="77777777" w:rsidR="00EF348D" w:rsidRPr="006C1CE3" w:rsidRDefault="00EF348D" w:rsidP="006C1CE3">
            <w:pPr>
              <w:pStyle w:val="Tables"/>
            </w:pPr>
            <w:r w:rsidRPr="006C1CE3">
              <w:t>34,94</w:t>
            </w:r>
          </w:p>
        </w:tc>
        <w:tc>
          <w:tcPr>
            <w:tcW w:w="0" w:type="auto"/>
            <w:vAlign w:val="center"/>
            <w:hideMark/>
          </w:tcPr>
          <w:p w14:paraId="631B41E3" w14:textId="77777777" w:rsidR="00EF348D" w:rsidRPr="006C1CE3" w:rsidRDefault="00EF348D" w:rsidP="006C1CE3">
            <w:pPr>
              <w:pStyle w:val="Tables"/>
            </w:pPr>
            <w:r w:rsidRPr="006C1CE3">
              <w:t>4,44</w:t>
            </w:r>
          </w:p>
        </w:tc>
        <w:tc>
          <w:tcPr>
            <w:tcW w:w="2137" w:type="dxa"/>
            <w:vAlign w:val="center"/>
            <w:hideMark/>
          </w:tcPr>
          <w:p w14:paraId="27BB863F" w14:textId="77777777" w:rsidR="00EF348D" w:rsidRPr="006C1CE3" w:rsidRDefault="00EF348D" w:rsidP="006C1CE3">
            <w:pPr>
              <w:pStyle w:val="Tables"/>
            </w:pPr>
            <w:r w:rsidRPr="006C1CE3">
              <w:t>47</w:t>
            </w:r>
          </w:p>
        </w:tc>
        <w:tc>
          <w:tcPr>
            <w:tcW w:w="1700" w:type="dxa"/>
            <w:vAlign w:val="center"/>
            <w:hideMark/>
          </w:tcPr>
          <w:p w14:paraId="6019DE20" w14:textId="77777777" w:rsidR="00EF348D" w:rsidRPr="006C1CE3" w:rsidRDefault="00EF348D" w:rsidP="006C1CE3">
            <w:pPr>
              <w:pStyle w:val="Tables"/>
            </w:pPr>
            <w:r w:rsidRPr="006C1CE3">
              <w:t>10.6</w:t>
            </w:r>
          </w:p>
        </w:tc>
      </w:tr>
      <w:tr w:rsidR="00F10821" w:rsidRPr="006C1CE3" w14:paraId="50162EF6" w14:textId="77777777" w:rsidTr="006C1CE3">
        <w:trPr>
          <w:trHeight w:val="20"/>
          <w:jc w:val="center"/>
        </w:trPr>
        <w:tc>
          <w:tcPr>
            <w:tcW w:w="0" w:type="auto"/>
            <w:vAlign w:val="center"/>
            <w:hideMark/>
          </w:tcPr>
          <w:p w14:paraId="3FFB51BA" w14:textId="77777777" w:rsidR="00EF348D" w:rsidRPr="006C1CE3" w:rsidRDefault="00EF348D" w:rsidP="006C1CE3">
            <w:pPr>
              <w:pStyle w:val="Tables"/>
            </w:pPr>
            <w:r w:rsidRPr="006C1CE3">
              <w:t>Rajasthan</w:t>
            </w:r>
          </w:p>
        </w:tc>
        <w:tc>
          <w:tcPr>
            <w:tcW w:w="0" w:type="auto"/>
            <w:vAlign w:val="center"/>
            <w:hideMark/>
          </w:tcPr>
          <w:p w14:paraId="277B2F41" w14:textId="77777777" w:rsidR="00EF348D" w:rsidRPr="006C1CE3" w:rsidRDefault="00EF348D" w:rsidP="006C1CE3">
            <w:pPr>
              <w:pStyle w:val="Tables"/>
            </w:pPr>
            <w:r w:rsidRPr="006C1CE3">
              <w:t>1,52,91</w:t>
            </w:r>
          </w:p>
        </w:tc>
        <w:tc>
          <w:tcPr>
            <w:tcW w:w="0" w:type="auto"/>
            <w:vAlign w:val="center"/>
            <w:hideMark/>
          </w:tcPr>
          <w:p w14:paraId="3BD08C8E" w14:textId="77777777" w:rsidR="00EF348D" w:rsidRPr="006C1CE3" w:rsidRDefault="00EF348D" w:rsidP="006C1CE3">
            <w:pPr>
              <w:pStyle w:val="Tables"/>
            </w:pPr>
            <w:r w:rsidRPr="006C1CE3">
              <w:t>19,42</w:t>
            </w:r>
          </w:p>
        </w:tc>
        <w:tc>
          <w:tcPr>
            <w:tcW w:w="2137" w:type="dxa"/>
            <w:vAlign w:val="center"/>
            <w:hideMark/>
          </w:tcPr>
          <w:p w14:paraId="4AAD096A" w14:textId="77777777" w:rsidR="00EF348D" w:rsidRPr="006C1CE3" w:rsidRDefault="00EF348D" w:rsidP="006C1CE3">
            <w:pPr>
              <w:pStyle w:val="Tables"/>
            </w:pPr>
            <w:r w:rsidRPr="006C1CE3">
              <w:t>2,06</w:t>
            </w:r>
          </w:p>
        </w:tc>
        <w:tc>
          <w:tcPr>
            <w:tcW w:w="1700" w:type="dxa"/>
            <w:vAlign w:val="center"/>
            <w:hideMark/>
          </w:tcPr>
          <w:p w14:paraId="6B4EFB93" w14:textId="77777777" w:rsidR="00EF348D" w:rsidRPr="006C1CE3" w:rsidRDefault="00EF348D" w:rsidP="006C1CE3">
            <w:pPr>
              <w:pStyle w:val="Tables"/>
            </w:pPr>
            <w:r w:rsidRPr="006C1CE3">
              <w:t>10.6</w:t>
            </w:r>
          </w:p>
        </w:tc>
      </w:tr>
    </w:tbl>
    <w:p w14:paraId="69DF6F36" w14:textId="630E52EA" w:rsidR="00F10821" w:rsidRPr="00381E56" w:rsidRDefault="00F10821" w:rsidP="006C1CE3">
      <w:pPr>
        <w:pStyle w:val="Sources"/>
      </w:pPr>
      <w:r w:rsidRPr="00381E56">
        <w:lastRenderedPageBreak/>
        <w:t>(2) According to the 1951 Census.</w:t>
      </w:r>
      <w:r w:rsidRPr="00381E56">
        <w:br/>
        <w:t>(3) At 12.7 per cent. of population, a basis adopted by the Ministry of Education.</w:t>
      </w:r>
      <w:r w:rsidRPr="00381E56">
        <w:br/>
        <w:t>(4) Figures furnished by the State Governments.</w:t>
      </w:r>
    </w:p>
    <w:p w14:paraId="7FA8EFF8" w14:textId="77777777" w:rsidR="00F10821" w:rsidRPr="00381E56" w:rsidRDefault="00F10821" w:rsidP="00C80318">
      <w:pPr>
        <w:shd w:val="clear" w:color="auto" w:fill="FFFFFF"/>
        <w:spacing w:after="0" w:line="390" w:lineRule="exact"/>
        <w:ind w:firstLine="567"/>
        <w:jc w:val="both"/>
        <w:rPr>
          <w:rFonts w:ascii="Times New Roman" w:hAnsi="Times New Roman" w:cs="Times New Roman"/>
          <w:sz w:val="28"/>
          <w:szCs w:val="28"/>
        </w:rPr>
      </w:pPr>
      <w:r w:rsidRPr="00381E56">
        <w:rPr>
          <w:rFonts w:ascii="Times New Roman" w:hAnsi="Times New Roman" w:cs="Times New Roman"/>
          <w:sz w:val="28"/>
          <w:szCs w:val="28"/>
        </w:rPr>
        <w:t>We consider that a modest beginning should be made in the direction of helping those States where a large leeway has to be made up and we propose that the eight States which are lowest in the table given above should be given this assistance. We have taken in each of the next four years sums rising from Rs. 150 lakhs next year to Rs. 300 lakhs in 1956-57 and we propose that these sums should be distributed among the eight States in proportion to the number of children of school-going age not attending school at present. We have provided a gradually rising figure for these grants as in our view this will assist the States in planning for the proper utilisation of the grants. On the basis of distribution suggested by us the grants-in-aid of the revenues of these States for this purpose during the next four years will be as set out below:—</w:t>
      </w:r>
    </w:p>
    <w:p w14:paraId="0F0AE925" w14:textId="77777777" w:rsidR="00F10821" w:rsidRPr="00C80318" w:rsidRDefault="00F10821" w:rsidP="002F1D1C">
      <w:pPr>
        <w:spacing w:after="0" w:line="420" w:lineRule="exact"/>
        <w:jc w:val="right"/>
        <w:rPr>
          <w:rFonts w:ascii="Times New Roman" w:hAnsi="Times New Roman" w:cs="Times New Roman"/>
          <w:i/>
          <w:iCs/>
          <w:sz w:val="28"/>
          <w:szCs w:val="28"/>
        </w:rPr>
      </w:pPr>
      <w:r w:rsidRPr="00C80318">
        <w:rPr>
          <w:rFonts w:ascii="Times New Roman" w:hAnsi="Times New Roman" w:cs="Times New Roman"/>
          <w:i/>
          <w:iCs/>
          <w:sz w:val="28"/>
          <w:szCs w:val="28"/>
        </w:rPr>
        <w:t>(In lakhs of rupees.)</w:t>
      </w:r>
    </w:p>
    <w:tbl>
      <w:tblPr>
        <w:tblStyle w:val="TableGrid"/>
        <w:tblW w:w="0" w:type="auto"/>
        <w:jc w:val="center"/>
        <w:tblLook w:val="04A0" w:firstRow="1" w:lastRow="0" w:firstColumn="1" w:lastColumn="0" w:noHBand="0" w:noVBand="1"/>
      </w:tblPr>
      <w:tblGrid>
        <w:gridCol w:w="2593"/>
        <w:gridCol w:w="1150"/>
        <w:gridCol w:w="1150"/>
        <w:gridCol w:w="1150"/>
        <w:gridCol w:w="1150"/>
      </w:tblGrid>
      <w:tr w:rsidR="00F10821" w:rsidRPr="00381E56" w14:paraId="762E20EE" w14:textId="77777777" w:rsidTr="00C80318">
        <w:trPr>
          <w:trHeight w:val="20"/>
          <w:jc w:val="center"/>
        </w:trPr>
        <w:tc>
          <w:tcPr>
            <w:tcW w:w="2593" w:type="dxa"/>
            <w:vAlign w:val="center"/>
            <w:hideMark/>
          </w:tcPr>
          <w:p w14:paraId="309EE139" w14:textId="77777777" w:rsidR="00F10821" w:rsidRPr="00C80318" w:rsidRDefault="00F10821" w:rsidP="006C1CE3">
            <w:pPr>
              <w:pStyle w:val="Tables"/>
              <w:rPr>
                <w:b/>
                <w:bCs/>
              </w:rPr>
            </w:pPr>
          </w:p>
        </w:tc>
        <w:tc>
          <w:tcPr>
            <w:tcW w:w="0" w:type="auto"/>
            <w:vAlign w:val="center"/>
            <w:hideMark/>
          </w:tcPr>
          <w:p w14:paraId="5A3304B3" w14:textId="77777777" w:rsidR="00F10821" w:rsidRPr="00C80318" w:rsidRDefault="00F10821" w:rsidP="006C1CE3">
            <w:pPr>
              <w:pStyle w:val="Tables"/>
              <w:rPr>
                <w:b/>
                <w:bCs/>
              </w:rPr>
            </w:pPr>
            <w:r w:rsidRPr="00C80318">
              <w:rPr>
                <w:b/>
                <w:bCs/>
              </w:rPr>
              <w:t>1953-54</w:t>
            </w:r>
          </w:p>
        </w:tc>
        <w:tc>
          <w:tcPr>
            <w:tcW w:w="0" w:type="auto"/>
            <w:vAlign w:val="center"/>
            <w:hideMark/>
          </w:tcPr>
          <w:p w14:paraId="72481B52" w14:textId="77777777" w:rsidR="00F10821" w:rsidRPr="00C80318" w:rsidRDefault="00F10821" w:rsidP="006C1CE3">
            <w:pPr>
              <w:pStyle w:val="Tables"/>
              <w:rPr>
                <w:b/>
                <w:bCs/>
              </w:rPr>
            </w:pPr>
            <w:r w:rsidRPr="00C80318">
              <w:rPr>
                <w:b/>
                <w:bCs/>
              </w:rPr>
              <w:t>1954-55</w:t>
            </w:r>
          </w:p>
        </w:tc>
        <w:tc>
          <w:tcPr>
            <w:tcW w:w="0" w:type="auto"/>
            <w:vAlign w:val="center"/>
            <w:hideMark/>
          </w:tcPr>
          <w:p w14:paraId="534CFFE4" w14:textId="77777777" w:rsidR="00F10821" w:rsidRPr="00C80318" w:rsidRDefault="00F10821" w:rsidP="006C1CE3">
            <w:pPr>
              <w:pStyle w:val="Tables"/>
              <w:rPr>
                <w:b/>
                <w:bCs/>
              </w:rPr>
            </w:pPr>
            <w:r w:rsidRPr="00C80318">
              <w:rPr>
                <w:b/>
                <w:bCs/>
              </w:rPr>
              <w:t>1955-56</w:t>
            </w:r>
          </w:p>
        </w:tc>
        <w:tc>
          <w:tcPr>
            <w:tcW w:w="0" w:type="auto"/>
            <w:vAlign w:val="center"/>
            <w:hideMark/>
          </w:tcPr>
          <w:p w14:paraId="4C01A545" w14:textId="77777777" w:rsidR="00F10821" w:rsidRPr="00C80318" w:rsidRDefault="00F10821" w:rsidP="006C1CE3">
            <w:pPr>
              <w:pStyle w:val="Tables"/>
              <w:rPr>
                <w:b/>
                <w:bCs/>
              </w:rPr>
            </w:pPr>
            <w:r w:rsidRPr="00C80318">
              <w:rPr>
                <w:b/>
                <w:bCs/>
              </w:rPr>
              <w:t>1956-57</w:t>
            </w:r>
          </w:p>
        </w:tc>
      </w:tr>
      <w:tr w:rsidR="00F10821" w:rsidRPr="00381E56" w14:paraId="75FBED43" w14:textId="77777777" w:rsidTr="00C80318">
        <w:trPr>
          <w:trHeight w:val="20"/>
          <w:jc w:val="center"/>
        </w:trPr>
        <w:tc>
          <w:tcPr>
            <w:tcW w:w="2593" w:type="dxa"/>
            <w:vAlign w:val="center"/>
            <w:hideMark/>
          </w:tcPr>
          <w:p w14:paraId="62B234A2" w14:textId="77777777" w:rsidR="00F10821" w:rsidRPr="00381E56" w:rsidRDefault="00F10821" w:rsidP="00C80318">
            <w:pPr>
              <w:pStyle w:val="Tables"/>
              <w:jc w:val="left"/>
            </w:pPr>
            <w:r w:rsidRPr="00381E56">
              <w:t>Bihar</w:t>
            </w:r>
          </w:p>
        </w:tc>
        <w:tc>
          <w:tcPr>
            <w:tcW w:w="0" w:type="auto"/>
            <w:vAlign w:val="center"/>
            <w:hideMark/>
          </w:tcPr>
          <w:p w14:paraId="699A1386" w14:textId="77777777" w:rsidR="00F10821" w:rsidRPr="00381E56" w:rsidRDefault="00F10821" w:rsidP="006C1CE3">
            <w:pPr>
              <w:pStyle w:val="Tables"/>
            </w:pPr>
            <w:r w:rsidRPr="00381E56">
              <w:t>41</w:t>
            </w:r>
          </w:p>
        </w:tc>
        <w:tc>
          <w:tcPr>
            <w:tcW w:w="0" w:type="auto"/>
            <w:vAlign w:val="center"/>
            <w:hideMark/>
          </w:tcPr>
          <w:p w14:paraId="56EBF25D" w14:textId="77777777" w:rsidR="00F10821" w:rsidRPr="00381E56" w:rsidRDefault="00F10821" w:rsidP="006C1CE3">
            <w:pPr>
              <w:pStyle w:val="Tables"/>
            </w:pPr>
            <w:r w:rsidRPr="00381E56">
              <w:t>55</w:t>
            </w:r>
          </w:p>
        </w:tc>
        <w:tc>
          <w:tcPr>
            <w:tcW w:w="0" w:type="auto"/>
            <w:vAlign w:val="center"/>
            <w:hideMark/>
          </w:tcPr>
          <w:p w14:paraId="34BDCF33" w14:textId="77777777" w:rsidR="00F10821" w:rsidRPr="00381E56" w:rsidRDefault="00F10821" w:rsidP="006C1CE3">
            <w:pPr>
              <w:pStyle w:val="Tables"/>
            </w:pPr>
            <w:r w:rsidRPr="00381E56">
              <w:t>69</w:t>
            </w:r>
          </w:p>
        </w:tc>
        <w:tc>
          <w:tcPr>
            <w:tcW w:w="0" w:type="auto"/>
            <w:vAlign w:val="center"/>
            <w:hideMark/>
          </w:tcPr>
          <w:p w14:paraId="70C2A334" w14:textId="77777777" w:rsidR="00F10821" w:rsidRPr="00381E56" w:rsidRDefault="00F10821" w:rsidP="006C1CE3">
            <w:pPr>
              <w:pStyle w:val="Tables"/>
            </w:pPr>
            <w:r w:rsidRPr="00381E56">
              <w:t>83</w:t>
            </w:r>
          </w:p>
        </w:tc>
      </w:tr>
      <w:tr w:rsidR="00F10821" w:rsidRPr="00381E56" w14:paraId="50192BED" w14:textId="77777777" w:rsidTr="00C80318">
        <w:trPr>
          <w:trHeight w:val="20"/>
          <w:jc w:val="center"/>
        </w:trPr>
        <w:tc>
          <w:tcPr>
            <w:tcW w:w="2593" w:type="dxa"/>
            <w:vAlign w:val="center"/>
            <w:hideMark/>
          </w:tcPr>
          <w:p w14:paraId="5CCA086B" w14:textId="77777777" w:rsidR="00F10821" w:rsidRPr="00381E56" w:rsidRDefault="00F10821" w:rsidP="00C80318">
            <w:pPr>
              <w:pStyle w:val="Tables"/>
              <w:jc w:val="left"/>
            </w:pPr>
            <w:r w:rsidRPr="00381E56">
              <w:t>Madhya Pradesh</w:t>
            </w:r>
          </w:p>
        </w:tc>
        <w:tc>
          <w:tcPr>
            <w:tcW w:w="0" w:type="auto"/>
            <w:vAlign w:val="center"/>
            <w:hideMark/>
          </w:tcPr>
          <w:p w14:paraId="4DB1CC0F" w14:textId="77777777" w:rsidR="00F10821" w:rsidRPr="00381E56" w:rsidRDefault="00F10821" w:rsidP="006C1CE3">
            <w:pPr>
              <w:pStyle w:val="Tables"/>
            </w:pPr>
            <w:r w:rsidRPr="00381E56">
              <w:t>25</w:t>
            </w:r>
          </w:p>
        </w:tc>
        <w:tc>
          <w:tcPr>
            <w:tcW w:w="0" w:type="auto"/>
            <w:vAlign w:val="center"/>
            <w:hideMark/>
          </w:tcPr>
          <w:p w14:paraId="38EE3776" w14:textId="77777777" w:rsidR="00F10821" w:rsidRPr="00381E56" w:rsidRDefault="00F10821" w:rsidP="006C1CE3">
            <w:pPr>
              <w:pStyle w:val="Tables"/>
            </w:pPr>
            <w:r w:rsidRPr="00381E56">
              <w:t>33</w:t>
            </w:r>
          </w:p>
        </w:tc>
        <w:tc>
          <w:tcPr>
            <w:tcW w:w="0" w:type="auto"/>
            <w:vAlign w:val="center"/>
            <w:hideMark/>
          </w:tcPr>
          <w:p w14:paraId="25D285CE" w14:textId="77777777" w:rsidR="00F10821" w:rsidRPr="00381E56" w:rsidRDefault="00F10821" w:rsidP="006C1CE3">
            <w:pPr>
              <w:pStyle w:val="Tables"/>
            </w:pPr>
            <w:r w:rsidRPr="00381E56">
              <w:t>42</w:t>
            </w:r>
          </w:p>
        </w:tc>
        <w:tc>
          <w:tcPr>
            <w:tcW w:w="0" w:type="auto"/>
            <w:vAlign w:val="center"/>
            <w:hideMark/>
          </w:tcPr>
          <w:p w14:paraId="186404CF" w14:textId="77777777" w:rsidR="00F10821" w:rsidRPr="00381E56" w:rsidRDefault="00F10821" w:rsidP="006C1CE3">
            <w:pPr>
              <w:pStyle w:val="Tables"/>
            </w:pPr>
            <w:r w:rsidRPr="00381E56">
              <w:t>50</w:t>
            </w:r>
          </w:p>
        </w:tc>
      </w:tr>
      <w:tr w:rsidR="00F10821" w:rsidRPr="00381E56" w14:paraId="38F2C3CD" w14:textId="77777777" w:rsidTr="00C80318">
        <w:trPr>
          <w:trHeight w:val="20"/>
          <w:jc w:val="center"/>
        </w:trPr>
        <w:tc>
          <w:tcPr>
            <w:tcW w:w="2593" w:type="dxa"/>
            <w:vAlign w:val="center"/>
            <w:hideMark/>
          </w:tcPr>
          <w:p w14:paraId="70B6FBCF" w14:textId="77777777" w:rsidR="00F10821" w:rsidRPr="00381E56" w:rsidRDefault="00F10821" w:rsidP="00C80318">
            <w:pPr>
              <w:pStyle w:val="Tables"/>
              <w:jc w:val="left"/>
            </w:pPr>
            <w:r w:rsidRPr="00381E56">
              <w:t>Hyderabad</w:t>
            </w:r>
          </w:p>
        </w:tc>
        <w:tc>
          <w:tcPr>
            <w:tcW w:w="0" w:type="auto"/>
            <w:vAlign w:val="center"/>
            <w:hideMark/>
          </w:tcPr>
          <w:p w14:paraId="36E736CD" w14:textId="77777777" w:rsidR="00F10821" w:rsidRPr="00381E56" w:rsidRDefault="00F10821" w:rsidP="006C1CE3">
            <w:pPr>
              <w:pStyle w:val="Tables"/>
            </w:pPr>
            <w:r w:rsidRPr="00381E56">
              <w:t>20</w:t>
            </w:r>
          </w:p>
        </w:tc>
        <w:tc>
          <w:tcPr>
            <w:tcW w:w="0" w:type="auto"/>
            <w:vAlign w:val="center"/>
            <w:hideMark/>
          </w:tcPr>
          <w:p w14:paraId="5F2E2106" w14:textId="77777777" w:rsidR="00F10821" w:rsidRPr="00381E56" w:rsidRDefault="00F10821" w:rsidP="006C1CE3">
            <w:pPr>
              <w:pStyle w:val="Tables"/>
            </w:pPr>
            <w:r w:rsidRPr="00381E56">
              <w:t>27</w:t>
            </w:r>
          </w:p>
        </w:tc>
        <w:tc>
          <w:tcPr>
            <w:tcW w:w="0" w:type="auto"/>
            <w:vAlign w:val="center"/>
            <w:hideMark/>
          </w:tcPr>
          <w:p w14:paraId="07B5D91F" w14:textId="77777777" w:rsidR="00F10821" w:rsidRPr="00381E56" w:rsidRDefault="00F10821" w:rsidP="006C1CE3">
            <w:pPr>
              <w:pStyle w:val="Tables"/>
            </w:pPr>
            <w:r w:rsidRPr="00381E56">
              <w:t>33</w:t>
            </w:r>
          </w:p>
        </w:tc>
        <w:tc>
          <w:tcPr>
            <w:tcW w:w="0" w:type="auto"/>
            <w:vAlign w:val="center"/>
            <w:hideMark/>
          </w:tcPr>
          <w:p w14:paraId="665729FD" w14:textId="77777777" w:rsidR="00F10821" w:rsidRPr="00381E56" w:rsidRDefault="00F10821" w:rsidP="006C1CE3">
            <w:pPr>
              <w:pStyle w:val="Tables"/>
            </w:pPr>
            <w:r w:rsidRPr="00381E56">
              <w:t>40</w:t>
            </w:r>
          </w:p>
        </w:tc>
      </w:tr>
      <w:tr w:rsidR="00F10821" w:rsidRPr="00381E56" w14:paraId="20A47AC2" w14:textId="77777777" w:rsidTr="00C80318">
        <w:trPr>
          <w:trHeight w:val="20"/>
          <w:jc w:val="center"/>
        </w:trPr>
        <w:tc>
          <w:tcPr>
            <w:tcW w:w="2593" w:type="dxa"/>
            <w:vAlign w:val="center"/>
            <w:hideMark/>
          </w:tcPr>
          <w:p w14:paraId="544E50BC" w14:textId="77777777" w:rsidR="00F10821" w:rsidRPr="00381E56" w:rsidRDefault="00F10821" w:rsidP="00C80318">
            <w:pPr>
              <w:pStyle w:val="Tables"/>
              <w:jc w:val="left"/>
            </w:pPr>
            <w:r w:rsidRPr="00381E56">
              <w:t>Rajasthan</w:t>
            </w:r>
          </w:p>
        </w:tc>
        <w:tc>
          <w:tcPr>
            <w:tcW w:w="0" w:type="auto"/>
            <w:vAlign w:val="center"/>
            <w:hideMark/>
          </w:tcPr>
          <w:p w14:paraId="5B7C1E27" w14:textId="77777777" w:rsidR="00F10821" w:rsidRPr="00381E56" w:rsidRDefault="00F10821" w:rsidP="006C1CE3">
            <w:pPr>
              <w:pStyle w:val="Tables"/>
            </w:pPr>
            <w:r w:rsidRPr="00381E56">
              <w:t>20</w:t>
            </w:r>
          </w:p>
        </w:tc>
        <w:tc>
          <w:tcPr>
            <w:tcW w:w="0" w:type="auto"/>
            <w:vAlign w:val="center"/>
            <w:hideMark/>
          </w:tcPr>
          <w:p w14:paraId="439DA08D" w14:textId="77777777" w:rsidR="00F10821" w:rsidRPr="00381E56" w:rsidRDefault="00F10821" w:rsidP="006C1CE3">
            <w:pPr>
              <w:pStyle w:val="Tables"/>
            </w:pPr>
            <w:r w:rsidRPr="00381E56">
              <w:t>26</w:t>
            </w:r>
          </w:p>
        </w:tc>
        <w:tc>
          <w:tcPr>
            <w:tcW w:w="0" w:type="auto"/>
            <w:vAlign w:val="center"/>
            <w:hideMark/>
          </w:tcPr>
          <w:p w14:paraId="112507A9" w14:textId="77777777" w:rsidR="00F10821" w:rsidRPr="00381E56" w:rsidRDefault="00F10821" w:rsidP="006C1CE3">
            <w:pPr>
              <w:pStyle w:val="Tables"/>
            </w:pPr>
            <w:r w:rsidRPr="00381E56">
              <w:t>33</w:t>
            </w:r>
          </w:p>
        </w:tc>
        <w:tc>
          <w:tcPr>
            <w:tcW w:w="0" w:type="auto"/>
            <w:vAlign w:val="center"/>
            <w:hideMark/>
          </w:tcPr>
          <w:p w14:paraId="54A387FB" w14:textId="77777777" w:rsidR="00F10821" w:rsidRPr="00381E56" w:rsidRDefault="00F10821" w:rsidP="006C1CE3">
            <w:pPr>
              <w:pStyle w:val="Tables"/>
            </w:pPr>
            <w:r w:rsidRPr="00381E56">
              <w:t>40</w:t>
            </w:r>
          </w:p>
        </w:tc>
      </w:tr>
      <w:tr w:rsidR="00F10821" w:rsidRPr="00381E56" w14:paraId="37C9CBDA" w14:textId="77777777" w:rsidTr="00C80318">
        <w:trPr>
          <w:trHeight w:val="20"/>
          <w:jc w:val="center"/>
        </w:trPr>
        <w:tc>
          <w:tcPr>
            <w:tcW w:w="2593" w:type="dxa"/>
            <w:vAlign w:val="center"/>
            <w:hideMark/>
          </w:tcPr>
          <w:p w14:paraId="61061E65" w14:textId="77777777" w:rsidR="00F10821" w:rsidRPr="00381E56" w:rsidRDefault="00F10821" w:rsidP="00C80318">
            <w:pPr>
              <w:pStyle w:val="Tables"/>
              <w:jc w:val="left"/>
            </w:pPr>
            <w:r w:rsidRPr="00381E56">
              <w:t>Orissa</w:t>
            </w:r>
          </w:p>
        </w:tc>
        <w:tc>
          <w:tcPr>
            <w:tcW w:w="0" w:type="auto"/>
            <w:vAlign w:val="center"/>
            <w:hideMark/>
          </w:tcPr>
          <w:p w14:paraId="42C8F231" w14:textId="77777777" w:rsidR="00F10821" w:rsidRPr="00381E56" w:rsidRDefault="00F10821" w:rsidP="006C1CE3">
            <w:pPr>
              <w:pStyle w:val="Tables"/>
            </w:pPr>
            <w:r w:rsidRPr="00381E56">
              <w:t>16</w:t>
            </w:r>
          </w:p>
        </w:tc>
        <w:tc>
          <w:tcPr>
            <w:tcW w:w="0" w:type="auto"/>
            <w:vAlign w:val="center"/>
            <w:hideMark/>
          </w:tcPr>
          <w:p w14:paraId="3200120D" w14:textId="77777777" w:rsidR="00F10821" w:rsidRPr="00381E56" w:rsidRDefault="00F10821" w:rsidP="006C1CE3">
            <w:pPr>
              <w:pStyle w:val="Tables"/>
            </w:pPr>
            <w:r w:rsidRPr="00381E56">
              <w:t>22</w:t>
            </w:r>
          </w:p>
        </w:tc>
        <w:tc>
          <w:tcPr>
            <w:tcW w:w="0" w:type="auto"/>
            <w:vAlign w:val="center"/>
            <w:hideMark/>
          </w:tcPr>
          <w:p w14:paraId="47C144CE" w14:textId="77777777" w:rsidR="00F10821" w:rsidRPr="00381E56" w:rsidRDefault="00F10821" w:rsidP="006C1CE3">
            <w:pPr>
              <w:pStyle w:val="Tables"/>
            </w:pPr>
            <w:r w:rsidRPr="00381E56">
              <w:t>27</w:t>
            </w:r>
          </w:p>
        </w:tc>
        <w:tc>
          <w:tcPr>
            <w:tcW w:w="0" w:type="auto"/>
            <w:vAlign w:val="center"/>
            <w:hideMark/>
          </w:tcPr>
          <w:p w14:paraId="5C7962A2" w14:textId="77777777" w:rsidR="00F10821" w:rsidRPr="00381E56" w:rsidRDefault="00F10821" w:rsidP="006C1CE3">
            <w:pPr>
              <w:pStyle w:val="Tables"/>
            </w:pPr>
            <w:r w:rsidRPr="00381E56">
              <w:t>32</w:t>
            </w:r>
          </w:p>
        </w:tc>
      </w:tr>
      <w:tr w:rsidR="00F10821" w:rsidRPr="00381E56" w14:paraId="180160CB" w14:textId="77777777" w:rsidTr="00C80318">
        <w:trPr>
          <w:trHeight w:val="20"/>
          <w:jc w:val="center"/>
        </w:trPr>
        <w:tc>
          <w:tcPr>
            <w:tcW w:w="2593" w:type="dxa"/>
            <w:vAlign w:val="center"/>
            <w:hideMark/>
          </w:tcPr>
          <w:p w14:paraId="539E2C5B" w14:textId="77777777" w:rsidR="00F10821" w:rsidRPr="00381E56" w:rsidRDefault="00F10821" w:rsidP="00C80318">
            <w:pPr>
              <w:pStyle w:val="Tables"/>
              <w:jc w:val="left"/>
            </w:pPr>
            <w:r w:rsidRPr="00381E56">
              <w:t>Punjab</w:t>
            </w:r>
          </w:p>
        </w:tc>
        <w:tc>
          <w:tcPr>
            <w:tcW w:w="0" w:type="auto"/>
            <w:vAlign w:val="center"/>
            <w:hideMark/>
          </w:tcPr>
          <w:p w14:paraId="761887CE" w14:textId="77777777" w:rsidR="00F10821" w:rsidRPr="00381E56" w:rsidRDefault="00F10821" w:rsidP="006C1CE3">
            <w:pPr>
              <w:pStyle w:val="Tables"/>
            </w:pPr>
            <w:r w:rsidRPr="00381E56">
              <w:t>14</w:t>
            </w:r>
          </w:p>
        </w:tc>
        <w:tc>
          <w:tcPr>
            <w:tcW w:w="0" w:type="auto"/>
            <w:vAlign w:val="center"/>
            <w:hideMark/>
          </w:tcPr>
          <w:p w14:paraId="261EE77E" w14:textId="77777777" w:rsidR="00F10821" w:rsidRPr="00381E56" w:rsidRDefault="00F10821" w:rsidP="006C1CE3">
            <w:pPr>
              <w:pStyle w:val="Tables"/>
            </w:pPr>
            <w:r w:rsidRPr="00381E56">
              <w:t>19</w:t>
            </w:r>
          </w:p>
        </w:tc>
        <w:tc>
          <w:tcPr>
            <w:tcW w:w="0" w:type="auto"/>
            <w:vAlign w:val="center"/>
            <w:hideMark/>
          </w:tcPr>
          <w:p w14:paraId="0AA397C8" w14:textId="77777777" w:rsidR="00F10821" w:rsidRPr="00381E56" w:rsidRDefault="00F10821" w:rsidP="006C1CE3">
            <w:pPr>
              <w:pStyle w:val="Tables"/>
            </w:pPr>
            <w:r w:rsidRPr="00381E56">
              <w:t>23</w:t>
            </w:r>
          </w:p>
        </w:tc>
        <w:tc>
          <w:tcPr>
            <w:tcW w:w="0" w:type="auto"/>
            <w:vAlign w:val="center"/>
            <w:hideMark/>
          </w:tcPr>
          <w:p w14:paraId="41028050" w14:textId="77777777" w:rsidR="00F10821" w:rsidRPr="00381E56" w:rsidRDefault="00F10821" w:rsidP="006C1CE3">
            <w:pPr>
              <w:pStyle w:val="Tables"/>
            </w:pPr>
            <w:r w:rsidRPr="00381E56">
              <w:t>28</w:t>
            </w:r>
          </w:p>
        </w:tc>
      </w:tr>
      <w:tr w:rsidR="00F10821" w:rsidRPr="00381E56" w14:paraId="4B466032" w14:textId="77777777" w:rsidTr="00C80318">
        <w:trPr>
          <w:trHeight w:val="20"/>
          <w:jc w:val="center"/>
        </w:trPr>
        <w:tc>
          <w:tcPr>
            <w:tcW w:w="2593" w:type="dxa"/>
            <w:vAlign w:val="center"/>
            <w:hideMark/>
          </w:tcPr>
          <w:p w14:paraId="07EB1C86" w14:textId="77777777" w:rsidR="00F10821" w:rsidRPr="00381E56" w:rsidRDefault="00F10821" w:rsidP="00C80318">
            <w:pPr>
              <w:pStyle w:val="Tables"/>
              <w:jc w:val="left"/>
            </w:pPr>
            <w:r w:rsidRPr="00381E56">
              <w:t>Madhya Bharat</w:t>
            </w:r>
          </w:p>
        </w:tc>
        <w:tc>
          <w:tcPr>
            <w:tcW w:w="0" w:type="auto"/>
            <w:vAlign w:val="center"/>
            <w:hideMark/>
          </w:tcPr>
          <w:p w14:paraId="61B1ECD0" w14:textId="77777777" w:rsidR="00F10821" w:rsidRPr="00381E56" w:rsidRDefault="00F10821" w:rsidP="006C1CE3">
            <w:pPr>
              <w:pStyle w:val="Tables"/>
            </w:pPr>
            <w:r w:rsidRPr="00381E56">
              <w:t>9</w:t>
            </w:r>
          </w:p>
        </w:tc>
        <w:tc>
          <w:tcPr>
            <w:tcW w:w="0" w:type="auto"/>
            <w:vAlign w:val="center"/>
            <w:hideMark/>
          </w:tcPr>
          <w:p w14:paraId="01D6C0E2" w14:textId="77777777" w:rsidR="00F10821" w:rsidRPr="00381E56" w:rsidRDefault="00F10821" w:rsidP="006C1CE3">
            <w:pPr>
              <w:pStyle w:val="Tables"/>
            </w:pPr>
            <w:r w:rsidRPr="00381E56">
              <w:t>12</w:t>
            </w:r>
          </w:p>
        </w:tc>
        <w:tc>
          <w:tcPr>
            <w:tcW w:w="0" w:type="auto"/>
            <w:vAlign w:val="center"/>
            <w:hideMark/>
          </w:tcPr>
          <w:p w14:paraId="26B23EFF" w14:textId="77777777" w:rsidR="00F10821" w:rsidRPr="00381E56" w:rsidRDefault="00F10821" w:rsidP="006C1CE3">
            <w:pPr>
              <w:pStyle w:val="Tables"/>
            </w:pPr>
            <w:r w:rsidRPr="00381E56">
              <w:t>15</w:t>
            </w:r>
          </w:p>
        </w:tc>
        <w:tc>
          <w:tcPr>
            <w:tcW w:w="0" w:type="auto"/>
            <w:vAlign w:val="center"/>
            <w:hideMark/>
          </w:tcPr>
          <w:p w14:paraId="1F278C84" w14:textId="77777777" w:rsidR="00F10821" w:rsidRPr="00381E56" w:rsidRDefault="00F10821" w:rsidP="006C1CE3">
            <w:pPr>
              <w:pStyle w:val="Tables"/>
            </w:pPr>
            <w:r w:rsidRPr="00381E56">
              <w:t>18</w:t>
            </w:r>
          </w:p>
        </w:tc>
      </w:tr>
      <w:tr w:rsidR="00F10821" w:rsidRPr="00381E56" w14:paraId="015CC410" w14:textId="77777777" w:rsidTr="00C80318">
        <w:trPr>
          <w:trHeight w:val="20"/>
          <w:jc w:val="center"/>
        </w:trPr>
        <w:tc>
          <w:tcPr>
            <w:tcW w:w="2593" w:type="dxa"/>
            <w:vAlign w:val="center"/>
            <w:hideMark/>
          </w:tcPr>
          <w:p w14:paraId="65E53980" w14:textId="77777777" w:rsidR="00F10821" w:rsidRPr="00381E56" w:rsidRDefault="00F10821" w:rsidP="00C80318">
            <w:pPr>
              <w:pStyle w:val="Tables"/>
              <w:jc w:val="left"/>
            </w:pPr>
            <w:r w:rsidRPr="00381E56">
              <w:t>Patiala and East Punjab States Union.</w:t>
            </w:r>
          </w:p>
        </w:tc>
        <w:tc>
          <w:tcPr>
            <w:tcW w:w="0" w:type="auto"/>
            <w:vAlign w:val="center"/>
            <w:hideMark/>
          </w:tcPr>
          <w:p w14:paraId="25DBCD73" w14:textId="77777777" w:rsidR="00F10821" w:rsidRPr="00381E56" w:rsidRDefault="00F10821" w:rsidP="006C1CE3">
            <w:pPr>
              <w:pStyle w:val="Tables"/>
            </w:pPr>
            <w:r w:rsidRPr="00381E56">
              <w:t>5</w:t>
            </w:r>
          </w:p>
        </w:tc>
        <w:tc>
          <w:tcPr>
            <w:tcW w:w="0" w:type="auto"/>
            <w:vAlign w:val="center"/>
            <w:hideMark/>
          </w:tcPr>
          <w:p w14:paraId="7C658878" w14:textId="77777777" w:rsidR="00F10821" w:rsidRPr="00381E56" w:rsidRDefault="00F10821" w:rsidP="006C1CE3">
            <w:pPr>
              <w:pStyle w:val="Tables"/>
            </w:pPr>
            <w:r w:rsidRPr="00381E56">
              <w:t>6</w:t>
            </w:r>
          </w:p>
        </w:tc>
        <w:tc>
          <w:tcPr>
            <w:tcW w:w="0" w:type="auto"/>
            <w:vAlign w:val="center"/>
            <w:hideMark/>
          </w:tcPr>
          <w:p w14:paraId="5E315FAC" w14:textId="77777777" w:rsidR="00F10821" w:rsidRPr="00381E56" w:rsidRDefault="00F10821" w:rsidP="006C1CE3">
            <w:pPr>
              <w:pStyle w:val="Tables"/>
            </w:pPr>
            <w:r w:rsidRPr="00381E56">
              <w:t>8</w:t>
            </w:r>
          </w:p>
        </w:tc>
        <w:tc>
          <w:tcPr>
            <w:tcW w:w="0" w:type="auto"/>
            <w:vAlign w:val="center"/>
            <w:hideMark/>
          </w:tcPr>
          <w:p w14:paraId="273041E5" w14:textId="77777777" w:rsidR="00F10821" w:rsidRPr="00381E56" w:rsidRDefault="00F10821" w:rsidP="006C1CE3">
            <w:pPr>
              <w:pStyle w:val="Tables"/>
            </w:pPr>
            <w:r w:rsidRPr="00381E56">
              <w:t>9</w:t>
            </w:r>
          </w:p>
        </w:tc>
      </w:tr>
      <w:tr w:rsidR="00F10821" w:rsidRPr="00381E56" w14:paraId="79E13803" w14:textId="77777777" w:rsidTr="00C80318">
        <w:trPr>
          <w:trHeight w:val="20"/>
          <w:jc w:val="center"/>
        </w:trPr>
        <w:tc>
          <w:tcPr>
            <w:tcW w:w="2593" w:type="dxa"/>
            <w:vAlign w:val="center"/>
            <w:hideMark/>
          </w:tcPr>
          <w:p w14:paraId="5EDA536E" w14:textId="77777777" w:rsidR="00F10821" w:rsidRPr="00381E56" w:rsidRDefault="00F10821" w:rsidP="00C80318">
            <w:pPr>
              <w:pStyle w:val="Tables"/>
              <w:jc w:val="left"/>
            </w:pPr>
            <w:r w:rsidRPr="00381E56">
              <w:t>Total</w:t>
            </w:r>
          </w:p>
        </w:tc>
        <w:tc>
          <w:tcPr>
            <w:tcW w:w="0" w:type="auto"/>
            <w:vAlign w:val="center"/>
            <w:hideMark/>
          </w:tcPr>
          <w:p w14:paraId="78BF96F3" w14:textId="77777777" w:rsidR="00F10821" w:rsidRPr="00381E56" w:rsidRDefault="00F10821" w:rsidP="006C1CE3">
            <w:pPr>
              <w:pStyle w:val="Tables"/>
            </w:pPr>
            <w:r w:rsidRPr="00381E56">
              <w:t>150</w:t>
            </w:r>
          </w:p>
        </w:tc>
        <w:tc>
          <w:tcPr>
            <w:tcW w:w="0" w:type="auto"/>
            <w:vAlign w:val="center"/>
            <w:hideMark/>
          </w:tcPr>
          <w:p w14:paraId="690ED479" w14:textId="77777777" w:rsidR="00F10821" w:rsidRPr="00381E56" w:rsidRDefault="00F10821" w:rsidP="006C1CE3">
            <w:pPr>
              <w:pStyle w:val="Tables"/>
            </w:pPr>
            <w:r w:rsidRPr="00381E56">
              <w:t>200</w:t>
            </w:r>
          </w:p>
        </w:tc>
        <w:tc>
          <w:tcPr>
            <w:tcW w:w="0" w:type="auto"/>
            <w:vAlign w:val="center"/>
            <w:hideMark/>
          </w:tcPr>
          <w:p w14:paraId="78FA0AE2" w14:textId="77777777" w:rsidR="00F10821" w:rsidRPr="00381E56" w:rsidRDefault="00F10821" w:rsidP="006C1CE3">
            <w:pPr>
              <w:pStyle w:val="Tables"/>
            </w:pPr>
            <w:r w:rsidRPr="00381E56">
              <w:t>250</w:t>
            </w:r>
          </w:p>
        </w:tc>
        <w:tc>
          <w:tcPr>
            <w:tcW w:w="0" w:type="auto"/>
            <w:vAlign w:val="center"/>
            <w:hideMark/>
          </w:tcPr>
          <w:p w14:paraId="2B8073A4" w14:textId="77777777" w:rsidR="00F10821" w:rsidRPr="00381E56" w:rsidRDefault="00F10821" w:rsidP="006C1CE3">
            <w:pPr>
              <w:pStyle w:val="Tables"/>
            </w:pPr>
            <w:r w:rsidRPr="00381E56">
              <w:t>300</w:t>
            </w:r>
          </w:p>
        </w:tc>
      </w:tr>
    </w:tbl>
    <w:p w14:paraId="502EB856" w14:textId="14CF4EB7" w:rsidR="00F10821" w:rsidRPr="00381E56" w:rsidRDefault="00F10821" w:rsidP="00C80318">
      <w:pPr>
        <w:shd w:val="clear" w:color="auto" w:fill="FFFFFF"/>
        <w:spacing w:after="0" w:line="390" w:lineRule="exact"/>
        <w:ind w:firstLine="567"/>
        <w:jc w:val="both"/>
        <w:rPr>
          <w:rFonts w:ascii="Times New Roman" w:hAnsi="Times New Roman" w:cs="Times New Roman"/>
          <w:sz w:val="28"/>
          <w:szCs w:val="28"/>
        </w:rPr>
      </w:pPr>
      <w:r w:rsidRPr="00381E56">
        <w:rPr>
          <w:rFonts w:ascii="Times New Roman" w:hAnsi="Times New Roman" w:cs="Times New Roman"/>
          <w:sz w:val="28"/>
          <w:szCs w:val="28"/>
        </w:rPr>
        <w:t>We recommend that the above grants-in-aid of the revenues be made to these States in each year for the purpose of expanding primary education. These grants-in-aid are not for itemised schemes of expenditure in any State. The State Governments would have full discretion in utilising them for the purpose for which they are intended. The extent to which the purpose of the grant-in-aid is achieved may be left to be assessed by our successors when the finances of the States concerned for this period come up for review. The actual progress achieved during this period will have to be judged on such criteria as the increase in the number of primary schools and children attending school, the conversion of ordinary primary schools into basic schools, the improvement of facilities for the training of primary school teachers and measures adopted for the reduction of wastage in regard to primary education. Annual reports about the progress achieved by these States in the expansion of primary education should be obtained and made available to the next Commission.</w:t>
      </w:r>
    </w:p>
    <w:p w14:paraId="23FAAEBD" w14:textId="04039ACF" w:rsidR="00F10821" w:rsidRPr="0003452E" w:rsidRDefault="00F10821">
      <w:pPr>
        <w:rPr>
          <w:rFonts w:ascii="Times New Roman" w:hAnsi="Times New Roman" w:cs="Times New Roman"/>
        </w:rPr>
      </w:pPr>
      <w:r w:rsidRPr="0003452E">
        <w:rPr>
          <w:rFonts w:ascii="Times New Roman" w:hAnsi="Times New Roman" w:cs="Times New Roman"/>
        </w:rPr>
        <w:br w:type="page"/>
      </w:r>
    </w:p>
    <w:p w14:paraId="12C811B3" w14:textId="5991F7A5" w:rsidR="00F10821" w:rsidRPr="0003452E" w:rsidRDefault="00F10821" w:rsidP="00C94D84">
      <w:pPr>
        <w:pStyle w:val="Heading1"/>
      </w:pPr>
      <w:bookmarkStart w:id="10" w:name="_Toc221007119"/>
      <w:r w:rsidRPr="0003452E">
        <w:lastRenderedPageBreak/>
        <w:t>CHAPTER IX</w:t>
      </w:r>
      <w:r w:rsidR="00C94D84">
        <w:t xml:space="preserve"> </w:t>
      </w:r>
      <w:r w:rsidR="00C94D84">
        <w:br/>
      </w:r>
      <w:r w:rsidRPr="0003452E">
        <w:t>SUMMARY OF RECOMMENDATIONS</w:t>
      </w:r>
      <w:bookmarkEnd w:id="10"/>
    </w:p>
    <w:p w14:paraId="696BE249" w14:textId="77777777" w:rsidR="00F10821" w:rsidRPr="00015DBB" w:rsidRDefault="00F10821" w:rsidP="00015DBB">
      <w:pPr>
        <w:spacing w:after="0" w:line="420" w:lineRule="exact"/>
        <w:jc w:val="both"/>
        <w:rPr>
          <w:rFonts w:ascii="Times New Roman" w:hAnsi="Times New Roman" w:cs="Times New Roman"/>
          <w:sz w:val="28"/>
          <w:szCs w:val="28"/>
        </w:rPr>
      </w:pPr>
      <w:r w:rsidRPr="00015DBB">
        <w:rPr>
          <w:rFonts w:ascii="Times New Roman" w:hAnsi="Times New Roman" w:cs="Times New Roman"/>
          <w:sz w:val="28"/>
          <w:szCs w:val="28"/>
        </w:rPr>
        <w:t>Our recommendations may now be summarised.</w:t>
      </w:r>
    </w:p>
    <w:p w14:paraId="6AD4FB22" w14:textId="4157A836" w:rsidR="00F10821" w:rsidRPr="00015DBB" w:rsidRDefault="00F10821" w:rsidP="00015DBB">
      <w:pPr>
        <w:pStyle w:val="ListParagraph"/>
        <w:numPr>
          <w:ilvl w:val="0"/>
          <w:numId w:val="36"/>
        </w:numPr>
        <w:spacing w:after="0" w:line="420" w:lineRule="exact"/>
        <w:jc w:val="both"/>
        <w:rPr>
          <w:rFonts w:ascii="Times New Roman" w:hAnsi="Times New Roman" w:cs="Times New Roman"/>
          <w:sz w:val="28"/>
          <w:szCs w:val="28"/>
        </w:rPr>
      </w:pPr>
      <w:r w:rsidRPr="00015DBB">
        <w:rPr>
          <w:rFonts w:ascii="Times New Roman" w:hAnsi="Times New Roman" w:cs="Times New Roman"/>
          <w:sz w:val="28"/>
          <w:szCs w:val="28"/>
        </w:rPr>
        <w:t>Under Article 270 of the Constitution—</w:t>
      </w:r>
    </w:p>
    <w:p w14:paraId="07B347C8" w14:textId="31F29902" w:rsidR="00F10821" w:rsidRPr="00015DBB" w:rsidRDefault="00F10821" w:rsidP="00015DBB">
      <w:pPr>
        <w:pStyle w:val="ListParagraph"/>
        <w:numPr>
          <w:ilvl w:val="0"/>
          <w:numId w:val="37"/>
        </w:numPr>
        <w:spacing w:after="0" w:line="420" w:lineRule="exact"/>
        <w:jc w:val="both"/>
        <w:rPr>
          <w:rFonts w:ascii="Times New Roman" w:hAnsi="Times New Roman" w:cs="Times New Roman"/>
          <w:sz w:val="28"/>
          <w:szCs w:val="28"/>
        </w:rPr>
      </w:pPr>
      <w:r w:rsidRPr="00015DBB">
        <w:rPr>
          <w:rFonts w:ascii="Times New Roman" w:hAnsi="Times New Roman" w:cs="Times New Roman"/>
          <w:sz w:val="28"/>
          <w:szCs w:val="28"/>
        </w:rPr>
        <w:t>the percentage of the net proceeds in any financial year of taxes on income, other than agricultural income, except in so far as these proceeds represent proceeds attributable to States specified in Part C of the First Schedule to the Constitution or to taxes payable in respect of Union emoluments, to be assigned to the States, should be fifty-five;</w:t>
      </w:r>
    </w:p>
    <w:p w14:paraId="03D58406" w14:textId="6619B51A" w:rsidR="00F10821" w:rsidRPr="00015DBB" w:rsidRDefault="00F10821" w:rsidP="00015DBB">
      <w:pPr>
        <w:pStyle w:val="ListParagraph"/>
        <w:numPr>
          <w:ilvl w:val="0"/>
          <w:numId w:val="37"/>
        </w:numPr>
        <w:spacing w:after="0" w:line="420" w:lineRule="exact"/>
        <w:jc w:val="both"/>
        <w:rPr>
          <w:rFonts w:ascii="Times New Roman" w:hAnsi="Times New Roman" w:cs="Times New Roman"/>
          <w:sz w:val="28"/>
          <w:szCs w:val="28"/>
        </w:rPr>
      </w:pPr>
      <w:r w:rsidRPr="00015DBB">
        <w:rPr>
          <w:rFonts w:ascii="Times New Roman" w:hAnsi="Times New Roman" w:cs="Times New Roman"/>
          <w:sz w:val="28"/>
          <w:szCs w:val="28"/>
        </w:rPr>
        <w:t>the percentage of the net proceeds of taxes on income which shall be deemed to represent proceeds attributable to States specified in Part C of the First Schedule to the Constitution should be 2</w:t>
      </w:r>
      <w:r w:rsidR="002F1D1C">
        <w:rPr>
          <w:rFonts w:ascii="Times New Roman" w:hAnsi="Times New Roman" w:cs="Times New Roman"/>
          <w:sz w:val="28"/>
          <w:szCs w:val="28"/>
        </w:rPr>
        <w:t>.</w:t>
      </w:r>
      <w:r w:rsidRPr="00015DBB">
        <w:rPr>
          <w:rFonts w:ascii="Times New Roman" w:hAnsi="Times New Roman" w:cs="Times New Roman"/>
          <w:sz w:val="28"/>
          <w:szCs w:val="28"/>
        </w:rPr>
        <w:t>75; and</w:t>
      </w:r>
    </w:p>
    <w:p w14:paraId="31368EC8" w14:textId="3A6E06DD" w:rsidR="00F10821" w:rsidRDefault="00F10821" w:rsidP="00015DBB">
      <w:pPr>
        <w:pStyle w:val="ListParagraph"/>
        <w:numPr>
          <w:ilvl w:val="0"/>
          <w:numId w:val="37"/>
        </w:numPr>
        <w:spacing w:after="0" w:line="420" w:lineRule="exact"/>
        <w:jc w:val="both"/>
        <w:rPr>
          <w:rFonts w:ascii="Times New Roman" w:hAnsi="Times New Roman" w:cs="Times New Roman"/>
          <w:sz w:val="28"/>
          <w:szCs w:val="28"/>
        </w:rPr>
      </w:pPr>
      <w:r w:rsidRPr="00015DBB">
        <w:rPr>
          <w:rFonts w:ascii="Times New Roman" w:hAnsi="Times New Roman" w:cs="Times New Roman"/>
          <w:sz w:val="28"/>
          <w:szCs w:val="28"/>
        </w:rPr>
        <w:t>the percentage share of the net proceeds of taxes on income assigned to the States should be distributed among the States as follows:—</w:t>
      </w:r>
    </w:p>
    <w:p w14:paraId="01A1308D" w14:textId="77777777" w:rsidR="00015DBB" w:rsidRPr="00015DBB" w:rsidRDefault="00015DBB" w:rsidP="00015DBB">
      <w:pPr>
        <w:spacing w:after="0" w:line="420" w:lineRule="exact"/>
        <w:jc w:val="both"/>
        <w:rPr>
          <w:rFonts w:ascii="Times New Roman" w:hAnsi="Times New Roman" w:cs="Times New Roman"/>
          <w:sz w:val="28"/>
          <w:szCs w:val="28"/>
        </w:rPr>
      </w:pPr>
    </w:p>
    <w:tbl>
      <w:tblPr>
        <w:tblStyle w:val="TableGrid"/>
        <w:tblW w:w="0" w:type="auto"/>
        <w:jc w:val="center"/>
        <w:tblLook w:val="04A0" w:firstRow="1" w:lastRow="0" w:firstColumn="1" w:lastColumn="0" w:noHBand="0" w:noVBand="1"/>
      </w:tblPr>
      <w:tblGrid>
        <w:gridCol w:w="3232"/>
        <w:gridCol w:w="1199"/>
      </w:tblGrid>
      <w:tr w:rsidR="00F10821" w:rsidRPr="00015DBB" w14:paraId="3DD9F2EC" w14:textId="77777777" w:rsidTr="00C80318">
        <w:trPr>
          <w:trHeight w:val="170"/>
          <w:jc w:val="center"/>
        </w:trPr>
        <w:tc>
          <w:tcPr>
            <w:tcW w:w="3232" w:type="dxa"/>
            <w:vAlign w:val="center"/>
            <w:hideMark/>
          </w:tcPr>
          <w:p w14:paraId="151055C4" w14:textId="77777777" w:rsidR="00F10821" w:rsidRPr="00C80318" w:rsidRDefault="00F10821" w:rsidP="00C80318">
            <w:pPr>
              <w:pStyle w:val="Tables"/>
              <w:jc w:val="left"/>
              <w:rPr>
                <w:b/>
                <w:bCs/>
              </w:rPr>
            </w:pPr>
            <w:r w:rsidRPr="00C80318">
              <w:rPr>
                <w:b/>
                <w:bCs/>
              </w:rPr>
              <w:t>State</w:t>
            </w:r>
          </w:p>
        </w:tc>
        <w:tc>
          <w:tcPr>
            <w:tcW w:w="0" w:type="auto"/>
            <w:vAlign w:val="center"/>
            <w:hideMark/>
          </w:tcPr>
          <w:p w14:paraId="2EB70224" w14:textId="77777777" w:rsidR="00F10821" w:rsidRPr="00C80318" w:rsidRDefault="00F10821" w:rsidP="00015DBB">
            <w:pPr>
              <w:pStyle w:val="Tables"/>
              <w:rPr>
                <w:b/>
                <w:bCs/>
              </w:rPr>
            </w:pPr>
            <w:r w:rsidRPr="00C80318">
              <w:rPr>
                <w:b/>
                <w:bCs/>
              </w:rPr>
              <w:t>Per cent</w:t>
            </w:r>
          </w:p>
        </w:tc>
      </w:tr>
      <w:tr w:rsidR="00F10821" w:rsidRPr="00015DBB" w14:paraId="7BBEA00A" w14:textId="77777777" w:rsidTr="00C80318">
        <w:trPr>
          <w:trHeight w:val="170"/>
          <w:jc w:val="center"/>
        </w:trPr>
        <w:tc>
          <w:tcPr>
            <w:tcW w:w="3232" w:type="dxa"/>
            <w:vAlign w:val="center"/>
            <w:hideMark/>
          </w:tcPr>
          <w:p w14:paraId="6D492B63" w14:textId="77777777" w:rsidR="00F10821" w:rsidRPr="00015DBB" w:rsidRDefault="00F10821" w:rsidP="00C80318">
            <w:pPr>
              <w:pStyle w:val="Tables"/>
              <w:jc w:val="left"/>
            </w:pPr>
            <w:r w:rsidRPr="00015DBB">
              <w:t>Assam</w:t>
            </w:r>
          </w:p>
        </w:tc>
        <w:tc>
          <w:tcPr>
            <w:tcW w:w="0" w:type="auto"/>
            <w:vAlign w:val="center"/>
            <w:hideMark/>
          </w:tcPr>
          <w:p w14:paraId="2B126522" w14:textId="204554EE" w:rsidR="00F10821" w:rsidRPr="00015DBB" w:rsidRDefault="00F10821" w:rsidP="00015DBB">
            <w:pPr>
              <w:pStyle w:val="Tables"/>
            </w:pPr>
            <w:r w:rsidRPr="00015DBB">
              <w:t>2</w:t>
            </w:r>
            <w:r w:rsidR="002F1D1C">
              <w:t>.</w:t>
            </w:r>
            <w:r w:rsidRPr="00015DBB">
              <w:t>25</w:t>
            </w:r>
          </w:p>
        </w:tc>
      </w:tr>
      <w:tr w:rsidR="00F10821" w:rsidRPr="00015DBB" w14:paraId="73428B0A" w14:textId="77777777" w:rsidTr="00C80318">
        <w:trPr>
          <w:trHeight w:val="170"/>
          <w:jc w:val="center"/>
        </w:trPr>
        <w:tc>
          <w:tcPr>
            <w:tcW w:w="3232" w:type="dxa"/>
            <w:vAlign w:val="center"/>
            <w:hideMark/>
          </w:tcPr>
          <w:p w14:paraId="5B0EA5E7" w14:textId="77777777" w:rsidR="00F10821" w:rsidRPr="00015DBB" w:rsidRDefault="00F10821" w:rsidP="00C80318">
            <w:pPr>
              <w:pStyle w:val="Tables"/>
              <w:jc w:val="left"/>
            </w:pPr>
            <w:r w:rsidRPr="00015DBB">
              <w:t>Bihar</w:t>
            </w:r>
          </w:p>
        </w:tc>
        <w:tc>
          <w:tcPr>
            <w:tcW w:w="0" w:type="auto"/>
            <w:vAlign w:val="center"/>
            <w:hideMark/>
          </w:tcPr>
          <w:p w14:paraId="5BFF7BF0" w14:textId="5D4282FF" w:rsidR="00F10821" w:rsidRPr="00015DBB" w:rsidRDefault="00F10821" w:rsidP="00015DBB">
            <w:pPr>
              <w:pStyle w:val="Tables"/>
            </w:pPr>
            <w:r w:rsidRPr="00015DBB">
              <w:t>9</w:t>
            </w:r>
            <w:r w:rsidR="002F1D1C">
              <w:t>.</w:t>
            </w:r>
            <w:r w:rsidRPr="00015DBB">
              <w:t>75</w:t>
            </w:r>
          </w:p>
        </w:tc>
      </w:tr>
      <w:tr w:rsidR="00F10821" w:rsidRPr="00015DBB" w14:paraId="4919216A" w14:textId="77777777" w:rsidTr="00C80318">
        <w:trPr>
          <w:trHeight w:val="170"/>
          <w:jc w:val="center"/>
        </w:trPr>
        <w:tc>
          <w:tcPr>
            <w:tcW w:w="3232" w:type="dxa"/>
            <w:vAlign w:val="center"/>
            <w:hideMark/>
          </w:tcPr>
          <w:p w14:paraId="5ADCEB34" w14:textId="77777777" w:rsidR="00F10821" w:rsidRPr="00015DBB" w:rsidRDefault="00F10821" w:rsidP="00C80318">
            <w:pPr>
              <w:pStyle w:val="Tables"/>
              <w:jc w:val="left"/>
            </w:pPr>
            <w:r w:rsidRPr="00015DBB">
              <w:t>Bombay</w:t>
            </w:r>
          </w:p>
        </w:tc>
        <w:tc>
          <w:tcPr>
            <w:tcW w:w="0" w:type="auto"/>
            <w:vAlign w:val="center"/>
            <w:hideMark/>
          </w:tcPr>
          <w:p w14:paraId="68380B5F" w14:textId="3DAA03E8" w:rsidR="00F10821" w:rsidRPr="00015DBB" w:rsidRDefault="00F10821" w:rsidP="00015DBB">
            <w:pPr>
              <w:pStyle w:val="Tables"/>
            </w:pPr>
            <w:r w:rsidRPr="00015DBB">
              <w:t>17</w:t>
            </w:r>
            <w:r w:rsidR="002F1D1C">
              <w:t>.</w:t>
            </w:r>
            <w:r w:rsidRPr="00015DBB">
              <w:t>50</w:t>
            </w:r>
          </w:p>
        </w:tc>
      </w:tr>
      <w:tr w:rsidR="00F10821" w:rsidRPr="00015DBB" w14:paraId="40856701" w14:textId="77777777" w:rsidTr="00C80318">
        <w:trPr>
          <w:trHeight w:val="170"/>
          <w:jc w:val="center"/>
        </w:trPr>
        <w:tc>
          <w:tcPr>
            <w:tcW w:w="3232" w:type="dxa"/>
            <w:vAlign w:val="center"/>
            <w:hideMark/>
          </w:tcPr>
          <w:p w14:paraId="6423BA8B" w14:textId="77777777" w:rsidR="00F10821" w:rsidRPr="00015DBB" w:rsidRDefault="00F10821" w:rsidP="00C80318">
            <w:pPr>
              <w:pStyle w:val="Tables"/>
              <w:jc w:val="left"/>
            </w:pPr>
            <w:r w:rsidRPr="00015DBB">
              <w:t>Hyderabad</w:t>
            </w:r>
          </w:p>
        </w:tc>
        <w:tc>
          <w:tcPr>
            <w:tcW w:w="0" w:type="auto"/>
            <w:vAlign w:val="center"/>
            <w:hideMark/>
          </w:tcPr>
          <w:p w14:paraId="49B85AEF" w14:textId="374EC5E7" w:rsidR="00F10821" w:rsidRPr="00015DBB" w:rsidRDefault="00F10821" w:rsidP="00015DBB">
            <w:pPr>
              <w:pStyle w:val="Tables"/>
            </w:pPr>
            <w:r w:rsidRPr="00015DBB">
              <w:t>4</w:t>
            </w:r>
            <w:r w:rsidR="002F1D1C">
              <w:t>.</w:t>
            </w:r>
            <w:r w:rsidRPr="00015DBB">
              <w:t>50</w:t>
            </w:r>
          </w:p>
        </w:tc>
      </w:tr>
      <w:tr w:rsidR="00F10821" w:rsidRPr="00015DBB" w14:paraId="686E16E6" w14:textId="77777777" w:rsidTr="00C80318">
        <w:trPr>
          <w:trHeight w:val="170"/>
          <w:jc w:val="center"/>
        </w:trPr>
        <w:tc>
          <w:tcPr>
            <w:tcW w:w="3232" w:type="dxa"/>
            <w:vAlign w:val="center"/>
            <w:hideMark/>
          </w:tcPr>
          <w:p w14:paraId="58CD6595" w14:textId="77777777" w:rsidR="00F10821" w:rsidRPr="00015DBB" w:rsidRDefault="00F10821" w:rsidP="00C80318">
            <w:pPr>
              <w:pStyle w:val="Tables"/>
              <w:jc w:val="left"/>
            </w:pPr>
            <w:r w:rsidRPr="00015DBB">
              <w:t>Madhya Bharat</w:t>
            </w:r>
          </w:p>
        </w:tc>
        <w:tc>
          <w:tcPr>
            <w:tcW w:w="0" w:type="auto"/>
            <w:vAlign w:val="center"/>
            <w:hideMark/>
          </w:tcPr>
          <w:p w14:paraId="5ABEE543" w14:textId="1400274F" w:rsidR="00F10821" w:rsidRPr="00015DBB" w:rsidRDefault="00F10821" w:rsidP="00015DBB">
            <w:pPr>
              <w:pStyle w:val="Tables"/>
            </w:pPr>
            <w:r w:rsidRPr="00015DBB">
              <w:t>1</w:t>
            </w:r>
            <w:r w:rsidR="002F1D1C">
              <w:t>.</w:t>
            </w:r>
            <w:r w:rsidRPr="00015DBB">
              <w:t>75</w:t>
            </w:r>
          </w:p>
        </w:tc>
      </w:tr>
      <w:tr w:rsidR="00F10821" w:rsidRPr="00015DBB" w14:paraId="49A4CA29" w14:textId="77777777" w:rsidTr="00C80318">
        <w:trPr>
          <w:trHeight w:val="170"/>
          <w:jc w:val="center"/>
        </w:trPr>
        <w:tc>
          <w:tcPr>
            <w:tcW w:w="3232" w:type="dxa"/>
            <w:vAlign w:val="center"/>
            <w:hideMark/>
          </w:tcPr>
          <w:p w14:paraId="62717468" w14:textId="77777777" w:rsidR="00F10821" w:rsidRPr="00015DBB" w:rsidRDefault="00F10821" w:rsidP="00C80318">
            <w:pPr>
              <w:pStyle w:val="Tables"/>
              <w:jc w:val="left"/>
            </w:pPr>
            <w:r w:rsidRPr="00015DBB">
              <w:t>Madhya Pradesh</w:t>
            </w:r>
          </w:p>
        </w:tc>
        <w:tc>
          <w:tcPr>
            <w:tcW w:w="0" w:type="auto"/>
            <w:vAlign w:val="center"/>
            <w:hideMark/>
          </w:tcPr>
          <w:p w14:paraId="358BA77A" w14:textId="04882CD0" w:rsidR="00F10821" w:rsidRPr="00015DBB" w:rsidRDefault="00F10821" w:rsidP="00015DBB">
            <w:pPr>
              <w:pStyle w:val="Tables"/>
            </w:pPr>
            <w:r w:rsidRPr="00015DBB">
              <w:t>5</w:t>
            </w:r>
            <w:r w:rsidR="002F1D1C">
              <w:t>.</w:t>
            </w:r>
            <w:r w:rsidRPr="00015DBB">
              <w:t>25</w:t>
            </w:r>
          </w:p>
        </w:tc>
      </w:tr>
      <w:tr w:rsidR="00F10821" w:rsidRPr="00015DBB" w14:paraId="078BBD4B" w14:textId="77777777" w:rsidTr="00C80318">
        <w:trPr>
          <w:trHeight w:val="170"/>
          <w:jc w:val="center"/>
        </w:trPr>
        <w:tc>
          <w:tcPr>
            <w:tcW w:w="3232" w:type="dxa"/>
            <w:vAlign w:val="center"/>
            <w:hideMark/>
          </w:tcPr>
          <w:p w14:paraId="51EC74BD" w14:textId="77777777" w:rsidR="00F10821" w:rsidRPr="00015DBB" w:rsidRDefault="00F10821" w:rsidP="00C80318">
            <w:pPr>
              <w:pStyle w:val="Tables"/>
              <w:jc w:val="left"/>
            </w:pPr>
            <w:r w:rsidRPr="00015DBB">
              <w:t>Madras</w:t>
            </w:r>
          </w:p>
        </w:tc>
        <w:tc>
          <w:tcPr>
            <w:tcW w:w="0" w:type="auto"/>
            <w:vAlign w:val="center"/>
            <w:hideMark/>
          </w:tcPr>
          <w:p w14:paraId="77475B70" w14:textId="67FAA640" w:rsidR="00F10821" w:rsidRPr="00015DBB" w:rsidRDefault="00F10821" w:rsidP="00015DBB">
            <w:pPr>
              <w:pStyle w:val="Tables"/>
            </w:pPr>
            <w:r w:rsidRPr="00015DBB">
              <w:t>15</w:t>
            </w:r>
            <w:r w:rsidR="002F1D1C">
              <w:t>.</w:t>
            </w:r>
            <w:r w:rsidRPr="00015DBB">
              <w:t>25</w:t>
            </w:r>
          </w:p>
        </w:tc>
      </w:tr>
      <w:tr w:rsidR="00F10821" w:rsidRPr="00015DBB" w14:paraId="4AAB5B12" w14:textId="77777777" w:rsidTr="00C80318">
        <w:trPr>
          <w:trHeight w:val="170"/>
          <w:jc w:val="center"/>
        </w:trPr>
        <w:tc>
          <w:tcPr>
            <w:tcW w:w="3232" w:type="dxa"/>
            <w:vAlign w:val="center"/>
            <w:hideMark/>
          </w:tcPr>
          <w:p w14:paraId="16E9A56A" w14:textId="77777777" w:rsidR="00F10821" w:rsidRPr="00015DBB" w:rsidRDefault="00F10821" w:rsidP="00C80318">
            <w:pPr>
              <w:pStyle w:val="Tables"/>
              <w:jc w:val="left"/>
            </w:pPr>
            <w:r w:rsidRPr="00015DBB">
              <w:t>Mysore</w:t>
            </w:r>
          </w:p>
        </w:tc>
        <w:tc>
          <w:tcPr>
            <w:tcW w:w="0" w:type="auto"/>
            <w:vAlign w:val="center"/>
            <w:hideMark/>
          </w:tcPr>
          <w:p w14:paraId="1C7B8BB5" w14:textId="56AFE978" w:rsidR="00F10821" w:rsidRPr="00015DBB" w:rsidRDefault="00F10821" w:rsidP="00015DBB">
            <w:pPr>
              <w:pStyle w:val="Tables"/>
            </w:pPr>
            <w:r w:rsidRPr="00015DBB">
              <w:t>2</w:t>
            </w:r>
            <w:r w:rsidR="002F1D1C">
              <w:t>.</w:t>
            </w:r>
            <w:r w:rsidRPr="00015DBB">
              <w:t>25</w:t>
            </w:r>
          </w:p>
        </w:tc>
      </w:tr>
      <w:tr w:rsidR="00F10821" w:rsidRPr="00015DBB" w14:paraId="3391E6AE" w14:textId="77777777" w:rsidTr="00C80318">
        <w:trPr>
          <w:trHeight w:val="170"/>
          <w:jc w:val="center"/>
        </w:trPr>
        <w:tc>
          <w:tcPr>
            <w:tcW w:w="3232" w:type="dxa"/>
            <w:vAlign w:val="center"/>
            <w:hideMark/>
          </w:tcPr>
          <w:p w14:paraId="2AD1A3D9" w14:textId="77777777" w:rsidR="00F10821" w:rsidRPr="00015DBB" w:rsidRDefault="00F10821" w:rsidP="00C80318">
            <w:pPr>
              <w:pStyle w:val="Tables"/>
              <w:jc w:val="left"/>
            </w:pPr>
            <w:r w:rsidRPr="00015DBB">
              <w:t>Orissa</w:t>
            </w:r>
          </w:p>
        </w:tc>
        <w:tc>
          <w:tcPr>
            <w:tcW w:w="0" w:type="auto"/>
            <w:vAlign w:val="center"/>
            <w:hideMark/>
          </w:tcPr>
          <w:p w14:paraId="47877B4C" w14:textId="4E3D0F91" w:rsidR="00F10821" w:rsidRPr="00015DBB" w:rsidRDefault="00F10821" w:rsidP="00015DBB">
            <w:pPr>
              <w:pStyle w:val="Tables"/>
            </w:pPr>
            <w:r w:rsidRPr="00015DBB">
              <w:t>3</w:t>
            </w:r>
            <w:r w:rsidR="002F1D1C">
              <w:t>.</w:t>
            </w:r>
            <w:r w:rsidRPr="00015DBB">
              <w:t>50</w:t>
            </w:r>
          </w:p>
        </w:tc>
      </w:tr>
      <w:tr w:rsidR="00F10821" w:rsidRPr="00015DBB" w14:paraId="2195923C" w14:textId="77777777" w:rsidTr="00C80318">
        <w:trPr>
          <w:trHeight w:val="170"/>
          <w:jc w:val="center"/>
        </w:trPr>
        <w:tc>
          <w:tcPr>
            <w:tcW w:w="3232" w:type="dxa"/>
            <w:vAlign w:val="center"/>
            <w:hideMark/>
          </w:tcPr>
          <w:p w14:paraId="7F4B7367" w14:textId="77777777" w:rsidR="00F10821" w:rsidRPr="00015DBB" w:rsidRDefault="00F10821" w:rsidP="00C80318">
            <w:pPr>
              <w:pStyle w:val="Tables"/>
              <w:jc w:val="left"/>
            </w:pPr>
            <w:r w:rsidRPr="00015DBB">
              <w:t>Patiala and East Punjab States Union</w:t>
            </w:r>
          </w:p>
        </w:tc>
        <w:tc>
          <w:tcPr>
            <w:tcW w:w="0" w:type="auto"/>
            <w:vAlign w:val="center"/>
            <w:hideMark/>
          </w:tcPr>
          <w:p w14:paraId="0C974097" w14:textId="4B5028C3" w:rsidR="00F10821" w:rsidRPr="00015DBB" w:rsidRDefault="00F10821" w:rsidP="00015DBB">
            <w:pPr>
              <w:pStyle w:val="Tables"/>
            </w:pPr>
            <w:r w:rsidRPr="00015DBB">
              <w:t>0</w:t>
            </w:r>
            <w:r w:rsidR="002F1D1C">
              <w:t>.</w:t>
            </w:r>
            <w:r w:rsidRPr="00015DBB">
              <w:t>75</w:t>
            </w:r>
          </w:p>
        </w:tc>
      </w:tr>
      <w:tr w:rsidR="00F10821" w:rsidRPr="00015DBB" w14:paraId="3BB1C396" w14:textId="77777777" w:rsidTr="00C80318">
        <w:trPr>
          <w:trHeight w:val="170"/>
          <w:jc w:val="center"/>
        </w:trPr>
        <w:tc>
          <w:tcPr>
            <w:tcW w:w="3232" w:type="dxa"/>
            <w:vAlign w:val="center"/>
            <w:hideMark/>
          </w:tcPr>
          <w:p w14:paraId="0217D62D" w14:textId="77777777" w:rsidR="00F10821" w:rsidRPr="00015DBB" w:rsidRDefault="00F10821" w:rsidP="00C80318">
            <w:pPr>
              <w:pStyle w:val="Tables"/>
              <w:jc w:val="left"/>
            </w:pPr>
            <w:r w:rsidRPr="00015DBB">
              <w:t>Punjab</w:t>
            </w:r>
          </w:p>
        </w:tc>
        <w:tc>
          <w:tcPr>
            <w:tcW w:w="0" w:type="auto"/>
            <w:vAlign w:val="center"/>
            <w:hideMark/>
          </w:tcPr>
          <w:p w14:paraId="67802FAC" w14:textId="55867D33" w:rsidR="00F10821" w:rsidRPr="00015DBB" w:rsidRDefault="00F10821" w:rsidP="00015DBB">
            <w:pPr>
              <w:pStyle w:val="Tables"/>
            </w:pPr>
            <w:r w:rsidRPr="00015DBB">
              <w:t>3</w:t>
            </w:r>
            <w:r w:rsidR="002F1D1C">
              <w:t>.</w:t>
            </w:r>
            <w:r w:rsidRPr="00015DBB">
              <w:t>25</w:t>
            </w:r>
          </w:p>
        </w:tc>
      </w:tr>
      <w:tr w:rsidR="00F10821" w:rsidRPr="00015DBB" w14:paraId="10488CA9" w14:textId="77777777" w:rsidTr="00C80318">
        <w:trPr>
          <w:trHeight w:val="170"/>
          <w:jc w:val="center"/>
        </w:trPr>
        <w:tc>
          <w:tcPr>
            <w:tcW w:w="3232" w:type="dxa"/>
            <w:vAlign w:val="center"/>
            <w:hideMark/>
          </w:tcPr>
          <w:p w14:paraId="2DA923C4" w14:textId="77777777" w:rsidR="00F10821" w:rsidRPr="00015DBB" w:rsidRDefault="00F10821" w:rsidP="00C80318">
            <w:pPr>
              <w:pStyle w:val="Tables"/>
              <w:jc w:val="left"/>
            </w:pPr>
            <w:r w:rsidRPr="00015DBB">
              <w:t>Rajasthan</w:t>
            </w:r>
          </w:p>
        </w:tc>
        <w:tc>
          <w:tcPr>
            <w:tcW w:w="0" w:type="auto"/>
            <w:vAlign w:val="center"/>
            <w:hideMark/>
          </w:tcPr>
          <w:p w14:paraId="4CCDDA9D" w14:textId="33B3E9B2" w:rsidR="00F10821" w:rsidRPr="00015DBB" w:rsidRDefault="00F10821" w:rsidP="00015DBB">
            <w:pPr>
              <w:pStyle w:val="Tables"/>
            </w:pPr>
            <w:r w:rsidRPr="00015DBB">
              <w:t>3</w:t>
            </w:r>
            <w:r w:rsidR="002F1D1C">
              <w:t>.</w:t>
            </w:r>
            <w:r w:rsidRPr="00015DBB">
              <w:t>50</w:t>
            </w:r>
          </w:p>
        </w:tc>
      </w:tr>
      <w:tr w:rsidR="00F10821" w:rsidRPr="00015DBB" w14:paraId="57391925" w14:textId="77777777" w:rsidTr="00C80318">
        <w:trPr>
          <w:trHeight w:val="170"/>
          <w:jc w:val="center"/>
        </w:trPr>
        <w:tc>
          <w:tcPr>
            <w:tcW w:w="3232" w:type="dxa"/>
            <w:vAlign w:val="center"/>
            <w:hideMark/>
          </w:tcPr>
          <w:p w14:paraId="4A48D7C8" w14:textId="77777777" w:rsidR="00F10821" w:rsidRPr="00015DBB" w:rsidRDefault="00F10821" w:rsidP="00C80318">
            <w:pPr>
              <w:pStyle w:val="Tables"/>
              <w:jc w:val="left"/>
            </w:pPr>
            <w:r w:rsidRPr="00015DBB">
              <w:t>Saurashtra</w:t>
            </w:r>
          </w:p>
        </w:tc>
        <w:tc>
          <w:tcPr>
            <w:tcW w:w="0" w:type="auto"/>
            <w:vAlign w:val="center"/>
            <w:hideMark/>
          </w:tcPr>
          <w:p w14:paraId="678AE9D2" w14:textId="17A9D0EB" w:rsidR="00F10821" w:rsidRPr="00015DBB" w:rsidRDefault="00F10821" w:rsidP="00015DBB">
            <w:pPr>
              <w:pStyle w:val="Tables"/>
            </w:pPr>
            <w:r w:rsidRPr="00015DBB">
              <w:t>1</w:t>
            </w:r>
            <w:r w:rsidR="002F1D1C">
              <w:t>.</w:t>
            </w:r>
            <w:r w:rsidRPr="00015DBB">
              <w:t>00</w:t>
            </w:r>
          </w:p>
        </w:tc>
      </w:tr>
      <w:tr w:rsidR="00F10821" w:rsidRPr="00015DBB" w14:paraId="20E5134E" w14:textId="77777777" w:rsidTr="00C80318">
        <w:trPr>
          <w:trHeight w:val="170"/>
          <w:jc w:val="center"/>
        </w:trPr>
        <w:tc>
          <w:tcPr>
            <w:tcW w:w="3232" w:type="dxa"/>
            <w:vAlign w:val="center"/>
            <w:hideMark/>
          </w:tcPr>
          <w:p w14:paraId="448683F2" w14:textId="77777777" w:rsidR="00F10821" w:rsidRPr="00015DBB" w:rsidRDefault="00F10821" w:rsidP="00C80318">
            <w:pPr>
              <w:pStyle w:val="Tables"/>
              <w:jc w:val="left"/>
            </w:pPr>
            <w:r w:rsidRPr="00015DBB">
              <w:t>Travancore-Cochin</w:t>
            </w:r>
          </w:p>
        </w:tc>
        <w:tc>
          <w:tcPr>
            <w:tcW w:w="0" w:type="auto"/>
            <w:vAlign w:val="center"/>
            <w:hideMark/>
          </w:tcPr>
          <w:p w14:paraId="7780BD24" w14:textId="3DBF4B47" w:rsidR="00F10821" w:rsidRPr="00015DBB" w:rsidRDefault="00F10821" w:rsidP="00015DBB">
            <w:pPr>
              <w:pStyle w:val="Tables"/>
            </w:pPr>
            <w:r w:rsidRPr="00015DBB">
              <w:t>2</w:t>
            </w:r>
            <w:r w:rsidR="002F1D1C">
              <w:t>.</w:t>
            </w:r>
            <w:r w:rsidRPr="00015DBB">
              <w:t>50</w:t>
            </w:r>
          </w:p>
        </w:tc>
      </w:tr>
      <w:tr w:rsidR="00F10821" w:rsidRPr="00015DBB" w14:paraId="4CAC945F" w14:textId="77777777" w:rsidTr="00C80318">
        <w:trPr>
          <w:trHeight w:val="170"/>
          <w:jc w:val="center"/>
        </w:trPr>
        <w:tc>
          <w:tcPr>
            <w:tcW w:w="3232" w:type="dxa"/>
            <w:vAlign w:val="center"/>
            <w:hideMark/>
          </w:tcPr>
          <w:p w14:paraId="0F224951" w14:textId="77777777" w:rsidR="00F10821" w:rsidRPr="00015DBB" w:rsidRDefault="00F10821" w:rsidP="00C80318">
            <w:pPr>
              <w:pStyle w:val="Tables"/>
              <w:jc w:val="left"/>
            </w:pPr>
            <w:r w:rsidRPr="00015DBB">
              <w:t>Uttar Pradesh</w:t>
            </w:r>
          </w:p>
        </w:tc>
        <w:tc>
          <w:tcPr>
            <w:tcW w:w="0" w:type="auto"/>
            <w:vAlign w:val="center"/>
            <w:hideMark/>
          </w:tcPr>
          <w:p w14:paraId="316361D2" w14:textId="1822F7AB" w:rsidR="00F10821" w:rsidRPr="00015DBB" w:rsidRDefault="00F10821" w:rsidP="00015DBB">
            <w:pPr>
              <w:pStyle w:val="Tables"/>
            </w:pPr>
            <w:r w:rsidRPr="00015DBB">
              <w:t>15</w:t>
            </w:r>
            <w:r w:rsidR="002F1D1C">
              <w:t>.</w:t>
            </w:r>
            <w:r w:rsidRPr="00015DBB">
              <w:t>75</w:t>
            </w:r>
          </w:p>
        </w:tc>
      </w:tr>
      <w:tr w:rsidR="00F10821" w:rsidRPr="00015DBB" w14:paraId="106EBD71" w14:textId="77777777" w:rsidTr="00C80318">
        <w:trPr>
          <w:trHeight w:val="170"/>
          <w:jc w:val="center"/>
        </w:trPr>
        <w:tc>
          <w:tcPr>
            <w:tcW w:w="3232" w:type="dxa"/>
            <w:vAlign w:val="center"/>
            <w:hideMark/>
          </w:tcPr>
          <w:p w14:paraId="13C4ED9C" w14:textId="77777777" w:rsidR="00F10821" w:rsidRPr="00015DBB" w:rsidRDefault="00F10821" w:rsidP="00C80318">
            <w:pPr>
              <w:pStyle w:val="Tables"/>
              <w:jc w:val="left"/>
            </w:pPr>
            <w:r w:rsidRPr="00015DBB">
              <w:t>West Bengal</w:t>
            </w:r>
          </w:p>
        </w:tc>
        <w:tc>
          <w:tcPr>
            <w:tcW w:w="0" w:type="auto"/>
            <w:vAlign w:val="center"/>
            <w:hideMark/>
          </w:tcPr>
          <w:p w14:paraId="04DC3F22" w14:textId="348FDC7F" w:rsidR="00F10821" w:rsidRPr="00015DBB" w:rsidRDefault="00F10821" w:rsidP="00015DBB">
            <w:pPr>
              <w:pStyle w:val="Tables"/>
            </w:pPr>
            <w:r w:rsidRPr="00015DBB">
              <w:t>11</w:t>
            </w:r>
            <w:r w:rsidR="002F1D1C">
              <w:t>.</w:t>
            </w:r>
            <w:r w:rsidRPr="00015DBB">
              <w:t>25</w:t>
            </w:r>
          </w:p>
        </w:tc>
      </w:tr>
    </w:tbl>
    <w:p w14:paraId="61561980" w14:textId="5057799E" w:rsidR="00E85DE7" w:rsidRPr="00015DBB" w:rsidRDefault="00E85DE7" w:rsidP="00015DBB">
      <w:pPr>
        <w:spacing w:after="0" w:line="420" w:lineRule="exact"/>
        <w:jc w:val="both"/>
        <w:rPr>
          <w:rFonts w:ascii="Times New Roman" w:hAnsi="Times New Roman" w:cs="Times New Roman"/>
          <w:sz w:val="28"/>
          <w:szCs w:val="28"/>
        </w:rPr>
      </w:pPr>
    </w:p>
    <w:p w14:paraId="46E19317" w14:textId="77777777" w:rsidR="00E85DE7" w:rsidRPr="00015DBB" w:rsidRDefault="00E85DE7" w:rsidP="00015DBB">
      <w:pPr>
        <w:spacing w:after="0" w:line="420" w:lineRule="exact"/>
        <w:jc w:val="both"/>
        <w:rPr>
          <w:rFonts w:ascii="Times New Roman" w:hAnsi="Times New Roman" w:cs="Times New Roman"/>
          <w:sz w:val="28"/>
          <w:szCs w:val="28"/>
        </w:rPr>
      </w:pPr>
      <w:r w:rsidRPr="00015DBB">
        <w:rPr>
          <w:rFonts w:ascii="Times New Roman" w:hAnsi="Times New Roman" w:cs="Times New Roman"/>
          <w:sz w:val="28"/>
          <w:szCs w:val="28"/>
        </w:rPr>
        <w:br w:type="page"/>
      </w:r>
    </w:p>
    <w:p w14:paraId="155AF705" w14:textId="05085DA8" w:rsidR="00E85DE7" w:rsidRDefault="00E85DE7" w:rsidP="00015DBB">
      <w:pPr>
        <w:pStyle w:val="ListParagraph"/>
        <w:numPr>
          <w:ilvl w:val="0"/>
          <w:numId w:val="36"/>
        </w:numPr>
        <w:spacing w:after="0" w:line="420" w:lineRule="exact"/>
        <w:jc w:val="both"/>
        <w:rPr>
          <w:rFonts w:ascii="Times New Roman" w:hAnsi="Times New Roman" w:cs="Times New Roman"/>
          <w:sz w:val="28"/>
          <w:szCs w:val="28"/>
        </w:rPr>
      </w:pPr>
      <w:r w:rsidRPr="00015DBB">
        <w:rPr>
          <w:rFonts w:ascii="Times New Roman" w:hAnsi="Times New Roman" w:cs="Times New Roman"/>
          <w:sz w:val="28"/>
          <w:szCs w:val="28"/>
        </w:rPr>
        <w:lastRenderedPageBreak/>
        <w:t>Under Article 272 of the Constitution forty per cent of the net proceeds of Union duties of excise on tobacco (including cigars, cigarettes, etc.), matches and vegetable products should be distributed among the States in Part A and Part B of the First Schedule, except the State of Jammu and Kashmir, in proportion to their population according to the 1951 census. The shares of the States will on this basis be:</w:t>
      </w:r>
    </w:p>
    <w:p w14:paraId="33C53867" w14:textId="77777777" w:rsidR="00015DBB" w:rsidRPr="00015DBB" w:rsidRDefault="00015DBB" w:rsidP="00015DBB">
      <w:pPr>
        <w:pStyle w:val="ListParagraph"/>
        <w:spacing w:after="0" w:line="420" w:lineRule="exact"/>
        <w:jc w:val="both"/>
        <w:rPr>
          <w:rFonts w:ascii="Times New Roman" w:hAnsi="Times New Roman" w:cs="Times New Roman"/>
          <w:sz w:val="28"/>
          <w:szCs w:val="28"/>
        </w:rPr>
      </w:pPr>
    </w:p>
    <w:tbl>
      <w:tblPr>
        <w:tblStyle w:val="TableGrid"/>
        <w:tblW w:w="0" w:type="auto"/>
        <w:jc w:val="center"/>
        <w:tblLook w:val="04A0" w:firstRow="1" w:lastRow="0" w:firstColumn="1" w:lastColumn="0" w:noHBand="0" w:noVBand="1"/>
      </w:tblPr>
      <w:tblGrid>
        <w:gridCol w:w="4361"/>
        <w:gridCol w:w="1199"/>
      </w:tblGrid>
      <w:tr w:rsidR="00E85DE7" w:rsidRPr="00015DBB" w14:paraId="7C9BCBC1" w14:textId="77777777" w:rsidTr="00015DBB">
        <w:trPr>
          <w:trHeight w:val="113"/>
          <w:jc w:val="center"/>
        </w:trPr>
        <w:tc>
          <w:tcPr>
            <w:tcW w:w="0" w:type="auto"/>
            <w:vAlign w:val="center"/>
            <w:hideMark/>
          </w:tcPr>
          <w:p w14:paraId="5DC3297F" w14:textId="77777777" w:rsidR="00E85DE7" w:rsidRPr="00C80318" w:rsidRDefault="00E85DE7" w:rsidP="00015DBB">
            <w:pPr>
              <w:pStyle w:val="Tables"/>
              <w:rPr>
                <w:b/>
                <w:bCs/>
              </w:rPr>
            </w:pPr>
            <w:r w:rsidRPr="00C80318">
              <w:rPr>
                <w:b/>
                <w:bCs/>
              </w:rPr>
              <w:t>State</w:t>
            </w:r>
          </w:p>
        </w:tc>
        <w:tc>
          <w:tcPr>
            <w:tcW w:w="0" w:type="auto"/>
            <w:vAlign w:val="center"/>
            <w:hideMark/>
          </w:tcPr>
          <w:p w14:paraId="231BCD32" w14:textId="77777777" w:rsidR="00E85DE7" w:rsidRPr="00C80318" w:rsidRDefault="00E85DE7" w:rsidP="00C80318">
            <w:pPr>
              <w:pStyle w:val="Tables"/>
              <w:rPr>
                <w:b/>
                <w:bCs/>
              </w:rPr>
            </w:pPr>
            <w:r w:rsidRPr="00C80318">
              <w:rPr>
                <w:b/>
                <w:bCs/>
              </w:rPr>
              <w:t>Per cent</w:t>
            </w:r>
          </w:p>
        </w:tc>
      </w:tr>
      <w:tr w:rsidR="00E85DE7" w:rsidRPr="00015DBB" w14:paraId="69762A80" w14:textId="77777777" w:rsidTr="00015DBB">
        <w:trPr>
          <w:trHeight w:val="113"/>
          <w:jc w:val="center"/>
        </w:trPr>
        <w:tc>
          <w:tcPr>
            <w:tcW w:w="0" w:type="auto"/>
            <w:vAlign w:val="center"/>
            <w:hideMark/>
          </w:tcPr>
          <w:p w14:paraId="7FE4AE16" w14:textId="77777777" w:rsidR="00E85DE7" w:rsidRPr="00015DBB" w:rsidRDefault="00E85DE7" w:rsidP="00C80318">
            <w:pPr>
              <w:pStyle w:val="Tables"/>
              <w:jc w:val="left"/>
            </w:pPr>
            <w:r w:rsidRPr="00015DBB">
              <w:t>Assam</w:t>
            </w:r>
          </w:p>
        </w:tc>
        <w:tc>
          <w:tcPr>
            <w:tcW w:w="0" w:type="auto"/>
            <w:vAlign w:val="center"/>
            <w:hideMark/>
          </w:tcPr>
          <w:p w14:paraId="02F76F51" w14:textId="0D597C13" w:rsidR="00E85DE7" w:rsidRPr="00015DBB" w:rsidRDefault="00E85DE7" w:rsidP="00C80318">
            <w:pPr>
              <w:pStyle w:val="Tables"/>
            </w:pPr>
            <w:r w:rsidRPr="00015DBB">
              <w:t>2</w:t>
            </w:r>
            <w:r w:rsidR="000E0F18">
              <w:t>.</w:t>
            </w:r>
            <w:r w:rsidRPr="00015DBB">
              <w:t>61</w:t>
            </w:r>
          </w:p>
        </w:tc>
      </w:tr>
      <w:tr w:rsidR="00E85DE7" w:rsidRPr="00015DBB" w14:paraId="31727F08" w14:textId="77777777" w:rsidTr="00015DBB">
        <w:trPr>
          <w:trHeight w:val="113"/>
          <w:jc w:val="center"/>
        </w:trPr>
        <w:tc>
          <w:tcPr>
            <w:tcW w:w="0" w:type="auto"/>
            <w:vAlign w:val="center"/>
            <w:hideMark/>
          </w:tcPr>
          <w:p w14:paraId="7549538E" w14:textId="77777777" w:rsidR="00E85DE7" w:rsidRPr="00015DBB" w:rsidRDefault="00E85DE7" w:rsidP="00C80318">
            <w:pPr>
              <w:pStyle w:val="Tables"/>
              <w:jc w:val="left"/>
            </w:pPr>
            <w:r w:rsidRPr="00015DBB">
              <w:t>Bihar</w:t>
            </w:r>
          </w:p>
        </w:tc>
        <w:tc>
          <w:tcPr>
            <w:tcW w:w="0" w:type="auto"/>
            <w:vAlign w:val="center"/>
            <w:hideMark/>
          </w:tcPr>
          <w:p w14:paraId="19176460" w14:textId="255404D1" w:rsidR="00E85DE7" w:rsidRPr="00015DBB" w:rsidRDefault="00E85DE7" w:rsidP="00C80318">
            <w:pPr>
              <w:pStyle w:val="Tables"/>
            </w:pPr>
            <w:r w:rsidRPr="00015DBB">
              <w:t>11</w:t>
            </w:r>
            <w:r w:rsidR="000E0F18">
              <w:t>.</w:t>
            </w:r>
            <w:r w:rsidRPr="00015DBB">
              <w:t>60</w:t>
            </w:r>
          </w:p>
        </w:tc>
      </w:tr>
      <w:tr w:rsidR="00E85DE7" w:rsidRPr="00015DBB" w14:paraId="1EF41753" w14:textId="77777777" w:rsidTr="00015DBB">
        <w:trPr>
          <w:trHeight w:val="113"/>
          <w:jc w:val="center"/>
        </w:trPr>
        <w:tc>
          <w:tcPr>
            <w:tcW w:w="0" w:type="auto"/>
            <w:vAlign w:val="center"/>
            <w:hideMark/>
          </w:tcPr>
          <w:p w14:paraId="10802CAD" w14:textId="77777777" w:rsidR="00E85DE7" w:rsidRPr="00015DBB" w:rsidRDefault="00E85DE7" w:rsidP="00C80318">
            <w:pPr>
              <w:pStyle w:val="Tables"/>
              <w:jc w:val="left"/>
            </w:pPr>
            <w:r w:rsidRPr="00015DBB">
              <w:t>Bombay</w:t>
            </w:r>
          </w:p>
        </w:tc>
        <w:tc>
          <w:tcPr>
            <w:tcW w:w="0" w:type="auto"/>
            <w:vAlign w:val="center"/>
            <w:hideMark/>
          </w:tcPr>
          <w:p w14:paraId="203EA95D" w14:textId="51FA4A85" w:rsidR="00E85DE7" w:rsidRPr="00015DBB" w:rsidRDefault="00E85DE7" w:rsidP="00C80318">
            <w:pPr>
              <w:pStyle w:val="Tables"/>
            </w:pPr>
            <w:r w:rsidRPr="00015DBB">
              <w:t>10</w:t>
            </w:r>
            <w:r w:rsidR="000E0F18">
              <w:t>.</w:t>
            </w:r>
            <w:r w:rsidRPr="00015DBB">
              <w:t>37</w:t>
            </w:r>
          </w:p>
        </w:tc>
      </w:tr>
      <w:tr w:rsidR="00E85DE7" w:rsidRPr="00015DBB" w14:paraId="2189B5AB" w14:textId="77777777" w:rsidTr="00015DBB">
        <w:trPr>
          <w:trHeight w:val="113"/>
          <w:jc w:val="center"/>
        </w:trPr>
        <w:tc>
          <w:tcPr>
            <w:tcW w:w="0" w:type="auto"/>
            <w:vAlign w:val="center"/>
            <w:hideMark/>
          </w:tcPr>
          <w:p w14:paraId="152F8A05" w14:textId="77777777" w:rsidR="00E85DE7" w:rsidRPr="00015DBB" w:rsidRDefault="00E85DE7" w:rsidP="00C80318">
            <w:pPr>
              <w:pStyle w:val="Tables"/>
              <w:jc w:val="left"/>
            </w:pPr>
            <w:r w:rsidRPr="00015DBB">
              <w:t>Hyderabad</w:t>
            </w:r>
          </w:p>
        </w:tc>
        <w:tc>
          <w:tcPr>
            <w:tcW w:w="0" w:type="auto"/>
            <w:vAlign w:val="center"/>
            <w:hideMark/>
          </w:tcPr>
          <w:p w14:paraId="5BCEA480" w14:textId="0D5143DC" w:rsidR="00E85DE7" w:rsidRPr="00015DBB" w:rsidRDefault="00E85DE7" w:rsidP="00C80318">
            <w:pPr>
              <w:pStyle w:val="Tables"/>
            </w:pPr>
            <w:r w:rsidRPr="00015DBB">
              <w:t>5</w:t>
            </w:r>
            <w:r w:rsidR="000E0F18">
              <w:t>.</w:t>
            </w:r>
            <w:r w:rsidRPr="00015DBB">
              <w:t>39</w:t>
            </w:r>
          </w:p>
        </w:tc>
      </w:tr>
      <w:tr w:rsidR="00E85DE7" w:rsidRPr="00015DBB" w14:paraId="4A7825D6" w14:textId="77777777" w:rsidTr="00015DBB">
        <w:trPr>
          <w:trHeight w:val="113"/>
          <w:jc w:val="center"/>
        </w:trPr>
        <w:tc>
          <w:tcPr>
            <w:tcW w:w="0" w:type="auto"/>
            <w:vAlign w:val="center"/>
            <w:hideMark/>
          </w:tcPr>
          <w:p w14:paraId="3B0B1B91" w14:textId="77777777" w:rsidR="00E85DE7" w:rsidRPr="00015DBB" w:rsidRDefault="00E85DE7" w:rsidP="00C80318">
            <w:pPr>
              <w:pStyle w:val="Tables"/>
              <w:jc w:val="left"/>
            </w:pPr>
            <w:r w:rsidRPr="00015DBB">
              <w:t>Madhya Bharat</w:t>
            </w:r>
          </w:p>
        </w:tc>
        <w:tc>
          <w:tcPr>
            <w:tcW w:w="0" w:type="auto"/>
            <w:vAlign w:val="center"/>
            <w:hideMark/>
          </w:tcPr>
          <w:p w14:paraId="342D573A" w14:textId="0EE4C31E" w:rsidR="00E85DE7" w:rsidRPr="00015DBB" w:rsidRDefault="00E85DE7" w:rsidP="00C80318">
            <w:pPr>
              <w:pStyle w:val="Tables"/>
            </w:pPr>
            <w:r w:rsidRPr="00015DBB">
              <w:t>2</w:t>
            </w:r>
            <w:r w:rsidR="000E0F18">
              <w:t>.</w:t>
            </w:r>
            <w:r w:rsidRPr="00015DBB">
              <w:t>29</w:t>
            </w:r>
          </w:p>
        </w:tc>
      </w:tr>
      <w:tr w:rsidR="00E85DE7" w:rsidRPr="00015DBB" w14:paraId="4FE2B0F3" w14:textId="77777777" w:rsidTr="00015DBB">
        <w:trPr>
          <w:trHeight w:val="113"/>
          <w:jc w:val="center"/>
        </w:trPr>
        <w:tc>
          <w:tcPr>
            <w:tcW w:w="0" w:type="auto"/>
            <w:vAlign w:val="center"/>
            <w:hideMark/>
          </w:tcPr>
          <w:p w14:paraId="7E504D71" w14:textId="77777777" w:rsidR="00E85DE7" w:rsidRPr="00015DBB" w:rsidRDefault="00E85DE7" w:rsidP="00C80318">
            <w:pPr>
              <w:pStyle w:val="Tables"/>
              <w:jc w:val="left"/>
            </w:pPr>
            <w:r w:rsidRPr="00015DBB">
              <w:t>Madhya Pradesh</w:t>
            </w:r>
          </w:p>
        </w:tc>
        <w:tc>
          <w:tcPr>
            <w:tcW w:w="0" w:type="auto"/>
            <w:vAlign w:val="center"/>
            <w:hideMark/>
          </w:tcPr>
          <w:p w14:paraId="69B7EBEC" w14:textId="562761CF" w:rsidR="00E85DE7" w:rsidRPr="00015DBB" w:rsidRDefault="00E85DE7" w:rsidP="00C80318">
            <w:pPr>
              <w:pStyle w:val="Tables"/>
            </w:pPr>
            <w:r w:rsidRPr="00015DBB">
              <w:t>6</w:t>
            </w:r>
            <w:r w:rsidR="000E0F18">
              <w:t>.</w:t>
            </w:r>
            <w:r w:rsidRPr="00015DBB">
              <w:t>13</w:t>
            </w:r>
          </w:p>
        </w:tc>
      </w:tr>
      <w:tr w:rsidR="00E85DE7" w:rsidRPr="00015DBB" w14:paraId="73544BD8" w14:textId="77777777" w:rsidTr="00015DBB">
        <w:trPr>
          <w:trHeight w:val="113"/>
          <w:jc w:val="center"/>
        </w:trPr>
        <w:tc>
          <w:tcPr>
            <w:tcW w:w="0" w:type="auto"/>
            <w:vAlign w:val="center"/>
            <w:hideMark/>
          </w:tcPr>
          <w:p w14:paraId="46AB298D" w14:textId="77777777" w:rsidR="00E85DE7" w:rsidRPr="00015DBB" w:rsidRDefault="00E85DE7" w:rsidP="00C80318">
            <w:pPr>
              <w:pStyle w:val="Tables"/>
              <w:jc w:val="left"/>
            </w:pPr>
            <w:r w:rsidRPr="00015DBB">
              <w:t>Madras</w:t>
            </w:r>
          </w:p>
        </w:tc>
        <w:tc>
          <w:tcPr>
            <w:tcW w:w="0" w:type="auto"/>
            <w:vAlign w:val="center"/>
            <w:hideMark/>
          </w:tcPr>
          <w:p w14:paraId="2F65E6CE" w14:textId="6C49197D" w:rsidR="00E85DE7" w:rsidRPr="00015DBB" w:rsidRDefault="00E85DE7" w:rsidP="00C80318">
            <w:pPr>
              <w:pStyle w:val="Tables"/>
            </w:pPr>
            <w:r w:rsidRPr="00015DBB">
              <w:t>16</w:t>
            </w:r>
            <w:r w:rsidR="000E0F18">
              <w:t>.</w:t>
            </w:r>
            <w:r w:rsidRPr="00015DBB">
              <w:t>44</w:t>
            </w:r>
          </w:p>
        </w:tc>
      </w:tr>
      <w:tr w:rsidR="00E85DE7" w:rsidRPr="00015DBB" w14:paraId="2E3542D8" w14:textId="77777777" w:rsidTr="00015DBB">
        <w:trPr>
          <w:trHeight w:val="113"/>
          <w:jc w:val="center"/>
        </w:trPr>
        <w:tc>
          <w:tcPr>
            <w:tcW w:w="0" w:type="auto"/>
            <w:vAlign w:val="center"/>
            <w:hideMark/>
          </w:tcPr>
          <w:p w14:paraId="03EE839A" w14:textId="77777777" w:rsidR="00E85DE7" w:rsidRPr="00015DBB" w:rsidRDefault="00E85DE7" w:rsidP="00C80318">
            <w:pPr>
              <w:pStyle w:val="Tables"/>
              <w:jc w:val="left"/>
            </w:pPr>
            <w:r w:rsidRPr="00015DBB">
              <w:t>Mysore</w:t>
            </w:r>
          </w:p>
        </w:tc>
        <w:tc>
          <w:tcPr>
            <w:tcW w:w="0" w:type="auto"/>
            <w:vAlign w:val="center"/>
            <w:hideMark/>
          </w:tcPr>
          <w:p w14:paraId="703B4E3C" w14:textId="4D16D534" w:rsidR="00E85DE7" w:rsidRPr="00015DBB" w:rsidRDefault="00E85DE7" w:rsidP="00C80318">
            <w:pPr>
              <w:pStyle w:val="Tables"/>
            </w:pPr>
            <w:r w:rsidRPr="00015DBB">
              <w:t>2</w:t>
            </w:r>
            <w:r w:rsidR="000E0F18">
              <w:t>.</w:t>
            </w:r>
            <w:r w:rsidRPr="00015DBB">
              <w:t>62</w:t>
            </w:r>
          </w:p>
        </w:tc>
      </w:tr>
      <w:tr w:rsidR="00E85DE7" w:rsidRPr="00015DBB" w14:paraId="0C20F4F4" w14:textId="77777777" w:rsidTr="00015DBB">
        <w:trPr>
          <w:trHeight w:val="113"/>
          <w:jc w:val="center"/>
        </w:trPr>
        <w:tc>
          <w:tcPr>
            <w:tcW w:w="0" w:type="auto"/>
            <w:vAlign w:val="center"/>
            <w:hideMark/>
          </w:tcPr>
          <w:p w14:paraId="4C521370" w14:textId="77777777" w:rsidR="00E85DE7" w:rsidRPr="00015DBB" w:rsidRDefault="00E85DE7" w:rsidP="00C80318">
            <w:pPr>
              <w:pStyle w:val="Tables"/>
              <w:jc w:val="left"/>
            </w:pPr>
            <w:r w:rsidRPr="00015DBB">
              <w:t>Orissa</w:t>
            </w:r>
          </w:p>
        </w:tc>
        <w:tc>
          <w:tcPr>
            <w:tcW w:w="0" w:type="auto"/>
            <w:vAlign w:val="center"/>
            <w:hideMark/>
          </w:tcPr>
          <w:p w14:paraId="03C087A8" w14:textId="59AA899D" w:rsidR="00E85DE7" w:rsidRPr="00015DBB" w:rsidRDefault="00E85DE7" w:rsidP="00C80318">
            <w:pPr>
              <w:pStyle w:val="Tables"/>
            </w:pPr>
            <w:r w:rsidRPr="00015DBB">
              <w:t>4</w:t>
            </w:r>
            <w:r w:rsidR="000E0F18">
              <w:t>.</w:t>
            </w:r>
            <w:r w:rsidRPr="00015DBB">
              <w:t>22</w:t>
            </w:r>
          </w:p>
        </w:tc>
      </w:tr>
      <w:tr w:rsidR="00E85DE7" w:rsidRPr="00015DBB" w14:paraId="1E84DEB1" w14:textId="77777777" w:rsidTr="00015DBB">
        <w:trPr>
          <w:trHeight w:val="113"/>
          <w:jc w:val="center"/>
        </w:trPr>
        <w:tc>
          <w:tcPr>
            <w:tcW w:w="0" w:type="auto"/>
            <w:vAlign w:val="center"/>
            <w:hideMark/>
          </w:tcPr>
          <w:p w14:paraId="6761DB9A" w14:textId="77777777" w:rsidR="00E85DE7" w:rsidRPr="00015DBB" w:rsidRDefault="00E85DE7" w:rsidP="00C80318">
            <w:pPr>
              <w:pStyle w:val="Tables"/>
              <w:jc w:val="left"/>
            </w:pPr>
            <w:r w:rsidRPr="00015DBB">
              <w:t>Patiala and East Punjab States Union</w:t>
            </w:r>
          </w:p>
        </w:tc>
        <w:tc>
          <w:tcPr>
            <w:tcW w:w="0" w:type="auto"/>
            <w:vAlign w:val="center"/>
            <w:hideMark/>
          </w:tcPr>
          <w:p w14:paraId="30328E2B" w14:textId="51440355" w:rsidR="00E85DE7" w:rsidRPr="00015DBB" w:rsidRDefault="00E85DE7" w:rsidP="00C80318">
            <w:pPr>
              <w:pStyle w:val="Tables"/>
            </w:pPr>
            <w:r w:rsidRPr="00015DBB">
              <w:t>1</w:t>
            </w:r>
            <w:r w:rsidR="000E0F18">
              <w:t>.</w:t>
            </w:r>
            <w:r w:rsidRPr="00015DBB">
              <w:t>00</w:t>
            </w:r>
          </w:p>
        </w:tc>
      </w:tr>
      <w:tr w:rsidR="00E85DE7" w:rsidRPr="00015DBB" w14:paraId="21243B68" w14:textId="77777777" w:rsidTr="00015DBB">
        <w:trPr>
          <w:trHeight w:val="113"/>
          <w:jc w:val="center"/>
        </w:trPr>
        <w:tc>
          <w:tcPr>
            <w:tcW w:w="0" w:type="auto"/>
            <w:vAlign w:val="center"/>
            <w:hideMark/>
          </w:tcPr>
          <w:p w14:paraId="6A5FE252" w14:textId="77777777" w:rsidR="00E85DE7" w:rsidRPr="00015DBB" w:rsidRDefault="00E85DE7" w:rsidP="00C80318">
            <w:pPr>
              <w:pStyle w:val="Tables"/>
              <w:jc w:val="left"/>
            </w:pPr>
            <w:r w:rsidRPr="00015DBB">
              <w:t>Punjab</w:t>
            </w:r>
          </w:p>
        </w:tc>
        <w:tc>
          <w:tcPr>
            <w:tcW w:w="0" w:type="auto"/>
            <w:vAlign w:val="center"/>
            <w:hideMark/>
          </w:tcPr>
          <w:p w14:paraId="7B7A6290" w14:textId="7DFE824B" w:rsidR="00E85DE7" w:rsidRPr="00015DBB" w:rsidRDefault="00E85DE7" w:rsidP="00C80318">
            <w:pPr>
              <w:pStyle w:val="Tables"/>
            </w:pPr>
            <w:r w:rsidRPr="00015DBB">
              <w:t>3</w:t>
            </w:r>
            <w:r w:rsidR="000E0F18">
              <w:t>.</w:t>
            </w:r>
            <w:r w:rsidRPr="00015DBB">
              <w:t>66</w:t>
            </w:r>
          </w:p>
        </w:tc>
      </w:tr>
      <w:tr w:rsidR="00E85DE7" w:rsidRPr="00015DBB" w14:paraId="6C9190F1" w14:textId="77777777" w:rsidTr="00015DBB">
        <w:trPr>
          <w:trHeight w:val="113"/>
          <w:jc w:val="center"/>
        </w:trPr>
        <w:tc>
          <w:tcPr>
            <w:tcW w:w="0" w:type="auto"/>
            <w:vAlign w:val="center"/>
            <w:hideMark/>
          </w:tcPr>
          <w:p w14:paraId="0607B976" w14:textId="77777777" w:rsidR="00E85DE7" w:rsidRPr="00015DBB" w:rsidRDefault="00E85DE7" w:rsidP="00C80318">
            <w:pPr>
              <w:pStyle w:val="Tables"/>
              <w:jc w:val="left"/>
            </w:pPr>
            <w:r w:rsidRPr="00015DBB">
              <w:t>Rajasthan</w:t>
            </w:r>
          </w:p>
        </w:tc>
        <w:tc>
          <w:tcPr>
            <w:tcW w:w="0" w:type="auto"/>
            <w:vAlign w:val="center"/>
            <w:hideMark/>
          </w:tcPr>
          <w:p w14:paraId="71628B94" w14:textId="5A16D452" w:rsidR="00E85DE7" w:rsidRPr="00015DBB" w:rsidRDefault="00E85DE7" w:rsidP="00C80318">
            <w:pPr>
              <w:pStyle w:val="Tables"/>
            </w:pPr>
            <w:r w:rsidRPr="00015DBB">
              <w:t>4</w:t>
            </w:r>
            <w:r w:rsidR="000E0F18">
              <w:t>.</w:t>
            </w:r>
            <w:r w:rsidRPr="00015DBB">
              <w:t>41</w:t>
            </w:r>
          </w:p>
        </w:tc>
      </w:tr>
      <w:tr w:rsidR="00E85DE7" w:rsidRPr="00015DBB" w14:paraId="115B7A60" w14:textId="77777777" w:rsidTr="00015DBB">
        <w:trPr>
          <w:trHeight w:val="113"/>
          <w:jc w:val="center"/>
        </w:trPr>
        <w:tc>
          <w:tcPr>
            <w:tcW w:w="0" w:type="auto"/>
            <w:vAlign w:val="center"/>
            <w:hideMark/>
          </w:tcPr>
          <w:p w14:paraId="27726836" w14:textId="77777777" w:rsidR="00E85DE7" w:rsidRPr="00015DBB" w:rsidRDefault="00E85DE7" w:rsidP="00C80318">
            <w:pPr>
              <w:pStyle w:val="Tables"/>
              <w:jc w:val="left"/>
            </w:pPr>
            <w:r w:rsidRPr="00015DBB">
              <w:t>Saurashtra</w:t>
            </w:r>
          </w:p>
        </w:tc>
        <w:tc>
          <w:tcPr>
            <w:tcW w:w="0" w:type="auto"/>
            <w:vAlign w:val="center"/>
            <w:hideMark/>
          </w:tcPr>
          <w:p w14:paraId="6B14A06E" w14:textId="625534CE" w:rsidR="00E85DE7" w:rsidRPr="00015DBB" w:rsidRDefault="00E85DE7" w:rsidP="00C80318">
            <w:pPr>
              <w:pStyle w:val="Tables"/>
            </w:pPr>
            <w:r w:rsidRPr="00015DBB">
              <w:t>1</w:t>
            </w:r>
            <w:r w:rsidR="000E0F18">
              <w:t>.</w:t>
            </w:r>
            <w:r w:rsidRPr="00015DBB">
              <w:t>19</w:t>
            </w:r>
          </w:p>
        </w:tc>
      </w:tr>
      <w:tr w:rsidR="00E85DE7" w:rsidRPr="00015DBB" w14:paraId="1E24CD20" w14:textId="77777777" w:rsidTr="00015DBB">
        <w:trPr>
          <w:trHeight w:val="113"/>
          <w:jc w:val="center"/>
        </w:trPr>
        <w:tc>
          <w:tcPr>
            <w:tcW w:w="0" w:type="auto"/>
            <w:vAlign w:val="center"/>
            <w:hideMark/>
          </w:tcPr>
          <w:p w14:paraId="7D726341" w14:textId="77777777" w:rsidR="00E85DE7" w:rsidRPr="00015DBB" w:rsidRDefault="00E85DE7" w:rsidP="00C80318">
            <w:pPr>
              <w:pStyle w:val="Tables"/>
              <w:jc w:val="left"/>
            </w:pPr>
            <w:r w:rsidRPr="00015DBB">
              <w:t>Travancore-Cochin</w:t>
            </w:r>
          </w:p>
        </w:tc>
        <w:tc>
          <w:tcPr>
            <w:tcW w:w="0" w:type="auto"/>
            <w:vAlign w:val="center"/>
            <w:hideMark/>
          </w:tcPr>
          <w:p w14:paraId="28569F2A" w14:textId="3D59078D" w:rsidR="00E85DE7" w:rsidRPr="00015DBB" w:rsidRDefault="00E85DE7" w:rsidP="00C80318">
            <w:pPr>
              <w:pStyle w:val="Tables"/>
            </w:pPr>
            <w:r w:rsidRPr="00015DBB">
              <w:t>2</w:t>
            </w:r>
            <w:r w:rsidR="000E0F18">
              <w:t>.</w:t>
            </w:r>
            <w:r w:rsidRPr="00015DBB">
              <w:t>68</w:t>
            </w:r>
          </w:p>
        </w:tc>
      </w:tr>
      <w:tr w:rsidR="00E85DE7" w:rsidRPr="00015DBB" w14:paraId="17838318" w14:textId="77777777" w:rsidTr="00015DBB">
        <w:trPr>
          <w:trHeight w:val="113"/>
          <w:jc w:val="center"/>
        </w:trPr>
        <w:tc>
          <w:tcPr>
            <w:tcW w:w="0" w:type="auto"/>
            <w:vAlign w:val="center"/>
            <w:hideMark/>
          </w:tcPr>
          <w:p w14:paraId="04DE0751" w14:textId="77777777" w:rsidR="00E85DE7" w:rsidRPr="00015DBB" w:rsidRDefault="00E85DE7" w:rsidP="00C80318">
            <w:pPr>
              <w:pStyle w:val="Tables"/>
              <w:jc w:val="left"/>
            </w:pPr>
            <w:r w:rsidRPr="00015DBB">
              <w:t>Uttar Pradesh</w:t>
            </w:r>
          </w:p>
        </w:tc>
        <w:tc>
          <w:tcPr>
            <w:tcW w:w="0" w:type="auto"/>
            <w:vAlign w:val="center"/>
            <w:hideMark/>
          </w:tcPr>
          <w:p w14:paraId="54CB54DD" w14:textId="4E8D90FE" w:rsidR="00E85DE7" w:rsidRPr="00015DBB" w:rsidRDefault="00E85DE7" w:rsidP="00C80318">
            <w:pPr>
              <w:pStyle w:val="Tables"/>
            </w:pPr>
            <w:r w:rsidRPr="00015DBB">
              <w:t>18</w:t>
            </w:r>
            <w:r w:rsidR="000E0F18">
              <w:t>.</w:t>
            </w:r>
            <w:r w:rsidRPr="00015DBB">
              <w:t>23</w:t>
            </w:r>
          </w:p>
        </w:tc>
      </w:tr>
      <w:tr w:rsidR="00E85DE7" w:rsidRPr="00015DBB" w14:paraId="05D0CB16" w14:textId="77777777" w:rsidTr="00015DBB">
        <w:trPr>
          <w:trHeight w:val="113"/>
          <w:jc w:val="center"/>
        </w:trPr>
        <w:tc>
          <w:tcPr>
            <w:tcW w:w="0" w:type="auto"/>
            <w:vAlign w:val="center"/>
            <w:hideMark/>
          </w:tcPr>
          <w:p w14:paraId="2B48FD45" w14:textId="77777777" w:rsidR="00E85DE7" w:rsidRPr="00015DBB" w:rsidRDefault="00E85DE7" w:rsidP="00C80318">
            <w:pPr>
              <w:pStyle w:val="Tables"/>
              <w:jc w:val="left"/>
            </w:pPr>
            <w:r w:rsidRPr="00015DBB">
              <w:t>West Bengal</w:t>
            </w:r>
          </w:p>
        </w:tc>
        <w:tc>
          <w:tcPr>
            <w:tcW w:w="0" w:type="auto"/>
            <w:vAlign w:val="center"/>
            <w:hideMark/>
          </w:tcPr>
          <w:p w14:paraId="2A2919D5" w14:textId="6367641A" w:rsidR="00E85DE7" w:rsidRPr="00015DBB" w:rsidRDefault="00E85DE7" w:rsidP="00C80318">
            <w:pPr>
              <w:pStyle w:val="Tables"/>
            </w:pPr>
            <w:r w:rsidRPr="00015DBB">
              <w:t>7</w:t>
            </w:r>
            <w:r w:rsidR="000E0F18">
              <w:t>.</w:t>
            </w:r>
            <w:r w:rsidRPr="00015DBB">
              <w:t>16</w:t>
            </w:r>
          </w:p>
        </w:tc>
      </w:tr>
    </w:tbl>
    <w:p w14:paraId="360BC224" w14:textId="2FFAA6A9" w:rsidR="00E85DE7" w:rsidRPr="00015DBB" w:rsidRDefault="00E85DE7" w:rsidP="00015DBB">
      <w:pPr>
        <w:pStyle w:val="ListParagraph"/>
        <w:numPr>
          <w:ilvl w:val="0"/>
          <w:numId w:val="36"/>
        </w:numPr>
        <w:spacing w:after="0" w:line="420" w:lineRule="exact"/>
        <w:jc w:val="both"/>
        <w:rPr>
          <w:rFonts w:ascii="Times New Roman" w:hAnsi="Times New Roman" w:cs="Times New Roman"/>
          <w:sz w:val="28"/>
          <w:szCs w:val="28"/>
        </w:rPr>
      </w:pPr>
      <w:r w:rsidRPr="00015DBB">
        <w:rPr>
          <w:rFonts w:ascii="Times New Roman" w:hAnsi="Times New Roman" w:cs="Times New Roman"/>
          <w:sz w:val="28"/>
          <w:szCs w:val="28"/>
        </w:rPr>
        <w:t>The following sums should be prescribed under Article 273 of the Constitution as grants-in-aid of the revenues each year of the States of Assam, Bihar, Orissa and West Bengal in lieu of assignment of any share of the export duty on jute and jute products:—</w:t>
      </w:r>
    </w:p>
    <w:p w14:paraId="7C23ACED" w14:textId="77777777" w:rsidR="00E85DE7" w:rsidRPr="00C80318" w:rsidRDefault="00E85DE7" w:rsidP="00ED5B8B">
      <w:pPr>
        <w:spacing w:after="0" w:line="420" w:lineRule="exact"/>
        <w:ind w:left="2880" w:firstLine="720"/>
        <w:jc w:val="center"/>
        <w:rPr>
          <w:rFonts w:ascii="Times New Roman" w:hAnsi="Times New Roman" w:cs="Times New Roman"/>
          <w:i/>
          <w:iCs/>
          <w:sz w:val="28"/>
          <w:szCs w:val="28"/>
        </w:rPr>
      </w:pPr>
      <w:r w:rsidRPr="00C80318">
        <w:rPr>
          <w:rFonts w:ascii="Times New Roman" w:hAnsi="Times New Roman" w:cs="Times New Roman"/>
          <w:i/>
          <w:iCs/>
          <w:sz w:val="28"/>
          <w:szCs w:val="28"/>
        </w:rPr>
        <w:t>(In lakhs of rupees)</w:t>
      </w:r>
    </w:p>
    <w:tbl>
      <w:tblPr>
        <w:tblStyle w:val="TableGrid"/>
        <w:tblW w:w="0" w:type="auto"/>
        <w:jc w:val="center"/>
        <w:tblLook w:val="04A0" w:firstRow="1" w:lastRow="0" w:firstColumn="1" w:lastColumn="0" w:noHBand="0" w:noVBand="1"/>
      </w:tblPr>
      <w:tblGrid>
        <w:gridCol w:w="3338"/>
        <w:gridCol w:w="2753"/>
      </w:tblGrid>
      <w:tr w:rsidR="00E85DE7" w:rsidRPr="00015DBB" w14:paraId="4B3BED6C" w14:textId="77777777" w:rsidTr="00ED5B8B">
        <w:trPr>
          <w:trHeight w:val="113"/>
          <w:jc w:val="center"/>
        </w:trPr>
        <w:tc>
          <w:tcPr>
            <w:tcW w:w="3338" w:type="dxa"/>
            <w:hideMark/>
          </w:tcPr>
          <w:p w14:paraId="2BCDEC2B" w14:textId="77777777" w:rsidR="00E85DE7" w:rsidRPr="00015DBB" w:rsidRDefault="00E85DE7" w:rsidP="00015DBB">
            <w:pPr>
              <w:pStyle w:val="Tables"/>
            </w:pPr>
            <w:r w:rsidRPr="00015DBB">
              <w:t>Assam</w:t>
            </w:r>
          </w:p>
        </w:tc>
        <w:tc>
          <w:tcPr>
            <w:tcW w:w="2753" w:type="dxa"/>
            <w:hideMark/>
          </w:tcPr>
          <w:p w14:paraId="15E9F3D5" w14:textId="251A69B5" w:rsidR="00E85DE7" w:rsidRPr="00015DBB" w:rsidRDefault="00E85DE7" w:rsidP="00015DBB">
            <w:pPr>
              <w:pStyle w:val="Tables"/>
            </w:pPr>
            <w:r w:rsidRPr="00015DBB">
              <w:t>75</w:t>
            </w:r>
          </w:p>
        </w:tc>
      </w:tr>
      <w:tr w:rsidR="00E85DE7" w:rsidRPr="00015DBB" w14:paraId="1E88755C" w14:textId="77777777" w:rsidTr="00ED5B8B">
        <w:trPr>
          <w:trHeight w:val="113"/>
          <w:jc w:val="center"/>
        </w:trPr>
        <w:tc>
          <w:tcPr>
            <w:tcW w:w="3338" w:type="dxa"/>
            <w:hideMark/>
          </w:tcPr>
          <w:p w14:paraId="5510272B" w14:textId="77777777" w:rsidR="00E85DE7" w:rsidRPr="00015DBB" w:rsidRDefault="00E85DE7" w:rsidP="00015DBB">
            <w:pPr>
              <w:pStyle w:val="Tables"/>
            </w:pPr>
            <w:r w:rsidRPr="00015DBB">
              <w:t>Bihar</w:t>
            </w:r>
          </w:p>
        </w:tc>
        <w:tc>
          <w:tcPr>
            <w:tcW w:w="2753" w:type="dxa"/>
            <w:hideMark/>
          </w:tcPr>
          <w:p w14:paraId="67BB7BC7" w14:textId="4CF43EB4" w:rsidR="00E85DE7" w:rsidRPr="00015DBB" w:rsidRDefault="00E85DE7" w:rsidP="00015DBB">
            <w:pPr>
              <w:pStyle w:val="Tables"/>
            </w:pPr>
            <w:r w:rsidRPr="00015DBB">
              <w:t>75</w:t>
            </w:r>
          </w:p>
        </w:tc>
      </w:tr>
      <w:tr w:rsidR="00E85DE7" w:rsidRPr="00015DBB" w14:paraId="2D653A4F" w14:textId="77777777" w:rsidTr="00ED5B8B">
        <w:trPr>
          <w:trHeight w:val="113"/>
          <w:jc w:val="center"/>
        </w:trPr>
        <w:tc>
          <w:tcPr>
            <w:tcW w:w="3338" w:type="dxa"/>
            <w:hideMark/>
          </w:tcPr>
          <w:p w14:paraId="740B0BC2" w14:textId="77777777" w:rsidR="00E85DE7" w:rsidRPr="00015DBB" w:rsidRDefault="00E85DE7" w:rsidP="00015DBB">
            <w:pPr>
              <w:pStyle w:val="Tables"/>
            </w:pPr>
            <w:r w:rsidRPr="00015DBB">
              <w:t>Orissa</w:t>
            </w:r>
          </w:p>
        </w:tc>
        <w:tc>
          <w:tcPr>
            <w:tcW w:w="2753" w:type="dxa"/>
            <w:hideMark/>
          </w:tcPr>
          <w:p w14:paraId="66CEFA4D" w14:textId="2D90FAFB" w:rsidR="00E85DE7" w:rsidRPr="00015DBB" w:rsidRDefault="00C80318" w:rsidP="00015DBB">
            <w:pPr>
              <w:pStyle w:val="Tables"/>
            </w:pPr>
            <w:r>
              <w:t>1</w:t>
            </w:r>
            <w:r w:rsidR="00E85DE7" w:rsidRPr="00015DBB">
              <w:t>5</w:t>
            </w:r>
          </w:p>
        </w:tc>
      </w:tr>
      <w:tr w:rsidR="00E85DE7" w:rsidRPr="00015DBB" w14:paraId="2B8494D5" w14:textId="77777777" w:rsidTr="00ED5B8B">
        <w:trPr>
          <w:trHeight w:val="113"/>
          <w:jc w:val="center"/>
        </w:trPr>
        <w:tc>
          <w:tcPr>
            <w:tcW w:w="3338" w:type="dxa"/>
            <w:hideMark/>
          </w:tcPr>
          <w:p w14:paraId="1F7AB67A" w14:textId="77777777" w:rsidR="00E85DE7" w:rsidRPr="00015DBB" w:rsidRDefault="00E85DE7" w:rsidP="00015DBB">
            <w:pPr>
              <w:pStyle w:val="Tables"/>
            </w:pPr>
            <w:r w:rsidRPr="00015DBB">
              <w:t>West Bengal</w:t>
            </w:r>
          </w:p>
        </w:tc>
        <w:tc>
          <w:tcPr>
            <w:tcW w:w="2753" w:type="dxa"/>
            <w:hideMark/>
          </w:tcPr>
          <w:p w14:paraId="41B72EA0" w14:textId="053E2327" w:rsidR="00E85DE7" w:rsidRPr="00015DBB" w:rsidRDefault="00E85DE7" w:rsidP="00015DBB">
            <w:pPr>
              <w:pStyle w:val="Tables"/>
            </w:pPr>
            <w:r w:rsidRPr="00015DBB">
              <w:t>150</w:t>
            </w:r>
          </w:p>
        </w:tc>
      </w:tr>
    </w:tbl>
    <w:p w14:paraId="3D1456EC" w14:textId="77777777" w:rsidR="00F10821" w:rsidRPr="00015DBB" w:rsidRDefault="00F10821" w:rsidP="00015DBB">
      <w:pPr>
        <w:spacing w:after="0" w:line="420" w:lineRule="exact"/>
        <w:jc w:val="both"/>
        <w:rPr>
          <w:rFonts w:ascii="Times New Roman" w:hAnsi="Times New Roman" w:cs="Times New Roman"/>
          <w:sz w:val="28"/>
          <w:szCs w:val="28"/>
        </w:rPr>
      </w:pPr>
    </w:p>
    <w:p w14:paraId="19569CBE" w14:textId="6D6F0FEE" w:rsidR="00E85DE7" w:rsidRPr="00015DBB" w:rsidRDefault="00E85DE7" w:rsidP="00015DBB">
      <w:pPr>
        <w:spacing w:after="0" w:line="420" w:lineRule="exact"/>
        <w:jc w:val="both"/>
        <w:rPr>
          <w:rFonts w:ascii="Times New Roman" w:hAnsi="Times New Roman" w:cs="Times New Roman"/>
          <w:sz w:val="28"/>
          <w:szCs w:val="28"/>
        </w:rPr>
      </w:pPr>
      <w:r w:rsidRPr="00015DBB">
        <w:rPr>
          <w:rFonts w:ascii="Times New Roman" w:hAnsi="Times New Roman" w:cs="Times New Roman"/>
          <w:sz w:val="28"/>
          <w:szCs w:val="28"/>
        </w:rPr>
        <w:br w:type="page"/>
      </w:r>
    </w:p>
    <w:p w14:paraId="7113973B" w14:textId="0043666E" w:rsidR="00E85DE7" w:rsidRPr="00015DBB" w:rsidRDefault="00E85DE7" w:rsidP="00015DBB">
      <w:pPr>
        <w:pStyle w:val="ListParagraph"/>
        <w:numPr>
          <w:ilvl w:val="0"/>
          <w:numId w:val="36"/>
        </w:numPr>
        <w:spacing w:after="0" w:line="420" w:lineRule="exact"/>
        <w:jc w:val="both"/>
        <w:rPr>
          <w:rFonts w:ascii="Times New Roman" w:hAnsi="Times New Roman" w:cs="Times New Roman"/>
          <w:sz w:val="28"/>
          <w:szCs w:val="28"/>
        </w:rPr>
      </w:pPr>
      <w:r w:rsidRPr="00015DBB">
        <w:rPr>
          <w:rFonts w:ascii="Times New Roman" w:hAnsi="Times New Roman" w:cs="Times New Roman"/>
          <w:sz w:val="28"/>
          <w:szCs w:val="28"/>
        </w:rPr>
        <w:lastRenderedPageBreak/>
        <w:t>The following sums should be paid each year as grants-in-aid of the revenues of the States mentioned below under the substantive portion of Article 275(1) of the Constitution:—</w:t>
      </w:r>
    </w:p>
    <w:p w14:paraId="179D9CD6" w14:textId="77777777" w:rsidR="00E85DE7" w:rsidRPr="00C80318" w:rsidRDefault="00E85DE7" w:rsidP="00EA2E92">
      <w:pPr>
        <w:spacing w:after="0" w:line="420" w:lineRule="exact"/>
        <w:ind w:left="1440" w:firstLine="720"/>
        <w:jc w:val="center"/>
        <w:rPr>
          <w:rFonts w:ascii="Times New Roman" w:hAnsi="Times New Roman" w:cs="Times New Roman"/>
          <w:i/>
          <w:iCs/>
          <w:sz w:val="28"/>
          <w:szCs w:val="28"/>
        </w:rPr>
      </w:pPr>
      <w:r w:rsidRPr="00C80318">
        <w:rPr>
          <w:rFonts w:ascii="Times New Roman" w:hAnsi="Times New Roman" w:cs="Times New Roman"/>
          <w:i/>
          <w:iCs/>
          <w:sz w:val="28"/>
          <w:szCs w:val="28"/>
        </w:rPr>
        <w:t>(In lakhs of rupees)</w:t>
      </w:r>
    </w:p>
    <w:tbl>
      <w:tblPr>
        <w:tblStyle w:val="TableGrid"/>
        <w:tblW w:w="0" w:type="auto"/>
        <w:jc w:val="center"/>
        <w:tblLook w:val="04A0" w:firstRow="1" w:lastRow="0" w:firstColumn="1" w:lastColumn="0" w:noHBand="0" w:noVBand="1"/>
      </w:tblPr>
      <w:tblGrid>
        <w:gridCol w:w="2547"/>
        <w:gridCol w:w="2320"/>
      </w:tblGrid>
      <w:tr w:rsidR="00E85DE7" w:rsidRPr="00015DBB" w14:paraId="65767D37" w14:textId="77777777" w:rsidTr="00EA2E92">
        <w:trPr>
          <w:trHeight w:val="113"/>
          <w:jc w:val="center"/>
        </w:trPr>
        <w:tc>
          <w:tcPr>
            <w:tcW w:w="2547" w:type="dxa"/>
            <w:vAlign w:val="center"/>
            <w:hideMark/>
          </w:tcPr>
          <w:p w14:paraId="3FFDEA65" w14:textId="77777777" w:rsidR="00E85DE7" w:rsidRPr="00015DBB" w:rsidRDefault="00E85DE7" w:rsidP="00015DBB">
            <w:pPr>
              <w:pStyle w:val="Tables"/>
            </w:pPr>
            <w:r w:rsidRPr="00015DBB">
              <w:t>Assam</w:t>
            </w:r>
          </w:p>
        </w:tc>
        <w:tc>
          <w:tcPr>
            <w:tcW w:w="2320" w:type="dxa"/>
            <w:vAlign w:val="center"/>
            <w:hideMark/>
          </w:tcPr>
          <w:p w14:paraId="0B15FC23" w14:textId="77777777" w:rsidR="00E85DE7" w:rsidRPr="00015DBB" w:rsidRDefault="00E85DE7" w:rsidP="00015DBB">
            <w:pPr>
              <w:pStyle w:val="Tables"/>
            </w:pPr>
            <w:r w:rsidRPr="00015DBB">
              <w:t>100</w:t>
            </w:r>
          </w:p>
        </w:tc>
      </w:tr>
      <w:tr w:rsidR="00E85DE7" w:rsidRPr="00015DBB" w14:paraId="0796E7ED" w14:textId="77777777" w:rsidTr="00EA2E92">
        <w:trPr>
          <w:trHeight w:val="113"/>
          <w:jc w:val="center"/>
        </w:trPr>
        <w:tc>
          <w:tcPr>
            <w:tcW w:w="2547" w:type="dxa"/>
            <w:vAlign w:val="center"/>
            <w:hideMark/>
          </w:tcPr>
          <w:p w14:paraId="0DAE9128" w14:textId="77777777" w:rsidR="00E85DE7" w:rsidRPr="00015DBB" w:rsidRDefault="00E85DE7" w:rsidP="00015DBB">
            <w:pPr>
              <w:pStyle w:val="Tables"/>
            </w:pPr>
            <w:r w:rsidRPr="00015DBB">
              <w:t>Mysore</w:t>
            </w:r>
          </w:p>
        </w:tc>
        <w:tc>
          <w:tcPr>
            <w:tcW w:w="2320" w:type="dxa"/>
            <w:vAlign w:val="center"/>
            <w:hideMark/>
          </w:tcPr>
          <w:p w14:paraId="7D036DC4" w14:textId="77777777" w:rsidR="00E85DE7" w:rsidRPr="00015DBB" w:rsidRDefault="00E85DE7" w:rsidP="00015DBB">
            <w:pPr>
              <w:pStyle w:val="Tables"/>
            </w:pPr>
            <w:r w:rsidRPr="00015DBB">
              <w:t>40</w:t>
            </w:r>
          </w:p>
        </w:tc>
      </w:tr>
      <w:tr w:rsidR="00E85DE7" w:rsidRPr="00015DBB" w14:paraId="249AD2EA" w14:textId="77777777" w:rsidTr="00EA2E92">
        <w:trPr>
          <w:trHeight w:val="113"/>
          <w:jc w:val="center"/>
        </w:trPr>
        <w:tc>
          <w:tcPr>
            <w:tcW w:w="2547" w:type="dxa"/>
            <w:vAlign w:val="center"/>
            <w:hideMark/>
          </w:tcPr>
          <w:p w14:paraId="434C1BFB" w14:textId="77777777" w:rsidR="00E85DE7" w:rsidRPr="00015DBB" w:rsidRDefault="00E85DE7" w:rsidP="00015DBB">
            <w:pPr>
              <w:pStyle w:val="Tables"/>
            </w:pPr>
            <w:r w:rsidRPr="00015DBB">
              <w:t>Orissa</w:t>
            </w:r>
          </w:p>
        </w:tc>
        <w:tc>
          <w:tcPr>
            <w:tcW w:w="2320" w:type="dxa"/>
            <w:vAlign w:val="center"/>
            <w:hideMark/>
          </w:tcPr>
          <w:p w14:paraId="59DA3E74" w14:textId="77777777" w:rsidR="00E85DE7" w:rsidRPr="00015DBB" w:rsidRDefault="00E85DE7" w:rsidP="00015DBB">
            <w:pPr>
              <w:pStyle w:val="Tables"/>
            </w:pPr>
            <w:r w:rsidRPr="00015DBB">
              <w:t>75</w:t>
            </w:r>
          </w:p>
        </w:tc>
      </w:tr>
      <w:tr w:rsidR="00E85DE7" w:rsidRPr="00015DBB" w14:paraId="03FEEB55" w14:textId="77777777" w:rsidTr="00EA2E92">
        <w:trPr>
          <w:trHeight w:val="113"/>
          <w:jc w:val="center"/>
        </w:trPr>
        <w:tc>
          <w:tcPr>
            <w:tcW w:w="2547" w:type="dxa"/>
            <w:vAlign w:val="center"/>
            <w:hideMark/>
          </w:tcPr>
          <w:p w14:paraId="629A2EA0" w14:textId="77777777" w:rsidR="00E85DE7" w:rsidRPr="00015DBB" w:rsidRDefault="00E85DE7" w:rsidP="00015DBB">
            <w:pPr>
              <w:pStyle w:val="Tables"/>
            </w:pPr>
            <w:r w:rsidRPr="00015DBB">
              <w:t>Punjab</w:t>
            </w:r>
          </w:p>
        </w:tc>
        <w:tc>
          <w:tcPr>
            <w:tcW w:w="2320" w:type="dxa"/>
            <w:vAlign w:val="center"/>
            <w:hideMark/>
          </w:tcPr>
          <w:p w14:paraId="4FFBA53D" w14:textId="77777777" w:rsidR="00E85DE7" w:rsidRPr="00015DBB" w:rsidRDefault="00E85DE7" w:rsidP="00015DBB">
            <w:pPr>
              <w:pStyle w:val="Tables"/>
            </w:pPr>
            <w:r w:rsidRPr="00015DBB">
              <w:t>125</w:t>
            </w:r>
          </w:p>
        </w:tc>
      </w:tr>
      <w:tr w:rsidR="00E85DE7" w:rsidRPr="00015DBB" w14:paraId="70448CA9" w14:textId="77777777" w:rsidTr="00EA2E92">
        <w:trPr>
          <w:trHeight w:val="113"/>
          <w:jc w:val="center"/>
        </w:trPr>
        <w:tc>
          <w:tcPr>
            <w:tcW w:w="2547" w:type="dxa"/>
            <w:vAlign w:val="center"/>
            <w:hideMark/>
          </w:tcPr>
          <w:p w14:paraId="6596CB02" w14:textId="77777777" w:rsidR="00E85DE7" w:rsidRPr="00015DBB" w:rsidRDefault="00E85DE7" w:rsidP="00015DBB">
            <w:pPr>
              <w:pStyle w:val="Tables"/>
            </w:pPr>
            <w:r w:rsidRPr="00015DBB">
              <w:t>Saurashtra</w:t>
            </w:r>
          </w:p>
        </w:tc>
        <w:tc>
          <w:tcPr>
            <w:tcW w:w="2320" w:type="dxa"/>
            <w:vAlign w:val="center"/>
            <w:hideMark/>
          </w:tcPr>
          <w:p w14:paraId="64F6EF3B" w14:textId="77777777" w:rsidR="00E85DE7" w:rsidRPr="00015DBB" w:rsidRDefault="00E85DE7" w:rsidP="00015DBB">
            <w:pPr>
              <w:pStyle w:val="Tables"/>
            </w:pPr>
            <w:r w:rsidRPr="00015DBB">
              <w:t>40</w:t>
            </w:r>
          </w:p>
        </w:tc>
      </w:tr>
      <w:tr w:rsidR="00E85DE7" w:rsidRPr="00015DBB" w14:paraId="4DF5576B" w14:textId="77777777" w:rsidTr="00EA2E92">
        <w:trPr>
          <w:trHeight w:val="113"/>
          <w:jc w:val="center"/>
        </w:trPr>
        <w:tc>
          <w:tcPr>
            <w:tcW w:w="2547" w:type="dxa"/>
            <w:vAlign w:val="center"/>
            <w:hideMark/>
          </w:tcPr>
          <w:p w14:paraId="10D5349F" w14:textId="77777777" w:rsidR="00E85DE7" w:rsidRPr="00015DBB" w:rsidRDefault="00E85DE7" w:rsidP="00015DBB">
            <w:pPr>
              <w:pStyle w:val="Tables"/>
            </w:pPr>
            <w:r w:rsidRPr="00015DBB">
              <w:t>Travancore-Cochin</w:t>
            </w:r>
          </w:p>
        </w:tc>
        <w:tc>
          <w:tcPr>
            <w:tcW w:w="2320" w:type="dxa"/>
            <w:vAlign w:val="center"/>
            <w:hideMark/>
          </w:tcPr>
          <w:p w14:paraId="5E5069BD" w14:textId="77777777" w:rsidR="00E85DE7" w:rsidRPr="00015DBB" w:rsidRDefault="00E85DE7" w:rsidP="00015DBB">
            <w:pPr>
              <w:pStyle w:val="Tables"/>
            </w:pPr>
            <w:r w:rsidRPr="00015DBB">
              <w:t>45</w:t>
            </w:r>
          </w:p>
        </w:tc>
      </w:tr>
      <w:tr w:rsidR="00E85DE7" w:rsidRPr="00015DBB" w14:paraId="34B0931F" w14:textId="77777777" w:rsidTr="00EA2E92">
        <w:trPr>
          <w:trHeight w:val="113"/>
          <w:jc w:val="center"/>
        </w:trPr>
        <w:tc>
          <w:tcPr>
            <w:tcW w:w="2547" w:type="dxa"/>
            <w:vAlign w:val="center"/>
            <w:hideMark/>
          </w:tcPr>
          <w:p w14:paraId="582782F4" w14:textId="77777777" w:rsidR="00E85DE7" w:rsidRPr="00015DBB" w:rsidRDefault="00E85DE7" w:rsidP="00015DBB">
            <w:pPr>
              <w:pStyle w:val="Tables"/>
            </w:pPr>
            <w:r w:rsidRPr="00015DBB">
              <w:t>West Bengal</w:t>
            </w:r>
          </w:p>
        </w:tc>
        <w:tc>
          <w:tcPr>
            <w:tcW w:w="2320" w:type="dxa"/>
            <w:vAlign w:val="center"/>
            <w:hideMark/>
          </w:tcPr>
          <w:p w14:paraId="7ED7B7BC" w14:textId="77777777" w:rsidR="00E85DE7" w:rsidRPr="00015DBB" w:rsidRDefault="00E85DE7" w:rsidP="00015DBB">
            <w:pPr>
              <w:pStyle w:val="Tables"/>
            </w:pPr>
            <w:r w:rsidRPr="00015DBB">
              <w:t>80</w:t>
            </w:r>
          </w:p>
        </w:tc>
      </w:tr>
    </w:tbl>
    <w:p w14:paraId="680FF36B" w14:textId="77777777" w:rsidR="00E85DE7" w:rsidRPr="00015DBB" w:rsidRDefault="00E85DE7" w:rsidP="00015DBB">
      <w:pPr>
        <w:spacing w:after="0" w:line="420" w:lineRule="exact"/>
        <w:jc w:val="both"/>
        <w:rPr>
          <w:rFonts w:ascii="Times New Roman" w:hAnsi="Times New Roman" w:cs="Times New Roman"/>
          <w:sz w:val="28"/>
          <w:szCs w:val="28"/>
        </w:rPr>
      </w:pPr>
    </w:p>
    <w:p w14:paraId="7508CE6C" w14:textId="035E531B" w:rsidR="00E85DE7" w:rsidRPr="00015DBB" w:rsidRDefault="00E85DE7" w:rsidP="00015DBB">
      <w:pPr>
        <w:pStyle w:val="ListParagraph"/>
        <w:numPr>
          <w:ilvl w:val="0"/>
          <w:numId w:val="36"/>
        </w:numPr>
        <w:spacing w:after="0" w:line="420" w:lineRule="exact"/>
        <w:jc w:val="both"/>
        <w:rPr>
          <w:rFonts w:ascii="Times New Roman" w:hAnsi="Times New Roman" w:cs="Times New Roman"/>
          <w:sz w:val="28"/>
          <w:szCs w:val="28"/>
        </w:rPr>
      </w:pPr>
      <w:r w:rsidRPr="00015DBB">
        <w:rPr>
          <w:rFonts w:ascii="Times New Roman" w:hAnsi="Times New Roman" w:cs="Times New Roman"/>
          <w:sz w:val="28"/>
          <w:szCs w:val="28"/>
        </w:rPr>
        <w:t>The following further sums should be paid as grants-in-aid of the revenues of the States mentioned below under the substantive portion of Article 275(1) of the Constitution for the purpose of expanding primary education in the States:—</w:t>
      </w:r>
    </w:p>
    <w:p w14:paraId="6DE3EDFB" w14:textId="77777777" w:rsidR="00E85DE7" w:rsidRPr="00C80318" w:rsidRDefault="00E85DE7" w:rsidP="00015DBB">
      <w:pPr>
        <w:spacing w:after="0" w:line="420" w:lineRule="exact"/>
        <w:jc w:val="right"/>
        <w:rPr>
          <w:rFonts w:ascii="Times New Roman" w:hAnsi="Times New Roman" w:cs="Times New Roman"/>
          <w:i/>
          <w:iCs/>
          <w:sz w:val="28"/>
          <w:szCs w:val="28"/>
        </w:rPr>
      </w:pPr>
      <w:r w:rsidRPr="00C80318">
        <w:rPr>
          <w:rFonts w:ascii="Times New Roman" w:hAnsi="Times New Roman" w:cs="Times New Roman"/>
          <w:i/>
          <w:iCs/>
          <w:sz w:val="28"/>
          <w:szCs w:val="28"/>
        </w:rPr>
        <w:t>(In lakhs of rupees)</w:t>
      </w:r>
    </w:p>
    <w:tbl>
      <w:tblPr>
        <w:tblStyle w:val="TableGrid"/>
        <w:tblW w:w="0" w:type="auto"/>
        <w:jc w:val="center"/>
        <w:tblLook w:val="04A0" w:firstRow="1" w:lastRow="0" w:firstColumn="1" w:lastColumn="0" w:noHBand="0" w:noVBand="1"/>
      </w:tblPr>
      <w:tblGrid>
        <w:gridCol w:w="2806"/>
        <w:gridCol w:w="1150"/>
        <w:gridCol w:w="1150"/>
        <w:gridCol w:w="1150"/>
        <w:gridCol w:w="1150"/>
      </w:tblGrid>
      <w:tr w:rsidR="00E85DE7" w:rsidRPr="00015DBB" w14:paraId="59C0FD05" w14:textId="77777777" w:rsidTr="00015DBB">
        <w:trPr>
          <w:trHeight w:val="113"/>
          <w:jc w:val="center"/>
        </w:trPr>
        <w:tc>
          <w:tcPr>
            <w:tcW w:w="0" w:type="auto"/>
            <w:vAlign w:val="center"/>
            <w:hideMark/>
          </w:tcPr>
          <w:p w14:paraId="5C2DB3FD" w14:textId="77777777" w:rsidR="00E85DE7" w:rsidRPr="00C80318" w:rsidRDefault="00E85DE7" w:rsidP="00015DBB">
            <w:pPr>
              <w:pStyle w:val="Tables"/>
              <w:rPr>
                <w:b/>
                <w:bCs/>
              </w:rPr>
            </w:pPr>
            <w:r w:rsidRPr="00C80318">
              <w:rPr>
                <w:b/>
                <w:bCs/>
              </w:rPr>
              <w:t>States</w:t>
            </w:r>
          </w:p>
        </w:tc>
        <w:tc>
          <w:tcPr>
            <w:tcW w:w="0" w:type="auto"/>
            <w:vAlign w:val="center"/>
            <w:hideMark/>
          </w:tcPr>
          <w:p w14:paraId="605EC9D9" w14:textId="77777777" w:rsidR="00E85DE7" w:rsidRPr="00C80318" w:rsidRDefault="00E85DE7" w:rsidP="00015DBB">
            <w:pPr>
              <w:pStyle w:val="Tables"/>
              <w:rPr>
                <w:b/>
                <w:bCs/>
              </w:rPr>
            </w:pPr>
            <w:r w:rsidRPr="00C80318">
              <w:rPr>
                <w:b/>
                <w:bCs/>
              </w:rPr>
              <w:t>1953-54</w:t>
            </w:r>
          </w:p>
        </w:tc>
        <w:tc>
          <w:tcPr>
            <w:tcW w:w="0" w:type="auto"/>
            <w:vAlign w:val="center"/>
            <w:hideMark/>
          </w:tcPr>
          <w:p w14:paraId="2F727AFA" w14:textId="77777777" w:rsidR="00E85DE7" w:rsidRPr="00C80318" w:rsidRDefault="00E85DE7" w:rsidP="00015DBB">
            <w:pPr>
              <w:pStyle w:val="Tables"/>
              <w:rPr>
                <w:b/>
                <w:bCs/>
              </w:rPr>
            </w:pPr>
            <w:r w:rsidRPr="00C80318">
              <w:rPr>
                <w:b/>
                <w:bCs/>
              </w:rPr>
              <w:t>1954-55</w:t>
            </w:r>
          </w:p>
        </w:tc>
        <w:tc>
          <w:tcPr>
            <w:tcW w:w="0" w:type="auto"/>
            <w:vAlign w:val="center"/>
            <w:hideMark/>
          </w:tcPr>
          <w:p w14:paraId="55E486EF" w14:textId="77777777" w:rsidR="00E85DE7" w:rsidRPr="00C80318" w:rsidRDefault="00E85DE7" w:rsidP="00015DBB">
            <w:pPr>
              <w:pStyle w:val="Tables"/>
              <w:rPr>
                <w:b/>
                <w:bCs/>
              </w:rPr>
            </w:pPr>
            <w:r w:rsidRPr="00C80318">
              <w:rPr>
                <w:b/>
                <w:bCs/>
              </w:rPr>
              <w:t>1955-56</w:t>
            </w:r>
          </w:p>
        </w:tc>
        <w:tc>
          <w:tcPr>
            <w:tcW w:w="0" w:type="auto"/>
            <w:vAlign w:val="center"/>
            <w:hideMark/>
          </w:tcPr>
          <w:p w14:paraId="3B196EEB" w14:textId="77777777" w:rsidR="00E85DE7" w:rsidRPr="00C80318" w:rsidRDefault="00E85DE7" w:rsidP="00015DBB">
            <w:pPr>
              <w:pStyle w:val="Tables"/>
              <w:rPr>
                <w:b/>
                <w:bCs/>
              </w:rPr>
            </w:pPr>
            <w:r w:rsidRPr="00C80318">
              <w:rPr>
                <w:b/>
                <w:bCs/>
              </w:rPr>
              <w:t>1956-57</w:t>
            </w:r>
          </w:p>
        </w:tc>
      </w:tr>
      <w:tr w:rsidR="00E85DE7" w:rsidRPr="00015DBB" w14:paraId="29908784" w14:textId="77777777" w:rsidTr="00C80318">
        <w:trPr>
          <w:trHeight w:val="113"/>
          <w:jc w:val="center"/>
        </w:trPr>
        <w:tc>
          <w:tcPr>
            <w:tcW w:w="2806" w:type="dxa"/>
            <w:vAlign w:val="center"/>
            <w:hideMark/>
          </w:tcPr>
          <w:p w14:paraId="5BB785E0" w14:textId="77777777" w:rsidR="00E85DE7" w:rsidRPr="00015DBB" w:rsidRDefault="00E85DE7" w:rsidP="00C80318">
            <w:pPr>
              <w:pStyle w:val="Tables"/>
              <w:jc w:val="left"/>
            </w:pPr>
            <w:r w:rsidRPr="00015DBB">
              <w:t>Bihar</w:t>
            </w:r>
          </w:p>
        </w:tc>
        <w:tc>
          <w:tcPr>
            <w:tcW w:w="0" w:type="auto"/>
            <w:vAlign w:val="center"/>
            <w:hideMark/>
          </w:tcPr>
          <w:p w14:paraId="2A97D325" w14:textId="77777777" w:rsidR="00E85DE7" w:rsidRPr="00015DBB" w:rsidRDefault="00E85DE7" w:rsidP="00015DBB">
            <w:pPr>
              <w:pStyle w:val="Tables"/>
            </w:pPr>
            <w:r w:rsidRPr="00015DBB">
              <w:t>41</w:t>
            </w:r>
          </w:p>
        </w:tc>
        <w:tc>
          <w:tcPr>
            <w:tcW w:w="0" w:type="auto"/>
            <w:vAlign w:val="center"/>
            <w:hideMark/>
          </w:tcPr>
          <w:p w14:paraId="1D8BF415" w14:textId="77777777" w:rsidR="00E85DE7" w:rsidRPr="00015DBB" w:rsidRDefault="00E85DE7" w:rsidP="00015DBB">
            <w:pPr>
              <w:pStyle w:val="Tables"/>
            </w:pPr>
            <w:r w:rsidRPr="00015DBB">
              <w:t>55</w:t>
            </w:r>
          </w:p>
        </w:tc>
        <w:tc>
          <w:tcPr>
            <w:tcW w:w="0" w:type="auto"/>
            <w:vAlign w:val="center"/>
            <w:hideMark/>
          </w:tcPr>
          <w:p w14:paraId="1D1F819A" w14:textId="77777777" w:rsidR="00E85DE7" w:rsidRPr="00015DBB" w:rsidRDefault="00E85DE7" w:rsidP="00015DBB">
            <w:pPr>
              <w:pStyle w:val="Tables"/>
            </w:pPr>
            <w:r w:rsidRPr="00015DBB">
              <w:t>69</w:t>
            </w:r>
          </w:p>
        </w:tc>
        <w:tc>
          <w:tcPr>
            <w:tcW w:w="0" w:type="auto"/>
            <w:vAlign w:val="center"/>
            <w:hideMark/>
          </w:tcPr>
          <w:p w14:paraId="5CBBBEB8" w14:textId="77777777" w:rsidR="00E85DE7" w:rsidRPr="00015DBB" w:rsidRDefault="00E85DE7" w:rsidP="00015DBB">
            <w:pPr>
              <w:pStyle w:val="Tables"/>
            </w:pPr>
            <w:r w:rsidRPr="00015DBB">
              <w:t>83</w:t>
            </w:r>
          </w:p>
        </w:tc>
      </w:tr>
      <w:tr w:rsidR="00E85DE7" w:rsidRPr="00015DBB" w14:paraId="49901646" w14:textId="77777777" w:rsidTr="00C80318">
        <w:trPr>
          <w:trHeight w:val="113"/>
          <w:jc w:val="center"/>
        </w:trPr>
        <w:tc>
          <w:tcPr>
            <w:tcW w:w="2806" w:type="dxa"/>
            <w:vAlign w:val="center"/>
            <w:hideMark/>
          </w:tcPr>
          <w:p w14:paraId="28AB914C" w14:textId="77777777" w:rsidR="00E85DE7" w:rsidRPr="00015DBB" w:rsidRDefault="00E85DE7" w:rsidP="00C80318">
            <w:pPr>
              <w:pStyle w:val="Tables"/>
              <w:jc w:val="left"/>
            </w:pPr>
            <w:r w:rsidRPr="00015DBB">
              <w:t>Hyderabad</w:t>
            </w:r>
          </w:p>
        </w:tc>
        <w:tc>
          <w:tcPr>
            <w:tcW w:w="0" w:type="auto"/>
            <w:vAlign w:val="center"/>
            <w:hideMark/>
          </w:tcPr>
          <w:p w14:paraId="58F1C8E1" w14:textId="77777777" w:rsidR="00E85DE7" w:rsidRPr="00015DBB" w:rsidRDefault="00E85DE7" w:rsidP="00015DBB">
            <w:pPr>
              <w:pStyle w:val="Tables"/>
            </w:pPr>
            <w:r w:rsidRPr="00015DBB">
              <w:t>20</w:t>
            </w:r>
          </w:p>
        </w:tc>
        <w:tc>
          <w:tcPr>
            <w:tcW w:w="0" w:type="auto"/>
            <w:vAlign w:val="center"/>
            <w:hideMark/>
          </w:tcPr>
          <w:p w14:paraId="4EB44963" w14:textId="77777777" w:rsidR="00E85DE7" w:rsidRPr="00015DBB" w:rsidRDefault="00E85DE7" w:rsidP="00015DBB">
            <w:pPr>
              <w:pStyle w:val="Tables"/>
            </w:pPr>
            <w:r w:rsidRPr="00015DBB">
              <w:t>27</w:t>
            </w:r>
          </w:p>
        </w:tc>
        <w:tc>
          <w:tcPr>
            <w:tcW w:w="0" w:type="auto"/>
            <w:vAlign w:val="center"/>
            <w:hideMark/>
          </w:tcPr>
          <w:p w14:paraId="75703926" w14:textId="77777777" w:rsidR="00E85DE7" w:rsidRPr="00015DBB" w:rsidRDefault="00E85DE7" w:rsidP="00015DBB">
            <w:pPr>
              <w:pStyle w:val="Tables"/>
            </w:pPr>
            <w:r w:rsidRPr="00015DBB">
              <w:t>33</w:t>
            </w:r>
          </w:p>
        </w:tc>
        <w:tc>
          <w:tcPr>
            <w:tcW w:w="0" w:type="auto"/>
            <w:vAlign w:val="center"/>
            <w:hideMark/>
          </w:tcPr>
          <w:p w14:paraId="6D4D4D01" w14:textId="77777777" w:rsidR="00E85DE7" w:rsidRPr="00015DBB" w:rsidRDefault="00E85DE7" w:rsidP="00015DBB">
            <w:pPr>
              <w:pStyle w:val="Tables"/>
            </w:pPr>
            <w:r w:rsidRPr="00015DBB">
              <w:t>40</w:t>
            </w:r>
          </w:p>
        </w:tc>
      </w:tr>
      <w:tr w:rsidR="00E85DE7" w:rsidRPr="00015DBB" w14:paraId="7F80870C" w14:textId="77777777" w:rsidTr="00C80318">
        <w:trPr>
          <w:trHeight w:val="113"/>
          <w:jc w:val="center"/>
        </w:trPr>
        <w:tc>
          <w:tcPr>
            <w:tcW w:w="2806" w:type="dxa"/>
            <w:vAlign w:val="center"/>
            <w:hideMark/>
          </w:tcPr>
          <w:p w14:paraId="37B35F76" w14:textId="77777777" w:rsidR="00E85DE7" w:rsidRPr="00015DBB" w:rsidRDefault="00E85DE7" w:rsidP="00C80318">
            <w:pPr>
              <w:pStyle w:val="Tables"/>
              <w:jc w:val="left"/>
            </w:pPr>
            <w:r w:rsidRPr="00015DBB">
              <w:t>Madhya Bharat</w:t>
            </w:r>
          </w:p>
        </w:tc>
        <w:tc>
          <w:tcPr>
            <w:tcW w:w="0" w:type="auto"/>
            <w:vAlign w:val="center"/>
            <w:hideMark/>
          </w:tcPr>
          <w:p w14:paraId="7761F826" w14:textId="77777777" w:rsidR="00E85DE7" w:rsidRPr="00015DBB" w:rsidRDefault="00E85DE7" w:rsidP="00015DBB">
            <w:pPr>
              <w:pStyle w:val="Tables"/>
            </w:pPr>
            <w:r w:rsidRPr="00015DBB">
              <w:t>9</w:t>
            </w:r>
          </w:p>
        </w:tc>
        <w:tc>
          <w:tcPr>
            <w:tcW w:w="0" w:type="auto"/>
            <w:vAlign w:val="center"/>
            <w:hideMark/>
          </w:tcPr>
          <w:p w14:paraId="0479B22F" w14:textId="77777777" w:rsidR="00E85DE7" w:rsidRPr="00015DBB" w:rsidRDefault="00E85DE7" w:rsidP="00015DBB">
            <w:pPr>
              <w:pStyle w:val="Tables"/>
            </w:pPr>
            <w:r w:rsidRPr="00015DBB">
              <w:t>12</w:t>
            </w:r>
          </w:p>
        </w:tc>
        <w:tc>
          <w:tcPr>
            <w:tcW w:w="0" w:type="auto"/>
            <w:vAlign w:val="center"/>
            <w:hideMark/>
          </w:tcPr>
          <w:p w14:paraId="4BB56999" w14:textId="77777777" w:rsidR="00E85DE7" w:rsidRPr="00015DBB" w:rsidRDefault="00E85DE7" w:rsidP="00015DBB">
            <w:pPr>
              <w:pStyle w:val="Tables"/>
            </w:pPr>
            <w:r w:rsidRPr="00015DBB">
              <w:t>15</w:t>
            </w:r>
          </w:p>
        </w:tc>
        <w:tc>
          <w:tcPr>
            <w:tcW w:w="0" w:type="auto"/>
            <w:vAlign w:val="center"/>
            <w:hideMark/>
          </w:tcPr>
          <w:p w14:paraId="09A0F916" w14:textId="77777777" w:rsidR="00E85DE7" w:rsidRPr="00015DBB" w:rsidRDefault="00E85DE7" w:rsidP="00015DBB">
            <w:pPr>
              <w:pStyle w:val="Tables"/>
            </w:pPr>
            <w:r w:rsidRPr="00015DBB">
              <w:t>18</w:t>
            </w:r>
          </w:p>
        </w:tc>
      </w:tr>
      <w:tr w:rsidR="00E85DE7" w:rsidRPr="00015DBB" w14:paraId="51CEC605" w14:textId="77777777" w:rsidTr="00C80318">
        <w:trPr>
          <w:trHeight w:val="113"/>
          <w:jc w:val="center"/>
        </w:trPr>
        <w:tc>
          <w:tcPr>
            <w:tcW w:w="2806" w:type="dxa"/>
            <w:vAlign w:val="center"/>
            <w:hideMark/>
          </w:tcPr>
          <w:p w14:paraId="00C9D132" w14:textId="77777777" w:rsidR="00E85DE7" w:rsidRPr="00015DBB" w:rsidRDefault="00E85DE7" w:rsidP="00C80318">
            <w:pPr>
              <w:pStyle w:val="Tables"/>
              <w:jc w:val="left"/>
            </w:pPr>
            <w:r w:rsidRPr="00015DBB">
              <w:t>Madhya Pradesh</w:t>
            </w:r>
          </w:p>
        </w:tc>
        <w:tc>
          <w:tcPr>
            <w:tcW w:w="0" w:type="auto"/>
            <w:vAlign w:val="center"/>
            <w:hideMark/>
          </w:tcPr>
          <w:p w14:paraId="596B2C20" w14:textId="77777777" w:rsidR="00E85DE7" w:rsidRPr="00015DBB" w:rsidRDefault="00E85DE7" w:rsidP="00015DBB">
            <w:pPr>
              <w:pStyle w:val="Tables"/>
            </w:pPr>
            <w:r w:rsidRPr="00015DBB">
              <w:t>25</w:t>
            </w:r>
          </w:p>
        </w:tc>
        <w:tc>
          <w:tcPr>
            <w:tcW w:w="0" w:type="auto"/>
            <w:vAlign w:val="center"/>
            <w:hideMark/>
          </w:tcPr>
          <w:p w14:paraId="7F88B3F8" w14:textId="77777777" w:rsidR="00E85DE7" w:rsidRPr="00015DBB" w:rsidRDefault="00E85DE7" w:rsidP="00015DBB">
            <w:pPr>
              <w:pStyle w:val="Tables"/>
            </w:pPr>
            <w:r w:rsidRPr="00015DBB">
              <w:t>33</w:t>
            </w:r>
          </w:p>
        </w:tc>
        <w:tc>
          <w:tcPr>
            <w:tcW w:w="0" w:type="auto"/>
            <w:vAlign w:val="center"/>
            <w:hideMark/>
          </w:tcPr>
          <w:p w14:paraId="3A6D2F6C" w14:textId="77777777" w:rsidR="00E85DE7" w:rsidRPr="00015DBB" w:rsidRDefault="00E85DE7" w:rsidP="00015DBB">
            <w:pPr>
              <w:pStyle w:val="Tables"/>
            </w:pPr>
            <w:r w:rsidRPr="00015DBB">
              <w:t>42</w:t>
            </w:r>
          </w:p>
        </w:tc>
        <w:tc>
          <w:tcPr>
            <w:tcW w:w="0" w:type="auto"/>
            <w:vAlign w:val="center"/>
            <w:hideMark/>
          </w:tcPr>
          <w:p w14:paraId="09C125AB" w14:textId="77777777" w:rsidR="00E85DE7" w:rsidRPr="00015DBB" w:rsidRDefault="00E85DE7" w:rsidP="00015DBB">
            <w:pPr>
              <w:pStyle w:val="Tables"/>
            </w:pPr>
            <w:r w:rsidRPr="00015DBB">
              <w:t>50</w:t>
            </w:r>
          </w:p>
        </w:tc>
      </w:tr>
      <w:tr w:rsidR="00E85DE7" w:rsidRPr="00015DBB" w14:paraId="5ACD8DDD" w14:textId="77777777" w:rsidTr="00C80318">
        <w:trPr>
          <w:trHeight w:val="113"/>
          <w:jc w:val="center"/>
        </w:trPr>
        <w:tc>
          <w:tcPr>
            <w:tcW w:w="2806" w:type="dxa"/>
            <w:vAlign w:val="center"/>
            <w:hideMark/>
          </w:tcPr>
          <w:p w14:paraId="048F90CD" w14:textId="77777777" w:rsidR="00E85DE7" w:rsidRPr="00015DBB" w:rsidRDefault="00E85DE7" w:rsidP="00C80318">
            <w:pPr>
              <w:pStyle w:val="Tables"/>
              <w:jc w:val="left"/>
            </w:pPr>
            <w:r w:rsidRPr="00015DBB">
              <w:t>Orissa</w:t>
            </w:r>
          </w:p>
        </w:tc>
        <w:tc>
          <w:tcPr>
            <w:tcW w:w="0" w:type="auto"/>
            <w:vAlign w:val="center"/>
            <w:hideMark/>
          </w:tcPr>
          <w:p w14:paraId="12B2B9EE" w14:textId="77777777" w:rsidR="00E85DE7" w:rsidRPr="00015DBB" w:rsidRDefault="00E85DE7" w:rsidP="00015DBB">
            <w:pPr>
              <w:pStyle w:val="Tables"/>
            </w:pPr>
            <w:r w:rsidRPr="00015DBB">
              <w:t>16</w:t>
            </w:r>
          </w:p>
        </w:tc>
        <w:tc>
          <w:tcPr>
            <w:tcW w:w="0" w:type="auto"/>
            <w:vAlign w:val="center"/>
            <w:hideMark/>
          </w:tcPr>
          <w:p w14:paraId="6D938E70" w14:textId="77777777" w:rsidR="00E85DE7" w:rsidRPr="00015DBB" w:rsidRDefault="00E85DE7" w:rsidP="00015DBB">
            <w:pPr>
              <w:pStyle w:val="Tables"/>
            </w:pPr>
            <w:r w:rsidRPr="00015DBB">
              <w:t>22</w:t>
            </w:r>
          </w:p>
        </w:tc>
        <w:tc>
          <w:tcPr>
            <w:tcW w:w="0" w:type="auto"/>
            <w:vAlign w:val="center"/>
            <w:hideMark/>
          </w:tcPr>
          <w:p w14:paraId="50CC5A9E" w14:textId="77777777" w:rsidR="00E85DE7" w:rsidRPr="00015DBB" w:rsidRDefault="00E85DE7" w:rsidP="00015DBB">
            <w:pPr>
              <w:pStyle w:val="Tables"/>
            </w:pPr>
            <w:r w:rsidRPr="00015DBB">
              <w:t>27</w:t>
            </w:r>
          </w:p>
        </w:tc>
        <w:tc>
          <w:tcPr>
            <w:tcW w:w="0" w:type="auto"/>
            <w:vAlign w:val="center"/>
            <w:hideMark/>
          </w:tcPr>
          <w:p w14:paraId="4ABD4A05" w14:textId="77777777" w:rsidR="00E85DE7" w:rsidRPr="00015DBB" w:rsidRDefault="00E85DE7" w:rsidP="00015DBB">
            <w:pPr>
              <w:pStyle w:val="Tables"/>
            </w:pPr>
            <w:r w:rsidRPr="00015DBB">
              <w:t>32</w:t>
            </w:r>
          </w:p>
        </w:tc>
      </w:tr>
      <w:tr w:rsidR="00E85DE7" w:rsidRPr="00015DBB" w14:paraId="7157012F" w14:textId="77777777" w:rsidTr="00C80318">
        <w:trPr>
          <w:trHeight w:val="113"/>
          <w:jc w:val="center"/>
        </w:trPr>
        <w:tc>
          <w:tcPr>
            <w:tcW w:w="2806" w:type="dxa"/>
            <w:vAlign w:val="center"/>
            <w:hideMark/>
          </w:tcPr>
          <w:p w14:paraId="1AC82E48" w14:textId="77777777" w:rsidR="00E85DE7" w:rsidRPr="00015DBB" w:rsidRDefault="00E85DE7" w:rsidP="00C80318">
            <w:pPr>
              <w:pStyle w:val="Tables"/>
              <w:jc w:val="left"/>
            </w:pPr>
            <w:r w:rsidRPr="00015DBB">
              <w:t>Patiala and East Punjab States Union</w:t>
            </w:r>
          </w:p>
        </w:tc>
        <w:tc>
          <w:tcPr>
            <w:tcW w:w="0" w:type="auto"/>
            <w:vAlign w:val="center"/>
            <w:hideMark/>
          </w:tcPr>
          <w:p w14:paraId="0CA42F37" w14:textId="77777777" w:rsidR="00E85DE7" w:rsidRPr="00015DBB" w:rsidRDefault="00E85DE7" w:rsidP="00015DBB">
            <w:pPr>
              <w:pStyle w:val="Tables"/>
            </w:pPr>
            <w:r w:rsidRPr="00015DBB">
              <w:t>5</w:t>
            </w:r>
          </w:p>
        </w:tc>
        <w:tc>
          <w:tcPr>
            <w:tcW w:w="0" w:type="auto"/>
            <w:vAlign w:val="center"/>
            <w:hideMark/>
          </w:tcPr>
          <w:p w14:paraId="11B40728" w14:textId="77777777" w:rsidR="00E85DE7" w:rsidRPr="00015DBB" w:rsidRDefault="00E85DE7" w:rsidP="00015DBB">
            <w:pPr>
              <w:pStyle w:val="Tables"/>
            </w:pPr>
            <w:r w:rsidRPr="00015DBB">
              <w:t>6</w:t>
            </w:r>
          </w:p>
        </w:tc>
        <w:tc>
          <w:tcPr>
            <w:tcW w:w="0" w:type="auto"/>
            <w:vAlign w:val="center"/>
            <w:hideMark/>
          </w:tcPr>
          <w:p w14:paraId="42834985" w14:textId="77777777" w:rsidR="00E85DE7" w:rsidRPr="00015DBB" w:rsidRDefault="00E85DE7" w:rsidP="00015DBB">
            <w:pPr>
              <w:pStyle w:val="Tables"/>
            </w:pPr>
            <w:r w:rsidRPr="00015DBB">
              <w:t>8</w:t>
            </w:r>
          </w:p>
        </w:tc>
        <w:tc>
          <w:tcPr>
            <w:tcW w:w="0" w:type="auto"/>
            <w:vAlign w:val="center"/>
            <w:hideMark/>
          </w:tcPr>
          <w:p w14:paraId="41A851CD" w14:textId="77777777" w:rsidR="00E85DE7" w:rsidRPr="00015DBB" w:rsidRDefault="00E85DE7" w:rsidP="00015DBB">
            <w:pPr>
              <w:pStyle w:val="Tables"/>
            </w:pPr>
            <w:r w:rsidRPr="00015DBB">
              <w:t>9</w:t>
            </w:r>
          </w:p>
        </w:tc>
      </w:tr>
      <w:tr w:rsidR="00E85DE7" w:rsidRPr="00015DBB" w14:paraId="5CFA9249" w14:textId="77777777" w:rsidTr="00C80318">
        <w:trPr>
          <w:trHeight w:val="113"/>
          <w:jc w:val="center"/>
        </w:trPr>
        <w:tc>
          <w:tcPr>
            <w:tcW w:w="2806" w:type="dxa"/>
            <w:vAlign w:val="center"/>
            <w:hideMark/>
          </w:tcPr>
          <w:p w14:paraId="31D54E81" w14:textId="77777777" w:rsidR="00E85DE7" w:rsidRPr="00015DBB" w:rsidRDefault="00E85DE7" w:rsidP="00C80318">
            <w:pPr>
              <w:pStyle w:val="Tables"/>
              <w:jc w:val="left"/>
            </w:pPr>
            <w:r w:rsidRPr="00015DBB">
              <w:t>Punjab</w:t>
            </w:r>
          </w:p>
        </w:tc>
        <w:tc>
          <w:tcPr>
            <w:tcW w:w="0" w:type="auto"/>
            <w:vAlign w:val="center"/>
            <w:hideMark/>
          </w:tcPr>
          <w:p w14:paraId="5F316A07" w14:textId="77777777" w:rsidR="00E85DE7" w:rsidRPr="00015DBB" w:rsidRDefault="00E85DE7" w:rsidP="00015DBB">
            <w:pPr>
              <w:pStyle w:val="Tables"/>
            </w:pPr>
            <w:r w:rsidRPr="00015DBB">
              <w:t>14</w:t>
            </w:r>
          </w:p>
        </w:tc>
        <w:tc>
          <w:tcPr>
            <w:tcW w:w="0" w:type="auto"/>
            <w:vAlign w:val="center"/>
            <w:hideMark/>
          </w:tcPr>
          <w:p w14:paraId="05BD6D1B" w14:textId="77777777" w:rsidR="00E85DE7" w:rsidRPr="00015DBB" w:rsidRDefault="00E85DE7" w:rsidP="00015DBB">
            <w:pPr>
              <w:pStyle w:val="Tables"/>
            </w:pPr>
            <w:r w:rsidRPr="00015DBB">
              <w:t>19</w:t>
            </w:r>
          </w:p>
        </w:tc>
        <w:tc>
          <w:tcPr>
            <w:tcW w:w="0" w:type="auto"/>
            <w:vAlign w:val="center"/>
            <w:hideMark/>
          </w:tcPr>
          <w:p w14:paraId="4F0F6120" w14:textId="77777777" w:rsidR="00E85DE7" w:rsidRPr="00015DBB" w:rsidRDefault="00E85DE7" w:rsidP="00015DBB">
            <w:pPr>
              <w:pStyle w:val="Tables"/>
            </w:pPr>
            <w:r w:rsidRPr="00015DBB">
              <w:t>23</w:t>
            </w:r>
          </w:p>
        </w:tc>
        <w:tc>
          <w:tcPr>
            <w:tcW w:w="0" w:type="auto"/>
            <w:vAlign w:val="center"/>
            <w:hideMark/>
          </w:tcPr>
          <w:p w14:paraId="1C0DEAEF" w14:textId="77777777" w:rsidR="00E85DE7" w:rsidRPr="00015DBB" w:rsidRDefault="00E85DE7" w:rsidP="00015DBB">
            <w:pPr>
              <w:pStyle w:val="Tables"/>
            </w:pPr>
            <w:r w:rsidRPr="00015DBB">
              <w:t>28</w:t>
            </w:r>
          </w:p>
        </w:tc>
      </w:tr>
      <w:tr w:rsidR="00E85DE7" w:rsidRPr="00015DBB" w14:paraId="5C61CE7A" w14:textId="77777777" w:rsidTr="00C80318">
        <w:trPr>
          <w:trHeight w:val="113"/>
          <w:jc w:val="center"/>
        </w:trPr>
        <w:tc>
          <w:tcPr>
            <w:tcW w:w="2806" w:type="dxa"/>
            <w:vAlign w:val="center"/>
            <w:hideMark/>
          </w:tcPr>
          <w:p w14:paraId="13CAF4F5" w14:textId="77777777" w:rsidR="00E85DE7" w:rsidRPr="00015DBB" w:rsidRDefault="00E85DE7" w:rsidP="00C80318">
            <w:pPr>
              <w:pStyle w:val="Tables"/>
              <w:jc w:val="left"/>
            </w:pPr>
            <w:r w:rsidRPr="00015DBB">
              <w:t>Rajasthan</w:t>
            </w:r>
          </w:p>
        </w:tc>
        <w:tc>
          <w:tcPr>
            <w:tcW w:w="0" w:type="auto"/>
            <w:vAlign w:val="center"/>
            <w:hideMark/>
          </w:tcPr>
          <w:p w14:paraId="6C2406D6" w14:textId="77777777" w:rsidR="00E85DE7" w:rsidRPr="00015DBB" w:rsidRDefault="00E85DE7" w:rsidP="00015DBB">
            <w:pPr>
              <w:pStyle w:val="Tables"/>
            </w:pPr>
            <w:r w:rsidRPr="00015DBB">
              <w:t>20</w:t>
            </w:r>
          </w:p>
        </w:tc>
        <w:tc>
          <w:tcPr>
            <w:tcW w:w="0" w:type="auto"/>
            <w:vAlign w:val="center"/>
            <w:hideMark/>
          </w:tcPr>
          <w:p w14:paraId="3D27238C" w14:textId="77777777" w:rsidR="00E85DE7" w:rsidRPr="00015DBB" w:rsidRDefault="00E85DE7" w:rsidP="00015DBB">
            <w:pPr>
              <w:pStyle w:val="Tables"/>
            </w:pPr>
            <w:r w:rsidRPr="00015DBB">
              <w:t>26</w:t>
            </w:r>
          </w:p>
        </w:tc>
        <w:tc>
          <w:tcPr>
            <w:tcW w:w="0" w:type="auto"/>
            <w:vAlign w:val="center"/>
            <w:hideMark/>
          </w:tcPr>
          <w:p w14:paraId="218B899A" w14:textId="77777777" w:rsidR="00E85DE7" w:rsidRPr="00015DBB" w:rsidRDefault="00E85DE7" w:rsidP="00015DBB">
            <w:pPr>
              <w:pStyle w:val="Tables"/>
            </w:pPr>
            <w:r w:rsidRPr="00015DBB">
              <w:t>33</w:t>
            </w:r>
          </w:p>
        </w:tc>
        <w:tc>
          <w:tcPr>
            <w:tcW w:w="0" w:type="auto"/>
            <w:vAlign w:val="center"/>
            <w:hideMark/>
          </w:tcPr>
          <w:p w14:paraId="012AA753" w14:textId="77777777" w:rsidR="00E85DE7" w:rsidRPr="00015DBB" w:rsidRDefault="00E85DE7" w:rsidP="00015DBB">
            <w:pPr>
              <w:pStyle w:val="Tables"/>
            </w:pPr>
            <w:r w:rsidRPr="00015DBB">
              <w:t>40</w:t>
            </w:r>
          </w:p>
        </w:tc>
      </w:tr>
    </w:tbl>
    <w:p w14:paraId="08C55E46" w14:textId="77777777" w:rsidR="00E85DE7" w:rsidRPr="00015DBB" w:rsidRDefault="00E85DE7" w:rsidP="00015DBB">
      <w:pPr>
        <w:spacing w:after="0" w:line="420" w:lineRule="exact"/>
        <w:jc w:val="both"/>
        <w:rPr>
          <w:rFonts w:ascii="Times New Roman" w:hAnsi="Times New Roman" w:cs="Times New Roman"/>
          <w:sz w:val="28"/>
          <w:szCs w:val="28"/>
        </w:rPr>
      </w:pPr>
    </w:p>
    <w:p w14:paraId="2F3B086C" w14:textId="158414B6" w:rsidR="00E85DE7" w:rsidRPr="00015DBB" w:rsidRDefault="00E85DE7" w:rsidP="00015DBB">
      <w:pPr>
        <w:pStyle w:val="ListParagraph"/>
        <w:numPr>
          <w:ilvl w:val="0"/>
          <w:numId w:val="36"/>
        </w:numPr>
        <w:spacing w:after="0" w:line="420" w:lineRule="exact"/>
        <w:jc w:val="both"/>
        <w:rPr>
          <w:rFonts w:ascii="Times New Roman" w:hAnsi="Times New Roman" w:cs="Times New Roman"/>
          <w:sz w:val="28"/>
          <w:szCs w:val="28"/>
        </w:rPr>
      </w:pPr>
      <w:r w:rsidRPr="00015DBB">
        <w:rPr>
          <w:rFonts w:ascii="Times New Roman" w:hAnsi="Times New Roman" w:cs="Times New Roman"/>
          <w:sz w:val="28"/>
          <w:szCs w:val="28"/>
        </w:rPr>
        <w:t>The grants now being paid to the States of Bombay, Madhya Pradesh and Madras for refraining from the taxation of tobacco should be discontinued with effect from the 1st April 1953.</w:t>
      </w:r>
    </w:p>
    <w:p w14:paraId="06BEDDF8" w14:textId="7EB00BEA" w:rsidR="00E85DE7" w:rsidRPr="00015DBB" w:rsidRDefault="00E85DE7" w:rsidP="00015DBB">
      <w:pPr>
        <w:pStyle w:val="ListParagraph"/>
        <w:numPr>
          <w:ilvl w:val="0"/>
          <w:numId w:val="36"/>
        </w:numPr>
        <w:spacing w:after="0" w:line="420" w:lineRule="exact"/>
        <w:jc w:val="both"/>
        <w:rPr>
          <w:rFonts w:ascii="Times New Roman" w:hAnsi="Times New Roman" w:cs="Times New Roman"/>
          <w:sz w:val="28"/>
          <w:szCs w:val="28"/>
        </w:rPr>
      </w:pPr>
      <w:r w:rsidRPr="00015DBB">
        <w:rPr>
          <w:rFonts w:ascii="Times New Roman" w:hAnsi="Times New Roman" w:cs="Times New Roman"/>
          <w:sz w:val="28"/>
          <w:szCs w:val="28"/>
        </w:rPr>
        <w:t>The “revenue gap grants” now being paid to the States of Bihar, Bombay, Madhya Pradesh and West Bengal in respect of the “merged areas” should be discontinued with effect from the 1st April 1952.</w:t>
      </w:r>
    </w:p>
    <w:p w14:paraId="6356388D" w14:textId="335DFD50" w:rsidR="00E85DE7" w:rsidRPr="00015DBB" w:rsidRDefault="00E85DE7" w:rsidP="00015DBB">
      <w:pPr>
        <w:pStyle w:val="ListParagraph"/>
        <w:numPr>
          <w:ilvl w:val="0"/>
          <w:numId w:val="18"/>
        </w:numPr>
        <w:spacing w:after="0" w:line="420" w:lineRule="exact"/>
        <w:jc w:val="both"/>
        <w:rPr>
          <w:rFonts w:ascii="Times New Roman" w:hAnsi="Times New Roman" w:cs="Times New Roman"/>
          <w:sz w:val="28"/>
          <w:szCs w:val="28"/>
        </w:rPr>
      </w:pPr>
      <w:r w:rsidRPr="00015DBB">
        <w:rPr>
          <w:rFonts w:ascii="Times New Roman" w:hAnsi="Times New Roman" w:cs="Times New Roman"/>
          <w:sz w:val="28"/>
          <w:szCs w:val="28"/>
        </w:rPr>
        <w:t xml:space="preserve">The table below compares what each State might, on an average, expect to receive under all our recommendations taken together with the corresponding sums the Part A States received during the three years ending 1951-52 and the Part B States during the two years ending 1951-52. The actual sums accruing </w:t>
      </w:r>
      <w:r w:rsidRPr="00015DBB">
        <w:rPr>
          <w:rFonts w:ascii="Times New Roman" w:hAnsi="Times New Roman" w:cs="Times New Roman"/>
          <w:sz w:val="28"/>
          <w:szCs w:val="28"/>
        </w:rPr>
        <w:lastRenderedPageBreak/>
        <w:t>by way of devolution of revenue will vary from year to year and the average sums given are only by way of indication of the order of the sums likely to be received under our scheme on the present estimates of the yield from the divisible taxes. We have assumed that our recommendations, if given effect to, would be operative for a period of five years ending with the 31st March 1957.</w:t>
      </w:r>
    </w:p>
    <w:p w14:paraId="58C32169" w14:textId="35FBF80C" w:rsidR="00E85DE7" w:rsidRPr="00015DBB" w:rsidRDefault="00E85DE7" w:rsidP="00015DBB">
      <w:pPr>
        <w:spacing w:after="0" w:line="420" w:lineRule="exact"/>
        <w:jc w:val="both"/>
        <w:rPr>
          <w:rFonts w:ascii="Times New Roman" w:hAnsi="Times New Roman" w:cs="Times New Roman"/>
          <w:sz w:val="28"/>
          <w:szCs w:val="28"/>
        </w:rPr>
      </w:pPr>
      <w:r w:rsidRPr="00015DBB">
        <w:rPr>
          <w:rFonts w:ascii="Times New Roman" w:hAnsi="Times New Roman" w:cs="Times New Roman"/>
          <w:sz w:val="28"/>
          <w:szCs w:val="28"/>
        </w:rPr>
        <w:br w:type="page"/>
      </w:r>
    </w:p>
    <w:p w14:paraId="073F1A29" w14:textId="77777777" w:rsidR="00764594" w:rsidRDefault="00764594" w:rsidP="00764594">
      <w:pPr>
        <w:spacing w:after="0" w:line="240" w:lineRule="auto"/>
        <w:rPr>
          <w:rFonts w:ascii="Aptos Narrow" w:eastAsia="Times New Roman" w:hAnsi="Aptos Narrow" w:cs="Times New Roman"/>
          <w:color w:val="000000"/>
          <w:kern w:val="0"/>
          <w:sz w:val="22"/>
          <w:szCs w:val="22"/>
          <w:lang w:eastAsia="en-IN"/>
          <w14:ligatures w14:val="none"/>
        </w:rPr>
        <w:sectPr w:rsidR="00764594" w:rsidSect="00764594">
          <w:headerReference w:type="default" r:id="rId17"/>
          <w:pgSz w:w="11906" w:h="16838" w:code="9"/>
          <w:pgMar w:top="1440" w:right="1276" w:bottom="1440" w:left="1134" w:header="709" w:footer="709" w:gutter="0"/>
          <w:pgNumType w:start="1"/>
          <w:cols w:space="708"/>
          <w:docGrid w:linePitch="360"/>
        </w:sectPr>
      </w:pPr>
    </w:p>
    <w:p w14:paraId="3EF2C0BC" w14:textId="77777777" w:rsidR="00764594" w:rsidRDefault="00764594" w:rsidP="00447F92">
      <w:pPr>
        <w:spacing w:line="240" w:lineRule="auto"/>
        <w:jc w:val="center"/>
        <w:rPr>
          <w:rFonts w:ascii="Times New Roman" w:eastAsia="Times New Roman" w:hAnsi="Times New Roman" w:cs="Times New Roman"/>
          <w:color w:val="000000"/>
          <w:kern w:val="0"/>
          <w:sz w:val="28"/>
          <w:szCs w:val="28"/>
          <w:lang w:eastAsia="en-IN"/>
          <w14:ligatures w14:val="none"/>
        </w:rPr>
      </w:pPr>
      <w:r w:rsidRPr="00764594">
        <w:rPr>
          <w:rFonts w:ascii="Times New Roman" w:eastAsia="Times New Roman" w:hAnsi="Times New Roman" w:cs="Times New Roman"/>
          <w:color w:val="000000"/>
          <w:kern w:val="0"/>
          <w:sz w:val="28"/>
          <w:szCs w:val="28"/>
          <w:lang w:eastAsia="en-IN"/>
          <w14:ligatures w14:val="none"/>
        </w:rPr>
        <w:lastRenderedPageBreak/>
        <w:t>AVERAGE FOR THE PERIOD 1949-50 TO 1951-52 UNDER THE COMMISSION’S SCHEME</w:t>
      </w:r>
    </w:p>
    <w:tbl>
      <w:tblPr>
        <w:tblStyle w:val="TableGrid"/>
        <w:tblW w:w="15730" w:type="dxa"/>
        <w:jc w:val="center"/>
        <w:tblLook w:val="04A0" w:firstRow="1" w:lastRow="0" w:firstColumn="1" w:lastColumn="0" w:noHBand="0" w:noVBand="1"/>
      </w:tblPr>
      <w:tblGrid>
        <w:gridCol w:w="2687"/>
        <w:gridCol w:w="1005"/>
        <w:gridCol w:w="1005"/>
        <w:gridCol w:w="1386"/>
        <w:gridCol w:w="1236"/>
        <w:gridCol w:w="814"/>
        <w:gridCol w:w="1005"/>
        <w:gridCol w:w="1005"/>
        <w:gridCol w:w="1759"/>
        <w:gridCol w:w="1115"/>
        <w:gridCol w:w="814"/>
        <w:gridCol w:w="1273"/>
        <w:gridCol w:w="878"/>
      </w:tblGrid>
      <w:tr w:rsidR="00447F92" w:rsidRPr="00447F92" w14:paraId="6A8244B7" w14:textId="77777777" w:rsidTr="00447F92">
        <w:trPr>
          <w:trHeight w:val="20"/>
          <w:jc w:val="center"/>
        </w:trPr>
        <w:tc>
          <w:tcPr>
            <w:tcW w:w="2687" w:type="dxa"/>
            <w:noWrap/>
            <w:vAlign w:val="center"/>
            <w:hideMark/>
          </w:tcPr>
          <w:p w14:paraId="4E49E38A" w14:textId="1B322969" w:rsidR="00764594" w:rsidRPr="00447F92" w:rsidRDefault="009179A2" w:rsidP="00764594">
            <w:pPr>
              <w:pStyle w:val="Tables"/>
              <w:rPr>
                <w:sz w:val="23"/>
                <w:szCs w:val="23"/>
              </w:rPr>
            </w:pPr>
            <w:r>
              <w:rPr>
                <w:sz w:val="23"/>
                <w:szCs w:val="23"/>
              </w:rPr>
              <w:t>St</w:t>
            </w:r>
            <w:r w:rsidR="00764594" w:rsidRPr="00447F92">
              <w:rPr>
                <w:sz w:val="23"/>
                <w:szCs w:val="23"/>
              </w:rPr>
              <w:t>ate</w:t>
            </w:r>
          </w:p>
        </w:tc>
        <w:tc>
          <w:tcPr>
            <w:tcW w:w="1005" w:type="dxa"/>
            <w:noWrap/>
            <w:vAlign w:val="center"/>
            <w:hideMark/>
          </w:tcPr>
          <w:p w14:paraId="03AAF6A9" w14:textId="77777777" w:rsidR="00764594" w:rsidRPr="00447F92" w:rsidRDefault="00764594" w:rsidP="00764594">
            <w:pPr>
              <w:pStyle w:val="Tables"/>
              <w:rPr>
                <w:sz w:val="23"/>
                <w:szCs w:val="23"/>
              </w:rPr>
            </w:pPr>
            <w:r w:rsidRPr="00447F92">
              <w:rPr>
                <w:sz w:val="23"/>
                <w:szCs w:val="23"/>
              </w:rPr>
              <w:t>Share of Income Tax</w:t>
            </w:r>
          </w:p>
        </w:tc>
        <w:tc>
          <w:tcPr>
            <w:tcW w:w="1005" w:type="dxa"/>
            <w:noWrap/>
            <w:vAlign w:val="center"/>
            <w:hideMark/>
          </w:tcPr>
          <w:p w14:paraId="50C5567C" w14:textId="77777777" w:rsidR="00764594" w:rsidRPr="00447F92" w:rsidRDefault="00764594" w:rsidP="00764594">
            <w:pPr>
              <w:pStyle w:val="Tables"/>
              <w:rPr>
                <w:sz w:val="23"/>
                <w:szCs w:val="23"/>
              </w:rPr>
            </w:pPr>
            <w:r w:rsidRPr="00447F92">
              <w:rPr>
                <w:sz w:val="23"/>
                <w:szCs w:val="23"/>
              </w:rPr>
              <w:t>Grants-in-aid under Article 273</w:t>
            </w:r>
          </w:p>
        </w:tc>
        <w:tc>
          <w:tcPr>
            <w:tcW w:w="1386" w:type="dxa"/>
            <w:noWrap/>
            <w:vAlign w:val="center"/>
            <w:hideMark/>
          </w:tcPr>
          <w:p w14:paraId="3D93A984" w14:textId="77777777" w:rsidR="00764594" w:rsidRPr="00447F92" w:rsidRDefault="00764594" w:rsidP="00764594">
            <w:pPr>
              <w:pStyle w:val="Tables"/>
              <w:rPr>
                <w:sz w:val="23"/>
                <w:szCs w:val="23"/>
              </w:rPr>
            </w:pPr>
            <w:r w:rsidRPr="00447F92">
              <w:rPr>
                <w:sz w:val="23"/>
                <w:szCs w:val="23"/>
              </w:rPr>
              <w:t>Grants-in-aid under substantive portion of Article 275(1)</w:t>
            </w:r>
          </w:p>
        </w:tc>
        <w:tc>
          <w:tcPr>
            <w:tcW w:w="1236" w:type="dxa"/>
            <w:noWrap/>
            <w:vAlign w:val="center"/>
            <w:hideMark/>
          </w:tcPr>
          <w:p w14:paraId="64DAF7F4" w14:textId="77777777" w:rsidR="00764594" w:rsidRPr="00447F92" w:rsidRDefault="00764594" w:rsidP="00764594">
            <w:pPr>
              <w:pStyle w:val="Tables"/>
              <w:rPr>
                <w:sz w:val="23"/>
                <w:szCs w:val="23"/>
              </w:rPr>
            </w:pPr>
            <w:r w:rsidRPr="00447F92">
              <w:rPr>
                <w:sz w:val="23"/>
                <w:szCs w:val="23"/>
              </w:rPr>
              <w:t>"Revenue Gap Grants"</w:t>
            </w:r>
          </w:p>
        </w:tc>
        <w:tc>
          <w:tcPr>
            <w:tcW w:w="814" w:type="dxa"/>
            <w:noWrap/>
            <w:vAlign w:val="center"/>
            <w:hideMark/>
          </w:tcPr>
          <w:p w14:paraId="3F674506" w14:textId="77777777" w:rsidR="00764594" w:rsidRPr="00447F92" w:rsidRDefault="00764594" w:rsidP="00764594">
            <w:pPr>
              <w:pStyle w:val="Tables"/>
              <w:rPr>
                <w:sz w:val="23"/>
                <w:szCs w:val="23"/>
              </w:rPr>
            </w:pPr>
            <w:r w:rsidRPr="00447F92">
              <w:rPr>
                <w:sz w:val="23"/>
                <w:szCs w:val="23"/>
              </w:rPr>
              <w:t>Total</w:t>
            </w:r>
          </w:p>
        </w:tc>
        <w:tc>
          <w:tcPr>
            <w:tcW w:w="1005" w:type="dxa"/>
            <w:noWrap/>
            <w:vAlign w:val="center"/>
            <w:hideMark/>
          </w:tcPr>
          <w:p w14:paraId="77CFDAE8" w14:textId="77777777" w:rsidR="00764594" w:rsidRPr="00447F92" w:rsidRDefault="00764594" w:rsidP="00764594">
            <w:pPr>
              <w:pStyle w:val="Tables"/>
              <w:rPr>
                <w:sz w:val="23"/>
                <w:szCs w:val="23"/>
              </w:rPr>
            </w:pPr>
            <w:r w:rsidRPr="00447F92">
              <w:rPr>
                <w:sz w:val="23"/>
                <w:szCs w:val="23"/>
              </w:rPr>
              <w:t>Share of Income Tax and Union Excise</w:t>
            </w:r>
          </w:p>
        </w:tc>
        <w:tc>
          <w:tcPr>
            <w:tcW w:w="1005" w:type="dxa"/>
            <w:noWrap/>
            <w:vAlign w:val="center"/>
            <w:hideMark/>
          </w:tcPr>
          <w:p w14:paraId="7C0DED6A" w14:textId="77777777" w:rsidR="00764594" w:rsidRPr="00447F92" w:rsidRDefault="00764594" w:rsidP="00764594">
            <w:pPr>
              <w:pStyle w:val="Tables"/>
              <w:rPr>
                <w:sz w:val="23"/>
                <w:szCs w:val="23"/>
              </w:rPr>
            </w:pPr>
            <w:r w:rsidRPr="00447F92">
              <w:rPr>
                <w:sz w:val="23"/>
                <w:szCs w:val="23"/>
              </w:rPr>
              <w:t>Grants-in-aid under Article 273</w:t>
            </w:r>
          </w:p>
        </w:tc>
        <w:tc>
          <w:tcPr>
            <w:tcW w:w="1759" w:type="dxa"/>
            <w:noWrap/>
            <w:vAlign w:val="center"/>
            <w:hideMark/>
          </w:tcPr>
          <w:p w14:paraId="3D59F484" w14:textId="77777777" w:rsidR="00764594" w:rsidRPr="00447F92" w:rsidRDefault="00764594" w:rsidP="00764594">
            <w:pPr>
              <w:pStyle w:val="Tables"/>
              <w:rPr>
                <w:sz w:val="23"/>
                <w:szCs w:val="23"/>
              </w:rPr>
            </w:pPr>
            <w:r w:rsidRPr="00447F92">
              <w:rPr>
                <w:sz w:val="23"/>
                <w:szCs w:val="23"/>
              </w:rPr>
              <w:t>General Grants-in-aid under substantive portion of Article 275(1)</w:t>
            </w:r>
          </w:p>
        </w:tc>
        <w:tc>
          <w:tcPr>
            <w:tcW w:w="863" w:type="dxa"/>
            <w:noWrap/>
            <w:vAlign w:val="center"/>
            <w:hideMark/>
          </w:tcPr>
          <w:p w14:paraId="3F065348" w14:textId="77777777" w:rsidR="00764594" w:rsidRPr="00447F92" w:rsidRDefault="00764594" w:rsidP="00764594">
            <w:pPr>
              <w:pStyle w:val="Tables"/>
              <w:rPr>
                <w:sz w:val="23"/>
                <w:szCs w:val="23"/>
              </w:rPr>
            </w:pPr>
            <w:r w:rsidRPr="00447F92">
              <w:rPr>
                <w:sz w:val="23"/>
                <w:szCs w:val="23"/>
              </w:rPr>
              <w:t>"Revenue Gap Grants"</w:t>
            </w:r>
          </w:p>
        </w:tc>
        <w:tc>
          <w:tcPr>
            <w:tcW w:w="814" w:type="dxa"/>
            <w:noWrap/>
            <w:vAlign w:val="center"/>
            <w:hideMark/>
          </w:tcPr>
          <w:p w14:paraId="70B5B723" w14:textId="77777777" w:rsidR="00764594" w:rsidRPr="00447F92" w:rsidRDefault="00764594" w:rsidP="00764594">
            <w:pPr>
              <w:pStyle w:val="Tables"/>
              <w:rPr>
                <w:sz w:val="23"/>
                <w:szCs w:val="23"/>
              </w:rPr>
            </w:pPr>
            <w:r w:rsidRPr="00447F92">
              <w:rPr>
                <w:sz w:val="23"/>
                <w:szCs w:val="23"/>
              </w:rPr>
              <w:t>Total</w:t>
            </w:r>
          </w:p>
        </w:tc>
        <w:tc>
          <w:tcPr>
            <w:tcW w:w="1273" w:type="dxa"/>
            <w:noWrap/>
            <w:vAlign w:val="center"/>
            <w:hideMark/>
          </w:tcPr>
          <w:p w14:paraId="063FAC95" w14:textId="77777777" w:rsidR="00764594" w:rsidRPr="00447F92" w:rsidRDefault="00764594" w:rsidP="00764594">
            <w:pPr>
              <w:pStyle w:val="Tables"/>
              <w:rPr>
                <w:sz w:val="23"/>
                <w:szCs w:val="23"/>
              </w:rPr>
            </w:pPr>
            <w:r w:rsidRPr="00447F92">
              <w:rPr>
                <w:sz w:val="23"/>
                <w:szCs w:val="23"/>
              </w:rPr>
              <w:t>Primary Education Grants</w:t>
            </w:r>
          </w:p>
        </w:tc>
        <w:tc>
          <w:tcPr>
            <w:tcW w:w="878" w:type="dxa"/>
            <w:noWrap/>
            <w:vAlign w:val="center"/>
            <w:hideMark/>
          </w:tcPr>
          <w:p w14:paraId="53CC9523" w14:textId="77777777" w:rsidR="00764594" w:rsidRPr="00447F92" w:rsidRDefault="00764594" w:rsidP="00764594">
            <w:pPr>
              <w:pStyle w:val="Tables"/>
              <w:rPr>
                <w:sz w:val="23"/>
                <w:szCs w:val="23"/>
              </w:rPr>
            </w:pPr>
            <w:r w:rsidRPr="00447F92">
              <w:rPr>
                <w:sz w:val="23"/>
                <w:szCs w:val="23"/>
              </w:rPr>
              <w:t>Grand Total</w:t>
            </w:r>
          </w:p>
        </w:tc>
      </w:tr>
      <w:tr w:rsidR="00447F92" w:rsidRPr="00447F92" w14:paraId="7BE9D312" w14:textId="77777777" w:rsidTr="00447F92">
        <w:trPr>
          <w:trHeight w:val="20"/>
          <w:jc w:val="center"/>
        </w:trPr>
        <w:tc>
          <w:tcPr>
            <w:tcW w:w="2687" w:type="dxa"/>
            <w:noWrap/>
            <w:vAlign w:val="center"/>
            <w:hideMark/>
          </w:tcPr>
          <w:p w14:paraId="22931AFE" w14:textId="77777777" w:rsidR="00764594" w:rsidRPr="00447F92" w:rsidRDefault="00764594" w:rsidP="00764594">
            <w:pPr>
              <w:pStyle w:val="Tables"/>
              <w:rPr>
                <w:sz w:val="23"/>
                <w:szCs w:val="23"/>
              </w:rPr>
            </w:pPr>
            <w:r w:rsidRPr="00447F92">
              <w:rPr>
                <w:sz w:val="23"/>
                <w:szCs w:val="23"/>
              </w:rPr>
              <w:t>Assam</w:t>
            </w:r>
          </w:p>
        </w:tc>
        <w:tc>
          <w:tcPr>
            <w:tcW w:w="1005" w:type="dxa"/>
            <w:noWrap/>
            <w:vAlign w:val="center"/>
            <w:hideMark/>
          </w:tcPr>
          <w:p w14:paraId="007F3514" w14:textId="1964B61A" w:rsidR="00764594" w:rsidRPr="00447F92" w:rsidRDefault="00764594" w:rsidP="00764594">
            <w:pPr>
              <w:pStyle w:val="Tables"/>
              <w:rPr>
                <w:sz w:val="23"/>
                <w:szCs w:val="23"/>
              </w:rPr>
            </w:pPr>
            <w:r w:rsidRPr="00447F92">
              <w:rPr>
                <w:sz w:val="23"/>
                <w:szCs w:val="23"/>
              </w:rPr>
              <w:t>1</w:t>
            </w:r>
            <w:r w:rsidR="005F18E7">
              <w:rPr>
                <w:sz w:val="23"/>
                <w:szCs w:val="23"/>
              </w:rPr>
              <w:t>,</w:t>
            </w:r>
            <w:r w:rsidRPr="00447F92">
              <w:rPr>
                <w:sz w:val="23"/>
                <w:szCs w:val="23"/>
              </w:rPr>
              <w:t>45</w:t>
            </w:r>
          </w:p>
        </w:tc>
        <w:tc>
          <w:tcPr>
            <w:tcW w:w="1005" w:type="dxa"/>
            <w:noWrap/>
            <w:vAlign w:val="center"/>
            <w:hideMark/>
          </w:tcPr>
          <w:p w14:paraId="2B23F996" w14:textId="72B85288" w:rsidR="00764594" w:rsidRPr="00447F92" w:rsidRDefault="00764594" w:rsidP="00764594">
            <w:pPr>
              <w:pStyle w:val="Tables"/>
              <w:rPr>
                <w:sz w:val="23"/>
                <w:szCs w:val="23"/>
              </w:rPr>
            </w:pPr>
            <w:r w:rsidRPr="00447F92">
              <w:rPr>
                <w:sz w:val="23"/>
                <w:szCs w:val="23"/>
              </w:rPr>
              <w:t>46</w:t>
            </w:r>
          </w:p>
        </w:tc>
        <w:tc>
          <w:tcPr>
            <w:tcW w:w="1386" w:type="dxa"/>
            <w:noWrap/>
            <w:vAlign w:val="center"/>
            <w:hideMark/>
          </w:tcPr>
          <w:p w14:paraId="1E2AC79D" w14:textId="3CCDCC4D" w:rsidR="00764594" w:rsidRPr="00447F92" w:rsidRDefault="00764594" w:rsidP="00764594">
            <w:pPr>
              <w:pStyle w:val="Tables"/>
              <w:rPr>
                <w:sz w:val="23"/>
                <w:szCs w:val="23"/>
              </w:rPr>
            </w:pPr>
            <w:r w:rsidRPr="00447F92">
              <w:rPr>
                <w:sz w:val="23"/>
                <w:szCs w:val="23"/>
              </w:rPr>
              <w:t>30</w:t>
            </w:r>
          </w:p>
        </w:tc>
        <w:tc>
          <w:tcPr>
            <w:tcW w:w="1236" w:type="dxa"/>
            <w:noWrap/>
            <w:vAlign w:val="center"/>
            <w:hideMark/>
          </w:tcPr>
          <w:p w14:paraId="6A388206" w14:textId="70B4D9B5" w:rsidR="00764594" w:rsidRPr="00447F92" w:rsidRDefault="00764594" w:rsidP="00764594">
            <w:pPr>
              <w:pStyle w:val="Tables"/>
              <w:rPr>
                <w:sz w:val="23"/>
                <w:szCs w:val="23"/>
              </w:rPr>
            </w:pPr>
            <w:r w:rsidRPr="00447F92">
              <w:rPr>
                <w:sz w:val="23"/>
                <w:szCs w:val="23"/>
              </w:rPr>
              <w:t>...</w:t>
            </w:r>
          </w:p>
        </w:tc>
        <w:tc>
          <w:tcPr>
            <w:tcW w:w="814" w:type="dxa"/>
            <w:noWrap/>
            <w:vAlign w:val="center"/>
            <w:hideMark/>
          </w:tcPr>
          <w:p w14:paraId="14E11A47" w14:textId="4FAB2858" w:rsidR="00764594" w:rsidRPr="00447F92" w:rsidRDefault="00764594" w:rsidP="00764594">
            <w:pPr>
              <w:pStyle w:val="Tables"/>
              <w:rPr>
                <w:sz w:val="23"/>
                <w:szCs w:val="23"/>
              </w:rPr>
            </w:pPr>
            <w:r w:rsidRPr="00447F92">
              <w:rPr>
                <w:sz w:val="23"/>
                <w:szCs w:val="23"/>
              </w:rPr>
              <w:t>2</w:t>
            </w:r>
            <w:r w:rsidR="00714297">
              <w:rPr>
                <w:sz w:val="23"/>
                <w:szCs w:val="23"/>
              </w:rPr>
              <w:t>,</w:t>
            </w:r>
            <w:r w:rsidRPr="00447F92">
              <w:rPr>
                <w:sz w:val="23"/>
                <w:szCs w:val="23"/>
              </w:rPr>
              <w:t>21</w:t>
            </w:r>
          </w:p>
        </w:tc>
        <w:tc>
          <w:tcPr>
            <w:tcW w:w="1005" w:type="dxa"/>
            <w:noWrap/>
            <w:vAlign w:val="center"/>
            <w:hideMark/>
          </w:tcPr>
          <w:p w14:paraId="1AB9DBC7" w14:textId="7071A407" w:rsidR="00764594" w:rsidRPr="00447F92" w:rsidRDefault="00764594" w:rsidP="00764594">
            <w:pPr>
              <w:pStyle w:val="Tables"/>
              <w:rPr>
                <w:sz w:val="23"/>
                <w:szCs w:val="23"/>
              </w:rPr>
            </w:pPr>
            <w:r w:rsidRPr="00447F92">
              <w:rPr>
                <w:sz w:val="23"/>
                <w:szCs w:val="23"/>
              </w:rPr>
              <w:t>1</w:t>
            </w:r>
            <w:r w:rsidR="00714297">
              <w:rPr>
                <w:sz w:val="23"/>
                <w:szCs w:val="23"/>
              </w:rPr>
              <w:t>,</w:t>
            </w:r>
            <w:r w:rsidRPr="00447F92">
              <w:rPr>
                <w:sz w:val="23"/>
                <w:szCs w:val="23"/>
              </w:rPr>
              <w:t>70</w:t>
            </w:r>
          </w:p>
        </w:tc>
        <w:tc>
          <w:tcPr>
            <w:tcW w:w="1005" w:type="dxa"/>
            <w:noWrap/>
            <w:vAlign w:val="center"/>
            <w:hideMark/>
          </w:tcPr>
          <w:p w14:paraId="67312DCB" w14:textId="5C3DA790" w:rsidR="00764594" w:rsidRPr="00447F92" w:rsidRDefault="00764594" w:rsidP="00764594">
            <w:pPr>
              <w:pStyle w:val="Tables"/>
              <w:rPr>
                <w:sz w:val="23"/>
                <w:szCs w:val="23"/>
              </w:rPr>
            </w:pPr>
            <w:r w:rsidRPr="00447F92">
              <w:rPr>
                <w:sz w:val="23"/>
                <w:szCs w:val="23"/>
              </w:rPr>
              <w:t>75</w:t>
            </w:r>
          </w:p>
        </w:tc>
        <w:tc>
          <w:tcPr>
            <w:tcW w:w="1759" w:type="dxa"/>
            <w:noWrap/>
            <w:vAlign w:val="center"/>
            <w:hideMark/>
          </w:tcPr>
          <w:p w14:paraId="64B6B00B" w14:textId="4FE3331B" w:rsidR="00764594" w:rsidRPr="00447F92" w:rsidRDefault="00764594" w:rsidP="00764594">
            <w:pPr>
              <w:pStyle w:val="Tables"/>
              <w:rPr>
                <w:sz w:val="23"/>
                <w:szCs w:val="23"/>
              </w:rPr>
            </w:pPr>
            <w:r w:rsidRPr="00447F92">
              <w:rPr>
                <w:sz w:val="23"/>
                <w:szCs w:val="23"/>
              </w:rPr>
              <w:t>1</w:t>
            </w:r>
            <w:r w:rsidR="00714297">
              <w:rPr>
                <w:sz w:val="23"/>
                <w:szCs w:val="23"/>
              </w:rPr>
              <w:t>,</w:t>
            </w:r>
            <w:r w:rsidRPr="00447F92">
              <w:rPr>
                <w:sz w:val="23"/>
                <w:szCs w:val="23"/>
              </w:rPr>
              <w:t>00</w:t>
            </w:r>
          </w:p>
        </w:tc>
        <w:tc>
          <w:tcPr>
            <w:tcW w:w="863" w:type="dxa"/>
            <w:noWrap/>
            <w:vAlign w:val="center"/>
            <w:hideMark/>
          </w:tcPr>
          <w:p w14:paraId="4F8C7408" w14:textId="7C42032F" w:rsidR="00764594" w:rsidRPr="00447F92" w:rsidRDefault="00764594" w:rsidP="00764594">
            <w:pPr>
              <w:pStyle w:val="Tables"/>
              <w:rPr>
                <w:sz w:val="23"/>
                <w:szCs w:val="23"/>
              </w:rPr>
            </w:pPr>
            <w:r w:rsidRPr="00447F92">
              <w:rPr>
                <w:sz w:val="23"/>
                <w:szCs w:val="23"/>
              </w:rPr>
              <w:t>...</w:t>
            </w:r>
          </w:p>
        </w:tc>
        <w:tc>
          <w:tcPr>
            <w:tcW w:w="814" w:type="dxa"/>
            <w:noWrap/>
            <w:vAlign w:val="center"/>
            <w:hideMark/>
          </w:tcPr>
          <w:p w14:paraId="5A4C2F2C" w14:textId="671B944C" w:rsidR="00764594" w:rsidRPr="00447F92" w:rsidRDefault="00764594" w:rsidP="00764594">
            <w:pPr>
              <w:pStyle w:val="Tables"/>
              <w:rPr>
                <w:sz w:val="23"/>
                <w:szCs w:val="23"/>
              </w:rPr>
            </w:pPr>
            <w:r w:rsidRPr="00447F92">
              <w:rPr>
                <w:sz w:val="23"/>
                <w:szCs w:val="23"/>
              </w:rPr>
              <w:t>3</w:t>
            </w:r>
            <w:r w:rsidR="00714297">
              <w:rPr>
                <w:sz w:val="23"/>
                <w:szCs w:val="23"/>
              </w:rPr>
              <w:t>,</w:t>
            </w:r>
            <w:r w:rsidRPr="00447F92">
              <w:rPr>
                <w:sz w:val="23"/>
                <w:szCs w:val="23"/>
              </w:rPr>
              <w:t>45</w:t>
            </w:r>
          </w:p>
        </w:tc>
        <w:tc>
          <w:tcPr>
            <w:tcW w:w="1273" w:type="dxa"/>
            <w:noWrap/>
            <w:vAlign w:val="center"/>
            <w:hideMark/>
          </w:tcPr>
          <w:p w14:paraId="37BA83C6" w14:textId="320F1502" w:rsidR="00764594" w:rsidRPr="00447F92" w:rsidRDefault="00764594" w:rsidP="00764594">
            <w:pPr>
              <w:pStyle w:val="Tables"/>
              <w:rPr>
                <w:sz w:val="23"/>
                <w:szCs w:val="23"/>
              </w:rPr>
            </w:pPr>
            <w:r w:rsidRPr="00447F92">
              <w:rPr>
                <w:sz w:val="23"/>
                <w:szCs w:val="23"/>
              </w:rPr>
              <w:t>...</w:t>
            </w:r>
          </w:p>
        </w:tc>
        <w:tc>
          <w:tcPr>
            <w:tcW w:w="878" w:type="dxa"/>
            <w:noWrap/>
            <w:vAlign w:val="center"/>
            <w:hideMark/>
          </w:tcPr>
          <w:p w14:paraId="095E2623" w14:textId="79ECD10C" w:rsidR="00764594" w:rsidRPr="00447F92" w:rsidRDefault="00764594" w:rsidP="00764594">
            <w:pPr>
              <w:pStyle w:val="Tables"/>
              <w:rPr>
                <w:sz w:val="23"/>
                <w:szCs w:val="23"/>
              </w:rPr>
            </w:pPr>
            <w:r w:rsidRPr="00447F92">
              <w:rPr>
                <w:sz w:val="23"/>
                <w:szCs w:val="23"/>
              </w:rPr>
              <w:t>3</w:t>
            </w:r>
            <w:r w:rsidR="00A945CD">
              <w:rPr>
                <w:sz w:val="23"/>
                <w:szCs w:val="23"/>
              </w:rPr>
              <w:t>,</w:t>
            </w:r>
            <w:r w:rsidRPr="00447F92">
              <w:rPr>
                <w:sz w:val="23"/>
                <w:szCs w:val="23"/>
              </w:rPr>
              <w:t>45</w:t>
            </w:r>
          </w:p>
        </w:tc>
      </w:tr>
      <w:tr w:rsidR="00447F92" w:rsidRPr="00447F92" w14:paraId="7CEB203D" w14:textId="77777777" w:rsidTr="00447F92">
        <w:trPr>
          <w:trHeight w:val="20"/>
          <w:jc w:val="center"/>
        </w:trPr>
        <w:tc>
          <w:tcPr>
            <w:tcW w:w="2687" w:type="dxa"/>
            <w:noWrap/>
            <w:vAlign w:val="center"/>
            <w:hideMark/>
          </w:tcPr>
          <w:p w14:paraId="545348E2" w14:textId="77777777" w:rsidR="00764594" w:rsidRPr="00447F92" w:rsidRDefault="00764594" w:rsidP="00764594">
            <w:pPr>
              <w:pStyle w:val="Tables"/>
              <w:rPr>
                <w:sz w:val="23"/>
                <w:szCs w:val="23"/>
              </w:rPr>
            </w:pPr>
            <w:r w:rsidRPr="00447F92">
              <w:rPr>
                <w:sz w:val="23"/>
                <w:szCs w:val="23"/>
              </w:rPr>
              <w:t>Bihar</w:t>
            </w:r>
          </w:p>
        </w:tc>
        <w:tc>
          <w:tcPr>
            <w:tcW w:w="1005" w:type="dxa"/>
            <w:noWrap/>
            <w:vAlign w:val="center"/>
            <w:hideMark/>
          </w:tcPr>
          <w:p w14:paraId="1A1FDCF2" w14:textId="47AAC921" w:rsidR="00764594" w:rsidRPr="00447F92" w:rsidRDefault="00764594" w:rsidP="00764594">
            <w:pPr>
              <w:pStyle w:val="Tables"/>
              <w:rPr>
                <w:sz w:val="23"/>
                <w:szCs w:val="23"/>
              </w:rPr>
            </w:pPr>
            <w:r w:rsidRPr="00447F92">
              <w:rPr>
                <w:sz w:val="23"/>
                <w:szCs w:val="23"/>
              </w:rPr>
              <w:t>6</w:t>
            </w:r>
            <w:r w:rsidR="005F18E7">
              <w:rPr>
                <w:sz w:val="23"/>
                <w:szCs w:val="23"/>
              </w:rPr>
              <w:t>,</w:t>
            </w:r>
            <w:r w:rsidRPr="00447F92">
              <w:rPr>
                <w:sz w:val="23"/>
                <w:szCs w:val="23"/>
              </w:rPr>
              <w:t>14</w:t>
            </w:r>
          </w:p>
        </w:tc>
        <w:tc>
          <w:tcPr>
            <w:tcW w:w="1005" w:type="dxa"/>
            <w:noWrap/>
            <w:vAlign w:val="center"/>
            <w:hideMark/>
          </w:tcPr>
          <w:p w14:paraId="536BF765" w14:textId="0AB8855A" w:rsidR="00764594" w:rsidRPr="00447F92" w:rsidRDefault="00764594" w:rsidP="00764594">
            <w:pPr>
              <w:pStyle w:val="Tables"/>
              <w:rPr>
                <w:sz w:val="23"/>
                <w:szCs w:val="23"/>
              </w:rPr>
            </w:pPr>
            <w:r w:rsidRPr="00447F92">
              <w:rPr>
                <w:sz w:val="23"/>
                <w:szCs w:val="23"/>
              </w:rPr>
              <w:t>39</w:t>
            </w:r>
          </w:p>
        </w:tc>
        <w:tc>
          <w:tcPr>
            <w:tcW w:w="1386" w:type="dxa"/>
            <w:noWrap/>
            <w:vAlign w:val="center"/>
            <w:hideMark/>
          </w:tcPr>
          <w:p w14:paraId="6FFEC278" w14:textId="37FBD8D2" w:rsidR="00764594" w:rsidRPr="00447F92" w:rsidRDefault="00764594" w:rsidP="00764594">
            <w:pPr>
              <w:pStyle w:val="Tables"/>
              <w:rPr>
                <w:sz w:val="23"/>
                <w:szCs w:val="23"/>
              </w:rPr>
            </w:pPr>
            <w:r w:rsidRPr="00447F92">
              <w:rPr>
                <w:sz w:val="23"/>
                <w:szCs w:val="23"/>
              </w:rPr>
              <w:t>...</w:t>
            </w:r>
          </w:p>
        </w:tc>
        <w:tc>
          <w:tcPr>
            <w:tcW w:w="1236" w:type="dxa"/>
            <w:noWrap/>
            <w:vAlign w:val="center"/>
            <w:hideMark/>
          </w:tcPr>
          <w:p w14:paraId="1B775B33" w14:textId="16A3A729" w:rsidR="00764594" w:rsidRPr="00447F92" w:rsidRDefault="00764594" w:rsidP="00764594">
            <w:pPr>
              <w:pStyle w:val="Tables"/>
              <w:rPr>
                <w:sz w:val="23"/>
                <w:szCs w:val="23"/>
              </w:rPr>
            </w:pPr>
            <w:r w:rsidRPr="00447F92">
              <w:rPr>
                <w:sz w:val="23"/>
                <w:szCs w:val="23"/>
              </w:rPr>
              <w:t>2</w:t>
            </w:r>
          </w:p>
        </w:tc>
        <w:tc>
          <w:tcPr>
            <w:tcW w:w="814" w:type="dxa"/>
            <w:noWrap/>
            <w:vAlign w:val="center"/>
            <w:hideMark/>
          </w:tcPr>
          <w:p w14:paraId="4CF272B1" w14:textId="743786DE" w:rsidR="00764594" w:rsidRPr="00447F92" w:rsidRDefault="00764594" w:rsidP="00764594">
            <w:pPr>
              <w:pStyle w:val="Tables"/>
              <w:rPr>
                <w:sz w:val="23"/>
                <w:szCs w:val="23"/>
              </w:rPr>
            </w:pPr>
            <w:r w:rsidRPr="00447F92">
              <w:rPr>
                <w:sz w:val="23"/>
                <w:szCs w:val="23"/>
              </w:rPr>
              <w:t>6</w:t>
            </w:r>
            <w:r w:rsidR="00714297">
              <w:rPr>
                <w:sz w:val="23"/>
                <w:szCs w:val="23"/>
              </w:rPr>
              <w:t>,</w:t>
            </w:r>
            <w:r w:rsidRPr="00447F92">
              <w:rPr>
                <w:sz w:val="23"/>
                <w:szCs w:val="23"/>
              </w:rPr>
              <w:t>55</w:t>
            </w:r>
          </w:p>
        </w:tc>
        <w:tc>
          <w:tcPr>
            <w:tcW w:w="1005" w:type="dxa"/>
            <w:noWrap/>
            <w:vAlign w:val="center"/>
            <w:hideMark/>
          </w:tcPr>
          <w:p w14:paraId="0C26CEDD" w14:textId="52AE96EE" w:rsidR="00764594" w:rsidRPr="00447F92" w:rsidRDefault="00764594" w:rsidP="00764594">
            <w:pPr>
              <w:pStyle w:val="Tables"/>
              <w:rPr>
                <w:sz w:val="23"/>
                <w:szCs w:val="23"/>
              </w:rPr>
            </w:pPr>
            <w:r w:rsidRPr="00447F92">
              <w:rPr>
                <w:sz w:val="23"/>
                <w:szCs w:val="23"/>
              </w:rPr>
              <w:t>7</w:t>
            </w:r>
            <w:r w:rsidR="00714297">
              <w:rPr>
                <w:sz w:val="23"/>
                <w:szCs w:val="23"/>
              </w:rPr>
              <w:t>,</w:t>
            </w:r>
            <w:r w:rsidRPr="00447F92">
              <w:rPr>
                <w:sz w:val="23"/>
                <w:szCs w:val="23"/>
              </w:rPr>
              <w:t>30</w:t>
            </w:r>
          </w:p>
        </w:tc>
        <w:tc>
          <w:tcPr>
            <w:tcW w:w="1005" w:type="dxa"/>
            <w:noWrap/>
            <w:vAlign w:val="center"/>
            <w:hideMark/>
          </w:tcPr>
          <w:p w14:paraId="47DAB09A" w14:textId="7634DDE6" w:rsidR="00764594" w:rsidRPr="00447F92" w:rsidRDefault="00764594" w:rsidP="00764594">
            <w:pPr>
              <w:pStyle w:val="Tables"/>
              <w:rPr>
                <w:sz w:val="23"/>
                <w:szCs w:val="23"/>
              </w:rPr>
            </w:pPr>
            <w:r w:rsidRPr="00447F92">
              <w:rPr>
                <w:sz w:val="23"/>
                <w:szCs w:val="23"/>
              </w:rPr>
              <w:t>75</w:t>
            </w:r>
          </w:p>
        </w:tc>
        <w:tc>
          <w:tcPr>
            <w:tcW w:w="1759" w:type="dxa"/>
            <w:noWrap/>
            <w:vAlign w:val="center"/>
            <w:hideMark/>
          </w:tcPr>
          <w:p w14:paraId="2BB5E641" w14:textId="3CF10FF0" w:rsidR="00764594" w:rsidRPr="00447F92" w:rsidRDefault="00764594" w:rsidP="00764594">
            <w:pPr>
              <w:pStyle w:val="Tables"/>
              <w:rPr>
                <w:sz w:val="23"/>
                <w:szCs w:val="23"/>
              </w:rPr>
            </w:pPr>
            <w:r w:rsidRPr="00447F92">
              <w:rPr>
                <w:sz w:val="23"/>
                <w:szCs w:val="23"/>
              </w:rPr>
              <w:t>...</w:t>
            </w:r>
          </w:p>
        </w:tc>
        <w:tc>
          <w:tcPr>
            <w:tcW w:w="863" w:type="dxa"/>
            <w:noWrap/>
            <w:vAlign w:val="center"/>
            <w:hideMark/>
          </w:tcPr>
          <w:p w14:paraId="7C4F0B13" w14:textId="3A2814BF" w:rsidR="00764594" w:rsidRPr="00447F92" w:rsidRDefault="00764594" w:rsidP="00764594">
            <w:pPr>
              <w:pStyle w:val="Tables"/>
              <w:rPr>
                <w:sz w:val="23"/>
                <w:szCs w:val="23"/>
              </w:rPr>
            </w:pPr>
            <w:r w:rsidRPr="00447F92">
              <w:rPr>
                <w:sz w:val="23"/>
                <w:szCs w:val="23"/>
              </w:rPr>
              <w:t>...</w:t>
            </w:r>
          </w:p>
        </w:tc>
        <w:tc>
          <w:tcPr>
            <w:tcW w:w="814" w:type="dxa"/>
            <w:noWrap/>
            <w:vAlign w:val="center"/>
            <w:hideMark/>
          </w:tcPr>
          <w:p w14:paraId="7F68D255" w14:textId="28150E6A" w:rsidR="00764594" w:rsidRPr="00447F92" w:rsidRDefault="00764594" w:rsidP="00764594">
            <w:pPr>
              <w:pStyle w:val="Tables"/>
              <w:rPr>
                <w:sz w:val="23"/>
                <w:szCs w:val="23"/>
              </w:rPr>
            </w:pPr>
            <w:r w:rsidRPr="00447F92">
              <w:rPr>
                <w:sz w:val="23"/>
                <w:szCs w:val="23"/>
              </w:rPr>
              <w:t>8</w:t>
            </w:r>
            <w:r w:rsidR="00714297">
              <w:rPr>
                <w:sz w:val="23"/>
                <w:szCs w:val="23"/>
              </w:rPr>
              <w:t>,</w:t>
            </w:r>
            <w:r w:rsidRPr="00447F92">
              <w:rPr>
                <w:sz w:val="23"/>
                <w:szCs w:val="23"/>
              </w:rPr>
              <w:t>05</w:t>
            </w:r>
          </w:p>
        </w:tc>
        <w:tc>
          <w:tcPr>
            <w:tcW w:w="1273" w:type="dxa"/>
            <w:noWrap/>
            <w:vAlign w:val="center"/>
            <w:hideMark/>
          </w:tcPr>
          <w:p w14:paraId="7359FF96" w14:textId="54E34B77" w:rsidR="00764594" w:rsidRPr="00447F92" w:rsidRDefault="00764594" w:rsidP="00764594">
            <w:pPr>
              <w:pStyle w:val="Tables"/>
              <w:rPr>
                <w:sz w:val="23"/>
                <w:szCs w:val="23"/>
              </w:rPr>
            </w:pPr>
            <w:r w:rsidRPr="00447F92">
              <w:rPr>
                <w:sz w:val="23"/>
                <w:szCs w:val="23"/>
              </w:rPr>
              <w:t>50</w:t>
            </w:r>
          </w:p>
        </w:tc>
        <w:tc>
          <w:tcPr>
            <w:tcW w:w="878" w:type="dxa"/>
            <w:noWrap/>
            <w:vAlign w:val="center"/>
            <w:hideMark/>
          </w:tcPr>
          <w:p w14:paraId="5EAF0F4F" w14:textId="0D1CB37F" w:rsidR="00764594" w:rsidRPr="00447F92" w:rsidRDefault="00764594" w:rsidP="00764594">
            <w:pPr>
              <w:pStyle w:val="Tables"/>
              <w:rPr>
                <w:sz w:val="23"/>
                <w:szCs w:val="23"/>
              </w:rPr>
            </w:pPr>
            <w:r w:rsidRPr="00447F92">
              <w:rPr>
                <w:sz w:val="23"/>
                <w:szCs w:val="23"/>
              </w:rPr>
              <w:t>8</w:t>
            </w:r>
            <w:r w:rsidR="00A945CD">
              <w:rPr>
                <w:sz w:val="23"/>
                <w:szCs w:val="23"/>
              </w:rPr>
              <w:t>,</w:t>
            </w:r>
            <w:r w:rsidRPr="00447F92">
              <w:rPr>
                <w:sz w:val="23"/>
                <w:szCs w:val="23"/>
              </w:rPr>
              <w:t>55</w:t>
            </w:r>
          </w:p>
        </w:tc>
      </w:tr>
      <w:tr w:rsidR="00447F92" w:rsidRPr="00447F92" w14:paraId="0CCF98DF" w14:textId="77777777" w:rsidTr="00447F92">
        <w:trPr>
          <w:trHeight w:val="20"/>
          <w:jc w:val="center"/>
        </w:trPr>
        <w:tc>
          <w:tcPr>
            <w:tcW w:w="2687" w:type="dxa"/>
            <w:noWrap/>
            <w:vAlign w:val="center"/>
            <w:hideMark/>
          </w:tcPr>
          <w:p w14:paraId="6340BC7E" w14:textId="77777777" w:rsidR="00764594" w:rsidRPr="00447F92" w:rsidRDefault="00764594" w:rsidP="00764594">
            <w:pPr>
              <w:pStyle w:val="Tables"/>
              <w:rPr>
                <w:sz w:val="23"/>
                <w:szCs w:val="23"/>
              </w:rPr>
            </w:pPr>
            <w:r w:rsidRPr="00447F92">
              <w:rPr>
                <w:sz w:val="23"/>
                <w:szCs w:val="23"/>
              </w:rPr>
              <w:t>Bombay</w:t>
            </w:r>
          </w:p>
        </w:tc>
        <w:tc>
          <w:tcPr>
            <w:tcW w:w="1005" w:type="dxa"/>
            <w:noWrap/>
            <w:vAlign w:val="center"/>
            <w:hideMark/>
          </w:tcPr>
          <w:p w14:paraId="458C2330" w14:textId="66D4EB9A" w:rsidR="00764594" w:rsidRPr="00447F92" w:rsidRDefault="00764594" w:rsidP="00764594">
            <w:pPr>
              <w:pStyle w:val="Tables"/>
              <w:rPr>
                <w:sz w:val="23"/>
                <w:szCs w:val="23"/>
              </w:rPr>
            </w:pPr>
            <w:r w:rsidRPr="00447F92">
              <w:rPr>
                <w:sz w:val="23"/>
                <w:szCs w:val="23"/>
              </w:rPr>
              <w:t>10</w:t>
            </w:r>
            <w:r w:rsidR="005F18E7">
              <w:rPr>
                <w:sz w:val="23"/>
                <w:szCs w:val="23"/>
              </w:rPr>
              <w:t>,</w:t>
            </w:r>
            <w:r w:rsidRPr="00447F92">
              <w:rPr>
                <w:sz w:val="23"/>
                <w:szCs w:val="23"/>
              </w:rPr>
              <w:t>18</w:t>
            </w:r>
          </w:p>
        </w:tc>
        <w:tc>
          <w:tcPr>
            <w:tcW w:w="1005" w:type="dxa"/>
            <w:noWrap/>
            <w:vAlign w:val="center"/>
            <w:hideMark/>
          </w:tcPr>
          <w:p w14:paraId="2C2EB41E" w14:textId="6C55DA72" w:rsidR="00764594" w:rsidRPr="00447F92" w:rsidRDefault="00764594" w:rsidP="00764594">
            <w:pPr>
              <w:pStyle w:val="Tables"/>
              <w:rPr>
                <w:sz w:val="23"/>
                <w:szCs w:val="23"/>
              </w:rPr>
            </w:pPr>
            <w:r w:rsidRPr="00447F92">
              <w:rPr>
                <w:sz w:val="23"/>
                <w:szCs w:val="23"/>
              </w:rPr>
              <w:t>...</w:t>
            </w:r>
          </w:p>
        </w:tc>
        <w:tc>
          <w:tcPr>
            <w:tcW w:w="1386" w:type="dxa"/>
            <w:noWrap/>
            <w:vAlign w:val="center"/>
            <w:hideMark/>
          </w:tcPr>
          <w:p w14:paraId="16C0A7E9" w14:textId="02FD7090" w:rsidR="00764594" w:rsidRPr="00447F92" w:rsidRDefault="00764594" w:rsidP="00764594">
            <w:pPr>
              <w:pStyle w:val="Tables"/>
              <w:rPr>
                <w:sz w:val="23"/>
                <w:szCs w:val="23"/>
              </w:rPr>
            </w:pPr>
            <w:r w:rsidRPr="00447F92">
              <w:rPr>
                <w:sz w:val="23"/>
                <w:szCs w:val="23"/>
              </w:rPr>
              <w:t>...</w:t>
            </w:r>
          </w:p>
        </w:tc>
        <w:tc>
          <w:tcPr>
            <w:tcW w:w="1236" w:type="dxa"/>
            <w:noWrap/>
            <w:vAlign w:val="center"/>
            <w:hideMark/>
          </w:tcPr>
          <w:p w14:paraId="77F65448" w14:textId="621709D6" w:rsidR="00764594" w:rsidRPr="00447F92" w:rsidRDefault="00764594" w:rsidP="00764594">
            <w:pPr>
              <w:pStyle w:val="Tables"/>
              <w:rPr>
                <w:sz w:val="23"/>
                <w:szCs w:val="23"/>
              </w:rPr>
            </w:pPr>
            <w:r w:rsidRPr="00447F92">
              <w:rPr>
                <w:sz w:val="23"/>
                <w:szCs w:val="23"/>
              </w:rPr>
              <w:t>1</w:t>
            </w:r>
            <w:r w:rsidR="000370DF">
              <w:rPr>
                <w:sz w:val="23"/>
                <w:szCs w:val="23"/>
              </w:rPr>
              <w:t>,</w:t>
            </w:r>
            <w:r w:rsidRPr="00447F92">
              <w:rPr>
                <w:sz w:val="23"/>
                <w:szCs w:val="23"/>
              </w:rPr>
              <w:t>42</w:t>
            </w:r>
          </w:p>
        </w:tc>
        <w:tc>
          <w:tcPr>
            <w:tcW w:w="814" w:type="dxa"/>
            <w:noWrap/>
            <w:vAlign w:val="center"/>
            <w:hideMark/>
          </w:tcPr>
          <w:p w14:paraId="400C48AA" w14:textId="0C64775E" w:rsidR="00764594" w:rsidRPr="00447F92" w:rsidRDefault="00764594" w:rsidP="00764594">
            <w:pPr>
              <w:pStyle w:val="Tables"/>
              <w:rPr>
                <w:sz w:val="23"/>
                <w:szCs w:val="23"/>
              </w:rPr>
            </w:pPr>
            <w:r w:rsidRPr="00447F92">
              <w:rPr>
                <w:sz w:val="23"/>
                <w:szCs w:val="23"/>
              </w:rPr>
              <w:t>11</w:t>
            </w:r>
            <w:r w:rsidR="00714297">
              <w:rPr>
                <w:sz w:val="23"/>
                <w:szCs w:val="23"/>
              </w:rPr>
              <w:t>,</w:t>
            </w:r>
            <w:r w:rsidRPr="00447F92">
              <w:rPr>
                <w:sz w:val="23"/>
                <w:szCs w:val="23"/>
              </w:rPr>
              <w:t>60</w:t>
            </w:r>
          </w:p>
        </w:tc>
        <w:tc>
          <w:tcPr>
            <w:tcW w:w="1005" w:type="dxa"/>
            <w:noWrap/>
            <w:vAlign w:val="center"/>
            <w:hideMark/>
          </w:tcPr>
          <w:p w14:paraId="324C7B00" w14:textId="69169629" w:rsidR="00764594" w:rsidRPr="00447F92" w:rsidRDefault="00764594" w:rsidP="00764594">
            <w:pPr>
              <w:pStyle w:val="Tables"/>
              <w:rPr>
                <w:sz w:val="23"/>
                <w:szCs w:val="23"/>
              </w:rPr>
            </w:pPr>
            <w:r w:rsidRPr="00447F92">
              <w:rPr>
                <w:sz w:val="23"/>
                <w:szCs w:val="23"/>
              </w:rPr>
              <w:t>11</w:t>
            </w:r>
            <w:r w:rsidR="00714297">
              <w:rPr>
                <w:sz w:val="23"/>
                <w:szCs w:val="23"/>
              </w:rPr>
              <w:t>,</w:t>
            </w:r>
            <w:r w:rsidRPr="00447F92">
              <w:rPr>
                <w:sz w:val="23"/>
                <w:szCs w:val="23"/>
              </w:rPr>
              <w:t>25</w:t>
            </w:r>
          </w:p>
        </w:tc>
        <w:tc>
          <w:tcPr>
            <w:tcW w:w="1005" w:type="dxa"/>
            <w:noWrap/>
            <w:vAlign w:val="center"/>
            <w:hideMark/>
          </w:tcPr>
          <w:p w14:paraId="3B176F4A" w14:textId="24F5A1CF" w:rsidR="00764594" w:rsidRPr="00447F92" w:rsidRDefault="00764594" w:rsidP="00764594">
            <w:pPr>
              <w:pStyle w:val="Tables"/>
              <w:rPr>
                <w:sz w:val="23"/>
                <w:szCs w:val="23"/>
              </w:rPr>
            </w:pPr>
            <w:r w:rsidRPr="00447F92">
              <w:rPr>
                <w:sz w:val="23"/>
                <w:szCs w:val="23"/>
              </w:rPr>
              <w:t>...</w:t>
            </w:r>
          </w:p>
        </w:tc>
        <w:tc>
          <w:tcPr>
            <w:tcW w:w="1759" w:type="dxa"/>
            <w:noWrap/>
            <w:vAlign w:val="center"/>
            <w:hideMark/>
          </w:tcPr>
          <w:p w14:paraId="0D153DE2" w14:textId="7760CDDB" w:rsidR="00764594" w:rsidRPr="00447F92" w:rsidRDefault="00764594" w:rsidP="00764594">
            <w:pPr>
              <w:pStyle w:val="Tables"/>
              <w:rPr>
                <w:sz w:val="23"/>
                <w:szCs w:val="23"/>
              </w:rPr>
            </w:pPr>
            <w:r w:rsidRPr="00447F92">
              <w:rPr>
                <w:sz w:val="23"/>
                <w:szCs w:val="23"/>
              </w:rPr>
              <w:t>...</w:t>
            </w:r>
          </w:p>
        </w:tc>
        <w:tc>
          <w:tcPr>
            <w:tcW w:w="863" w:type="dxa"/>
            <w:noWrap/>
            <w:vAlign w:val="center"/>
            <w:hideMark/>
          </w:tcPr>
          <w:p w14:paraId="02F3ABF8" w14:textId="6BB37DA8" w:rsidR="00764594" w:rsidRPr="00447F92" w:rsidRDefault="00764594" w:rsidP="00764594">
            <w:pPr>
              <w:pStyle w:val="Tables"/>
              <w:rPr>
                <w:sz w:val="23"/>
                <w:szCs w:val="23"/>
              </w:rPr>
            </w:pPr>
            <w:r w:rsidRPr="00447F92">
              <w:rPr>
                <w:sz w:val="23"/>
                <w:szCs w:val="23"/>
              </w:rPr>
              <w:t>...</w:t>
            </w:r>
          </w:p>
        </w:tc>
        <w:tc>
          <w:tcPr>
            <w:tcW w:w="814" w:type="dxa"/>
            <w:noWrap/>
            <w:vAlign w:val="center"/>
            <w:hideMark/>
          </w:tcPr>
          <w:p w14:paraId="59190AA8" w14:textId="29C72641" w:rsidR="00764594" w:rsidRPr="00447F92" w:rsidRDefault="00764594" w:rsidP="00764594">
            <w:pPr>
              <w:pStyle w:val="Tables"/>
              <w:rPr>
                <w:sz w:val="23"/>
                <w:szCs w:val="23"/>
              </w:rPr>
            </w:pPr>
            <w:r w:rsidRPr="00447F92">
              <w:rPr>
                <w:sz w:val="23"/>
                <w:szCs w:val="23"/>
              </w:rPr>
              <w:t>11</w:t>
            </w:r>
            <w:r w:rsidR="00714297">
              <w:rPr>
                <w:sz w:val="23"/>
                <w:szCs w:val="23"/>
              </w:rPr>
              <w:t>,</w:t>
            </w:r>
            <w:r w:rsidRPr="00447F92">
              <w:rPr>
                <w:sz w:val="23"/>
                <w:szCs w:val="23"/>
              </w:rPr>
              <w:t>25</w:t>
            </w:r>
          </w:p>
        </w:tc>
        <w:tc>
          <w:tcPr>
            <w:tcW w:w="1273" w:type="dxa"/>
            <w:noWrap/>
            <w:vAlign w:val="center"/>
            <w:hideMark/>
          </w:tcPr>
          <w:p w14:paraId="30BAA667" w14:textId="20D38B2F" w:rsidR="00764594" w:rsidRPr="00447F92" w:rsidRDefault="00764594" w:rsidP="00764594">
            <w:pPr>
              <w:pStyle w:val="Tables"/>
              <w:rPr>
                <w:sz w:val="23"/>
                <w:szCs w:val="23"/>
              </w:rPr>
            </w:pPr>
            <w:r w:rsidRPr="00447F92">
              <w:rPr>
                <w:sz w:val="23"/>
                <w:szCs w:val="23"/>
              </w:rPr>
              <w:t>...</w:t>
            </w:r>
          </w:p>
        </w:tc>
        <w:tc>
          <w:tcPr>
            <w:tcW w:w="878" w:type="dxa"/>
            <w:noWrap/>
            <w:vAlign w:val="center"/>
            <w:hideMark/>
          </w:tcPr>
          <w:p w14:paraId="038E7FF5" w14:textId="348FCD89" w:rsidR="00764594" w:rsidRPr="00447F92" w:rsidRDefault="00764594" w:rsidP="00764594">
            <w:pPr>
              <w:pStyle w:val="Tables"/>
              <w:rPr>
                <w:sz w:val="23"/>
                <w:szCs w:val="23"/>
              </w:rPr>
            </w:pPr>
            <w:r w:rsidRPr="00447F92">
              <w:rPr>
                <w:sz w:val="23"/>
                <w:szCs w:val="23"/>
              </w:rPr>
              <w:t>11</w:t>
            </w:r>
            <w:r w:rsidR="00A945CD">
              <w:rPr>
                <w:sz w:val="23"/>
                <w:szCs w:val="23"/>
              </w:rPr>
              <w:t>,</w:t>
            </w:r>
            <w:r w:rsidRPr="00447F92">
              <w:rPr>
                <w:sz w:val="23"/>
                <w:szCs w:val="23"/>
              </w:rPr>
              <w:t>25</w:t>
            </w:r>
          </w:p>
        </w:tc>
      </w:tr>
      <w:tr w:rsidR="00447F92" w:rsidRPr="00447F92" w14:paraId="11238304" w14:textId="77777777" w:rsidTr="00447F92">
        <w:trPr>
          <w:trHeight w:val="20"/>
          <w:jc w:val="center"/>
        </w:trPr>
        <w:tc>
          <w:tcPr>
            <w:tcW w:w="2687" w:type="dxa"/>
            <w:noWrap/>
            <w:vAlign w:val="center"/>
            <w:hideMark/>
          </w:tcPr>
          <w:p w14:paraId="132865B3" w14:textId="77777777" w:rsidR="00764594" w:rsidRPr="00447F92" w:rsidRDefault="00764594" w:rsidP="00764594">
            <w:pPr>
              <w:pStyle w:val="Tables"/>
              <w:rPr>
                <w:sz w:val="23"/>
                <w:szCs w:val="23"/>
              </w:rPr>
            </w:pPr>
            <w:r w:rsidRPr="00447F92">
              <w:rPr>
                <w:sz w:val="23"/>
                <w:szCs w:val="23"/>
              </w:rPr>
              <w:t>Hyderabad</w:t>
            </w:r>
          </w:p>
        </w:tc>
        <w:tc>
          <w:tcPr>
            <w:tcW w:w="1005" w:type="dxa"/>
            <w:noWrap/>
            <w:vAlign w:val="center"/>
            <w:hideMark/>
          </w:tcPr>
          <w:p w14:paraId="0FD250D5" w14:textId="186B23DB" w:rsidR="00764594" w:rsidRPr="00447F92" w:rsidRDefault="00764594" w:rsidP="00764594">
            <w:pPr>
              <w:pStyle w:val="Tables"/>
              <w:rPr>
                <w:sz w:val="23"/>
                <w:szCs w:val="23"/>
              </w:rPr>
            </w:pPr>
            <w:r w:rsidRPr="00447F92">
              <w:rPr>
                <w:sz w:val="23"/>
                <w:szCs w:val="23"/>
              </w:rPr>
              <w:t>...</w:t>
            </w:r>
          </w:p>
        </w:tc>
        <w:tc>
          <w:tcPr>
            <w:tcW w:w="1005" w:type="dxa"/>
            <w:noWrap/>
            <w:vAlign w:val="center"/>
            <w:hideMark/>
          </w:tcPr>
          <w:p w14:paraId="1273B5D3" w14:textId="1EBDF1C5" w:rsidR="00764594" w:rsidRPr="00447F92" w:rsidRDefault="00764594" w:rsidP="00764594">
            <w:pPr>
              <w:pStyle w:val="Tables"/>
              <w:rPr>
                <w:sz w:val="23"/>
                <w:szCs w:val="23"/>
              </w:rPr>
            </w:pPr>
            <w:r w:rsidRPr="00447F92">
              <w:rPr>
                <w:sz w:val="23"/>
                <w:szCs w:val="23"/>
              </w:rPr>
              <w:t>...</w:t>
            </w:r>
          </w:p>
        </w:tc>
        <w:tc>
          <w:tcPr>
            <w:tcW w:w="1386" w:type="dxa"/>
            <w:noWrap/>
            <w:vAlign w:val="center"/>
            <w:hideMark/>
          </w:tcPr>
          <w:p w14:paraId="7C132D33" w14:textId="6EE3F7E2" w:rsidR="00764594" w:rsidRPr="00447F92" w:rsidRDefault="00764594" w:rsidP="00764594">
            <w:pPr>
              <w:pStyle w:val="Tables"/>
              <w:rPr>
                <w:sz w:val="23"/>
                <w:szCs w:val="23"/>
              </w:rPr>
            </w:pPr>
            <w:r w:rsidRPr="00447F92">
              <w:rPr>
                <w:sz w:val="23"/>
                <w:szCs w:val="23"/>
              </w:rPr>
              <w:t>...</w:t>
            </w:r>
          </w:p>
        </w:tc>
        <w:tc>
          <w:tcPr>
            <w:tcW w:w="1236" w:type="dxa"/>
            <w:noWrap/>
            <w:vAlign w:val="center"/>
            <w:hideMark/>
          </w:tcPr>
          <w:p w14:paraId="06B9FDA9" w14:textId="28E14B8F" w:rsidR="00764594" w:rsidRPr="00447F92" w:rsidRDefault="00764594" w:rsidP="00764594">
            <w:pPr>
              <w:pStyle w:val="Tables"/>
              <w:rPr>
                <w:sz w:val="23"/>
                <w:szCs w:val="23"/>
              </w:rPr>
            </w:pPr>
            <w:r w:rsidRPr="00447F92">
              <w:rPr>
                <w:sz w:val="23"/>
                <w:szCs w:val="23"/>
              </w:rPr>
              <w:t>1</w:t>
            </w:r>
            <w:r w:rsidR="000370DF">
              <w:rPr>
                <w:sz w:val="23"/>
                <w:szCs w:val="23"/>
              </w:rPr>
              <w:t>,</w:t>
            </w:r>
            <w:r w:rsidRPr="00447F92">
              <w:rPr>
                <w:sz w:val="23"/>
                <w:szCs w:val="23"/>
              </w:rPr>
              <w:t>25</w:t>
            </w:r>
          </w:p>
        </w:tc>
        <w:tc>
          <w:tcPr>
            <w:tcW w:w="814" w:type="dxa"/>
            <w:noWrap/>
            <w:vAlign w:val="center"/>
            <w:hideMark/>
          </w:tcPr>
          <w:p w14:paraId="2844E0E3" w14:textId="05440F0B" w:rsidR="00764594" w:rsidRPr="00447F92" w:rsidRDefault="00764594" w:rsidP="00764594">
            <w:pPr>
              <w:pStyle w:val="Tables"/>
              <w:rPr>
                <w:sz w:val="23"/>
                <w:szCs w:val="23"/>
              </w:rPr>
            </w:pPr>
            <w:r w:rsidRPr="00447F92">
              <w:rPr>
                <w:sz w:val="23"/>
                <w:szCs w:val="23"/>
              </w:rPr>
              <w:t>1</w:t>
            </w:r>
            <w:r w:rsidR="00714297">
              <w:rPr>
                <w:sz w:val="23"/>
                <w:szCs w:val="23"/>
              </w:rPr>
              <w:t>,</w:t>
            </w:r>
            <w:r w:rsidRPr="00447F92">
              <w:rPr>
                <w:sz w:val="23"/>
                <w:szCs w:val="23"/>
              </w:rPr>
              <w:t>25</w:t>
            </w:r>
          </w:p>
        </w:tc>
        <w:tc>
          <w:tcPr>
            <w:tcW w:w="1005" w:type="dxa"/>
            <w:noWrap/>
            <w:vAlign w:val="center"/>
            <w:hideMark/>
          </w:tcPr>
          <w:p w14:paraId="7574298C" w14:textId="228B8CC5" w:rsidR="00764594" w:rsidRPr="00447F92" w:rsidRDefault="00764594" w:rsidP="00764594">
            <w:pPr>
              <w:pStyle w:val="Tables"/>
              <w:rPr>
                <w:sz w:val="23"/>
                <w:szCs w:val="23"/>
              </w:rPr>
            </w:pPr>
            <w:r w:rsidRPr="00447F92">
              <w:rPr>
                <w:sz w:val="23"/>
                <w:szCs w:val="23"/>
              </w:rPr>
              <w:t>3</w:t>
            </w:r>
            <w:r w:rsidR="00714297">
              <w:rPr>
                <w:sz w:val="23"/>
                <w:szCs w:val="23"/>
              </w:rPr>
              <w:t>,</w:t>
            </w:r>
            <w:r w:rsidRPr="00447F92">
              <w:rPr>
                <w:sz w:val="23"/>
                <w:szCs w:val="23"/>
              </w:rPr>
              <w:t>35</w:t>
            </w:r>
          </w:p>
        </w:tc>
        <w:tc>
          <w:tcPr>
            <w:tcW w:w="1005" w:type="dxa"/>
            <w:noWrap/>
            <w:vAlign w:val="center"/>
            <w:hideMark/>
          </w:tcPr>
          <w:p w14:paraId="046ACBD6" w14:textId="4304107F" w:rsidR="00764594" w:rsidRPr="00447F92" w:rsidRDefault="00764594" w:rsidP="00764594">
            <w:pPr>
              <w:pStyle w:val="Tables"/>
              <w:rPr>
                <w:sz w:val="23"/>
                <w:szCs w:val="23"/>
              </w:rPr>
            </w:pPr>
            <w:r w:rsidRPr="00447F92">
              <w:rPr>
                <w:sz w:val="23"/>
                <w:szCs w:val="23"/>
              </w:rPr>
              <w:t>...</w:t>
            </w:r>
          </w:p>
        </w:tc>
        <w:tc>
          <w:tcPr>
            <w:tcW w:w="1759" w:type="dxa"/>
            <w:noWrap/>
            <w:vAlign w:val="center"/>
            <w:hideMark/>
          </w:tcPr>
          <w:p w14:paraId="101A7A7B" w14:textId="3FFF6C0D" w:rsidR="00764594" w:rsidRPr="00447F92" w:rsidRDefault="00764594" w:rsidP="00764594">
            <w:pPr>
              <w:pStyle w:val="Tables"/>
              <w:rPr>
                <w:sz w:val="23"/>
                <w:szCs w:val="23"/>
              </w:rPr>
            </w:pPr>
            <w:r w:rsidRPr="00447F92">
              <w:rPr>
                <w:sz w:val="23"/>
                <w:szCs w:val="23"/>
              </w:rPr>
              <w:t>...</w:t>
            </w:r>
          </w:p>
        </w:tc>
        <w:tc>
          <w:tcPr>
            <w:tcW w:w="863" w:type="dxa"/>
            <w:noWrap/>
            <w:vAlign w:val="center"/>
            <w:hideMark/>
          </w:tcPr>
          <w:p w14:paraId="62D97AD3" w14:textId="08E9E44A" w:rsidR="00764594" w:rsidRPr="00447F92" w:rsidRDefault="00764594" w:rsidP="00764594">
            <w:pPr>
              <w:pStyle w:val="Tables"/>
              <w:rPr>
                <w:sz w:val="23"/>
                <w:szCs w:val="23"/>
              </w:rPr>
            </w:pPr>
            <w:r w:rsidRPr="00447F92">
              <w:rPr>
                <w:sz w:val="23"/>
                <w:szCs w:val="23"/>
              </w:rPr>
              <w:t>...</w:t>
            </w:r>
          </w:p>
        </w:tc>
        <w:tc>
          <w:tcPr>
            <w:tcW w:w="814" w:type="dxa"/>
            <w:noWrap/>
            <w:vAlign w:val="center"/>
            <w:hideMark/>
          </w:tcPr>
          <w:p w14:paraId="4C49EF0E" w14:textId="58134DEC" w:rsidR="00764594" w:rsidRPr="00447F92" w:rsidRDefault="00764594" w:rsidP="00764594">
            <w:pPr>
              <w:pStyle w:val="Tables"/>
              <w:rPr>
                <w:sz w:val="23"/>
                <w:szCs w:val="23"/>
              </w:rPr>
            </w:pPr>
            <w:r w:rsidRPr="00447F92">
              <w:rPr>
                <w:sz w:val="23"/>
                <w:szCs w:val="23"/>
              </w:rPr>
              <w:t>3</w:t>
            </w:r>
            <w:r w:rsidR="00714297">
              <w:rPr>
                <w:sz w:val="23"/>
                <w:szCs w:val="23"/>
              </w:rPr>
              <w:t>,</w:t>
            </w:r>
            <w:r w:rsidRPr="00447F92">
              <w:rPr>
                <w:sz w:val="23"/>
                <w:szCs w:val="23"/>
              </w:rPr>
              <w:t>35</w:t>
            </w:r>
          </w:p>
        </w:tc>
        <w:tc>
          <w:tcPr>
            <w:tcW w:w="1273" w:type="dxa"/>
            <w:noWrap/>
            <w:vAlign w:val="center"/>
            <w:hideMark/>
          </w:tcPr>
          <w:p w14:paraId="4B64D655" w14:textId="7BD03C4C" w:rsidR="00764594" w:rsidRPr="00447F92" w:rsidRDefault="00764594" w:rsidP="00764594">
            <w:pPr>
              <w:pStyle w:val="Tables"/>
              <w:rPr>
                <w:sz w:val="23"/>
                <w:szCs w:val="23"/>
              </w:rPr>
            </w:pPr>
            <w:r w:rsidRPr="00447F92">
              <w:rPr>
                <w:sz w:val="23"/>
                <w:szCs w:val="23"/>
              </w:rPr>
              <w:t>24</w:t>
            </w:r>
          </w:p>
        </w:tc>
        <w:tc>
          <w:tcPr>
            <w:tcW w:w="878" w:type="dxa"/>
            <w:noWrap/>
            <w:vAlign w:val="center"/>
            <w:hideMark/>
          </w:tcPr>
          <w:p w14:paraId="767F6A72" w14:textId="0BCCCEC6" w:rsidR="00764594" w:rsidRPr="00447F92" w:rsidRDefault="00764594" w:rsidP="00764594">
            <w:pPr>
              <w:pStyle w:val="Tables"/>
              <w:rPr>
                <w:sz w:val="23"/>
                <w:szCs w:val="23"/>
              </w:rPr>
            </w:pPr>
            <w:r w:rsidRPr="00447F92">
              <w:rPr>
                <w:sz w:val="23"/>
                <w:szCs w:val="23"/>
              </w:rPr>
              <w:t>3</w:t>
            </w:r>
            <w:r w:rsidR="00A945CD">
              <w:rPr>
                <w:sz w:val="23"/>
                <w:szCs w:val="23"/>
              </w:rPr>
              <w:t>,</w:t>
            </w:r>
            <w:r w:rsidRPr="00447F92">
              <w:rPr>
                <w:sz w:val="23"/>
                <w:szCs w:val="23"/>
              </w:rPr>
              <w:t>59</w:t>
            </w:r>
          </w:p>
        </w:tc>
      </w:tr>
      <w:tr w:rsidR="00447F92" w:rsidRPr="00447F92" w14:paraId="52184EE4" w14:textId="77777777" w:rsidTr="00447F92">
        <w:trPr>
          <w:trHeight w:val="20"/>
          <w:jc w:val="center"/>
        </w:trPr>
        <w:tc>
          <w:tcPr>
            <w:tcW w:w="2687" w:type="dxa"/>
            <w:noWrap/>
            <w:vAlign w:val="center"/>
            <w:hideMark/>
          </w:tcPr>
          <w:p w14:paraId="1A65DDA3" w14:textId="77777777" w:rsidR="00764594" w:rsidRPr="00447F92" w:rsidRDefault="00764594" w:rsidP="00764594">
            <w:pPr>
              <w:pStyle w:val="Tables"/>
              <w:rPr>
                <w:sz w:val="23"/>
                <w:szCs w:val="23"/>
              </w:rPr>
            </w:pPr>
            <w:r w:rsidRPr="00447F92">
              <w:rPr>
                <w:sz w:val="23"/>
                <w:szCs w:val="23"/>
              </w:rPr>
              <w:t>Madhya Bharat</w:t>
            </w:r>
          </w:p>
        </w:tc>
        <w:tc>
          <w:tcPr>
            <w:tcW w:w="1005" w:type="dxa"/>
            <w:noWrap/>
            <w:vAlign w:val="center"/>
            <w:hideMark/>
          </w:tcPr>
          <w:p w14:paraId="50F47DFF" w14:textId="48ACCA84" w:rsidR="00764594" w:rsidRPr="00447F92" w:rsidRDefault="00764594" w:rsidP="00764594">
            <w:pPr>
              <w:pStyle w:val="Tables"/>
              <w:rPr>
                <w:sz w:val="23"/>
                <w:szCs w:val="23"/>
              </w:rPr>
            </w:pPr>
            <w:r w:rsidRPr="00447F92">
              <w:rPr>
                <w:sz w:val="23"/>
                <w:szCs w:val="23"/>
              </w:rPr>
              <w:t>6</w:t>
            </w:r>
          </w:p>
        </w:tc>
        <w:tc>
          <w:tcPr>
            <w:tcW w:w="1005" w:type="dxa"/>
            <w:noWrap/>
            <w:vAlign w:val="center"/>
            <w:hideMark/>
          </w:tcPr>
          <w:p w14:paraId="4E9279ED" w14:textId="2370A32A" w:rsidR="00764594" w:rsidRPr="00447F92" w:rsidRDefault="00764594" w:rsidP="00764594">
            <w:pPr>
              <w:pStyle w:val="Tables"/>
              <w:rPr>
                <w:sz w:val="23"/>
                <w:szCs w:val="23"/>
              </w:rPr>
            </w:pPr>
            <w:r w:rsidRPr="00447F92">
              <w:rPr>
                <w:sz w:val="23"/>
                <w:szCs w:val="23"/>
              </w:rPr>
              <w:t>...</w:t>
            </w:r>
          </w:p>
        </w:tc>
        <w:tc>
          <w:tcPr>
            <w:tcW w:w="1386" w:type="dxa"/>
            <w:noWrap/>
            <w:vAlign w:val="center"/>
            <w:hideMark/>
          </w:tcPr>
          <w:p w14:paraId="645C4E37" w14:textId="5CE32F73" w:rsidR="00764594" w:rsidRPr="00447F92" w:rsidRDefault="00764594" w:rsidP="00764594">
            <w:pPr>
              <w:pStyle w:val="Tables"/>
              <w:rPr>
                <w:sz w:val="23"/>
                <w:szCs w:val="23"/>
              </w:rPr>
            </w:pPr>
            <w:r w:rsidRPr="00447F92">
              <w:rPr>
                <w:sz w:val="23"/>
                <w:szCs w:val="23"/>
              </w:rPr>
              <w:t>...</w:t>
            </w:r>
          </w:p>
        </w:tc>
        <w:tc>
          <w:tcPr>
            <w:tcW w:w="1236" w:type="dxa"/>
            <w:noWrap/>
            <w:vAlign w:val="center"/>
            <w:hideMark/>
          </w:tcPr>
          <w:p w14:paraId="44317B02" w14:textId="25D2C09B" w:rsidR="00764594" w:rsidRPr="00447F92" w:rsidRDefault="00764594" w:rsidP="00764594">
            <w:pPr>
              <w:pStyle w:val="Tables"/>
              <w:rPr>
                <w:sz w:val="23"/>
                <w:szCs w:val="23"/>
              </w:rPr>
            </w:pPr>
            <w:r w:rsidRPr="00447F92">
              <w:rPr>
                <w:sz w:val="23"/>
                <w:szCs w:val="23"/>
              </w:rPr>
              <w:t>...</w:t>
            </w:r>
          </w:p>
        </w:tc>
        <w:tc>
          <w:tcPr>
            <w:tcW w:w="814" w:type="dxa"/>
            <w:noWrap/>
            <w:vAlign w:val="center"/>
            <w:hideMark/>
          </w:tcPr>
          <w:p w14:paraId="3948CC33" w14:textId="5A2B20D3" w:rsidR="00764594" w:rsidRPr="00447F92" w:rsidRDefault="00764594" w:rsidP="00764594">
            <w:pPr>
              <w:pStyle w:val="Tables"/>
              <w:rPr>
                <w:sz w:val="23"/>
                <w:szCs w:val="23"/>
              </w:rPr>
            </w:pPr>
            <w:r w:rsidRPr="00447F92">
              <w:rPr>
                <w:sz w:val="23"/>
                <w:szCs w:val="23"/>
              </w:rPr>
              <w:t>6</w:t>
            </w:r>
          </w:p>
        </w:tc>
        <w:tc>
          <w:tcPr>
            <w:tcW w:w="1005" w:type="dxa"/>
            <w:noWrap/>
            <w:vAlign w:val="center"/>
            <w:hideMark/>
          </w:tcPr>
          <w:p w14:paraId="38CE9D84" w14:textId="5EA42E4B" w:rsidR="00764594" w:rsidRPr="00447F92" w:rsidRDefault="00764594" w:rsidP="00764594">
            <w:pPr>
              <w:pStyle w:val="Tables"/>
              <w:rPr>
                <w:sz w:val="23"/>
                <w:szCs w:val="23"/>
              </w:rPr>
            </w:pPr>
            <w:r w:rsidRPr="00447F92">
              <w:rPr>
                <w:sz w:val="23"/>
                <w:szCs w:val="23"/>
              </w:rPr>
              <w:t>1</w:t>
            </w:r>
            <w:r w:rsidR="00714297">
              <w:rPr>
                <w:sz w:val="23"/>
                <w:szCs w:val="23"/>
              </w:rPr>
              <w:t>,</w:t>
            </w:r>
            <w:r w:rsidRPr="00447F92">
              <w:rPr>
                <w:sz w:val="23"/>
                <w:szCs w:val="23"/>
              </w:rPr>
              <w:t>35</w:t>
            </w:r>
          </w:p>
        </w:tc>
        <w:tc>
          <w:tcPr>
            <w:tcW w:w="1005" w:type="dxa"/>
            <w:noWrap/>
            <w:vAlign w:val="center"/>
            <w:hideMark/>
          </w:tcPr>
          <w:p w14:paraId="697D9463" w14:textId="13AC0A86" w:rsidR="00764594" w:rsidRPr="00447F92" w:rsidRDefault="00764594" w:rsidP="00764594">
            <w:pPr>
              <w:pStyle w:val="Tables"/>
              <w:rPr>
                <w:sz w:val="23"/>
                <w:szCs w:val="23"/>
              </w:rPr>
            </w:pPr>
            <w:r w:rsidRPr="00447F92">
              <w:rPr>
                <w:sz w:val="23"/>
                <w:szCs w:val="23"/>
              </w:rPr>
              <w:t>...</w:t>
            </w:r>
          </w:p>
        </w:tc>
        <w:tc>
          <w:tcPr>
            <w:tcW w:w="1759" w:type="dxa"/>
            <w:noWrap/>
            <w:vAlign w:val="center"/>
            <w:hideMark/>
          </w:tcPr>
          <w:p w14:paraId="11B28617" w14:textId="42A7E998" w:rsidR="00764594" w:rsidRPr="00447F92" w:rsidRDefault="00764594" w:rsidP="00764594">
            <w:pPr>
              <w:pStyle w:val="Tables"/>
              <w:rPr>
                <w:sz w:val="23"/>
                <w:szCs w:val="23"/>
              </w:rPr>
            </w:pPr>
            <w:r w:rsidRPr="00447F92">
              <w:rPr>
                <w:sz w:val="23"/>
                <w:szCs w:val="23"/>
              </w:rPr>
              <w:t>...</w:t>
            </w:r>
          </w:p>
        </w:tc>
        <w:tc>
          <w:tcPr>
            <w:tcW w:w="863" w:type="dxa"/>
            <w:noWrap/>
            <w:vAlign w:val="center"/>
            <w:hideMark/>
          </w:tcPr>
          <w:p w14:paraId="08CED7F5" w14:textId="663CEE0C" w:rsidR="00764594" w:rsidRPr="00447F92" w:rsidRDefault="00764594" w:rsidP="00764594">
            <w:pPr>
              <w:pStyle w:val="Tables"/>
              <w:rPr>
                <w:sz w:val="23"/>
                <w:szCs w:val="23"/>
              </w:rPr>
            </w:pPr>
            <w:r w:rsidRPr="00447F92">
              <w:rPr>
                <w:sz w:val="23"/>
                <w:szCs w:val="23"/>
              </w:rPr>
              <w:t>...</w:t>
            </w:r>
          </w:p>
        </w:tc>
        <w:tc>
          <w:tcPr>
            <w:tcW w:w="814" w:type="dxa"/>
            <w:noWrap/>
            <w:vAlign w:val="center"/>
            <w:hideMark/>
          </w:tcPr>
          <w:p w14:paraId="023F7CF1" w14:textId="77A14D6B" w:rsidR="00764594" w:rsidRPr="00447F92" w:rsidRDefault="00764594" w:rsidP="00764594">
            <w:pPr>
              <w:pStyle w:val="Tables"/>
              <w:rPr>
                <w:sz w:val="23"/>
                <w:szCs w:val="23"/>
              </w:rPr>
            </w:pPr>
            <w:r w:rsidRPr="00447F92">
              <w:rPr>
                <w:sz w:val="23"/>
                <w:szCs w:val="23"/>
              </w:rPr>
              <w:t>1</w:t>
            </w:r>
            <w:r w:rsidR="00714297">
              <w:rPr>
                <w:sz w:val="23"/>
                <w:szCs w:val="23"/>
              </w:rPr>
              <w:t>,</w:t>
            </w:r>
            <w:r w:rsidRPr="00447F92">
              <w:rPr>
                <w:sz w:val="23"/>
                <w:szCs w:val="23"/>
              </w:rPr>
              <w:t>35</w:t>
            </w:r>
          </w:p>
        </w:tc>
        <w:tc>
          <w:tcPr>
            <w:tcW w:w="1273" w:type="dxa"/>
            <w:noWrap/>
            <w:vAlign w:val="center"/>
            <w:hideMark/>
          </w:tcPr>
          <w:p w14:paraId="58A8E019" w14:textId="4041549E" w:rsidR="00764594" w:rsidRPr="00447F92" w:rsidRDefault="00764594" w:rsidP="00764594">
            <w:pPr>
              <w:pStyle w:val="Tables"/>
              <w:rPr>
                <w:sz w:val="23"/>
                <w:szCs w:val="23"/>
              </w:rPr>
            </w:pPr>
            <w:r w:rsidRPr="00447F92">
              <w:rPr>
                <w:sz w:val="23"/>
                <w:szCs w:val="23"/>
              </w:rPr>
              <w:t>11</w:t>
            </w:r>
          </w:p>
        </w:tc>
        <w:tc>
          <w:tcPr>
            <w:tcW w:w="878" w:type="dxa"/>
            <w:noWrap/>
            <w:vAlign w:val="center"/>
            <w:hideMark/>
          </w:tcPr>
          <w:p w14:paraId="61AA01EA" w14:textId="4B2538C7" w:rsidR="00764594" w:rsidRPr="00447F92" w:rsidRDefault="00764594" w:rsidP="00764594">
            <w:pPr>
              <w:pStyle w:val="Tables"/>
              <w:rPr>
                <w:sz w:val="23"/>
                <w:szCs w:val="23"/>
              </w:rPr>
            </w:pPr>
            <w:r w:rsidRPr="00447F92">
              <w:rPr>
                <w:sz w:val="23"/>
                <w:szCs w:val="23"/>
              </w:rPr>
              <w:t>1</w:t>
            </w:r>
            <w:r w:rsidR="00A945CD">
              <w:rPr>
                <w:sz w:val="23"/>
                <w:szCs w:val="23"/>
              </w:rPr>
              <w:t>,</w:t>
            </w:r>
            <w:r w:rsidRPr="00447F92">
              <w:rPr>
                <w:sz w:val="23"/>
                <w:szCs w:val="23"/>
              </w:rPr>
              <w:t>46</w:t>
            </w:r>
          </w:p>
        </w:tc>
      </w:tr>
      <w:tr w:rsidR="00447F92" w:rsidRPr="00447F92" w14:paraId="06EE3A74" w14:textId="77777777" w:rsidTr="00447F92">
        <w:trPr>
          <w:trHeight w:val="20"/>
          <w:jc w:val="center"/>
        </w:trPr>
        <w:tc>
          <w:tcPr>
            <w:tcW w:w="2687" w:type="dxa"/>
            <w:noWrap/>
            <w:vAlign w:val="center"/>
            <w:hideMark/>
          </w:tcPr>
          <w:p w14:paraId="0997555A" w14:textId="77777777" w:rsidR="00764594" w:rsidRPr="00447F92" w:rsidRDefault="00764594" w:rsidP="00764594">
            <w:pPr>
              <w:pStyle w:val="Tables"/>
              <w:rPr>
                <w:sz w:val="23"/>
                <w:szCs w:val="23"/>
              </w:rPr>
            </w:pPr>
            <w:r w:rsidRPr="00447F92">
              <w:rPr>
                <w:sz w:val="23"/>
                <w:szCs w:val="23"/>
              </w:rPr>
              <w:t>Madhya Pradesh</w:t>
            </w:r>
          </w:p>
        </w:tc>
        <w:tc>
          <w:tcPr>
            <w:tcW w:w="1005" w:type="dxa"/>
            <w:noWrap/>
            <w:vAlign w:val="center"/>
            <w:hideMark/>
          </w:tcPr>
          <w:p w14:paraId="0DB20CFA" w14:textId="115F4F7C" w:rsidR="00764594" w:rsidRPr="00447F92" w:rsidRDefault="00764594" w:rsidP="00764594">
            <w:pPr>
              <w:pStyle w:val="Tables"/>
              <w:rPr>
                <w:sz w:val="23"/>
                <w:szCs w:val="23"/>
              </w:rPr>
            </w:pPr>
            <w:r w:rsidRPr="00447F92">
              <w:rPr>
                <w:sz w:val="23"/>
                <w:szCs w:val="23"/>
              </w:rPr>
              <w:t>2</w:t>
            </w:r>
            <w:r w:rsidR="005F18E7">
              <w:rPr>
                <w:sz w:val="23"/>
                <w:szCs w:val="23"/>
              </w:rPr>
              <w:t>,</w:t>
            </w:r>
            <w:r w:rsidRPr="00447F92">
              <w:rPr>
                <w:sz w:val="23"/>
                <w:szCs w:val="23"/>
              </w:rPr>
              <w:t>91</w:t>
            </w:r>
          </w:p>
        </w:tc>
        <w:tc>
          <w:tcPr>
            <w:tcW w:w="1005" w:type="dxa"/>
            <w:noWrap/>
            <w:vAlign w:val="center"/>
            <w:hideMark/>
          </w:tcPr>
          <w:p w14:paraId="02A89DE7" w14:textId="123C1176" w:rsidR="00764594" w:rsidRPr="00447F92" w:rsidRDefault="00764594" w:rsidP="00764594">
            <w:pPr>
              <w:pStyle w:val="Tables"/>
              <w:rPr>
                <w:sz w:val="23"/>
                <w:szCs w:val="23"/>
              </w:rPr>
            </w:pPr>
            <w:r w:rsidRPr="00447F92">
              <w:rPr>
                <w:sz w:val="23"/>
                <w:szCs w:val="23"/>
              </w:rPr>
              <w:t>...</w:t>
            </w:r>
          </w:p>
        </w:tc>
        <w:tc>
          <w:tcPr>
            <w:tcW w:w="1386" w:type="dxa"/>
            <w:noWrap/>
            <w:vAlign w:val="center"/>
            <w:hideMark/>
          </w:tcPr>
          <w:p w14:paraId="19BE5A8C" w14:textId="534013CA" w:rsidR="00764594" w:rsidRPr="00447F92" w:rsidRDefault="00764594" w:rsidP="00764594">
            <w:pPr>
              <w:pStyle w:val="Tables"/>
              <w:rPr>
                <w:sz w:val="23"/>
                <w:szCs w:val="23"/>
              </w:rPr>
            </w:pPr>
            <w:r w:rsidRPr="00447F92">
              <w:rPr>
                <w:sz w:val="23"/>
                <w:szCs w:val="23"/>
              </w:rPr>
              <w:t>...</w:t>
            </w:r>
          </w:p>
        </w:tc>
        <w:tc>
          <w:tcPr>
            <w:tcW w:w="1236" w:type="dxa"/>
            <w:noWrap/>
            <w:vAlign w:val="center"/>
            <w:hideMark/>
          </w:tcPr>
          <w:p w14:paraId="36A4661C" w14:textId="3CBA5BD2" w:rsidR="00764594" w:rsidRPr="00447F92" w:rsidRDefault="00764594" w:rsidP="00764594">
            <w:pPr>
              <w:pStyle w:val="Tables"/>
              <w:rPr>
                <w:sz w:val="23"/>
                <w:szCs w:val="23"/>
              </w:rPr>
            </w:pPr>
            <w:r w:rsidRPr="00447F92">
              <w:rPr>
                <w:sz w:val="23"/>
                <w:szCs w:val="23"/>
              </w:rPr>
              <w:t>44</w:t>
            </w:r>
          </w:p>
        </w:tc>
        <w:tc>
          <w:tcPr>
            <w:tcW w:w="814" w:type="dxa"/>
            <w:noWrap/>
            <w:vAlign w:val="center"/>
            <w:hideMark/>
          </w:tcPr>
          <w:p w14:paraId="5BEE01F5" w14:textId="1F01CDD3" w:rsidR="00764594" w:rsidRPr="00447F92" w:rsidRDefault="00764594" w:rsidP="00764594">
            <w:pPr>
              <w:pStyle w:val="Tables"/>
              <w:rPr>
                <w:sz w:val="23"/>
                <w:szCs w:val="23"/>
              </w:rPr>
            </w:pPr>
            <w:r w:rsidRPr="00447F92">
              <w:rPr>
                <w:sz w:val="23"/>
                <w:szCs w:val="23"/>
              </w:rPr>
              <w:t>3</w:t>
            </w:r>
            <w:r w:rsidR="00714297">
              <w:rPr>
                <w:sz w:val="23"/>
                <w:szCs w:val="23"/>
              </w:rPr>
              <w:t>,</w:t>
            </w:r>
            <w:r w:rsidRPr="00447F92">
              <w:rPr>
                <w:sz w:val="23"/>
                <w:szCs w:val="23"/>
              </w:rPr>
              <w:t>35</w:t>
            </w:r>
          </w:p>
        </w:tc>
        <w:tc>
          <w:tcPr>
            <w:tcW w:w="1005" w:type="dxa"/>
            <w:noWrap/>
            <w:vAlign w:val="center"/>
            <w:hideMark/>
          </w:tcPr>
          <w:p w14:paraId="54CE0046" w14:textId="5B90CD15" w:rsidR="00764594" w:rsidRPr="00447F92" w:rsidRDefault="00764594" w:rsidP="00764594">
            <w:pPr>
              <w:pStyle w:val="Tables"/>
              <w:rPr>
                <w:sz w:val="23"/>
                <w:szCs w:val="23"/>
              </w:rPr>
            </w:pPr>
            <w:r w:rsidRPr="00447F92">
              <w:rPr>
                <w:sz w:val="23"/>
                <w:szCs w:val="23"/>
              </w:rPr>
              <w:t>3</w:t>
            </w:r>
            <w:r w:rsidR="00714297">
              <w:rPr>
                <w:sz w:val="23"/>
                <w:szCs w:val="23"/>
              </w:rPr>
              <w:t>,</w:t>
            </w:r>
            <w:r w:rsidRPr="00447F92">
              <w:rPr>
                <w:sz w:val="23"/>
                <w:szCs w:val="23"/>
              </w:rPr>
              <w:t>90</w:t>
            </w:r>
          </w:p>
        </w:tc>
        <w:tc>
          <w:tcPr>
            <w:tcW w:w="1005" w:type="dxa"/>
            <w:noWrap/>
            <w:vAlign w:val="center"/>
            <w:hideMark/>
          </w:tcPr>
          <w:p w14:paraId="7DED6953" w14:textId="34FB7366" w:rsidR="00764594" w:rsidRPr="00447F92" w:rsidRDefault="00764594" w:rsidP="00764594">
            <w:pPr>
              <w:pStyle w:val="Tables"/>
              <w:rPr>
                <w:sz w:val="23"/>
                <w:szCs w:val="23"/>
              </w:rPr>
            </w:pPr>
            <w:r w:rsidRPr="00447F92">
              <w:rPr>
                <w:sz w:val="23"/>
                <w:szCs w:val="23"/>
              </w:rPr>
              <w:t>...</w:t>
            </w:r>
          </w:p>
        </w:tc>
        <w:tc>
          <w:tcPr>
            <w:tcW w:w="1759" w:type="dxa"/>
            <w:noWrap/>
            <w:vAlign w:val="center"/>
            <w:hideMark/>
          </w:tcPr>
          <w:p w14:paraId="17EE8493" w14:textId="2C51C1A8" w:rsidR="00764594" w:rsidRPr="00447F92" w:rsidRDefault="00764594" w:rsidP="00764594">
            <w:pPr>
              <w:pStyle w:val="Tables"/>
              <w:rPr>
                <w:sz w:val="23"/>
                <w:szCs w:val="23"/>
              </w:rPr>
            </w:pPr>
            <w:r w:rsidRPr="00447F92">
              <w:rPr>
                <w:sz w:val="23"/>
                <w:szCs w:val="23"/>
              </w:rPr>
              <w:t>...</w:t>
            </w:r>
          </w:p>
        </w:tc>
        <w:tc>
          <w:tcPr>
            <w:tcW w:w="863" w:type="dxa"/>
            <w:noWrap/>
            <w:vAlign w:val="center"/>
            <w:hideMark/>
          </w:tcPr>
          <w:p w14:paraId="3460B2C6" w14:textId="4298BECE" w:rsidR="00764594" w:rsidRPr="00447F92" w:rsidRDefault="00764594" w:rsidP="00764594">
            <w:pPr>
              <w:pStyle w:val="Tables"/>
              <w:rPr>
                <w:sz w:val="23"/>
                <w:szCs w:val="23"/>
              </w:rPr>
            </w:pPr>
            <w:r w:rsidRPr="00447F92">
              <w:rPr>
                <w:sz w:val="23"/>
                <w:szCs w:val="23"/>
              </w:rPr>
              <w:t>...</w:t>
            </w:r>
          </w:p>
        </w:tc>
        <w:tc>
          <w:tcPr>
            <w:tcW w:w="814" w:type="dxa"/>
            <w:noWrap/>
            <w:vAlign w:val="center"/>
            <w:hideMark/>
          </w:tcPr>
          <w:p w14:paraId="7CB738AF" w14:textId="0223F74A" w:rsidR="00764594" w:rsidRPr="00447F92" w:rsidRDefault="00764594" w:rsidP="00764594">
            <w:pPr>
              <w:pStyle w:val="Tables"/>
              <w:rPr>
                <w:sz w:val="23"/>
                <w:szCs w:val="23"/>
              </w:rPr>
            </w:pPr>
            <w:r w:rsidRPr="00447F92">
              <w:rPr>
                <w:sz w:val="23"/>
                <w:szCs w:val="23"/>
              </w:rPr>
              <w:t>3</w:t>
            </w:r>
            <w:r w:rsidR="00714297">
              <w:rPr>
                <w:sz w:val="23"/>
                <w:szCs w:val="23"/>
              </w:rPr>
              <w:t>,</w:t>
            </w:r>
            <w:r w:rsidRPr="00447F92">
              <w:rPr>
                <w:sz w:val="23"/>
                <w:szCs w:val="23"/>
              </w:rPr>
              <w:t>90</w:t>
            </w:r>
          </w:p>
        </w:tc>
        <w:tc>
          <w:tcPr>
            <w:tcW w:w="1273" w:type="dxa"/>
            <w:noWrap/>
            <w:vAlign w:val="center"/>
            <w:hideMark/>
          </w:tcPr>
          <w:p w14:paraId="1C067ADA" w14:textId="6AA5343D" w:rsidR="00764594" w:rsidRPr="00447F92" w:rsidRDefault="00764594" w:rsidP="00764594">
            <w:pPr>
              <w:pStyle w:val="Tables"/>
              <w:rPr>
                <w:sz w:val="23"/>
                <w:szCs w:val="23"/>
              </w:rPr>
            </w:pPr>
            <w:r w:rsidRPr="00447F92">
              <w:rPr>
                <w:sz w:val="23"/>
                <w:szCs w:val="23"/>
              </w:rPr>
              <w:t>30</w:t>
            </w:r>
          </w:p>
        </w:tc>
        <w:tc>
          <w:tcPr>
            <w:tcW w:w="878" w:type="dxa"/>
            <w:noWrap/>
            <w:vAlign w:val="center"/>
            <w:hideMark/>
          </w:tcPr>
          <w:p w14:paraId="3FA3B89D" w14:textId="6E0002A2" w:rsidR="00764594" w:rsidRPr="00447F92" w:rsidRDefault="00764594" w:rsidP="00764594">
            <w:pPr>
              <w:pStyle w:val="Tables"/>
              <w:rPr>
                <w:sz w:val="23"/>
                <w:szCs w:val="23"/>
              </w:rPr>
            </w:pPr>
            <w:r w:rsidRPr="00447F92">
              <w:rPr>
                <w:sz w:val="23"/>
                <w:szCs w:val="23"/>
              </w:rPr>
              <w:t>4</w:t>
            </w:r>
            <w:r w:rsidR="00A945CD">
              <w:rPr>
                <w:sz w:val="23"/>
                <w:szCs w:val="23"/>
              </w:rPr>
              <w:t>,</w:t>
            </w:r>
            <w:r w:rsidRPr="00447F92">
              <w:rPr>
                <w:sz w:val="23"/>
                <w:szCs w:val="23"/>
              </w:rPr>
              <w:t>20</w:t>
            </w:r>
          </w:p>
        </w:tc>
      </w:tr>
      <w:tr w:rsidR="00447F92" w:rsidRPr="00447F92" w14:paraId="735A4A38" w14:textId="77777777" w:rsidTr="00447F92">
        <w:trPr>
          <w:trHeight w:val="20"/>
          <w:jc w:val="center"/>
        </w:trPr>
        <w:tc>
          <w:tcPr>
            <w:tcW w:w="2687" w:type="dxa"/>
            <w:noWrap/>
            <w:vAlign w:val="center"/>
            <w:hideMark/>
          </w:tcPr>
          <w:p w14:paraId="7C451854" w14:textId="77777777" w:rsidR="00764594" w:rsidRPr="00447F92" w:rsidRDefault="00764594" w:rsidP="00764594">
            <w:pPr>
              <w:pStyle w:val="Tables"/>
              <w:rPr>
                <w:sz w:val="23"/>
                <w:szCs w:val="23"/>
              </w:rPr>
            </w:pPr>
            <w:r w:rsidRPr="00447F92">
              <w:rPr>
                <w:sz w:val="23"/>
                <w:szCs w:val="23"/>
              </w:rPr>
              <w:t>Madras</w:t>
            </w:r>
          </w:p>
        </w:tc>
        <w:tc>
          <w:tcPr>
            <w:tcW w:w="1005" w:type="dxa"/>
            <w:noWrap/>
            <w:vAlign w:val="center"/>
            <w:hideMark/>
          </w:tcPr>
          <w:p w14:paraId="01C34475" w14:textId="1079080A" w:rsidR="00764594" w:rsidRPr="00447F92" w:rsidRDefault="00764594" w:rsidP="00764594">
            <w:pPr>
              <w:pStyle w:val="Tables"/>
              <w:rPr>
                <w:sz w:val="23"/>
                <w:szCs w:val="23"/>
              </w:rPr>
            </w:pPr>
            <w:r w:rsidRPr="00447F92">
              <w:rPr>
                <w:sz w:val="23"/>
                <w:szCs w:val="23"/>
              </w:rPr>
              <w:t>8</w:t>
            </w:r>
            <w:r w:rsidR="005F18E7">
              <w:rPr>
                <w:sz w:val="23"/>
                <w:szCs w:val="23"/>
              </w:rPr>
              <w:t>,</w:t>
            </w:r>
            <w:r w:rsidRPr="00447F92">
              <w:rPr>
                <w:sz w:val="23"/>
                <w:szCs w:val="23"/>
              </w:rPr>
              <w:t>56</w:t>
            </w:r>
          </w:p>
        </w:tc>
        <w:tc>
          <w:tcPr>
            <w:tcW w:w="1005" w:type="dxa"/>
            <w:noWrap/>
            <w:vAlign w:val="center"/>
            <w:hideMark/>
          </w:tcPr>
          <w:p w14:paraId="3B25EC62" w14:textId="51052825" w:rsidR="00764594" w:rsidRPr="00447F92" w:rsidRDefault="00764594" w:rsidP="00764594">
            <w:pPr>
              <w:pStyle w:val="Tables"/>
              <w:rPr>
                <w:sz w:val="23"/>
                <w:szCs w:val="23"/>
              </w:rPr>
            </w:pPr>
            <w:r w:rsidRPr="00447F92">
              <w:rPr>
                <w:sz w:val="23"/>
                <w:szCs w:val="23"/>
              </w:rPr>
              <w:t>...</w:t>
            </w:r>
          </w:p>
        </w:tc>
        <w:tc>
          <w:tcPr>
            <w:tcW w:w="1386" w:type="dxa"/>
            <w:noWrap/>
            <w:vAlign w:val="center"/>
            <w:hideMark/>
          </w:tcPr>
          <w:p w14:paraId="38EA4811" w14:textId="6F7B3346" w:rsidR="00764594" w:rsidRPr="00447F92" w:rsidRDefault="00764594" w:rsidP="00764594">
            <w:pPr>
              <w:pStyle w:val="Tables"/>
              <w:rPr>
                <w:sz w:val="23"/>
                <w:szCs w:val="23"/>
              </w:rPr>
            </w:pPr>
            <w:r w:rsidRPr="00447F92">
              <w:rPr>
                <w:sz w:val="23"/>
                <w:szCs w:val="23"/>
              </w:rPr>
              <w:t>...</w:t>
            </w:r>
          </w:p>
        </w:tc>
        <w:tc>
          <w:tcPr>
            <w:tcW w:w="1236" w:type="dxa"/>
            <w:noWrap/>
            <w:vAlign w:val="center"/>
            <w:hideMark/>
          </w:tcPr>
          <w:p w14:paraId="0EDB8434" w14:textId="76E2E083" w:rsidR="00764594" w:rsidRPr="00447F92" w:rsidRDefault="00764594" w:rsidP="00764594">
            <w:pPr>
              <w:pStyle w:val="Tables"/>
              <w:rPr>
                <w:sz w:val="23"/>
                <w:szCs w:val="23"/>
              </w:rPr>
            </w:pPr>
            <w:r w:rsidRPr="00447F92">
              <w:rPr>
                <w:sz w:val="23"/>
                <w:szCs w:val="23"/>
              </w:rPr>
              <w:t>...</w:t>
            </w:r>
          </w:p>
        </w:tc>
        <w:tc>
          <w:tcPr>
            <w:tcW w:w="814" w:type="dxa"/>
            <w:noWrap/>
            <w:vAlign w:val="center"/>
            <w:hideMark/>
          </w:tcPr>
          <w:p w14:paraId="166B7212" w14:textId="2341CD4E" w:rsidR="00764594" w:rsidRPr="00447F92" w:rsidRDefault="00764594" w:rsidP="00764594">
            <w:pPr>
              <w:pStyle w:val="Tables"/>
              <w:rPr>
                <w:sz w:val="23"/>
                <w:szCs w:val="23"/>
              </w:rPr>
            </w:pPr>
            <w:r w:rsidRPr="00447F92">
              <w:rPr>
                <w:sz w:val="23"/>
                <w:szCs w:val="23"/>
              </w:rPr>
              <w:t>8</w:t>
            </w:r>
            <w:r w:rsidR="00714297">
              <w:rPr>
                <w:sz w:val="23"/>
                <w:szCs w:val="23"/>
              </w:rPr>
              <w:t>,</w:t>
            </w:r>
            <w:r w:rsidRPr="00447F92">
              <w:rPr>
                <w:sz w:val="23"/>
                <w:szCs w:val="23"/>
              </w:rPr>
              <w:t>56</w:t>
            </w:r>
          </w:p>
        </w:tc>
        <w:tc>
          <w:tcPr>
            <w:tcW w:w="1005" w:type="dxa"/>
            <w:noWrap/>
            <w:vAlign w:val="center"/>
            <w:hideMark/>
          </w:tcPr>
          <w:p w14:paraId="3303D257" w14:textId="1358D126" w:rsidR="00764594" w:rsidRPr="00447F92" w:rsidRDefault="00764594" w:rsidP="00764594">
            <w:pPr>
              <w:pStyle w:val="Tables"/>
              <w:rPr>
                <w:sz w:val="23"/>
                <w:szCs w:val="23"/>
              </w:rPr>
            </w:pPr>
            <w:r w:rsidRPr="00447F92">
              <w:rPr>
                <w:sz w:val="23"/>
                <w:szCs w:val="23"/>
              </w:rPr>
              <w:t>11</w:t>
            </w:r>
            <w:r w:rsidR="00714297">
              <w:rPr>
                <w:sz w:val="23"/>
                <w:szCs w:val="23"/>
              </w:rPr>
              <w:t>,</w:t>
            </w:r>
            <w:r w:rsidRPr="00447F92">
              <w:rPr>
                <w:sz w:val="23"/>
                <w:szCs w:val="23"/>
              </w:rPr>
              <w:t>10</w:t>
            </w:r>
          </w:p>
        </w:tc>
        <w:tc>
          <w:tcPr>
            <w:tcW w:w="1005" w:type="dxa"/>
            <w:noWrap/>
            <w:vAlign w:val="center"/>
            <w:hideMark/>
          </w:tcPr>
          <w:p w14:paraId="34A9171E" w14:textId="371896E5" w:rsidR="00764594" w:rsidRPr="00447F92" w:rsidRDefault="00764594" w:rsidP="00764594">
            <w:pPr>
              <w:pStyle w:val="Tables"/>
              <w:rPr>
                <w:sz w:val="23"/>
                <w:szCs w:val="23"/>
              </w:rPr>
            </w:pPr>
            <w:r w:rsidRPr="00447F92">
              <w:rPr>
                <w:sz w:val="23"/>
                <w:szCs w:val="23"/>
              </w:rPr>
              <w:t>...</w:t>
            </w:r>
          </w:p>
        </w:tc>
        <w:tc>
          <w:tcPr>
            <w:tcW w:w="1759" w:type="dxa"/>
            <w:noWrap/>
            <w:vAlign w:val="center"/>
            <w:hideMark/>
          </w:tcPr>
          <w:p w14:paraId="55E8A6A0" w14:textId="4E1FEF45" w:rsidR="00764594" w:rsidRPr="00447F92" w:rsidRDefault="00764594" w:rsidP="00764594">
            <w:pPr>
              <w:pStyle w:val="Tables"/>
              <w:rPr>
                <w:sz w:val="23"/>
                <w:szCs w:val="23"/>
              </w:rPr>
            </w:pPr>
            <w:r w:rsidRPr="00447F92">
              <w:rPr>
                <w:sz w:val="23"/>
                <w:szCs w:val="23"/>
              </w:rPr>
              <w:t>...</w:t>
            </w:r>
          </w:p>
        </w:tc>
        <w:tc>
          <w:tcPr>
            <w:tcW w:w="863" w:type="dxa"/>
            <w:noWrap/>
            <w:vAlign w:val="center"/>
            <w:hideMark/>
          </w:tcPr>
          <w:p w14:paraId="594D21F6" w14:textId="1D9DFFD6" w:rsidR="00764594" w:rsidRPr="00447F92" w:rsidRDefault="00764594" w:rsidP="00764594">
            <w:pPr>
              <w:pStyle w:val="Tables"/>
              <w:rPr>
                <w:sz w:val="23"/>
                <w:szCs w:val="23"/>
              </w:rPr>
            </w:pPr>
            <w:r w:rsidRPr="00447F92">
              <w:rPr>
                <w:sz w:val="23"/>
                <w:szCs w:val="23"/>
              </w:rPr>
              <w:t>...</w:t>
            </w:r>
          </w:p>
        </w:tc>
        <w:tc>
          <w:tcPr>
            <w:tcW w:w="814" w:type="dxa"/>
            <w:noWrap/>
            <w:vAlign w:val="center"/>
            <w:hideMark/>
          </w:tcPr>
          <w:p w14:paraId="7F1CD266" w14:textId="7D368468" w:rsidR="00764594" w:rsidRPr="00447F92" w:rsidRDefault="00764594" w:rsidP="00764594">
            <w:pPr>
              <w:pStyle w:val="Tables"/>
              <w:rPr>
                <w:sz w:val="23"/>
                <w:szCs w:val="23"/>
              </w:rPr>
            </w:pPr>
            <w:r w:rsidRPr="00447F92">
              <w:rPr>
                <w:sz w:val="23"/>
                <w:szCs w:val="23"/>
              </w:rPr>
              <w:t>11</w:t>
            </w:r>
            <w:r w:rsidR="00714297">
              <w:rPr>
                <w:sz w:val="23"/>
                <w:szCs w:val="23"/>
              </w:rPr>
              <w:t>,</w:t>
            </w:r>
            <w:r w:rsidRPr="00447F92">
              <w:rPr>
                <w:sz w:val="23"/>
                <w:szCs w:val="23"/>
              </w:rPr>
              <w:t>10</w:t>
            </w:r>
          </w:p>
        </w:tc>
        <w:tc>
          <w:tcPr>
            <w:tcW w:w="1273" w:type="dxa"/>
            <w:noWrap/>
            <w:vAlign w:val="center"/>
            <w:hideMark/>
          </w:tcPr>
          <w:p w14:paraId="0FC092D0" w14:textId="136ACA73" w:rsidR="00764594" w:rsidRPr="00447F92" w:rsidRDefault="00764594" w:rsidP="00764594">
            <w:pPr>
              <w:pStyle w:val="Tables"/>
              <w:rPr>
                <w:sz w:val="23"/>
                <w:szCs w:val="23"/>
              </w:rPr>
            </w:pPr>
            <w:r w:rsidRPr="00447F92">
              <w:rPr>
                <w:sz w:val="23"/>
                <w:szCs w:val="23"/>
              </w:rPr>
              <w:t>...</w:t>
            </w:r>
          </w:p>
        </w:tc>
        <w:tc>
          <w:tcPr>
            <w:tcW w:w="878" w:type="dxa"/>
            <w:noWrap/>
            <w:vAlign w:val="center"/>
            <w:hideMark/>
          </w:tcPr>
          <w:p w14:paraId="69CCDD7F" w14:textId="58C29FE8" w:rsidR="00764594" w:rsidRPr="00447F92" w:rsidRDefault="00764594" w:rsidP="00764594">
            <w:pPr>
              <w:pStyle w:val="Tables"/>
              <w:rPr>
                <w:sz w:val="23"/>
                <w:szCs w:val="23"/>
              </w:rPr>
            </w:pPr>
            <w:r w:rsidRPr="00447F92">
              <w:rPr>
                <w:sz w:val="23"/>
                <w:szCs w:val="23"/>
              </w:rPr>
              <w:t>11</w:t>
            </w:r>
            <w:r w:rsidR="00A945CD">
              <w:rPr>
                <w:sz w:val="23"/>
                <w:szCs w:val="23"/>
              </w:rPr>
              <w:t>,</w:t>
            </w:r>
            <w:r w:rsidRPr="00447F92">
              <w:rPr>
                <w:sz w:val="23"/>
                <w:szCs w:val="23"/>
              </w:rPr>
              <w:t>10</w:t>
            </w:r>
          </w:p>
        </w:tc>
      </w:tr>
      <w:tr w:rsidR="00447F92" w:rsidRPr="00447F92" w14:paraId="72C19E87" w14:textId="77777777" w:rsidTr="00447F92">
        <w:trPr>
          <w:trHeight w:val="20"/>
          <w:jc w:val="center"/>
        </w:trPr>
        <w:tc>
          <w:tcPr>
            <w:tcW w:w="2687" w:type="dxa"/>
            <w:noWrap/>
            <w:vAlign w:val="center"/>
            <w:hideMark/>
          </w:tcPr>
          <w:p w14:paraId="69DE3490" w14:textId="77777777" w:rsidR="00764594" w:rsidRPr="00447F92" w:rsidRDefault="00764594" w:rsidP="00764594">
            <w:pPr>
              <w:pStyle w:val="Tables"/>
              <w:rPr>
                <w:sz w:val="23"/>
                <w:szCs w:val="23"/>
              </w:rPr>
            </w:pPr>
            <w:r w:rsidRPr="00447F92">
              <w:rPr>
                <w:sz w:val="23"/>
                <w:szCs w:val="23"/>
              </w:rPr>
              <w:t>Mysore</w:t>
            </w:r>
          </w:p>
        </w:tc>
        <w:tc>
          <w:tcPr>
            <w:tcW w:w="1005" w:type="dxa"/>
            <w:noWrap/>
            <w:vAlign w:val="center"/>
            <w:hideMark/>
          </w:tcPr>
          <w:p w14:paraId="0C9359A6" w14:textId="6D0E768C" w:rsidR="00764594" w:rsidRPr="00447F92" w:rsidRDefault="00764594" w:rsidP="00764594">
            <w:pPr>
              <w:pStyle w:val="Tables"/>
              <w:rPr>
                <w:sz w:val="23"/>
                <w:szCs w:val="23"/>
              </w:rPr>
            </w:pPr>
            <w:r w:rsidRPr="00447F92">
              <w:rPr>
                <w:sz w:val="23"/>
                <w:szCs w:val="23"/>
              </w:rPr>
              <w:t>...</w:t>
            </w:r>
          </w:p>
        </w:tc>
        <w:tc>
          <w:tcPr>
            <w:tcW w:w="1005" w:type="dxa"/>
            <w:noWrap/>
            <w:vAlign w:val="center"/>
            <w:hideMark/>
          </w:tcPr>
          <w:p w14:paraId="0BE2E6E9" w14:textId="58223825" w:rsidR="00764594" w:rsidRPr="00447F92" w:rsidRDefault="00764594" w:rsidP="00764594">
            <w:pPr>
              <w:pStyle w:val="Tables"/>
              <w:rPr>
                <w:sz w:val="23"/>
                <w:szCs w:val="23"/>
              </w:rPr>
            </w:pPr>
            <w:r w:rsidRPr="00447F92">
              <w:rPr>
                <w:sz w:val="23"/>
                <w:szCs w:val="23"/>
              </w:rPr>
              <w:t>...</w:t>
            </w:r>
          </w:p>
        </w:tc>
        <w:tc>
          <w:tcPr>
            <w:tcW w:w="1386" w:type="dxa"/>
            <w:noWrap/>
            <w:vAlign w:val="center"/>
            <w:hideMark/>
          </w:tcPr>
          <w:p w14:paraId="1AC13590" w14:textId="6978EAA5" w:rsidR="00764594" w:rsidRPr="00447F92" w:rsidRDefault="00764594" w:rsidP="00764594">
            <w:pPr>
              <w:pStyle w:val="Tables"/>
              <w:rPr>
                <w:sz w:val="23"/>
                <w:szCs w:val="23"/>
              </w:rPr>
            </w:pPr>
            <w:r w:rsidRPr="00447F92">
              <w:rPr>
                <w:sz w:val="23"/>
                <w:szCs w:val="23"/>
              </w:rPr>
              <w:t>...</w:t>
            </w:r>
          </w:p>
        </w:tc>
        <w:tc>
          <w:tcPr>
            <w:tcW w:w="1236" w:type="dxa"/>
            <w:noWrap/>
            <w:vAlign w:val="center"/>
            <w:hideMark/>
          </w:tcPr>
          <w:p w14:paraId="0130A2A5" w14:textId="661C673E" w:rsidR="00764594" w:rsidRPr="00447F92" w:rsidRDefault="00764594" w:rsidP="00764594">
            <w:pPr>
              <w:pStyle w:val="Tables"/>
              <w:rPr>
                <w:sz w:val="23"/>
                <w:szCs w:val="23"/>
              </w:rPr>
            </w:pPr>
            <w:r w:rsidRPr="00447F92">
              <w:rPr>
                <w:sz w:val="23"/>
                <w:szCs w:val="23"/>
              </w:rPr>
              <w:t>3</w:t>
            </w:r>
            <w:r w:rsidR="000370DF">
              <w:rPr>
                <w:sz w:val="23"/>
                <w:szCs w:val="23"/>
              </w:rPr>
              <w:t>,</w:t>
            </w:r>
            <w:r w:rsidRPr="00447F92">
              <w:rPr>
                <w:sz w:val="23"/>
                <w:szCs w:val="23"/>
              </w:rPr>
              <w:t>45</w:t>
            </w:r>
          </w:p>
        </w:tc>
        <w:tc>
          <w:tcPr>
            <w:tcW w:w="814" w:type="dxa"/>
            <w:noWrap/>
            <w:vAlign w:val="center"/>
            <w:hideMark/>
          </w:tcPr>
          <w:p w14:paraId="41DC3270" w14:textId="2E6DDEE9" w:rsidR="00764594" w:rsidRPr="00447F92" w:rsidRDefault="00764594" w:rsidP="00764594">
            <w:pPr>
              <w:pStyle w:val="Tables"/>
              <w:rPr>
                <w:sz w:val="23"/>
                <w:szCs w:val="23"/>
              </w:rPr>
            </w:pPr>
            <w:r w:rsidRPr="00447F92">
              <w:rPr>
                <w:sz w:val="23"/>
                <w:szCs w:val="23"/>
              </w:rPr>
              <w:t>3</w:t>
            </w:r>
            <w:r w:rsidR="00714297">
              <w:rPr>
                <w:sz w:val="23"/>
                <w:szCs w:val="23"/>
              </w:rPr>
              <w:t>,</w:t>
            </w:r>
            <w:r w:rsidRPr="00447F92">
              <w:rPr>
                <w:sz w:val="23"/>
                <w:szCs w:val="23"/>
              </w:rPr>
              <w:t>45</w:t>
            </w:r>
          </w:p>
        </w:tc>
        <w:tc>
          <w:tcPr>
            <w:tcW w:w="1005" w:type="dxa"/>
            <w:noWrap/>
            <w:vAlign w:val="center"/>
            <w:hideMark/>
          </w:tcPr>
          <w:p w14:paraId="3787C9C2" w14:textId="515C6D07" w:rsidR="00764594" w:rsidRPr="00447F92" w:rsidRDefault="00764594" w:rsidP="00764594">
            <w:pPr>
              <w:pStyle w:val="Tables"/>
              <w:rPr>
                <w:sz w:val="23"/>
                <w:szCs w:val="23"/>
              </w:rPr>
            </w:pPr>
            <w:r w:rsidRPr="00447F92">
              <w:rPr>
                <w:sz w:val="23"/>
                <w:szCs w:val="23"/>
              </w:rPr>
              <w:t>1</w:t>
            </w:r>
            <w:r w:rsidR="00714297">
              <w:rPr>
                <w:sz w:val="23"/>
                <w:szCs w:val="23"/>
              </w:rPr>
              <w:t>,</w:t>
            </w:r>
            <w:r w:rsidRPr="00447F92">
              <w:rPr>
                <w:sz w:val="23"/>
                <w:szCs w:val="23"/>
              </w:rPr>
              <w:t>70</w:t>
            </w:r>
          </w:p>
        </w:tc>
        <w:tc>
          <w:tcPr>
            <w:tcW w:w="1005" w:type="dxa"/>
            <w:noWrap/>
            <w:vAlign w:val="center"/>
            <w:hideMark/>
          </w:tcPr>
          <w:p w14:paraId="6F53D8F6" w14:textId="3DE28F97" w:rsidR="00764594" w:rsidRPr="00447F92" w:rsidRDefault="00764594" w:rsidP="00764594">
            <w:pPr>
              <w:pStyle w:val="Tables"/>
              <w:rPr>
                <w:sz w:val="23"/>
                <w:szCs w:val="23"/>
              </w:rPr>
            </w:pPr>
            <w:r w:rsidRPr="00447F92">
              <w:rPr>
                <w:sz w:val="23"/>
                <w:szCs w:val="23"/>
              </w:rPr>
              <w:t>...</w:t>
            </w:r>
          </w:p>
        </w:tc>
        <w:tc>
          <w:tcPr>
            <w:tcW w:w="1759" w:type="dxa"/>
            <w:noWrap/>
            <w:vAlign w:val="center"/>
            <w:hideMark/>
          </w:tcPr>
          <w:p w14:paraId="7EB74C20" w14:textId="44884F43" w:rsidR="00764594" w:rsidRPr="00447F92" w:rsidRDefault="00764594" w:rsidP="00764594">
            <w:pPr>
              <w:pStyle w:val="Tables"/>
              <w:rPr>
                <w:sz w:val="23"/>
                <w:szCs w:val="23"/>
              </w:rPr>
            </w:pPr>
            <w:r w:rsidRPr="00447F92">
              <w:rPr>
                <w:sz w:val="23"/>
                <w:szCs w:val="23"/>
              </w:rPr>
              <w:t>40</w:t>
            </w:r>
          </w:p>
        </w:tc>
        <w:tc>
          <w:tcPr>
            <w:tcW w:w="863" w:type="dxa"/>
            <w:noWrap/>
            <w:vAlign w:val="center"/>
            <w:hideMark/>
          </w:tcPr>
          <w:p w14:paraId="58F06414" w14:textId="1CC3ADCD" w:rsidR="00764594" w:rsidRPr="00447F92" w:rsidRDefault="00764594" w:rsidP="00764594">
            <w:pPr>
              <w:pStyle w:val="Tables"/>
              <w:rPr>
                <w:sz w:val="23"/>
                <w:szCs w:val="23"/>
              </w:rPr>
            </w:pPr>
            <w:r w:rsidRPr="00447F92">
              <w:rPr>
                <w:sz w:val="23"/>
                <w:szCs w:val="23"/>
              </w:rPr>
              <w:t>1</w:t>
            </w:r>
            <w:r w:rsidR="00714297">
              <w:rPr>
                <w:sz w:val="23"/>
                <w:szCs w:val="23"/>
              </w:rPr>
              <w:t>,</w:t>
            </w:r>
            <w:r w:rsidRPr="00447F92">
              <w:rPr>
                <w:sz w:val="23"/>
                <w:szCs w:val="23"/>
              </w:rPr>
              <w:t>58*</w:t>
            </w:r>
          </w:p>
        </w:tc>
        <w:tc>
          <w:tcPr>
            <w:tcW w:w="814" w:type="dxa"/>
            <w:noWrap/>
            <w:vAlign w:val="center"/>
            <w:hideMark/>
          </w:tcPr>
          <w:p w14:paraId="193C483B" w14:textId="2F8281AB" w:rsidR="00764594" w:rsidRPr="00447F92" w:rsidRDefault="00764594" w:rsidP="00764594">
            <w:pPr>
              <w:pStyle w:val="Tables"/>
              <w:rPr>
                <w:sz w:val="23"/>
                <w:szCs w:val="23"/>
              </w:rPr>
            </w:pPr>
            <w:r w:rsidRPr="00447F92">
              <w:rPr>
                <w:sz w:val="23"/>
                <w:szCs w:val="23"/>
              </w:rPr>
              <w:t>3</w:t>
            </w:r>
            <w:r w:rsidR="00714297">
              <w:rPr>
                <w:sz w:val="23"/>
                <w:szCs w:val="23"/>
              </w:rPr>
              <w:t>,</w:t>
            </w:r>
            <w:r w:rsidRPr="00447F92">
              <w:rPr>
                <w:sz w:val="23"/>
                <w:szCs w:val="23"/>
              </w:rPr>
              <w:t>68</w:t>
            </w:r>
          </w:p>
        </w:tc>
        <w:tc>
          <w:tcPr>
            <w:tcW w:w="1273" w:type="dxa"/>
            <w:noWrap/>
            <w:vAlign w:val="center"/>
            <w:hideMark/>
          </w:tcPr>
          <w:p w14:paraId="38ABC7AA" w14:textId="6E862FB2" w:rsidR="00764594" w:rsidRPr="00447F92" w:rsidRDefault="00764594" w:rsidP="00764594">
            <w:pPr>
              <w:pStyle w:val="Tables"/>
              <w:rPr>
                <w:sz w:val="23"/>
                <w:szCs w:val="23"/>
              </w:rPr>
            </w:pPr>
            <w:r w:rsidRPr="00447F92">
              <w:rPr>
                <w:sz w:val="23"/>
                <w:szCs w:val="23"/>
              </w:rPr>
              <w:t>...</w:t>
            </w:r>
          </w:p>
        </w:tc>
        <w:tc>
          <w:tcPr>
            <w:tcW w:w="878" w:type="dxa"/>
            <w:noWrap/>
            <w:vAlign w:val="center"/>
            <w:hideMark/>
          </w:tcPr>
          <w:p w14:paraId="3117A27F" w14:textId="3D7D5BF3" w:rsidR="00764594" w:rsidRPr="00447F92" w:rsidRDefault="00764594" w:rsidP="00764594">
            <w:pPr>
              <w:pStyle w:val="Tables"/>
              <w:rPr>
                <w:sz w:val="23"/>
                <w:szCs w:val="23"/>
              </w:rPr>
            </w:pPr>
            <w:r w:rsidRPr="00447F92">
              <w:rPr>
                <w:sz w:val="23"/>
                <w:szCs w:val="23"/>
              </w:rPr>
              <w:t>3</w:t>
            </w:r>
            <w:r w:rsidR="00A945CD">
              <w:rPr>
                <w:sz w:val="23"/>
                <w:szCs w:val="23"/>
              </w:rPr>
              <w:t>,</w:t>
            </w:r>
            <w:r w:rsidRPr="00447F92">
              <w:rPr>
                <w:sz w:val="23"/>
                <w:szCs w:val="23"/>
              </w:rPr>
              <w:t>68</w:t>
            </w:r>
          </w:p>
        </w:tc>
      </w:tr>
      <w:tr w:rsidR="00447F92" w:rsidRPr="00447F92" w14:paraId="4B091100" w14:textId="77777777" w:rsidTr="00447F92">
        <w:trPr>
          <w:trHeight w:val="20"/>
          <w:jc w:val="center"/>
        </w:trPr>
        <w:tc>
          <w:tcPr>
            <w:tcW w:w="2687" w:type="dxa"/>
            <w:noWrap/>
            <w:vAlign w:val="center"/>
            <w:hideMark/>
          </w:tcPr>
          <w:p w14:paraId="08EB8A52" w14:textId="77777777" w:rsidR="00764594" w:rsidRPr="00447F92" w:rsidRDefault="00764594" w:rsidP="00764594">
            <w:pPr>
              <w:pStyle w:val="Tables"/>
              <w:rPr>
                <w:sz w:val="23"/>
                <w:szCs w:val="23"/>
              </w:rPr>
            </w:pPr>
            <w:r w:rsidRPr="00447F92">
              <w:rPr>
                <w:sz w:val="23"/>
                <w:szCs w:val="23"/>
              </w:rPr>
              <w:t>Orissa</w:t>
            </w:r>
          </w:p>
        </w:tc>
        <w:tc>
          <w:tcPr>
            <w:tcW w:w="1005" w:type="dxa"/>
            <w:noWrap/>
            <w:vAlign w:val="center"/>
            <w:hideMark/>
          </w:tcPr>
          <w:p w14:paraId="4F262735" w14:textId="0E361FC2" w:rsidR="00764594" w:rsidRPr="00447F92" w:rsidRDefault="00764594" w:rsidP="00764594">
            <w:pPr>
              <w:pStyle w:val="Tables"/>
              <w:rPr>
                <w:sz w:val="23"/>
                <w:szCs w:val="23"/>
              </w:rPr>
            </w:pPr>
            <w:r w:rsidRPr="00447F92">
              <w:rPr>
                <w:sz w:val="23"/>
                <w:szCs w:val="23"/>
              </w:rPr>
              <w:t>1</w:t>
            </w:r>
            <w:r w:rsidR="005F18E7">
              <w:rPr>
                <w:sz w:val="23"/>
                <w:szCs w:val="23"/>
              </w:rPr>
              <w:t>,</w:t>
            </w:r>
            <w:r w:rsidRPr="00447F92">
              <w:rPr>
                <w:sz w:val="23"/>
                <w:szCs w:val="23"/>
              </w:rPr>
              <w:t>44</w:t>
            </w:r>
          </w:p>
        </w:tc>
        <w:tc>
          <w:tcPr>
            <w:tcW w:w="1005" w:type="dxa"/>
            <w:noWrap/>
            <w:vAlign w:val="center"/>
            <w:hideMark/>
          </w:tcPr>
          <w:p w14:paraId="05BAF7AC" w14:textId="7F327857" w:rsidR="00764594" w:rsidRPr="00447F92" w:rsidRDefault="00764594" w:rsidP="00764594">
            <w:pPr>
              <w:pStyle w:val="Tables"/>
              <w:rPr>
                <w:sz w:val="23"/>
                <w:szCs w:val="23"/>
              </w:rPr>
            </w:pPr>
            <w:r w:rsidRPr="00447F92">
              <w:rPr>
                <w:sz w:val="23"/>
                <w:szCs w:val="23"/>
              </w:rPr>
              <w:t>6</w:t>
            </w:r>
          </w:p>
        </w:tc>
        <w:tc>
          <w:tcPr>
            <w:tcW w:w="1386" w:type="dxa"/>
            <w:noWrap/>
            <w:vAlign w:val="center"/>
            <w:hideMark/>
          </w:tcPr>
          <w:p w14:paraId="70BC25AC" w14:textId="7B88446C" w:rsidR="00764594" w:rsidRPr="00447F92" w:rsidRDefault="00764594" w:rsidP="00764594">
            <w:pPr>
              <w:pStyle w:val="Tables"/>
              <w:rPr>
                <w:sz w:val="23"/>
                <w:szCs w:val="23"/>
              </w:rPr>
            </w:pPr>
            <w:r w:rsidRPr="00447F92">
              <w:rPr>
                <w:sz w:val="23"/>
                <w:szCs w:val="23"/>
              </w:rPr>
              <w:t>40</w:t>
            </w:r>
          </w:p>
        </w:tc>
        <w:tc>
          <w:tcPr>
            <w:tcW w:w="1236" w:type="dxa"/>
            <w:noWrap/>
            <w:vAlign w:val="center"/>
            <w:hideMark/>
          </w:tcPr>
          <w:p w14:paraId="7CFE2D6B" w14:textId="1F7E1F05" w:rsidR="00764594" w:rsidRPr="00447F92" w:rsidRDefault="00764594" w:rsidP="00764594">
            <w:pPr>
              <w:pStyle w:val="Tables"/>
              <w:rPr>
                <w:sz w:val="23"/>
                <w:szCs w:val="23"/>
              </w:rPr>
            </w:pPr>
            <w:r w:rsidRPr="00447F92">
              <w:rPr>
                <w:sz w:val="23"/>
                <w:szCs w:val="23"/>
              </w:rPr>
              <w:t>11</w:t>
            </w:r>
          </w:p>
        </w:tc>
        <w:tc>
          <w:tcPr>
            <w:tcW w:w="814" w:type="dxa"/>
            <w:noWrap/>
            <w:vAlign w:val="center"/>
            <w:hideMark/>
          </w:tcPr>
          <w:p w14:paraId="3E215E7A" w14:textId="480D659D" w:rsidR="00764594" w:rsidRPr="00447F92" w:rsidRDefault="00764594" w:rsidP="00764594">
            <w:pPr>
              <w:pStyle w:val="Tables"/>
              <w:rPr>
                <w:sz w:val="23"/>
                <w:szCs w:val="23"/>
              </w:rPr>
            </w:pPr>
            <w:r w:rsidRPr="00447F92">
              <w:rPr>
                <w:sz w:val="23"/>
                <w:szCs w:val="23"/>
              </w:rPr>
              <w:t>2</w:t>
            </w:r>
            <w:r w:rsidR="00714297">
              <w:rPr>
                <w:sz w:val="23"/>
                <w:szCs w:val="23"/>
              </w:rPr>
              <w:t>,</w:t>
            </w:r>
            <w:r w:rsidRPr="00447F92">
              <w:rPr>
                <w:sz w:val="23"/>
                <w:szCs w:val="23"/>
              </w:rPr>
              <w:t>01</w:t>
            </w:r>
          </w:p>
        </w:tc>
        <w:tc>
          <w:tcPr>
            <w:tcW w:w="1005" w:type="dxa"/>
            <w:noWrap/>
            <w:vAlign w:val="center"/>
            <w:hideMark/>
          </w:tcPr>
          <w:p w14:paraId="21324ADC" w14:textId="61CF97A8" w:rsidR="00764594" w:rsidRPr="00447F92" w:rsidRDefault="00764594" w:rsidP="00764594">
            <w:pPr>
              <w:pStyle w:val="Tables"/>
              <w:rPr>
                <w:sz w:val="23"/>
                <w:szCs w:val="23"/>
              </w:rPr>
            </w:pPr>
            <w:r w:rsidRPr="00447F92">
              <w:rPr>
                <w:sz w:val="23"/>
                <w:szCs w:val="23"/>
              </w:rPr>
              <w:t>2</w:t>
            </w:r>
            <w:r w:rsidR="00714297">
              <w:rPr>
                <w:sz w:val="23"/>
                <w:szCs w:val="23"/>
              </w:rPr>
              <w:t>,</w:t>
            </w:r>
            <w:r w:rsidRPr="00447F92">
              <w:rPr>
                <w:sz w:val="23"/>
                <w:szCs w:val="23"/>
              </w:rPr>
              <w:t>65</w:t>
            </w:r>
          </w:p>
        </w:tc>
        <w:tc>
          <w:tcPr>
            <w:tcW w:w="1005" w:type="dxa"/>
            <w:noWrap/>
            <w:vAlign w:val="center"/>
            <w:hideMark/>
          </w:tcPr>
          <w:p w14:paraId="216E99EA" w14:textId="6EF67DE7" w:rsidR="00764594" w:rsidRPr="00447F92" w:rsidRDefault="00764594" w:rsidP="00764594">
            <w:pPr>
              <w:pStyle w:val="Tables"/>
              <w:rPr>
                <w:sz w:val="23"/>
                <w:szCs w:val="23"/>
              </w:rPr>
            </w:pPr>
            <w:r w:rsidRPr="00447F92">
              <w:rPr>
                <w:sz w:val="23"/>
                <w:szCs w:val="23"/>
              </w:rPr>
              <w:t>15</w:t>
            </w:r>
          </w:p>
        </w:tc>
        <w:tc>
          <w:tcPr>
            <w:tcW w:w="1759" w:type="dxa"/>
            <w:noWrap/>
            <w:vAlign w:val="center"/>
            <w:hideMark/>
          </w:tcPr>
          <w:p w14:paraId="2B135E21" w14:textId="694CC5E3" w:rsidR="00764594" w:rsidRPr="00447F92" w:rsidRDefault="00764594" w:rsidP="00764594">
            <w:pPr>
              <w:pStyle w:val="Tables"/>
              <w:rPr>
                <w:sz w:val="23"/>
                <w:szCs w:val="23"/>
              </w:rPr>
            </w:pPr>
            <w:r w:rsidRPr="00447F92">
              <w:rPr>
                <w:sz w:val="23"/>
                <w:szCs w:val="23"/>
              </w:rPr>
              <w:t>75</w:t>
            </w:r>
          </w:p>
        </w:tc>
        <w:tc>
          <w:tcPr>
            <w:tcW w:w="863" w:type="dxa"/>
            <w:noWrap/>
            <w:vAlign w:val="center"/>
            <w:hideMark/>
          </w:tcPr>
          <w:p w14:paraId="210EF3B4" w14:textId="480CA67A" w:rsidR="00764594" w:rsidRPr="00447F92" w:rsidRDefault="00764594" w:rsidP="00764594">
            <w:pPr>
              <w:pStyle w:val="Tables"/>
              <w:rPr>
                <w:sz w:val="23"/>
                <w:szCs w:val="23"/>
              </w:rPr>
            </w:pPr>
            <w:r w:rsidRPr="00447F92">
              <w:rPr>
                <w:sz w:val="23"/>
                <w:szCs w:val="23"/>
              </w:rPr>
              <w:t>...</w:t>
            </w:r>
          </w:p>
        </w:tc>
        <w:tc>
          <w:tcPr>
            <w:tcW w:w="814" w:type="dxa"/>
            <w:noWrap/>
            <w:vAlign w:val="center"/>
            <w:hideMark/>
          </w:tcPr>
          <w:p w14:paraId="55A80074" w14:textId="3CB54893" w:rsidR="00764594" w:rsidRPr="00447F92" w:rsidRDefault="00764594" w:rsidP="00764594">
            <w:pPr>
              <w:pStyle w:val="Tables"/>
              <w:rPr>
                <w:sz w:val="23"/>
                <w:szCs w:val="23"/>
              </w:rPr>
            </w:pPr>
            <w:r w:rsidRPr="00447F92">
              <w:rPr>
                <w:sz w:val="23"/>
                <w:szCs w:val="23"/>
              </w:rPr>
              <w:t>3</w:t>
            </w:r>
            <w:r w:rsidR="00714297">
              <w:rPr>
                <w:sz w:val="23"/>
                <w:szCs w:val="23"/>
              </w:rPr>
              <w:t>,</w:t>
            </w:r>
            <w:r w:rsidRPr="00447F92">
              <w:rPr>
                <w:sz w:val="23"/>
                <w:szCs w:val="23"/>
              </w:rPr>
              <w:t>55</w:t>
            </w:r>
          </w:p>
        </w:tc>
        <w:tc>
          <w:tcPr>
            <w:tcW w:w="1273" w:type="dxa"/>
            <w:noWrap/>
            <w:vAlign w:val="center"/>
            <w:hideMark/>
          </w:tcPr>
          <w:p w14:paraId="29264798" w14:textId="29FF87DE" w:rsidR="00764594" w:rsidRPr="00447F92" w:rsidRDefault="00764594" w:rsidP="00764594">
            <w:pPr>
              <w:pStyle w:val="Tables"/>
              <w:rPr>
                <w:sz w:val="23"/>
                <w:szCs w:val="23"/>
              </w:rPr>
            </w:pPr>
            <w:r w:rsidRPr="00447F92">
              <w:rPr>
                <w:sz w:val="23"/>
                <w:szCs w:val="23"/>
              </w:rPr>
              <w:t>19</w:t>
            </w:r>
          </w:p>
        </w:tc>
        <w:tc>
          <w:tcPr>
            <w:tcW w:w="878" w:type="dxa"/>
            <w:noWrap/>
            <w:vAlign w:val="center"/>
            <w:hideMark/>
          </w:tcPr>
          <w:p w14:paraId="3C9569CF" w14:textId="0D3D5CDC" w:rsidR="00764594" w:rsidRPr="00447F92" w:rsidRDefault="00764594" w:rsidP="00764594">
            <w:pPr>
              <w:pStyle w:val="Tables"/>
              <w:rPr>
                <w:sz w:val="23"/>
                <w:szCs w:val="23"/>
              </w:rPr>
            </w:pPr>
            <w:r w:rsidRPr="00447F92">
              <w:rPr>
                <w:sz w:val="23"/>
                <w:szCs w:val="23"/>
              </w:rPr>
              <w:t>3</w:t>
            </w:r>
            <w:r w:rsidR="00A945CD">
              <w:rPr>
                <w:sz w:val="23"/>
                <w:szCs w:val="23"/>
              </w:rPr>
              <w:t>,</w:t>
            </w:r>
            <w:r w:rsidRPr="00447F92">
              <w:rPr>
                <w:sz w:val="23"/>
                <w:szCs w:val="23"/>
              </w:rPr>
              <w:t>74</w:t>
            </w:r>
          </w:p>
        </w:tc>
      </w:tr>
      <w:tr w:rsidR="00447F92" w:rsidRPr="00447F92" w14:paraId="73DA1169" w14:textId="77777777" w:rsidTr="00447F92">
        <w:trPr>
          <w:trHeight w:val="20"/>
          <w:jc w:val="center"/>
        </w:trPr>
        <w:tc>
          <w:tcPr>
            <w:tcW w:w="2687" w:type="dxa"/>
            <w:noWrap/>
            <w:vAlign w:val="center"/>
            <w:hideMark/>
          </w:tcPr>
          <w:p w14:paraId="35DE0EEF" w14:textId="77777777" w:rsidR="00764594" w:rsidRPr="00447F92" w:rsidRDefault="00764594" w:rsidP="00764594">
            <w:pPr>
              <w:pStyle w:val="Tables"/>
              <w:rPr>
                <w:sz w:val="23"/>
                <w:szCs w:val="23"/>
              </w:rPr>
            </w:pPr>
            <w:r w:rsidRPr="00447F92">
              <w:rPr>
                <w:sz w:val="23"/>
                <w:szCs w:val="23"/>
              </w:rPr>
              <w:t>Patiala and East Punjab States Union</w:t>
            </w:r>
          </w:p>
        </w:tc>
        <w:tc>
          <w:tcPr>
            <w:tcW w:w="1005" w:type="dxa"/>
            <w:noWrap/>
            <w:vAlign w:val="center"/>
            <w:hideMark/>
          </w:tcPr>
          <w:p w14:paraId="22EFA9D0" w14:textId="6B452714" w:rsidR="00764594" w:rsidRPr="00447F92" w:rsidRDefault="00764594" w:rsidP="00764594">
            <w:pPr>
              <w:pStyle w:val="Tables"/>
              <w:rPr>
                <w:sz w:val="23"/>
                <w:szCs w:val="23"/>
              </w:rPr>
            </w:pPr>
            <w:r w:rsidRPr="00447F92">
              <w:rPr>
                <w:sz w:val="23"/>
                <w:szCs w:val="23"/>
              </w:rPr>
              <w:t>16</w:t>
            </w:r>
          </w:p>
        </w:tc>
        <w:tc>
          <w:tcPr>
            <w:tcW w:w="1005" w:type="dxa"/>
            <w:noWrap/>
            <w:vAlign w:val="center"/>
            <w:hideMark/>
          </w:tcPr>
          <w:p w14:paraId="5F5252DF" w14:textId="314C29D6" w:rsidR="00764594" w:rsidRPr="00447F92" w:rsidRDefault="00764594" w:rsidP="00764594">
            <w:pPr>
              <w:pStyle w:val="Tables"/>
              <w:rPr>
                <w:sz w:val="23"/>
                <w:szCs w:val="23"/>
              </w:rPr>
            </w:pPr>
            <w:r w:rsidRPr="00447F92">
              <w:rPr>
                <w:sz w:val="23"/>
                <w:szCs w:val="23"/>
              </w:rPr>
              <w:t>...</w:t>
            </w:r>
          </w:p>
        </w:tc>
        <w:tc>
          <w:tcPr>
            <w:tcW w:w="1386" w:type="dxa"/>
            <w:noWrap/>
            <w:vAlign w:val="center"/>
            <w:hideMark/>
          </w:tcPr>
          <w:p w14:paraId="74422BB2" w14:textId="2BD380F4" w:rsidR="00764594" w:rsidRPr="00447F92" w:rsidRDefault="00764594" w:rsidP="00764594">
            <w:pPr>
              <w:pStyle w:val="Tables"/>
              <w:rPr>
                <w:sz w:val="23"/>
                <w:szCs w:val="23"/>
              </w:rPr>
            </w:pPr>
            <w:r w:rsidRPr="00447F92">
              <w:rPr>
                <w:sz w:val="23"/>
                <w:szCs w:val="23"/>
              </w:rPr>
              <w:t>...</w:t>
            </w:r>
          </w:p>
        </w:tc>
        <w:tc>
          <w:tcPr>
            <w:tcW w:w="1236" w:type="dxa"/>
            <w:noWrap/>
            <w:vAlign w:val="center"/>
            <w:hideMark/>
          </w:tcPr>
          <w:p w14:paraId="29934114" w14:textId="5D42062D" w:rsidR="00764594" w:rsidRPr="00447F92" w:rsidRDefault="00764594" w:rsidP="00764594">
            <w:pPr>
              <w:pStyle w:val="Tables"/>
              <w:rPr>
                <w:sz w:val="23"/>
                <w:szCs w:val="23"/>
              </w:rPr>
            </w:pPr>
            <w:r w:rsidRPr="00447F92">
              <w:rPr>
                <w:sz w:val="23"/>
                <w:szCs w:val="23"/>
              </w:rPr>
              <w:t>...</w:t>
            </w:r>
          </w:p>
        </w:tc>
        <w:tc>
          <w:tcPr>
            <w:tcW w:w="814" w:type="dxa"/>
            <w:noWrap/>
            <w:vAlign w:val="center"/>
            <w:hideMark/>
          </w:tcPr>
          <w:p w14:paraId="11346805" w14:textId="4F50FFB5" w:rsidR="00764594" w:rsidRPr="00447F92" w:rsidRDefault="00764594" w:rsidP="00764594">
            <w:pPr>
              <w:pStyle w:val="Tables"/>
              <w:rPr>
                <w:sz w:val="23"/>
                <w:szCs w:val="23"/>
              </w:rPr>
            </w:pPr>
            <w:r w:rsidRPr="00447F92">
              <w:rPr>
                <w:sz w:val="23"/>
                <w:szCs w:val="23"/>
              </w:rPr>
              <w:t>16</w:t>
            </w:r>
          </w:p>
        </w:tc>
        <w:tc>
          <w:tcPr>
            <w:tcW w:w="1005" w:type="dxa"/>
            <w:noWrap/>
            <w:vAlign w:val="center"/>
            <w:hideMark/>
          </w:tcPr>
          <w:p w14:paraId="228753CC" w14:textId="3B3547FF" w:rsidR="00764594" w:rsidRPr="00447F92" w:rsidRDefault="00764594" w:rsidP="00764594">
            <w:pPr>
              <w:pStyle w:val="Tables"/>
              <w:rPr>
                <w:sz w:val="23"/>
                <w:szCs w:val="23"/>
              </w:rPr>
            </w:pPr>
            <w:r w:rsidRPr="00447F92">
              <w:rPr>
                <w:sz w:val="23"/>
                <w:szCs w:val="23"/>
              </w:rPr>
              <w:t>60</w:t>
            </w:r>
          </w:p>
        </w:tc>
        <w:tc>
          <w:tcPr>
            <w:tcW w:w="1005" w:type="dxa"/>
            <w:noWrap/>
            <w:vAlign w:val="center"/>
            <w:hideMark/>
          </w:tcPr>
          <w:p w14:paraId="3CA673A1" w14:textId="59D34571" w:rsidR="00764594" w:rsidRPr="00447F92" w:rsidRDefault="00764594" w:rsidP="00764594">
            <w:pPr>
              <w:pStyle w:val="Tables"/>
              <w:rPr>
                <w:sz w:val="23"/>
                <w:szCs w:val="23"/>
              </w:rPr>
            </w:pPr>
            <w:r w:rsidRPr="00447F92">
              <w:rPr>
                <w:sz w:val="23"/>
                <w:szCs w:val="23"/>
              </w:rPr>
              <w:t>...</w:t>
            </w:r>
          </w:p>
        </w:tc>
        <w:tc>
          <w:tcPr>
            <w:tcW w:w="1759" w:type="dxa"/>
            <w:noWrap/>
            <w:vAlign w:val="center"/>
            <w:hideMark/>
          </w:tcPr>
          <w:p w14:paraId="58AEBC02" w14:textId="6014E85F" w:rsidR="00764594" w:rsidRPr="00447F92" w:rsidRDefault="00764594" w:rsidP="00764594">
            <w:pPr>
              <w:pStyle w:val="Tables"/>
              <w:rPr>
                <w:sz w:val="23"/>
                <w:szCs w:val="23"/>
              </w:rPr>
            </w:pPr>
            <w:r w:rsidRPr="00447F92">
              <w:rPr>
                <w:sz w:val="23"/>
                <w:szCs w:val="23"/>
              </w:rPr>
              <w:t>...</w:t>
            </w:r>
          </w:p>
        </w:tc>
        <w:tc>
          <w:tcPr>
            <w:tcW w:w="863" w:type="dxa"/>
            <w:noWrap/>
            <w:vAlign w:val="center"/>
            <w:hideMark/>
          </w:tcPr>
          <w:p w14:paraId="426F6E5F" w14:textId="75AA3D88" w:rsidR="00764594" w:rsidRPr="00447F92" w:rsidRDefault="00764594" w:rsidP="00764594">
            <w:pPr>
              <w:pStyle w:val="Tables"/>
              <w:rPr>
                <w:sz w:val="23"/>
                <w:szCs w:val="23"/>
              </w:rPr>
            </w:pPr>
            <w:r w:rsidRPr="00447F92">
              <w:rPr>
                <w:sz w:val="23"/>
                <w:szCs w:val="23"/>
              </w:rPr>
              <w:t>...</w:t>
            </w:r>
          </w:p>
        </w:tc>
        <w:tc>
          <w:tcPr>
            <w:tcW w:w="814" w:type="dxa"/>
            <w:noWrap/>
            <w:vAlign w:val="center"/>
            <w:hideMark/>
          </w:tcPr>
          <w:p w14:paraId="47E9FD97" w14:textId="7C273967" w:rsidR="00764594" w:rsidRPr="00447F92" w:rsidRDefault="00764594" w:rsidP="00764594">
            <w:pPr>
              <w:pStyle w:val="Tables"/>
              <w:rPr>
                <w:sz w:val="23"/>
                <w:szCs w:val="23"/>
              </w:rPr>
            </w:pPr>
            <w:r w:rsidRPr="00447F92">
              <w:rPr>
                <w:sz w:val="23"/>
                <w:szCs w:val="23"/>
              </w:rPr>
              <w:t>60</w:t>
            </w:r>
          </w:p>
        </w:tc>
        <w:tc>
          <w:tcPr>
            <w:tcW w:w="1273" w:type="dxa"/>
            <w:noWrap/>
            <w:vAlign w:val="center"/>
            <w:hideMark/>
          </w:tcPr>
          <w:p w14:paraId="76B263D7" w14:textId="2335A08C" w:rsidR="00764594" w:rsidRPr="00447F92" w:rsidRDefault="00764594" w:rsidP="00764594">
            <w:pPr>
              <w:pStyle w:val="Tables"/>
              <w:rPr>
                <w:sz w:val="23"/>
                <w:szCs w:val="23"/>
              </w:rPr>
            </w:pPr>
            <w:r w:rsidRPr="00447F92">
              <w:rPr>
                <w:sz w:val="23"/>
                <w:szCs w:val="23"/>
              </w:rPr>
              <w:t>5</w:t>
            </w:r>
          </w:p>
        </w:tc>
        <w:tc>
          <w:tcPr>
            <w:tcW w:w="878" w:type="dxa"/>
            <w:noWrap/>
            <w:vAlign w:val="center"/>
            <w:hideMark/>
          </w:tcPr>
          <w:p w14:paraId="34AD3514" w14:textId="178BEF8E" w:rsidR="00764594" w:rsidRPr="00447F92" w:rsidRDefault="00764594" w:rsidP="00764594">
            <w:pPr>
              <w:pStyle w:val="Tables"/>
              <w:rPr>
                <w:sz w:val="23"/>
                <w:szCs w:val="23"/>
              </w:rPr>
            </w:pPr>
            <w:r w:rsidRPr="00447F92">
              <w:rPr>
                <w:sz w:val="23"/>
                <w:szCs w:val="23"/>
              </w:rPr>
              <w:t>65</w:t>
            </w:r>
          </w:p>
        </w:tc>
      </w:tr>
      <w:tr w:rsidR="00447F92" w:rsidRPr="00447F92" w14:paraId="21529918" w14:textId="77777777" w:rsidTr="00447F92">
        <w:trPr>
          <w:trHeight w:val="20"/>
          <w:jc w:val="center"/>
        </w:trPr>
        <w:tc>
          <w:tcPr>
            <w:tcW w:w="2687" w:type="dxa"/>
            <w:noWrap/>
            <w:vAlign w:val="center"/>
            <w:hideMark/>
          </w:tcPr>
          <w:p w14:paraId="0FDADE7C" w14:textId="77777777" w:rsidR="00764594" w:rsidRPr="00447F92" w:rsidRDefault="00764594" w:rsidP="00764594">
            <w:pPr>
              <w:pStyle w:val="Tables"/>
              <w:rPr>
                <w:sz w:val="23"/>
                <w:szCs w:val="23"/>
              </w:rPr>
            </w:pPr>
            <w:r w:rsidRPr="00447F92">
              <w:rPr>
                <w:sz w:val="23"/>
                <w:szCs w:val="23"/>
              </w:rPr>
              <w:t>Punjab</w:t>
            </w:r>
          </w:p>
        </w:tc>
        <w:tc>
          <w:tcPr>
            <w:tcW w:w="1005" w:type="dxa"/>
            <w:noWrap/>
            <w:vAlign w:val="center"/>
            <w:hideMark/>
          </w:tcPr>
          <w:p w14:paraId="5A95FFE8" w14:textId="56F90FB8" w:rsidR="00764594" w:rsidRPr="00447F92" w:rsidRDefault="00764594" w:rsidP="00764594">
            <w:pPr>
              <w:pStyle w:val="Tables"/>
              <w:rPr>
                <w:sz w:val="23"/>
                <w:szCs w:val="23"/>
              </w:rPr>
            </w:pPr>
            <w:r w:rsidRPr="00447F92">
              <w:rPr>
                <w:sz w:val="23"/>
                <w:szCs w:val="23"/>
              </w:rPr>
              <w:t>2</w:t>
            </w:r>
            <w:r w:rsidR="005F18E7">
              <w:rPr>
                <w:sz w:val="23"/>
                <w:szCs w:val="23"/>
              </w:rPr>
              <w:t>,</w:t>
            </w:r>
            <w:r w:rsidRPr="00447F92">
              <w:rPr>
                <w:sz w:val="23"/>
                <w:szCs w:val="23"/>
              </w:rPr>
              <w:t>59</w:t>
            </w:r>
          </w:p>
        </w:tc>
        <w:tc>
          <w:tcPr>
            <w:tcW w:w="1005" w:type="dxa"/>
            <w:noWrap/>
            <w:vAlign w:val="center"/>
            <w:hideMark/>
          </w:tcPr>
          <w:p w14:paraId="47873E59" w14:textId="7D9EF88C" w:rsidR="00764594" w:rsidRPr="00447F92" w:rsidRDefault="00764594" w:rsidP="00764594">
            <w:pPr>
              <w:pStyle w:val="Tables"/>
              <w:rPr>
                <w:sz w:val="23"/>
                <w:szCs w:val="23"/>
              </w:rPr>
            </w:pPr>
            <w:r w:rsidRPr="00447F92">
              <w:rPr>
                <w:sz w:val="23"/>
                <w:szCs w:val="23"/>
              </w:rPr>
              <w:t>...</w:t>
            </w:r>
          </w:p>
        </w:tc>
        <w:tc>
          <w:tcPr>
            <w:tcW w:w="1386" w:type="dxa"/>
            <w:noWrap/>
            <w:vAlign w:val="center"/>
            <w:hideMark/>
          </w:tcPr>
          <w:p w14:paraId="2A6FB8B8" w14:textId="05A6C030" w:rsidR="00764594" w:rsidRPr="00447F92" w:rsidRDefault="00764594" w:rsidP="00764594">
            <w:pPr>
              <w:pStyle w:val="Tables"/>
              <w:rPr>
                <w:sz w:val="23"/>
                <w:szCs w:val="23"/>
              </w:rPr>
            </w:pPr>
            <w:r w:rsidRPr="00447F92">
              <w:rPr>
                <w:sz w:val="23"/>
                <w:szCs w:val="23"/>
              </w:rPr>
              <w:t>84**</w:t>
            </w:r>
          </w:p>
        </w:tc>
        <w:tc>
          <w:tcPr>
            <w:tcW w:w="1236" w:type="dxa"/>
            <w:noWrap/>
            <w:vAlign w:val="center"/>
            <w:hideMark/>
          </w:tcPr>
          <w:p w14:paraId="1B0E4343" w14:textId="31811016" w:rsidR="00764594" w:rsidRPr="00447F92" w:rsidRDefault="00764594" w:rsidP="00764594">
            <w:pPr>
              <w:pStyle w:val="Tables"/>
              <w:rPr>
                <w:sz w:val="23"/>
                <w:szCs w:val="23"/>
              </w:rPr>
            </w:pPr>
            <w:r w:rsidRPr="00447F92">
              <w:rPr>
                <w:sz w:val="23"/>
                <w:szCs w:val="23"/>
              </w:rPr>
              <w:t>...</w:t>
            </w:r>
          </w:p>
        </w:tc>
        <w:tc>
          <w:tcPr>
            <w:tcW w:w="814" w:type="dxa"/>
            <w:noWrap/>
            <w:vAlign w:val="center"/>
            <w:hideMark/>
          </w:tcPr>
          <w:p w14:paraId="0D3721B5" w14:textId="45001120" w:rsidR="00764594" w:rsidRPr="00447F92" w:rsidRDefault="00764594" w:rsidP="00764594">
            <w:pPr>
              <w:pStyle w:val="Tables"/>
              <w:rPr>
                <w:sz w:val="23"/>
                <w:szCs w:val="23"/>
              </w:rPr>
            </w:pPr>
            <w:r w:rsidRPr="00447F92">
              <w:rPr>
                <w:sz w:val="23"/>
                <w:szCs w:val="23"/>
              </w:rPr>
              <w:t>3</w:t>
            </w:r>
            <w:r w:rsidR="00714297">
              <w:rPr>
                <w:sz w:val="23"/>
                <w:szCs w:val="23"/>
              </w:rPr>
              <w:t>,</w:t>
            </w:r>
            <w:r w:rsidRPr="00447F92">
              <w:rPr>
                <w:sz w:val="23"/>
                <w:szCs w:val="23"/>
              </w:rPr>
              <w:t>43</w:t>
            </w:r>
          </w:p>
        </w:tc>
        <w:tc>
          <w:tcPr>
            <w:tcW w:w="1005" w:type="dxa"/>
            <w:noWrap/>
            <w:vAlign w:val="center"/>
            <w:hideMark/>
          </w:tcPr>
          <w:p w14:paraId="1714D15B" w14:textId="73F9FA5E" w:rsidR="00764594" w:rsidRPr="00447F92" w:rsidRDefault="00764594" w:rsidP="00764594">
            <w:pPr>
              <w:pStyle w:val="Tables"/>
              <w:rPr>
                <w:sz w:val="23"/>
                <w:szCs w:val="23"/>
              </w:rPr>
            </w:pPr>
            <w:r w:rsidRPr="00447F92">
              <w:rPr>
                <w:sz w:val="23"/>
                <w:szCs w:val="23"/>
              </w:rPr>
              <w:t>2</w:t>
            </w:r>
            <w:r w:rsidR="00714297">
              <w:rPr>
                <w:sz w:val="23"/>
                <w:szCs w:val="23"/>
              </w:rPr>
              <w:t>,</w:t>
            </w:r>
            <w:r w:rsidRPr="00447F92">
              <w:rPr>
                <w:sz w:val="23"/>
                <w:szCs w:val="23"/>
              </w:rPr>
              <w:t>40</w:t>
            </w:r>
          </w:p>
        </w:tc>
        <w:tc>
          <w:tcPr>
            <w:tcW w:w="1005" w:type="dxa"/>
            <w:noWrap/>
            <w:vAlign w:val="center"/>
            <w:hideMark/>
          </w:tcPr>
          <w:p w14:paraId="14B0572B" w14:textId="19345DAF" w:rsidR="00764594" w:rsidRPr="00447F92" w:rsidRDefault="00764594" w:rsidP="00764594">
            <w:pPr>
              <w:pStyle w:val="Tables"/>
              <w:rPr>
                <w:sz w:val="23"/>
                <w:szCs w:val="23"/>
              </w:rPr>
            </w:pPr>
            <w:r w:rsidRPr="00447F92">
              <w:rPr>
                <w:sz w:val="23"/>
                <w:szCs w:val="23"/>
              </w:rPr>
              <w:t>...</w:t>
            </w:r>
          </w:p>
        </w:tc>
        <w:tc>
          <w:tcPr>
            <w:tcW w:w="1759" w:type="dxa"/>
            <w:noWrap/>
            <w:vAlign w:val="center"/>
            <w:hideMark/>
          </w:tcPr>
          <w:p w14:paraId="4C0CCE8F" w14:textId="5A2C80CD" w:rsidR="00764594" w:rsidRPr="00447F92" w:rsidRDefault="00764594" w:rsidP="00764594">
            <w:pPr>
              <w:pStyle w:val="Tables"/>
              <w:rPr>
                <w:sz w:val="23"/>
                <w:szCs w:val="23"/>
              </w:rPr>
            </w:pPr>
            <w:r w:rsidRPr="00447F92">
              <w:rPr>
                <w:sz w:val="23"/>
                <w:szCs w:val="23"/>
              </w:rPr>
              <w:t>1</w:t>
            </w:r>
            <w:r w:rsidR="00714297">
              <w:rPr>
                <w:sz w:val="23"/>
                <w:szCs w:val="23"/>
              </w:rPr>
              <w:t>,</w:t>
            </w:r>
            <w:r w:rsidRPr="00447F92">
              <w:rPr>
                <w:sz w:val="23"/>
                <w:szCs w:val="23"/>
              </w:rPr>
              <w:t>25</w:t>
            </w:r>
          </w:p>
        </w:tc>
        <w:tc>
          <w:tcPr>
            <w:tcW w:w="863" w:type="dxa"/>
            <w:noWrap/>
            <w:vAlign w:val="center"/>
            <w:hideMark/>
          </w:tcPr>
          <w:p w14:paraId="225D17CC" w14:textId="0FFC5A5B" w:rsidR="00764594" w:rsidRPr="00447F92" w:rsidRDefault="00764594" w:rsidP="00764594">
            <w:pPr>
              <w:pStyle w:val="Tables"/>
              <w:rPr>
                <w:sz w:val="23"/>
                <w:szCs w:val="23"/>
              </w:rPr>
            </w:pPr>
            <w:r w:rsidRPr="00447F92">
              <w:rPr>
                <w:sz w:val="23"/>
                <w:szCs w:val="23"/>
              </w:rPr>
              <w:t>...</w:t>
            </w:r>
          </w:p>
        </w:tc>
        <w:tc>
          <w:tcPr>
            <w:tcW w:w="814" w:type="dxa"/>
            <w:noWrap/>
            <w:vAlign w:val="center"/>
            <w:hideMark/>
          </w:tcPr>
          <w:p w14:paraId="6866AA66" w14:textId="11AE05DF" w:rsidR="00764594" w:rsidRPr="00447F92" w:rsidRDefault="00764594" w:rsidP="00764594">
            <w:pPr>
              <w:pStyle w:val="Tables"/>
              <w:rPr>
                <w:sz w:val="23"/>
                <w:szCs w:val="23"/>
              </w:rPr>
            </w:pPr>
            <w:r w:rsidRPr="00447F92">
              <w:rPr>
                <w:sz w:val="23"/>
                <w:szCs w:val="23"/>
              </w:rPr>
              <w:t>3</w:t>
            </w:r>
            <w:r w:rsidR="00714297">
              <w:rPr>
                <w:sz w:val="23"/>
                <w:szCs w:val="23"/>
              </w:rPr>
              <w:t>,</w:t>
            </w:r>
            <w:r w:rsidRPr="00447F92">
              <w:rPr>
                <w:sz w:val="23"/>
                <w:szCs w:val="23"/>
              </w:rPr>
              <w:t>65</w:t>
            </w:r>
          </w:p>
        </w:tc>
        <w:tc>
          <w:tcPr>
            <w:tcW w:w="1273" w:type="dxa"/>
            <w:noWrap/>
            <w:vAlign w:val="center"/>
            <w:hideMark/>
          </w:tcPr>
          <w:p w14:paraId="45A3FB39" w14:textId="36EB2151" w:rsidR="00764594" w:rsidRPr="00447F92" w:rsidRDefault="00764594" w:rsidP="00764594">
            <w:pPr>
              <w:pStyle w:val="Tables"/>
              <w:rPr>
                <w:sz w:val="23"/>
                <w:szCs w:val="23"/>
              </w:rPr>
            </w:pPr>
            <w:r w:rsidRPr="00447F92">
              <w:rPr>
                <w:sz w:val="23"/>
                <w:szCs w:val="23"/>
              </w:rPr>
              <w:t>17</w:t>
            </w:r>
          </w:p>
        </w:tc>
        <w:tc>
          <w:tcPr>
            <w:tcW w:w="878" w:type="dxa"/>
            <w:noWrap/>
            <w:vAlign w:val="center"/>
            <w:hideMark/>
          </w:tcPr>
          <w:p w14:paraId="3EE99053" w14:textId="062026C3" w:rsidR="00764594" w:rsidRPr="00447F92" w:rsidRDefault="00764594" w:rsidP="00764594">
            <w:pPr>
              <w:pStyle w:val="Tables"/>
              <w:rPr>
                <w:sz w:val="23"/>
                <w:szCs w:val="23"/>
              </w:rPr>
            </w:pPr>
            <w:r w:rsidRPr="00447F92">
              <w:rPr>
                <w:sz w:val="23"/>
                <w:szCs w:val="23"/>
              </w:rPr>
              <w:t>3</w:t>
            </w:r>
            <w:r w:rsidR="00A945CD">
              <w:rPr>
                <w:sz w:val="23"/>
                <w:szCs w:val="23"/>
              </w:rPr>
              <w:t>,</w:t>
            </w:r>
            <w:r w:rsidRPr="00447F92">
              <w:rPr>
                <w:sz w:val="23"/>
                <w:szCs w:val="23"/>
              </w:rPr>
              <w:t>82</w:t>
            </w:r>
          </w:p>
        </w:tc>
      </w:tr>
      <w:tr w:rsidR="00447F92" w:rsidRPr="00447F92" w14:paraId="357200AE" w14:textId="77777777" w:rsidTr="00447F92">
        <w:trPr>
          <w:trHeight w:val="20"/>
          <w:jc w:val="center"/>
        </w:trPr>
        <w:tc>
          <w:tcPr>
            <w:tcW w:w="2687" w:type="dxa"/>
            <w:noWrap/>
            <w:vAlign w:val="center"/>
            <w:hideMark/>
          </w:tcPr>
          <w:p w14:paraId="78C7F87E" w14:textId="77777777" w:rsidR="00764594" w:rsidRPr="00447F92" w:rsidRDefault="00764594" w:rsidP="00764594">
            <w:pPr>
              <w:pStyle w:val="Tables"/>
              <w:rPr>
                <w:sz w:val="23"/>
                <w:szCs w:val="23"/>
              </w:rPr>
            </w:pPr>
            <w:r w:rsidRPr="00447F92">
              <w:rPr>
                <w:sz w:val="23"/>
                <w:szCs w:val="23"/>
              </w:rPr>
              <w:t>Rajasthan</w:t>
            </w:r>
          </w:p>
        </w:tc>
        <w:tc>
          <w:tcPr>
            <w:tcW w:w="1005" w:type="dxa"/>
            <w:noWrap/>
            <w:vAlign w:val="center"/>
            <w:hideMark/>
          </w:tcPr>
          <w:p w14:paraId="2A95049E" w14:textId="12E02970" w:rsidR="00764594" w:rsidRPr="00447F92" w:rsidRDefault="00764594" w:rsidP="00764594">
            <w:pPr>
              <w:pStyle w:val="Tables"/>
              <w:rPr>
                <w:sz w:val="23"/>
                <w:szCs w:val="23"/>
              </w:rPr>
            </w:pPr>
            <w:r w:rsidRPr="00447F92">
              <w:rPr>
                <w:sz w:val="23"/>
                <w:szCs w:val="23"/>
              </w:rPr>
              <w:t>10</w:t>
            </w:r>
          </w:p>
        </w:tc>
        <w:tc>
          <w:tcPr>
            <w:tcW w:w="1005" w:type="dxa"/>
            <w:noWrap/>
            <w:vAlign w:val="center"/>
            <w:hideMark/>
          </w:tcPr>
          <w:p w14:paraId="31DEEB34" w14:textId="40618CCC" w:rsidR="00764594" w:rsidRPr="00447F92" w:rsidRDefault="00764594" w:rsidP="00764594">
            <w:pPr>
              <w:pStyle w:val="Tables"/>
              <w:rPr>
                <w:sz w:val="23"/>
                <w:szCs w:val="23"/>
              </w:rPr>
            </w:pPr>
            <w:r w:rsidRPr="00447F92">
              <w:rPr>
                <w:sz w:val="23"/>
                <w:szCs w:val="23"/>
              </w:rPr>
              <w:t>...</w:t>
            </w:r>
          </w:p>
        </w:tc>
        <w:tc>
          <w:tcPr>
            <w:tcW w:w="1386" w:type="dxa"/>
            <w:noWrap/>
            <w:vAlign w:val="center"/>
            <w:hideMark/>
          </w:tcPr>
          <w:p w14:paraId="4FF20082" w14:textId="6DE9482F" w:rsidR="00764594" w:rsidRPr="00447F92" w:rsidRDefault="00764594" w:rsidP="00764594">
            <w:pPr>
              <w:pStyle w:val="Tables"/>
              <w:rPr>
                <w:sz w:val="23"/>
                <w:szCs w:val="23"/>
              </w:rPr>
            </w:pPr>
            <w:r w:rsidRPr="00447F92">
              <w:rPr>
                <w:sz w:val="23"/>
                <w:szCs w:val="23"/>
              </w:rPr>
              <w:t>...</w:t>
            </w:r>
          </w:p>
        </w:tc>
        <w:tc>
          <w:tcPr>
            <w:tcW w:w="1236" w:type="dxa"/>
            <w:noWrap/>
            <w:vAlign w:val="center"/>
            <w:hideMark/>
          </w:tcPr>
          <w:p w14:paraId="120A542B" w14:textId="2702D72F" w:rsidR="00764594" w:rsidRPr="00447F92" w:rsidRDefault="00764594" w:rsidP="00764594">
            <w:pPr>
              <w:pStyle w:val="Tables"/>
              <w:rPr>
                <w:sz w:val="23"/>
                <w:szCs w:val="23"/>
              </w:rPr>
            </w:pPr>
            <w:r w:rsidRPr="00447F92">
              <w:rPr>
                <w:sz w:val="23"/>
                <w:szCs w:val="23"/>
              </w:rPr>
              <w:t>...</w:t>
            </w:r>
          </w:p>
        </w:tc>
        <w:tc>
          <w:tcPr>
            <w:tcW w:w="814" w:type="dxa"/>
            <w:noWrap/>
            <w:vAlign w:val="center"/>
            <w:hideMark/>
          </w:tcPr>
          <w:p w14:paraId="314BC067" w14:textId="042F941D" w:rsidR="00764594" w:rsidRPr="00447F92" w:rsidRDefault="00764594" w:rsidP="00764594">
            <w:pPr>
              <w:pStyle w:val="Tables"/>
              <w:rPr>
                <w:sz w:val="23"/>
                <w:szCs w:val="23"/>
              </w:rPr>
            </w:pPr>
            <w:r w:rsidRPr="00447F92">
              <w:rPr>
                <w:sz w:val="23"/>
                <w:szCs w:val="23"/>
              </w:rPr>
              <w:t>10</w:t>
            </w:r>
          </w:p>
        </w:tc>
        <w:tc>
          <w:tcPr>
            <w:tcW w:w="1005" w:type="dxa"/>
            <w:noWrap/>
            <w:vAlign w:val="center"/>
            <w:hideMark/>
          </w:tcPr>
          <w:p w14:paraId="4220ED89" w14:textId="5806EF65" w:rsidR="00764594" w:rsidRPr="00447F92" w:rsidRDefault="00764594" w:rsidP="00764594">
            <w:pPr>
              <w:pStyle w:val="Tables"/>
              <w:rPr>
                <w:sz w:val="23"/>
                <w:szCs w:val="23"/>
              </w:rPr>
            </w:pPr>
            <w:r w:rsidRPr="00447F92">
              <w:rPr>
                <w:sz w:val="23"/>
                <w:szCs w:val="23"/>
              </w:rPr>
              <w:t>2</w:t>
            </w:r>
            <w:r w:rsidR="00714297">
              <w:rPr>
                <w:sz w:val="23"/>
                <w:szCs w:val="23"/>
              </w:rPr>
              <w:t>,</w:t>
            </w:r>
            <w:r w:rsidRPr="00447F92">
              <w:rPr>
                <w:sz w:val="23"/>
                <w:szCs w:val="23"/>
              </w:rPr>
              <w:t>65</w:t>
            </w:r>
          </w:p>
        </w:tc>
        <w:tc>
          <w:tcPr>
            <w:tcW w:w="1005" w:type="dxa"/>
            <w:noWrap/>
            <w:vAlign w:val="center"/>
            <w:hideMark/>
          </w:tcPr>
          <w:p w14:paraId="04456A81" w14:textId="557DE539" w:rsidR="00764594" w:rsidRPr="00447F92" w:rsidRDefault="00764594" w:rsidP="00764594">
            <w:pPr>
              <w:pStyle w:val="Tables"/>
              <w:rPr>
                <w:sz w:val="23"/>
                <w:szCs w:val="23"/>
              </w:rPr>
            </w:pPr>
            <w:r w:rsidRPr="00447F92">
              <w:rPr>
                <w:sz w:val="23"/>
                <w:szCs w:val="23"/>
              </w:rPr>
              <w:t>...</w:t>
            </w:r>
          </w:p>
        </w:tc>
        <w:tc>
          <w:tcPr>
            <w:tcW w:w="1759" w:type="dxa"/>
            <w:noWrap/>
            <w:vAlign w:val="center"/>
            <w:hideMark/>
          </w:tcPr>
          <w:p w14:paraId="76138025" w14:textId="0F6BE236" w:rsidR="00764594" w:rsidRPr="00447F92" w:rsidRDefault="00764594" w:rsidP="00764594">
            <w:pPr>
              <w:pStyle w:val="Tables"/>
              <w:rPr>
                <w:sz w:val="23"/>
                <w:szCs w:val="23"/>
              </w:rPr>
            </w:pPr>
            <w:r w:rsidRPr="00447F92">
              <w:rPr>
                <w:sz w:val="23"/>
                <w:szCs w:val="23"/>
              </w:rPr>
              <w:t>...</w:t>
            </w:r>
          </w:p>
        </w:tc>
        <w:tc>
          <w:tcPr>
            <w:tcW w:w="863" w:type="dxa"/>
            <w:noWrap/>
            <w:vAlign w:val="center"/>
            <w:hideMark/>
          </w:tcPr>
          <w:p w14:paraId="65280EDD" w14:textId="67517B42" w:rsidR="00764594" w:rsidRPr="00447F92" w:rsidRDefault="00764594" w:rsidP="00764594">
            <w:pPr>
              <w:pStyle w:val="Tables"/>
              <w:rPr>
                <w:sz w:val="23"/>
                <w:szCs w:val="23"/>
              </w:rPr>
            </w:pPr>
            <w:r w:rsidRPr="00447F92">
              <w:rPr>
                <w:sz w:val="23"/>
                <w:szCs w:val="23"/>
              </w:rPr>
              <w:t>...</w:t>
            </w:r>
          </w:p>
        </w:tc>
        <w:tc>
          <w:tcPr>
            <w:tcW w:w="814" w:type="dxa"/>
            <w:noWrap/>
            <w:vAlign w:val="center"/>
            <w:hideMark/>
          </w:tcPr>
          <w:p w14:paraId="4CCF2534" w14:textId="5C240703" w:rsidR="00764594" w:rsidRPr="00447F92" w:rsidRDefault="00764594" w:rsidP="00764594">
            <w:pPr>
              <w:pStyle w:val="Tables"/>
              <w:rPr>
                <w:sz w:val="23"/>
                <w:szCs w:val="23"/>
              </w:rPr>
            </w:pPr>
            <w:r w:rsidRPr="00447F92">
              <w:rPr>
                <w:sz w:val="23"/>
                <w:szCs w:val="23"/>
              </w:rPr>
              <w:t>2</w:t>
            </w:r>
            <w:r w:rsidR="00714297">
              <w:rPr>
                <w:sz w:val="23"/>
                <w:szCs w:val="23"/>
              </w:rPr>
              <w:t>,</w:t>
            </w:r>
            <w:r w:rsidRPr="00447F92">
              <w:rPr>
                <w:sz w:val="23"/>
                <w:szCs w:val="23"/>
              </w:rPr>
              <w:t>65</w:t>
            </w:r>
          </w:p>
        </w:tc>
        <w:tc>
          <w:tcPr>
            <w:tcW w:w="1273" w:type="dxa"/>
            <w:noWrap/>
            <w:vAlign w:val="center"/>
            <w:hideMark/>
          </w:tcPr>
          <w:p w14:paraId="41D30B77" w14:textId="32A0EF22" w:rsidR="00764594" w:rsidRPr="00447F92" w:rsidRDefault="00764594" w:rsidP="00764594">
            <w:pPr>
              <w:pStyle w:val="Tables"/>
              <w:rPr>
                <w:sz w:val="23"/>
                <w:szCs w:val="23"/>
              </w:rPr>
            </w:pPr>
            <w:r w:rsidRPr="00447F92">
              <w:rPr>
                <w:sz w:val="23"/>
                <w:szCs w:val="23"/>
              </w:rPr>
              <w:t>24</w:t>
            </w:r>
          </w:p>
        </w:tc>
        <w:tc>
          <w:tcPr>
            <w:tcW w:w="878" w:type="dxa"/>
            <w:noWrap/>
            <w:vAlign w:val="center"/>
            <w:hideMark/>
          </w:tcPr>
          <w:p w14:paraId="586BAA52" w14:textId="1A7BBB38" w:rsidR="00764594" w:rsidRPr="00447F92" w:rsidRDefault="00764594" w:rsidP="00764594">
            <w:pPr>
              <w:pStyle w:val="Tables"/>
              <w:rPr>
                <w:sz w:val="23"/>
                <w:szCs w:val="23"/>
              </w:rPr>
            </w:pPr>
            <w:r w:rsidRPr="00447F92">
              <w:rPr>
                <w:sz w:val="23"/>
                <w:szCs w:val="23"/>
              </w:rPr>
              <w:t>2</w:t>
            </w:r>
            <w:r w:rsidR="00A945CD">
              <w:rPr>
                <w:sz w:val="23"/>
                <w:szCs w:val="23"/>
              </w:rPr>
              <w:t>,</w:t>
            </w:r>
            <w:r w:rsidRPr="00447F92">
              <w:rPr>
                <w:sz w:val="23"/>
                <w:szCs w:val="23"/>
              </w:rPr>
              <w:t>89</w:t>
            </w:r>
          </w:p>
        </w:tc>
      </w:tr>
      <w:tr w:rsidR="00447F92" w:rsidRPr="00447F92" w14:paraId="5E50C00A" w14:textId="77777777" w:rsidTr="00447F92">
        <w:trPr>
          <w:trHeight w:val="20"/>
          <w:jc w:val="center"/>
        </w:trPr>
        <w:tc>
          <w:tcPr>
            <w:tcW w:w="2687" w:type="dxa"/>
            <w:noWrap/>
            <w:vAlign w:val="center"/>
            <w:hideMark/>
          </w:tcPr>
          <w:p w14:paraId="7190D479" w14:textId="77777777" w:rsidR="00764594" w:rsidRPr="00447F92" w:rsidRDefault="00764594" w:rsidP="00764594">
            <w:pPr>
              <w:pStyle w:val="Tables"/>
              <w:rPr>
                <w:sz w:val="23"/>
                <w:szCs w:val="23"/>
              </w:rPr>
            </w:pPr>
            <w:r w:rsidRPr="00447F92">
              <w:rPr>
                <w:sz w:val="23"/>
                <w:szCs w:val="23"/>
              </w:rPr>
              <w:t>Saurashtra</w:t>
            </w:r>
          </w:p>
        </w:tc>
        <w:tc>
          <w:tcPr>
            <w:tcW w:w="1005" w:type="dxa"/>
            <w:noWrap/>
            <w:vAlign w:val="center"/>
            <w:hideMark/>
          </w:tcPr>
          <w:p w14:paraId="5C3407D0" w14:textId="35D18E26" w:rsidR="00764594" w:rsidRPr="00447F92" w:rsidRDefault="00764594" w:rsidP="00764594">
            <w:pPr>
              <w:pStyle w:val="Tables"/>
              <w:rPr>
                <w:sz w:val="23"/>
                <w:szCs w:val="23"/>
              </w:rPr>
            </w:pPr>
            <w:r w:rsidRPr="00447F92">
              <w:rPr>
                <w:sz w:val="23"/>
                <w:szCs w:val="23"/>
              </w:rPr>
              <w:t>...</w:t>
            </w:r>
          </w:p>
        </w:tc>
        <w:tc>
          <w:tcPr>
            <w:tcW w:w="1005" w:type="dxa"/>
            <w:noWrap/>
            <w:vAlign w:val="center"/>
            <w:hideMark/>
          </w:tcPr>
          <w:p w14:paraId="531C9918" w14:textId="19BA75F0" w:rsidR="00764594" w:rsidRPr="00447F92" w:rsidRDefault="00764594" w:rsidP="00764594">
            <w:pPr>
              <w:pStyle w:val="Tables"/>
              <w:rPr>
                <w:sz w:val="23"/>
                <w:szCs w:val="23"/>
              </w:rPr>
            </w:pPr>
            <w:r w:rsidRPr="00447F92">
              <w:rPr>
                <w:sz w:val="23"/>
                <w:szCs w:val="23"/>
              </w:rPr>
              <w:t>...</w:t>
            </w:r>
          </w:p>
        </w:tc>
        <w:tc>
          <w:tcPr>
            <w:tcW w:w="1386" w:type="dxa"/>
            <w:noWrap/>
            <w:vAlign w:val="center"/>
            <w:hideMark/>
          </w:tcPr>
          <w:p w14:paraId="0B2A0217" w14:textId="5C2486F0" w:rsidR="00764594" w:rsidRPr="00447F92" w:rsidRDefault="00764594" w:rsidP="00764594">
            <w:pPr>
              <w:pStyle w:val="Tables"/>
              <w:rPr>
                <w:sz w:val="23"/>
                <w:szCs w:val="23"/>
              </w:rPr>
            </w:pPr>
            <w:r w:rsidRPr="00447F92">
              <w:rPr>
                <w:sz w:val="23"/>
                <w:szCs w:val="23"/>
              </w:rPr>
              <w:t>...</w:t>
            </w:r>
          </w:p>
        </w:tc>
        <w:tc>
          <w:tcPr>
            <w:tcW w:w="1236" w:type="dxa"/>
            <w:noWrap/>
            <w:vAlign w:val="center"/>
            <w:hideMark/>
          </w:tcPr>
          <w:p w14:paraId="659EF40F" w14:textId="6AB19B80" w:rsidR="00764594" w:rsidRPr="00447F92" w:rsidRDefault="00764594" w:rsidP="00764594">
            <w:pPr>
              <w:pStyle w:val="Tables"/>
              <w:rPr>
                <w:sz w:val="23"/>
                <w:szCs w:val="23"/>
              </w:rPr>
            </w:pPr>
            <w:r w:rsidRPr="00447F92">
              <w:rPr>
                <w:sz w:val="23"/>
                <w:szCs w:val="23"/>
              </w:rPr>
              <w:t>2</w:t>
            </w:r>
            <w:r w:rsidR="000370DF">
              <w:rPr>
                <w:sz w:val="23"/>
                <w:szCs w:val="23"/>
              </w:rPr>
              <w:t>,</w:t>
            </w:r>
            <w:r w:rsidRPr="00447F92">
              <w:rPr>
                <w:sz w:val="23"/>
                <w:szCs w:val="23"/>
              </w:rPr>
              <w:t>75</w:t>
            </w:r>
          </w:p>
        </w:tc>
        <w:tc>
          <w:tcPr>
            <w:tcW w:w="814" w:type="dxa"/>
            <w:noWrap/>
            <w:vAlign w:val="center"/>
            <w:hideMark/>
          </w:tcPr>
          <w:p w14:paraId="1E05DD23" w14:textId="2E9DD157" w:rsidR="00764594" w:rsidRPr="00447F92" w:rsidRDefault="00764594" w:rsidP="00764594">
            <w:pPr>
              <w:pStyle w:val="Tables"/>
              <w:rPr>
                <w:sz w:val="23"/>
                <w:szCs w:val="23"/>
              </w:rPr>
            </w:pPr>
            <w:r w:rsidRPr="00447F92">
              <w:rPr>
                <w:sz w:val="23"/>
                <w:szCs w:val="23"/>
              </w:rPr>
              <w:t>2</w:t>
            </w:r>
            <w:r w:rsidR="00714297">
              <w:rPr>
                <w:sz w:val="23"/>
                <w:szCs w:val="23"/>
              </w:rPr>
              <w:t>,</w:t>
            </w:r>
            <w:r w:rsidRPr="00447F92">
              <w:rPr>
                <w:sz w:val="23"/>
                <w:szCs w:val="23"/>
              </w:rPr>
              <w:t>75</w:t>
            </w:r>
          </w:p>
        </w:tc>
        <w:tc>
          <w:tcPr>
            <w:tcW w:w="1005" w:type="dxa"/>
            <w:noWrap/>
            <w:vAlign w:val="center"/>
            <w:hideMark/>
          </w:tcPr>
          <w:p w14:paraId="62013A97" w14:textId="615EEE5F" w:rsidR="00764594" w:rsidRPr="00447F92" w:rsidRDefault="00764594" w:rsidP="00764594">
            <w:pPr>
              <w:pStyle w:val="Tables"/>
              <w:rPr>
                <w:sz w:val="23"/>
                <w:szCs w:val="23"/>
              </w:rPr>
            </w:pPr>
            <w:r w:rsidRPr="00447F92">
              <w:rPr>
                <w:sz w:val="23"/>
                <w:szCs w:val="23"/>
              </w:rPr>
              <w:t>75</w:t>
            </w:r>
          </w:p>
        </w:tc>
        <w:tc>
          <w:tcPr>
            <w:tcW w:w="1005" w:type="dxa"/>
            <w:noWrap/>
            <w:vAlign w:val="center"/>
            <w:hideMark/>
          </w:tcPr>
          <w:p w14:paraId="64319981" w14:textId="1490E914" w:rsidR="00764594" w:rsidRPr="00447F92" w:rsidRDefault="00764594" w:rsidP="00764594">
            <w:pPr>
              <w:pStyle w:val="Tables"/>
              <w:rPr>
                <w:sz w:val="23"/>
                <w:szCs w:val="23"/>
              </w:rPr>
            </w:pPr>
            <w:r w:rsidRPr="00447F92">
              <w:rPr>
                <w:sz w:val="23"/>
                <w:szCs w:val="23"/>
              </w:rPr>
              <w:t>...</w:t>
            </w:r>
          </w:p>
        </w:tc>
        <w:tc>
          <w:tcPr>
            <w:tcW w:w="1759" w:type="dxa"/>
            <w:noWrap/>
            <w:vAlign w:val="center"/>
            <w:hideMark/>
          </w:tcPr>
          <w:p w14:paraId="5DDAE438" w14:textId="3C966B63" w:rsidR="00764594" w:rsidRPr="00447F92" w:rsidRDefault="00764594" w:rsidP="00764594">
            <w:pPr>
              <w:pStyle w:val="Tables"/>
              <w:rPr>
                <w:sz w:val="23"/>
                <w:szCs w:val="23"/>
              </w:rPr>
            </w:pPr>
            <w:r w:rsidRPr="00447F92">
              <w:rPr>
                <w:sz w:val="23"/>
                <w:szCs w:val="23"/>
              </w:rPr>
              <w:t>40</w:t>
            </w:r>
          </w:p>
        </w:tc>
        <w:tc>
          <w:tcPr>
            <w:tcW w:w="863" w:type="dxa"/>
            <w:noWrap/>
            <w:vAlign w:val="center"/>
            <w:hideMark/>
          </w:tcPr>
          <w:p w14:paraId="317229F0" w14:textId="19EF518A" w:rsidR="00764594" w:rsidRPr="00447F92" w:rsidRDefault="00764594" w:rsidP="00764594">
            <w:pPr>
              <w:pStyle w:val="Tables"/>
              <w:rPr>
                <w:sz w:val="23"/>
                <w:szCs w:val="23"/>
              </w:rPr>
            </w:pPr>
            <w:r w:rsidRPr="00447F92">
              <w:rPr>
                <w:sz w:val="23"/>
                <w:szCs w:val="23"/>
              </w:rPr>
              <w:t>1</w:t>
            </w:r>
            <w:r w:rsidR="00714297">
              <w:rPr>
                <w:sz w:val="23"/>
                <w:szCs w:val="23"/>
              </w:rPr>
              <w:t>,</w:t>
            </w:r>
            <w:r w:rsidRPr="00447F92">
              <w:rPr>
                <w:sz w:val="23"/>
                <w:szCs w:val="23"/>
              </w:rPr>
              <w:t>87*</w:t>
            </w:r>
          </w:p>
        </w:tc>
        <w:tc>
          <w:tcPr>
            <w:tcW w:w="814" w:type="dxa"/>
            <w:noWrap/>
            <w:vAlign w:val="center"/>
            <w:hideMark/>
          </w:tcPr>
          <w:p w14:paraId="03BF9DC1" w14:textId="6D2DF779" w:rsidR="00764594" w:rsidRPr="00447F92" w:rsidRDefault="00764594" w:rsidP="00764594">
            <w:pPr>
              <w:pStyle w:val="Tables"/>
              <w:rPr>
                <w:sz w:val="23"/>
                <w:szCs w:val="23"/>
              </w:rPr>
            </w:pPr>
            <w:r w:rsidRPr="00447F92">
              <w:rPr>
                <w:sz w:val="23"/>
                <w:szCs w:val="23"/>
              </w:rPr>
              <w:t>3</w:t>
            </w:r>
            <w:r w:rsidR="00714297">
              <w:rPr>
                <w:sz w:val="23"/>
                <w:szCs w:val="23"/>
              </w:rPr>
              <w:t>,</w:t>
            </w:r>
            <w:r w:rsidRPr="00447F92">
              <w:rPr>
                <w:sz w:val="23"/>
                <w:szCs w:val="23"/>
              </w:rPr>
              <w:t>02</w:t>
            </w:r>
          </w:p>
        </w:tc>
        <w:tc>
          <w:tcPr>
            <w:tcW w:w="1273" w:type="dxa"/>
            <w:noWrap/>
            <w:vAlign w:val="center"/>
            <w:hideMark/>
          </w:tcPr>
          <w:p w14:paraId="6913A61D" w14:textId="08DDC1AD" w:rsidR="00764594" w:rsidRPr="00447F92" w:rsidRDefault="00764594" w:rsidP="00764594">
            <w:pPr>
              <w:pStyle w:val="Tables"/>
              <w:rPr>
                <w:sz w:val="23"/>
                <w:szCs w:val="23"/>
              </w:rPr>
            </w:pPr>
            <w:r w:rsidRPr="00447F92">
              <w:rPr>
                <w:sz w:val="23"/>
                <w:szCs w:val="23"/>
              </w:rPr>
              <w:t>...</w:t>
            </w:r>
          </w:p>
        </w:tc>
        <w:tc>
          <w:tcPr>
            <w:tcW w:w="878" w:type="dxa"/>
            <w:noWrap/>
            <w:vAlign w:val="center"/>
            <w:hideMark/>
          </w:tcPr>
          <w:p w14:paraId="31D89ECC" w14:textId="17CA058C" w:rsidR="00764594" w:rsidRPr="00447F92" w:rsidRDefault="00764594" w:rsidP="00764594">
            <w:pPr>
              <w:pStyle w:val="Tables"/>
              <w:rPr>
                <w:sz w:val="23"/>
                <w:szCs w:val="23"/>
              </w:rPr>
            </w:pPr>
            <w:r w:rsidRPr="00447F92">
              <w:rPr>
                <w:sz w:val="23"/>
                <w:szCs w:val="23"/>
              </w:rPr>
              <w:t>3</w:t>
            </w:r>
            <w:r w:rsidR="00A945CD">
              <w:rPr>
                <w:sz w:val="23"/>
                <w:szCs w:val="23"/>
              </w:rPr>
              <w:t>,</w:t>
            </w:r>
            <w:r w:rsidRPr="00447F92">
              <w:rPr>
                <w:sz w:val="23"/>
                <w:szCs w:val="23"/>
              </w:rPr>
              <w:t>02</w:t>
            </w:r>
          </w:p>
        </w:tc>
      </w:tr>
      <w:tr w:rsidR="00447F92" w:rsidRPr="00447F92" w14:paraId="280D2BDD" w14:textId="77777777" w:rsidTr="00447F92">
        <w:trPr>
          <w:trHeight w:val="20"/>
          <w:jc w:val="center"/>
        </w:trPr>
        <w:tc>
          <w:tcPr>
            <w:tcW w:w="2687" w:type="dxa"/>
            <w:noWrap/>
            <w:vAlign w:val="center"/>
            <w:hideMark/>
          </w:tcPr>
          <w:p w14:paraId="5AE427DB" w14:textId="77777777" w:rsidR="00764594" w:rsidRPr="00447F92" w:rsidRDefault="00764594" w:rsidP="00764594">
            <w:pPr>
              <w:pStyle w:val="Tables"/>
              <w:rPr>
                <w:sz w:val="23"/>
                <w:szCs w:val="23"/>
              </w:rPr>
            </w:pPr>
            <w:r w:rsidRPr="00447F92">
              <w:rPr>
                <w:sz w:val="23"/>
                <w:szCs w:val="23"/>
              </w:rPr>
              <w:t>Travancore-Cochin</w:t>
            </w:r>
          </w:p>
        </w:tc>
        <w:tc>
          <w:tcPr>
            <w:tcW w:w="1005" w:type="dxa"/>
            <w:noWrap/>
            <w:vAlign w:val="center"/>
            <w:hideMark/>
          </w:tcPr>
          <w:p w14:paraId="7DD9EFCB" w14:textId="29E9FE21" w:rsidR="00764594" w:rsidRPr="00447F92" w:rsidRDefault="00764594" w:rsidP="00764594">
            <w:pPr>
              <w:pStyle w:val="Tables"/>
              <w:rPr>
                <w:sz w:val="23"/>
                <w:szCs w:val="23"/>
              </w:rPr>
            </w:pPr>
            <w:r w:rsidRPr="00447F92">
              <w:rPr>
                <w:sz w:val="23"/>
                <w:szCs w:val="23"/>
              </w:rPr>
              <w:t>...</w:t>
            </w:r>
          </w:p>
        </w:tc>
        <w:tc>
          <w:tcPr>
            <w:tcW w:w="1005" w:type="dxa"/>
            <w:noWrap/>
            <w:vAlign w:val="center"/>
            <w:hideMark/>
          </w:tcPr>
          <w:p w14:paraId="2CD14CE3" w14:textId="40516032" w:rsidR="00764594" w:rsidRPr="00447F92" w:rsidRDefault="00764594" w:rsidP="00764594">
            <w:pPr>
              <w:pStyle w:val="Tables"/>
              <w:rPr>
                <w:sz w:val="23"/>
                <w:szCs w:val="23"/>
              </w:rPr>
            </w:pPr>
            <w:r w:rsidRPr="00447F92">
              <w:rPr>
                <w:sz w:val="23"/>
                <w:szCs w:val="23"/>
              </w:rPr>
              <w:t>...</w:t>
            </w:r>
          </w:p>
        </w:tc>
        <w:tc>
          <w:tcPr>
            <w:tcW w:w="1386" w:type="dxa"/>
            <w:noWrap/>
            <w:vAlign w:val="center"/>
            <w:hideMark/>
          </w:tcPr>
          <w:p w14:paraId="747F69F7" w14:textId="2AC6AA38" w:rsidR="00764594" w:rsidRPr="00447F92" w:rsidRDefault="00764594" w:rsidP="00764594">
            <w:pPr>
              <w:pStyle w:val="Tables"/>
              <w:rPr>
                <w:sz w:val="23"/>
                <w:szCs w:val="23"/>
              </w:rPr>
            </w:pPr>
            <w:r w:rsidRPr="00447F92">
              <w:rPr>
                <w:sz w:val="23"/>
                <w:szCs w:val="23"/>
              </w:rPr>
              <w:t>...</w:t>
            </w:r>
          </w:p>
        </w:tc>
        <w:tc>
          <w:tcPr>
            <w:tcW w:w="1236" w:type="dxa"/>
            <w:noWrap/>
            <w:vAlign w:val="center"/>
            <w:hideMark/>
          </w:tcPr>
          <w:p w14:paraId="57113033" w14:textId="3AA75F82" w:rsidR="00764594" w:rsidRPr="00447F92" w:rsidRDefault="00764594" w:rsidP="00764594">
            <w:pPr>
              <w:pStyle w:val="Tables"/>
              <w:rPr>
                <w:sz w:val="23"/>
                <w:szCs w:val="23"/>
              </w:rPr>
            </w:pPr>
            <w:r w:rsidRPr="00447F92">
              <w:rPr>
                <w:sz w:val="23"/>
                <w:szCs w:val="23"/>
              </w:rPr>
              <w:t>3</w:t>
            </w:r>
            <w:r w:rsidR="000370DF">
              <w:rPr>
                <w:sz w:val="23"/>
                <w:szCs w:val="23"/>
              </w:rPr>
              <w:t>,</w:t>
            </w:r>
            <w:r w:rsidRPr="00447F92">
              <w:rPr>
                <w:sz w:val="23"/>
                <w:szCs w:val="23"/>
              </w:rPr>
              <w:t>22</w:t>
            </w:r>
          </w:p>
        </w:tc>
        <w:tc>
          <w:tcPr>
            <w:tcW w:w="814" w:type="dxa"/>
            <w:noWrap/>
            <w:vAlign w:val="center"/>
            <w:hideMark/>
          </w:tcPr>
          <w:p w14:paraId="4972FDF4" w14:textId="7774D2D7" w:rsidR="00764594" w:rsidRPr="00447F92" w:rsidRDefault="00764594" w:rsidP="00764594">
            <w:pPr>
              <w:pStyle w:val="Tables"/>
              <w:rPr>
                <w:sz w:val="23"/>
                <w:szCs w:val="23"/>
              </w:rPr>
            </w:pPr>
            <w:r w:rsidRPr="00447F92">
              <w:rPr>
                <w:sz w:val="23"/>
                <w:szCs w:val="23"/>
              </w:rPr>
              <w:t>3</w:t>
            </w:r>
            <w:r w:rsidR="00714297">
              <w:rPr>
                <w:sz w:val="23"/>
                <w:szCs w:val="23"/>
              </w:rPr>
              <w:t>,</w:t>
            </w:r>
            <w:r w:rsidRPr="00447F92">
              <w:rPr>
                <w:sz w:val="23"/>
                <w:szCs w:val="23"/>
              </w:rPr>
              <w:t>22</w:t>
            </w:r>
          </w:p>
        </w:tc>
        <w:tc>
          <w:tcPr>
            <w:tcW w:w="1005" w:type="dxa"/>
            <w:noWrap/>
            <w:vAlign w:val="center"/>
            <w:hideMark/>
          </w:tcPr>
          <w:p w14:paraId="5B8542EB" w14:textId="1D1ACA4A" w:rsidR="00764594" w:rsidRPr="00447F92" w:rsidRDefault="00764594" w:rsidP="00764594">
            <w:pPr>
              <w:pStyle w:val="Tables"/>
              <w:rPr>
                <w:sz w:val="23"/>
                <w:szCs w:val="23"/>
              </w:rPr>
            </w:pPr>
            <w:r w:rsidRPr="00447F92">
              <w:rPr>
                <w:sz w:val="23"/>
                <w:szCs w:val="23"/>
              </w:rPr>
              <w:t>1</w:t>
            </w:r>
            <w:r w:rsidR="00714297">
              <w:rPr>
                <w:sz w:val="23"/>
                <w:szCs w:val="23"/>
              </w:rPr>
              <w:t>,</w:t>
            </w:r>
            <w:r w:rsidRPr="00447F92">
              <w:rPr>
                <w:sz w:val="23"/>
                <w:szCs w:val="23"/>
              </w:rPr>
              <w:t>80</w:t>
            </w:r>
          </w:p>
        </w:tc>
        <w:tc>
          <w:tcPr>
            <w:tcW w:w="1005" w:type="dxa"/>
            <w:noWrap/>
            <w:vAlign w:val="center"/>
            <w:hideMark/>
          </w:tcPr>
          <w:p w14:paraId="226523F0" w14:textId="46C90A57" w:rsidR="00764594" w:rsidRPr="00447F92" w:rsidRDefault="00764594" w:rsidP="00764594">
            <w:pPr>
              <w:pStyle w:val="Tables"/>
              <w:rPr>
                <w:sz w:val="23"/>
                <w:szCs w:val="23"/>
              </w:rPr>
            </w:pPr>
            <w:r w:rsidRPr="00447F92">
              <w:rPr>
                <w:sz w:val="23"/>
                <w:szCs w:val="23"/>
              </w:rPr>
              <w:t>...</w:t>
            </w:r>
          </w:p>
        </w:tc>
        <w:tc>
          <w:tcPr>
            <w:tcW w:w="1759" w:type="dxa"/>
            <w:noWrap/>
            <w:vAlign w:val="center"/>
            <w:hideMark/>
          </w:tcPr>
          <w:p w14:paraId="1D207D9D" w14:textId="40080862" w:rsidR="00764594" w:rsidRPr="00447F92" w:rsidRDefault="00764594" w:rsidP="00764594">
            <w:pPr>
              <w:pStyle w:val="Tables"/>
              <w:rPr>
                <w:sz w:val="23"/>
                <w:szCs w:val="23"/>
              </w:rPr>
            </w:pPr>
            <w:r w:rsidRPr="00447F92">
              <w:rPr>
                <w:sz w:val="23"/>
                <w:szCs w:val="23"/>
              </w:rPr>
              <w:t>45</w:t>
            </w:r>
          </w:p>
        </w:tc>
        <w:tc>
          <w:tcPr>
            <w:tcW w:w="863" w:type="dxa"/>
            <w:noWrap/>
            <w:vAlign w:val="center"/>
            <w:hideMark/>
          </w:tcPr>
          <w:p w14:paraId="027FB832" w14:textId="33ED6D47" w:rsidR="00764594" w:rsidRPr="00447F92" w:rsidRDefault="00764594" w:rsidP="00764594">
            <w:pPr>
              <w:pStyle w:val="Tables"/>
              <w:rPr>
                <w:sz w:val="23"/>
                <w:szCs w:val="23"/>
              </w:rPr>
            </w:pPr>
            <w:r w:rsidRPr="00447F92">
              <w:rPr>
                <w:sz w:val="23"/>
                <w:szCs w:val="23"/>
              </w:rPr>
              <w:t>98*</w:t>
            </w:r>
          </w:p>
        </w:tc>
        <w:tc>
          <w:tcPr>
            <w:tcW w:w="814" w:type="dxa"/>
            <w:noWrap/>
            <w:vAlign w:val="center"/>
            <w:hideMark/>
          </w:tcPr>
          <w:p w14:paraId="78CA0691" w14:textId="177BC0B0" w:rsidR="00764594" w:rsidRPr="00447F92" w:rsidRDefault="00764594" w:rsidP="00764594">
            <w:pPr>
              <w:pStyle w:val="Tables"/>
              <w:rPr>
                <w:sz w:val="23"/>
                <w:szCs w:val="23"/>
              </w:rPr>
            </w:pPr>
            <w:r w:rsidRPr="00447F92">
              <w:rPr>
                <w:sz w:val="23"/>
                <w:szCs w:val="23"/>
              </w:rPr>
              <w:t>3</w:t>
            </w:r>
            <w:r w:rsidR="00714297">
              <w:rPr>
                <w:sz w:val="23"/>
                <w:szCs w:val="23"/>
              </w:rPr>
              <w:t>,</w:t>
            </w:r>
            <w:r w:rsidRPr="00447F92">
              <w:rPr>
                <w:sz w:val="23"/>
                <w:szCs w:val="23"/>
              </w:rPr>
              <w:t>23</w:t>
            </w:r>
          </w:p>
        </w:tc>
        <w:tc>
          <w:tcPr>
            <w:tcW w:w="1273" w:type="dxa"/>
            <w:noWrap/>
            <w:vAlign w:val="center"/>
            <w:hideMark/>
          </w:tcPr>
          <w:p w14:paraId="796ACF8D" w14:textId="38683172" w:rsidR="00764594" w:rsidRPr="00447F92" w:rsidRDefault="00764594" w:rsidP="00764594">
            <w:pPr>
              <w:pStyle w:val="Tables"/>
              <w:rPr>
                <w:sz w:val="23"/>
                <w:szCs w:val="23"/>
              </w:rPr>
            </w:pPr>
            <w:r w:rsidRPr="00447F92">
              <w:rPr>
                <w:sz w:val="23"/>
                <w:szCs w:val="23"/>
              </w:rPr>
              <w:t>...</w:t>
            </w:r>
          </w:p>
        </w:tc>
        <w:tc>
          <w:tcPr>
            <w:tcW w:w="878" w:type="dxa"/>
            <w:noWrap/>
            <w:vAlign w:val="center"/>
            <w:hideMark/>
          </w:tcPr>
          <w:p w14:paraId="11A95421" w14:textId="3C439A29" w:rsidR="00764594" w:rsidRPr="00447F92" w:rsidRDefault="00764594" w:rsidP="00764594">
            <w:pPr>
              <w:pStyle w:val="Tables"/>
              <w:rPr>
                <w:sz w:val="23"/>
                <w:szCs w:val="23"/>
              </w:rPr>
            </w:pPr>
            <w:r w:rsidRPr="00447F92">
              <w:rPr>
                <w:sz w:val="23"/>
                <w:szCs w:val="23"/>
              </w:rPr>
              <w:t>3</w:t>
            </w:r>
            <w:r w:rsidR="00A945CD">
              <w:rPr>
                <w:sz w:val="23"/>
                <w:szCs w:val="23"/>
              </w:rPr>
              <w:t>,</w:t>
            </w:r>
            <w:r w:rsidRPr="00447F92">
              <w:rPr>
                <w:sz w:val="23"/>
                <w:szCs w:val="23"/>
              </w:rPr>
              <w:t>23</w:t>
            </w:r>
          </w:p>
        </w:tc>
      </w:tr>
      <w:tr w:rsidR="00447F92" w:rsidRPr="00447F92" w14:paraId="737E1661" w14:textId="77777777" w:rsidTr="00447F92">
        <w:trPr>
          <w:trHeight w:val="20"/>
          <w:jc w:val="center"/>
        </w:trPr>
        <w:tc>
          <w:tcPr>
            <w:tcW w:w="2687" w:type="dxa"/>
            <w:noWrap/>
            <w:vAlign w:val="center"/>
            <w:hideMark/>
          </w:tcPr>
          <w:p w14:paraId="1C5887C4" w14:textId="77777777" w:rsidR="00764594" w:rsidRPr="00447F92" w:rsidRDefault="00764594" w:rsidP="00764594">
            <w:pPr>
              <w:pStyle w:val="Tables"/>
              <w:rPr>
                <w:sz w:val="23"/>
                <w:szCs w:val="23"/>
              </w:rPr>
            </w:pPr>
            <w:r w:rsidRPr="00447F92">
              <w:rPr>
                <w:sz w:val="23"/>
                <w:szCs w:val="23"/>
              </w:rPr>
              <w:t>Uttar Pradesh</w:t>
            </w:r>
          </w:p>
        </w:tc>
        <w:tc>
          <w:tcPr>
            <w:tcW w:w="1005" w:type="dxa"/>
            <w:noWrap/>
            <w:vAlign w:val="center"/>
            <w:hideMark/>
          </w:tcPr>
          <w:p w14:paraId="0B5D32D0" w14:textId="2BDCDD96" w:rsidR="00764594" w:rsidRPr="00447F92" w:rsidRDefault="00764594" w:rsidP="00764594">
            <w:pPr>
              <w:pStyle w:val="Tables"/>
              <w:rPr>
                <w:sz w:val="23"/>
                <w:szCs w:val="23"/>
              </w:rPr>
            </w:pPr>
            <w:r w:rsidRPr="00447F92">
              <w:rPr>
                <w:sz w:val="23"/>
                <w:szCs w:val="23"/>
              </w:rPr>
              <w:t>8</w:t>
            </w:r>
            <w:r w:rsidR="005F18E7">
              <w:rPr>
                <w:sz w:val="23"/>
                <w:szCs w:val="23"/>
              </w:rPr>
              <w:t>,</w:t>
            </w:r>
            <w:r w:rsidRPr="00447F92">
              <w:rPr>
                <w:sz w:val="23"/>
                <w:szCs w:val="23"/>
              </w:rPr>
              <w:t>88</w:t>
            </w:r>
          </w:p>
        </w:tc>
        <w:tc>
          <w:tcPr>
            <w:tcW w:w="1005" w:type="dxa"/>
            <w:noWrap/>
            <w:vAlign w:val="center"/>
            <w:hideMark/>
          </w:tcPr>
          <w:p w14:paraId="1173096B" w14:textId="39110A45" w:rsidR="00764594" w:rsidRPr="00447F92" w:rsidRDefault="00764594" w:rsidP="00764594">
            <w:pPr>
              <w:pStyle w:val="Tables"/>
              <w:rPr>
                <w:sz w:val="23"/>
                <w:szCs w:val="23"/>
              </w:rPr>
            </w:pPr>
            <w:r w:rsidRPr="00447F92">
              <w:rPr>
                <w:sz w:val="23"/>
                <w:szCs w:val="23"/>
              </w:rPr>
              <w:t>...</w:t>
            </w:r>
          </w:p>
        </w:tc>
        <w:tc>
          <w:tcPr>
            <w:tcW w:w="1386" w:type="dxa"/>
            <w:noWrap/>
            <w:vAlign w:val="center"/>
            <w:hideMark/>
          </w:tcPr>
          <w:p w14:paraId="053CF5A9" w14:textId="3C0BE520" w:rsidR="00764594" w:rsidRPr="00447F92" w:rsidRDefault="00764594" w:rsidP="00764594">
            <w:pPr>
              <w:pStyle w:val="Tables"/>
              <w:rPr>
                <w:sz w:val="23"/>
                <w:szCs w:val="23"/>
              </w:rPr>
            </w:pPr>
            <w:r w:rsidRPr="00447F92">
              <w:rPr>
                <w:sz w:val="23"/>
                <w:szCs w:val="23"/>
              </w:rPr>
              <w:t>...</w:t>
            </w:r>
          </w:p>
        </w:tc>
        <w:tc>
          <w:tcPr>
            <w:tcW w:w="1236" w:type="dxa"/>
            <w:noWrap/>
            <w:vAlign w:val="center"/>
            <w:hideMark/>
          </w:tcPr>
          <w:p w14:paraId="0EA9192F" w14:textId="59111205" w:rsidR="00764594" w:rsidRPr="00447F92" w:rsidRDefault="00764594" w:rsidP="00764594">
            <w:pPr>
              <w:pStyle w:val="Tables"/>
              <w:rPr>
                <w:sz w:val="23"/>
                <w:szCs w:val="23"/>
              </w:rPr>
            </w:pPr>
            <w:r w:rsidRPr="00447F92">
              <w:rPr>
                <w:sz w:val="23"/>
                <w:szCs w:val="23"/>
              </w:rPr>
              <w:t>...</w:t>
            </w:r>
          </w:p>
        </w:tc>
        <w:tc>
          <w:tcPr>
            <w:tcW w:w="814" w:type="dxa"/>
            <w:noWrap/>
            <w:vAlign w:val="center"/>
            <w:hideMark/>
          </w:tcPr>
          <w:p w14:paraId="0837C9D0" w14:textId="57C972F2" w:rsidR="00764594" w:rsidRPr="00447F92" w:rsidRDefault="00764594" w:rsidP="00764594">
            <w:pPr>
              <w:pStyle w:val="Tables"/>
              <w:rPr>
                <w:sz w:val="23"/>
                <w:szCs w:val="23"/>
              </w:rPr>
            </w:pPr>
            <w:r w:rsidRPr="00447F92">
              <w:rPr>
                <w:sz w:val="23"/>
                <w:szCs w:val="23"/>
              </w:rPr>
              <w:t>8</w:t>
            </w:r>
            <w:r w:rsidR="00714297">
              <w:rPr>
                <w:sz w:val="23"/>
                <w:szCs w:val="23"/>
              </w:rPr>
              <w:t>,</w:t>
            </w:r>
            <w:r w:rsidRPr="00447F92">
              <w:rPr>
                <w:sz w:val="23"/>
                <w:szCs w:val="23"/>
              </w:rPr>
              <w:t>88</w:t>
            </w:r>
          </w:p>
        </w:tc>
        <w:tc>
          <w:tcPr>
            <w:tcW w:w="1005" w:type="dxa"/>
            <w:noWrap/>
            <w:vAlign w:val="center"/>
            <w:hideMark/>
          </w:tcPr>
          <w:p w14:paraId="5F45EAB5" w14:textId="524FF24F" w:rsidR="00764594" w:rsidRPr="00447F92" w:rsidRDefault="00764594" w:rsidP="00764594">
            <w:pPr>
              <w:pStyle w:val="Tables"/>
              <w:rPr>
                <w:sz w:val="23"/>
                <w:szCs w:val="23"/>
              </w:rPr>
            </w:pPr>
            <w:r w:rsidRPr="00447F92">
              <w:rPr>
                <w:sz w:val="23"/>
                <w:szCs w:val="23"/>
              </w:rPr>
              <w:t>11</w:t>
            </w:r>
            <w:r w:rsidR="00714297">
              <w:rPr>
                <w:sz w:val="23"/>
                <w:szCs w:val="23"/>
              </w:rPr>
              <w:t>,</w:t>
            </w:r>
            <w:r w:rsidRPr="00447F92">
              <w:rPr>
                <w:sz w:val="23"/>
                <w:szCs w:val="23"/>
              </w:rPr>
              <w:t>70</w:t>
            </w:r>
          </w:p>
        </w:tc>
        <w:tc>
          <w:tcPr>
            <w:tcW w:w="1005" w:type="dxa"/>
            <w:noWrap/>
            <w:vAlign w:val="center"/>
            <w:hideMark/>
          </w:tcPr>
          <w:p w14:paraId="1849F9CC" w14:textId="7C75273C" w:rsidR="00764594" w:rsidRPr="00447F92" w:rsidRDefault="00764594" w:rsidP="00764594">
            <w:pPr>
              <w:pStyle w:val="Tables"/>
              <w:rPr>
                <w:sz w:val="23"/>
                <w:szCs w:val="23"/>
              </w:rPr>
            </w:pPr>
            <w:r w:rsidRPr="00447F92">
              <w:rPr>
                <w:sz w:val="23"/>
                <w:szCs w:val="23"/>
              </w:rPr>
              <w:t>...</w:t>
            </w:r>
          </w:p>
        </w:tc>
        <w:tc>
          <w:tcPr>
            <w:tcW w:w="1759" w:type="dxa"/>
            <w:noWrap/>
            <w:vAlign w:val="center"/>
            <w:hideMark/>
          </w:tcPr>
          <w:p w14:paraId="6900CAFE" w14:textId="025FAF61" w:rsidR="00764594" w:rsidRPr="00447F92" w:rsidRDefault="00764594" w:rsidP="00764594">
            <w:pPr>
              <w:pStyle w:val="Tables"/>
              <w:rPr>
                <w:sz w:val="23"/>
                <w:szCs w:val="23"/>
              </w:rPr>
            </w:pPr>
            <w:r w:rsidRPr="00447F92">
              <w:rPr>
                <w:sz w:val="23"/>
                <w:szCs w:val="23"/>
              </w:rPr>
              <w:t>...</w:t>
            </w:r>
          </w:p>
        </w:tc>
        <w:tc>
          <w:tcPr>
            <w:tcW w:w="863" w:type="dxa"/>
            <w:noWrap/>
            <w:vAlign w:val="center"/>
            <w:hideMark/>
          </w:tcPr>
          <w:p w14:paraId="5E7861D7" w14:textId="0E7131E1" w:rsidR="00764594" w:rsidRPr="00447F92" w:rsidRDefault="00764594" w:rsidP="00764594">
            <w:pPr>
              <w:pStyle w:val="Tables"/>
              <w:rPr>
                <w:sz w:val="23"/>
                <w:szCs w:val="23"/>
              </w:rPr>
            </w:pPr>
            <w:r w:rsidRPr="00447F92">
              <w:rPr>
                <w:sz w:val="23"/>
                <w:szCs w:val="23"/>
              </w:rPr>
              <w:t>...</w:t>
            </w:r>
          </w:p>
        </w:tc>
        <w:tc>
          <w:tcPr>
            <w:tcW w:w="814" w:type="dxa"/>
            <w:noWrap/>
            <w:vAlign w:val="center"/>
            <w:hideMark/>
          </w:tcPr>
          <w:p w14:paraId="4B4E60B4" w14:textId="5671287C" w:rsidR="00764594" w:rsidRPr="00447F92" w:rsidRDefault="00764594" w:rsidP="00764594">
            <w:pPr>
              <w:pStyle w:val="Tables"/>
              <w:rPr>
                <w:sz w:val="23"/>
                <w:szCs w:val="23"/>
              </w:rPr>
            </w:pPr>
            <w:r w:rsidRPr="00447F92">
              <w:rPr>
                <w:sz w:val="23"/>
                <w:szCs w:val="23"/>
              </w:rPr>
              <w:t>11</w:t>
            </w:r>
            <w:r w:rsidR="00714297">
              <w:rPr>
                <w:sz w:val="23"/>
                <w:szCs w:val="23"/>
              </w:rPr>
              <w:t>,</w:t>
            </w:r>
            <w:r w:rsidRPr="00447F92">
              <w:rPr>
                <w:sz w:val="23"/>
                <w:szCs w:val="23"/>
              </w:rPr>
              <w:t>70</w:t>
            </w:r>
          </w:p>
        </w:tc>
        <w:tc>
          <w:tcPr>
            <w:tcW w:w="1273" w:type="dxa"/>
            <w:noWrap/>
            <w:vAlign w:val="center"/>
            <w:hideMark/>
          </w:tcPr>
          <w:p w14:paraId="18E0ACF0" w14:textId="7D87B457" w:rsidR="00764594" w:rsidRPr="00447F92" w:rsidRDefault="00764594" w:rsidP="00764594">
            <w:pPr>
              <w:pStyle w:val="Tables"/>
              <w:rPr>
                <w:sz w:val="23"/>
                <w:szCs w:val="23"/>
              </w:rPr>
            </w:pPr>
            <w:r w:rsidRPr="00447F92">
              <w:rPr>
                <w:sz w:val="23"/>
                <w:szCs w:val="23"/>
              </w:rPr>
              <w:t>...</w:t>
            </w:r>
          </w:p>
        </w:tc>
        <w:tc>
          <w:tcPr>
            <w:tcW w:w="878" w:type="dxa"/>
            <w:noWrap/>
            <w:vAlign w:val="center"/>
            <w:hideMark/>
          </w:tcPr>
          <w:p w14:paraId="7E573AF7" w14:textId="61781A41" w:rsidR="00764594" w:rsidRPr="00447F92" w:rsidRDefault="00764594" w:rsidP="00764594">
            <w:pPr>
              <w:pStyle w:val="Tables"/>
              <w:rPr>
                <w:sz w:val="23"/>
                <w:szCs w:val="23"/>
              </w:rPr>
            </w:pPr>
            <w:r w:rsidRPr="00447F92">
              <w:rPr>
                <w:sz w:val="23"/>
                <w:szCs w:val="23"/>
              </w:rPr>
              <w:t>11</w:t>
            </w:r>
            <w:r w:rsidR="00A945CD">
              <w:rPr>
                <w:sz w:val="23"/>
                <w:szCs w:val="23"/>
              </w:rPr>
              <w:t>,</w:t>
            </w:r>
            <w:r w:rsidRPr="00447F92">
              <w:rPr>
                <w:sz w:val="23"/>
                <w:szCs w:val="23"/>
              </w:rPr>
              <w:t>70</w:t>
            </w:r>
          </w:p>
        </w:tc>
      </w:tr>
      <w:tr w:rsidR="00447F92" w:rsidRPr="00447F92" w14:paraId="59D379EC" w14:textId="77777777" w:rsidTr="00447F92">
        <w:trPr>
          <w:trHeight w:val="20"/>
          <w:jc w:val="center"/>
        </w:trPr>
        <w:tc>
          <w:tcPr>
            <w:tcW w:w="2687" w:type="dxa"/>
            <w:noWrap/>
            <w:vAlign w:val="center"/>
            <w:hideMark/>
          </w:tcPr>
          <w:p w14:paraId="472D82CC" w14:textId="77777777" w:rsidR="00764594" w:rsidRPr="00447F92" w:rsidRDefault="00764594" w:rsidP="00764594">
            <w:pPr>
              <w:pStyle w:val="Tables"/>
              <w:rPr>
                <w:sz w:val="23"/>
                <w:szCs w:val="23"/>
              </w:rPr>
            </w:pPr>
            <w:r w:rsidRPr="00447F92">
              <w:rPr>
                <w:sz w:val="23"/>
                <w:szCs w:val="23"/>
              </w:rPr>
              <w:t>West Bengal</w:t>
            </w:r>
          </w:p>
        </w:tc>
        <w:tc>
          <w:tcPr>
            <w:tcW w:w="1005" w:type="dxa"/>
            <w:noWrap/>
            <w:vAlign w:val="center"/>
            <w:hideMark/>
          </w:tcPr>
          <w:p w14:paraId="37FF93D1" w14:textId="532D91DE" w:rsidR="00764594" w:rsidRPr="00447F92" w:rsidRDefault="00764594" w:rsidP="00764594">
            <w:pPr>
              <w:pStyle w:val="Tables"/>
              <w:rPr>
                <w:sz w:val="23"/>
                <w:szCs w:val="23"/>
              </w:rPr>
            </w:pPr>
            <w:r w:rsidRPr="00447F92">
              <w:rPr>
                <w:sz w:val="23"/>
                <w:szCs w:val="23"/>
              </w:rPr>
              <w:t>6</w:t>
            </w:r>
            <w:r w:rsidR="005F18E7">
              <w:rPr>
                <w:sz w:val="23"/>
                <w:szCs w:val="23"/>
              </w:rPr>
              <w:t>,</w:t>
            </w:r>
            <w:r w:rsidRPr="00447F92">
              <w:rPr>
                <w:sz w:val="23"/>
                <w:szCs w:val="23"/>
              </w:rPr>
              <w:t>32</w:t>
            </w:r>
          </w:p>
        </w:tc>
        <w:tc>
          <w:tcPr>
            <w:tcW w:w="1005" w:type="dxa"/>
            <w:noWrap/>
            <w:vAlign w:val="center"/>
            <w:hideMark/>
          </w:tcPr>
          <w:p w14:paraId="62D68C3F" w14:textId="0D2C59CE" w:rsidR="00764594" w:rsidRPr="00447F92" w:rsidRDefault="00764594" w:rsidP="00764594">
            <w:pPr>
              <w:pStyle w:val="Tables"/>
              <w:rPr>
                <w:sz w:val="23"/>
                <w:szCs w:val="23"/>
              </w:rPr>
            </w:pPr>
            <w:r w:rsidRPr="00447F92">
              <w:rPr>
                <w:sz w:val="23"/>
                <w:szCs w:val="23"/>
              </w:rPr>
              <w:t>1</w:t>
            </w:r>
            <w:r w:rsidR="000370DF">
              <w:rPr>
                <w:sz w:val="23"/>
                <w:szCs w:val="23"/>
              </w:rPr>
              <w:t>,</w:t>
            </w:r>
            <w:r w:rsidRPr="00447F92">
              <w:rPr>
                <w:sz w:val="23"/>
                <w:szCs w:val="23"/>
              </w:rPr>
              <w:t>14</w:t>
            </w:r>
          </w:p>
        </w:tc>
        <w:tc>
          <w:tcPr>
            <w:tcW w:w="1386" w:type="dxa"/>
            <w:noWrap/>
            <w:vAlign w:val="center"/>
            <w:hideMark/>
          </w:tcPr>
          <w:p w14:paraId="5BCF2620" w14:textId="682D8AA8" w:rsidR="00764594" w:rsidRPr="00447F92" w:rsidRDefault="00764594" w:rsidP="00764594">
            <w:pPr>
              <w:pStyle w:val="Tables"/>
              <w:rPr>
                <w:sz w:val="23"/>
                <w:szCs w:val="23"/>
              </w:rPr>
            </w:pPr>
            <w:r w:rsidRPr="00447F92">
              <w:rPr>
                <w:sz w:val="23"/>
                <w:szCs w:val="23"/>
              </w:rPr>
              <w:t>...</w:t>
            </w:r>
          </w:p>
        </w:tc>
        <w:tc>
          <w:tcPr>
            <w:tcW w:w="1236" w:type="dxa"/>
            <w:noWrap/>
            <w:vAlign w:val="center"/>
            <w:hideMark/>
          </w:tcPr>
          <w:p w14:paraId="34F68047" w14:textId="02CFA7C6" w:rsidR="00764594" w:rsidRPr="00447F92" w:rsidRDefault="00764594" w:rsidP="00764594">
            <w:pPr>
              <w:pStyle w:val="Tables"/>
              <w:rPr>
                <w:sz w:val="23"/>
                <w:szCs w:val="23"/>
              </w:rPr>
            </w:pPr>
            <w:r w:rsidRPr="00447F92">
              <w:rPr>
                <w:sz w:val="23"/>
                <w:szCs w:val="23"/>
              </w:rPr>
              <w:t>8</w:t>
            </w:r>
          </w:p>
        </w:tc>
        <w:tc>
          <w:tcPr>
            <w:tcW w:w="814" w:type="dxa"/>
            <w:noWrap/>
            <w:vAlign w:val="center"/>
            <w:hideMark/>
          </w:tcPr>
          <w:p w14:paraId="6FA3F7C9" w14:textId="664B9D08" w:rsidR="00764594" w:rsidRPr="00447F92" w:rsidRDefault="00764594" w:rsidP="00764594">
            <w:pPr>
              <w:pStyle w:val="Tables"/>
              <w:rPr>
                <w:sz w:val="23"/>
                <w:szCs w:val="23"/>
              </w:rPr>
            </w:pPr>
            <w:r w:rsidRPr="00447F92">
              <w:rPr>
                <w:sz w:val="23"/>
                <w:szCs w:val="23"/>
              </w:rPr>
              <w:t>7</w:t>
            </w:r>
            <w:r w:rsidR="00714297">
              <w:rPr>
                <w:sz w:val="23"/>
                <w:szCs w:val="23"/>
              </w:rPr>
              <w:t>,</w:t>
            </w:r>
            <w:r w:rsidRPr="00447F92">
              <w:rPr>
                <w:sz w:val="23"/>
                <w:szCs w:val="23"/>
              </w:rPr>
              <w:t>54</w:t>
            </w:r>
          </w:p>
        </w:tc>
        <w:tc>
          <w:tcPr>
            <w:tcW w:w="1005" w:type="dxa"/>
            <w:noWrap/>
            <w:vAlign w:val="center"/>
            <w:hideMark/>
          </w:tcPr>
          <w:p w14:paraId="0065CB9D" w14:textId="600F9B10" w:rsidR="00764594" w:rsidRPr="00447F92" w:rsidRDefault="00764594" w:rsidP="00764594">
            <w:pPr>
              <w:pStyle w:val="Tables"/>
              <w:rPr>
                <w:sz w:val="23"/>
                <w:szCs w:val="23"/>
              </w:rPr>
            </w:pPr>
            <w:r w:rsidRPr="00447F92">
              <w:rPr>
                <w:sz w:val="23"/>
                <w:szCs w:val="23"/>
              </w:rPr>
              <w:t>7</w:t>
            </w:r>
            <w:r w:rsidR="00714297">
              <w:rPr>
                <w:sz w:val="23"/>
                <w:szCs w:val="23"/>
              </w:rPr>
              <w:t>,</w:t>
            </w:r>
            <w:r w:rsidRPr="00447F92">
              <w:rPr>
                <w:sz w:val="23"/>
                <w:szCs w:val="23"/>
              </w:rPr>
              <w:t>30</w:t>
            </w:r>
          </w:p>
        </w:tc>
        <w:tc>
          <w:tcPr>
            <w:tcW w:w="1005" w:type="dxa"/>
            <w:noWrap/>
            <w:vAlign w:val="center"/>
            <w:hideMark/>
          </w:tcPr>
          <w:p w14:paraId="5C410799" w14:textId="560B41B7" w:rsidR="00764594" w:rsidRPr="00447F92" w:rsidRDefault="00764594" w:rsidP="00764594">
            <w:pPr>
              <w:pStyle w:val="Tables"/>
              <w:rPr>
                <w:sz w:val="23"/>
                <w:szCs w:val="23"/>
              </w:rPr>
            </w:pPr>
            <w:r w:rsidRPr="00447F92">
              <w:rPr>
                <w:sz w:val="23"/>
                <w:szCs w:val="23"/>
              </w:rPr>
              <w:t>1</w:t>
            </w:r>
            <w:r w:rsidR="00714297">
              <w:rPr>
                <w:sz w:val="23"/>
                <w:szCs w:val="23"/>
              </w:rPr>
              <w:t>,</w:t>
            </w:r>
            <w:r w:rsidRPr="00447F92">
              <w:rPr>
                <w:sz w:val="23"/>
                <w:szCs w:val="23"/>
              </w:rPr>
              <w:t>50</w:t>
            </w:r>
          </w:p>
        </w:tc>
        <w:tc>
          <w:tcPr>
            <w:tcW w:w="1759" w:type="dxa"/>
            <w:noWrap/>
            <w:vAlign w:val="center"/>
            <w:hideMark/>
          </w:tcPr>
          <w:p w14:paraId="45CD4FF3" w14:textId="4E4C21D5" w:rsidR="00764594" w:rsidRPr="00447F92" w:rsidRDefault="00764594" w:rsidP="00764594">
            <w:pPr>
              <w:pStyle w:val="Tables"/>
              <w:rPr>
                <w:sz w:val="23"/>
                <w:szCs w:val="23"/>
              </w:rPr>
            </w:pPr>
            <w:r w:rsidRPr="00447F92">
              <w:rPr>
                <w:sz w:val="23"/>
                <w:szCs w:val="23"/>
              </w:rPr>
              <w:t>80</w:t>
            </w:r>
          </w:p>
        </w:tc>
        <w:tc>
          <w:tcPr>
            <w:tcW w:w="863" w:type="dxa"/>
            <w:noWrap/>
            <w:vAlign w:val="center"/>
            <w:hideMark/>
          </w:tcPr>
          <w:p w14:paraId="7080FD8F" w14:textId="6E437E4C" w:rsidR="00764594" w:rsidRPr="00447F92" w:rsidRDefault="00764594" w:rsidP="00764594">
            <w:pPr>
              <w:pStyle w:val="Tables"/>
              <w:rPr>
                <w:sz w:val="23"/>
                <w:szCs w:val="23"/>
              </w:rPr>
            </w:pPr>
            <w:r w:rsidRPr="00447F92">
              <w:rPr>
                <w:sz w:val="23"/>
                <w:szCs w:val="23"/>
              </w:rPr>
              <w:t>...</w:t>
            </w:r>
          </w:p>
        </w:tc>
        <w:tc>
          <w:tcPr>
            <w:tcW w:w="814" w:type="dxa"/>
            <w:noWrap/>
            <w:vAlign w:val="center"/>
            <w:hideMark/>
          </w:tcPr>
          <w:p w14:paraId="1F8C4073" w14:textId="4E2AF23E" w:rsidR="00764594" w:rsidRPr="00447F92" w:rsidRDefault="00764594" w:rsidP="00764594">
            <w:pPr>
              <w:pStyle w:val="Tables"/>
              <w:rPr>
                <w:sz w:val="23"/>
                <w:szCs w:val="23"/>
              </w:rPr>
            </w:pPr>
            <w:r w:rsidRPr="00447F92">
              <w:rPr>
                <w:sz w:val="23"/>
                <w:szCs w:val="23"/>
              </w:rPr>
              <w:t>9</w:t>
            </w:r>
            <w:r w:rsidR="00714297">
              <w:rPr>
                <w:sz w:val="23"/>
                <w:szCs w:val="23"/>
              </w:rPr>
              <w:t>,</w:t>
            </w:r>
            <w:r w:rsidRPr="00447F92">
              <w:rPr>
                <w:sz w:val="23"/>
                <w:szCs w:val="23"/>
              </w:rPr>
              <w:t>60</w:t>
            </w:r>
          </w:p>
        </w:tc>
        <w:tc>
          <w:tcPr>
            <w:tcW w:w="1273" w:type="dxa"/>
            <w:noWrap/>
            <w:vAlign w:val="center"/>
            <w:hideMark/>
          </w:tcPr>
          <w:p w14:paraId="62914C06" w14:textId="6B3984F6" w:rsidR="00764594" w:rsidRPr="00447F92" w:rsidRDefault="00764594" w:rsidP="00764594">
            <w:pPr>
              <w:pStyle w:val="Tables"/>
              <w:rPr>
                <w:sz w:val="23"/>
                <w:szCs w:val="23"/>
              </w:rPr>
            </w:pPr>
            <w:r w:rsidRPr="00447F92">
              <w:rPr>
                <w:sz w:val="23"/>
                <w:szCs w:val="23"/>
              </w:rPr>
              <w:t>...</w:t>
            </w:r>
          </w:p>
        </w:tc>
        <w:tc>
          <w:tcPr>
            <w:tcW w:w="878" w:type="dxa"/>
            <w:noWrap/>
            <w:vAlign w:val="center"/>
            <w:hideMark/>
          </w:tcPr>
          <w:p w14:paraId="7B1E709F" w14:textId="579410DE" w:rsidR="00764594" w:rsidRPr="00447F92" w:rsidRDefault="00764594" w:rsidP="00764594">
            <w:pPr>
              <w:pStyle w:val="Tables"/>
              <w:rPr>
                <w:sz w:val="23"/>
                <w:szCs w:val="23"/>
              </w:rPr>
            </w:pPr>
            <w:r w:rsidRPr="00447F92">
              <w:rPr>
                <w:sz w:val="23"/>
                <w:szCs w:val="23"/>
              </w:rPr>
              <w:t>9</w:t>
            </w:r>
            <w:r w:rsidR="00A945CD">
              <w:rPr>
                <w:sz w:val="23"/>
                <w:szCs w:val="23"/>
              </w:rPr>
              <w:t>,</w:t>
            </w:r>
            <w:r w:rsidRPr="00447F92">
              <w:rPr>
                <w:sz w:val="23"/>
                <w:szCs w:val="23"/>
              </w:rPr>
              <w:t>60</w:t>
            </w:r>
          </w:p>
        </w:tc>
      </w:tr>
      <w:tr w:rsidR="00447F92" w:rsidRPr="00447F92" w14:paraId="719FE630" w14:textId="77777777" w:rsidTr="00447F92">
        <w:trPr>
          <w:trHeight w:val="20"/>
          <w:jc w:val="center"/>
        </w:trPr>
        <w:tc>
          <w:tcPr>
            <w:tcW w:w="2687" w:type="dxa"/>
            <w:noWrap/>
            <w:vAlign w:val="center"/>
            <w:hideMark/>
          </w:tcPr>
          <w:p w14:paraId="20F93DCF" w14:textId="77777777" w:rsidR="00764594" w:rsidRPr="00447F92" w:rsidRDefault="00764594" w:rsidP="00764594">
            <w:pPr>
              <w:pStyle w:val="Tables"/>
              <w:rPr>
                <w:sz w:val="23"/>
                <w:szCs w:val="23"/>
              </w:rPr>
            </w:pPr>
            <w:r w:rsidRPr="00447F92">
              <w:rPr>
                <w:sz w:val="23"/>
                <w:szCs w:val="23"/>
              </w:rPr>
              <w:t>TOTAL</w:t>
            </w:r>
          </w:p>
        </w:tc>
        <w:tc>
          <w:tcPr>
            <w:tcW w:w="1005" w:type="dxa"/>
            <w:noWrap/>
            <w:vAlign w:val="center"/>
            <w:hideMark/>
          </w:tcPr>
          <w:p w14:paraId="14C4F755" w14:textId="75CE7A07" w:rsidR="00764594" w:rsidRPr="00447F92" w:rsidRDefault="00764594" w:rsidP="00764594">
            <w:pPr>
              <w:pStyle w:val="Tables"/>
              <w:rPr>
                <w:sz w:val="23"/>
                <w:szCs w:val="23"/>
              </w:rPr>
            </w:pPr>
            <w:r w:rsidRPr="00447F92">
              <w:rPr>
                <w:sz w:val="23"/>
                <w:szCs w:val="23"/>
              </w:rPr>
              <w:t>48</w:t>
            </w:r>
            <w:r w:rsidR="000370DF">
              <w:rPr>
                <w:sz w:val="23"/>
                <w:szCs w:val="23"/>
              </w:rPr>
              <w:t>,</w:t>
            </w:r>
            <w:r w:rsidRPr="00447F92">
              <w:rPr>
                <w:sz w:val="23"/>
                <w:szCs w:val="23"/>
              </w:rPr>
              <w:t>79</w:t>
            </w:r>
          </w:p>
        </w:tc>
        <w:tc>
          <w:tcPr>
            <w:tcW w:w="1005" w:type="dxa"/>
            <w:noWrap/>
            <w:vAlign w:val="center"/>
            <w:hideMark/>
          </w:tcPr>
          <w:p w14:paraId="63513624" w14:textId="797DDFAA" w:rsidR="00764594" w:rsidRPr="00447F92" w:rsidRDefault="00764594" w:rsidP="00764594">
            <w:pPr>
              <w:pStyle w:val="Tables"/>
              <w:rPr>
                <w:sz w:val="23"/>
                <w:szCs w:val="23"/>
              </w:rPr>
            </w:pPr>
            <w:r w:rsidRPr="00447F92">
              <w:rPr>
                <w:sz w:val="23"/>
                <w:szCs w:val="23"/>
              </w:rPr>
              <w:t>2</w:t>
            </w:r>
            <w:r w:rsidR="000370DF">
              <w:rPr>
                <w:sz w:val="23"/>
                <w:szCs w:val="23"/>
              </w:rPr>
              <w:t>,</w:t>
            </w:r>
            <w:r w:rsidRPr="00447F92">
              <w:rPr>
                <w:sz w:val="23"/>
                <w:szCs w:val="23"/>
              </w:rPr>
              <w:t>05</w:t>
            </w:r>
          </w:p>
        </w:tc>
        <w:tc>
          <w:tcPr>
            <w:tcW w:w="1386" w:type="dxa"/>
            <w:noWrap/>
            <w:vAlign w:val="center"/>
            <w:hideMark/>
          </w:tcPr>
          <w:p w14:paraId="3D97011C" w14:textId="6CFA86EC" w:rsidR="00764594" w:rsidRPr="00447F92" w:rsidRDefault="00764594" w:rsidP="00764594">
            <w:pPr>
              <w:pStyle w:val="Tables"/>
              <w:rPr>
                <w:sz w:val="23"/>
                <w:szCs w:val="23"/>
              </w:rPr>
            </w:pPr>
            <w:r w:rsidRPr="00447F92">
              <w:rPr>
                <w:sz w:val="23"/>
                <w:szCs w:val="23"/>
              </w:rPr>
              <w:t>1</w:t>
            </w:r>
            <w:r w:rsidR="000370DF">
              <w:rPr>
                <w:sz w:val="23"/>
                <w:szCs w:val="23"/>
              </w:rPr>
              <w:t>,</w:t>
            </w:r>
            <w:r w:rsidRPr="00447F92">
              <w:rPr>
                <w:sz w:val="23"/>
                <w:szCs w:val="23"/>
              </w:rPr>
              <w:t>54</w:t>
            </w:r>
          </w:p>
        </w:tc>
        <w:tc>
          <w:tcPr>
            <w:tcW w:w="1236" w:type="dxa"/>
            <w:noWrap/>
            <w:vAlign w:val="center"/>
            <w:hideMark/>
          </w:tcPr>
          <w:p w14:paraId="65125694" w14:textId="3F977144" w:rsidR="00764594" w:rsidRPr="00447F92" w:rsidRDefault="00764594" w:rsidP="00764594">
            <w:pPr>
              <w:pStyle w:val="Tables"/>
              <w:rPr>
                <w:sz w:val="23"/>
                <w:szCs w:val="23"/>
              </w:rPr>
            </w:pPr>
            <w:r w:rsidRPr="00447F92">
              <w:rPr>
                <w:sz w:val="23"/>
                <w:szCs w:val="23"/>
              </w:rPr>
              <w:t>12</w:t>
            </w:r>
            <w:r w:rsidR="000370DF">
              <w:rPr>
                <w:sz w:val="23"/>
                <w:szCs w:val="23"/>
              </w:rPr>
              <w:t>,</w:t>
            </w:r>
            <w:r w:rsidRPr="00447F92">
              <w:rPr>
                <w:sz w:val="23"/>
                <w:szCs w:val="23"/>
              </w:rPr>
              <w:t>74</w:t>
            </w:r>
          </w:p>
        </w:tc>
        <w:tc>
          <w:tcPr>
            <w:tcW w:w="814" w:type="dxa"/>
            <w:noWrap/>
            <w:vAlign w:val="center"/>
            <w:hideMark/>
          </w:tcPr>
          <w:p w14:paraId="0B904994" w14:textId="4E78195B" w:rsidR="00764594" w:rsidRPr="00447F92" w:rsidRDefault="00764594" w:rsidP="00764594">
            <w:pPr>
              <w:pStyle w:val="Tables"/>
              <w:rPr>
                <w:sz w:val="23"/>
                <w:szCs w:val="23"/>
              </w:rPr>
            </w:pPr>
            <w:r w:rsidRPr="00447F92">
              <w:rPr>
                <w:sz w:val="23"/>
                <w:szCs w:val="23"/>
              </w:rPr>
              <w:t>65</w:t>
            </w:r>
            <w:r w:rsidR="00714297">
              <w:rPr>
                <w:sz w:val="23"/>
                <w:szCs w:val="23"/>
              </w:rPr>
              <w:t>,</w:t>
            </w:r>
            <w:r w:rsidRPr="00447F92">
              <w:rPr>
                <w:sz w:val="23"/>
                <w:szCs w:val="23"/>
              </w:rPr>
              <w:t>12</w:t>
            </w:r>
          </w:p>
        </w:tc>
        <w:tc>
          <w:tcPr>
            <w:tcW w:w="1005" w:type="dxa"/>
            <w:noWrap/>
            <w:vAlign w:val="center"/>
            <w:hideMark/>
          </w:tcPr>
          <w:p w14:paraId="39637620" w14:textId="4A0FAA76" w:rsidR="00764594" w:rsidRPr="00447F92" w:rsidRDefault="00764594" w:rsidP="00764594">
            <w:pPr>
              <w:pStyle w:val="Tables"/>
              <w:rPr>
                <w:sz w:val="23"/>
                <w:szCs w:val="23"/>
              </w:rPr>
            </w:pPr>
            <w:r w:rsidRPr="00447F92">
              <w:rPr>
                <w:sz w:val="23"/>
                <w:szCs w:val="23"/>
              </w:rPr>
              <w:t>71</w:t>
            </w:r>
            <w:r w:rsidR="00714297">
              <w:rPr>
                <w:sz w:val="23"/>
                <w:szCs w:val="23"/>
              </w:rPr>
              <w:t>,</w:t>
            </w:r>
            <w:r w:rsidRPr="00447F92">
              <w:rPr>
                <w:sz w:val="23"/>
                <w:szCs w:val="23"/>
              </w:rPr>
              <w:t>50</w:t>
            </w:r>
          </w:p>
        </w:tc>
        <w:tc>
          <w:tcPr>
            <w:tcW w:w="1005" w:type="dxa"/>
            <w:noWrap/>
            <w:vAlign w:val="center"/>
            <w:hideMark/>
          </w:tcPr>
          <w:p w14:paraId="37B78EC7" w14:textId="08E4E2F3" w:rsidR="00764594" w:rsidRPr="00447F92" w:rsidRDefault="00764594" w:rsidP="00764594">
            <w:pPr>
              <w:pStyle w:val="Tables"/>
              <w:rPr>
                <w:sz w:val="23"/>
                <w:szCs w:val="23"/>
              </w:rPr>
            </w:pPr>
            <w:r w:rsidRPr="00447F92">
              <w:rPr>
                <w:sz w:val="23"/>
                <w:szCs w:val="23"/>
              </w:rPr>
              <w:t>3</w:t>
            </w:r>
            <w:r w:rsidR="00714297">
              <w:rPr>
                <w:sz w:val="23"/>
                <w:szCs w:val="23"/>
              </w:rPr>
              <w:t>,</w:t>
            </w:r>
            <w:r w:rsidRPr="00447F92">
              <w:rPr>
                <w:sz w:val="23"/>
                <w:szCs w:val="23"/>
              </w:rPr>
              <w:t>15</w:t>
            </w:r>
          </w:p>
        </w:tc>
        <w:tc>
          <w:tcPr>
            <w:tcW w:w="1759" w:type="dxa"/>
            <w:noWrap/>
            <w:vAlign w:val="center"/>
            <w:hideMark/>
          </w:tcPr>
          <w:p w14:paraId="17ED4A60" w14:textId="78562B2F" w:rsidR="00764594" w:rsidRPr="00447F92" w:rsidRDefault="00764594" w:rsidP="00764594">
            <w:pPr>
              <w:pStyle w:val="Tables"/>
              <w:rPr>
                <w:sz w:val="23"/>
                <w:szCs w:val="23"/>
              </w:rPr>
            </w:pPr>
            <w:r w:rsidRPr="00447F92">
              <w:rPr>
                <w:sz w:val="23"/>
                <w:szCs w:val="23"/>
              </w:rPr>
              <w:t>5</w:t>
            </w:r>
            <w:r w:rsidR="00714297">
              <w:rPr>
                <w:sz w:val="23"/>
                <w:szCs w:val="23"/>
              </w:rPr>
              <w:t>,</w:t>
            </w:r>
            <w:r w:rsidRPr="00447F92">
              <w:rPr>
                <w:sz w:val="23"/>
                <w:szCs w:val="23"/>
              </w:rPr>
              <w:t>05</w:t>
            </w:r>
          </w:p>
        </w:tc>
        <w:tc>
          <w:tcPr>
            <w:tcW w:w="863" w:type="dxa"/>
            <w:noWrap/>
            <w:vAlign w:val="center"/>
            <w:hideMark/>
          </w:tcPr>
          <w:p w14:paraId="054B15CD" w14:textId="0D17DA3A" w:rsidR="00764594" w:rsidRPr="00447F92" w:rsidRDefault="00764594" w:rsidP="00764594">
            <w:pPr>
              <w:pStyle w:val="Tables"/>
              <w:rPr>
                <w:sz w:val="23"/>
                <w:szCs w:val="23"/>
              </w:rPr>
            </w:pPr>
            <w:r w:rsidRPr="00447F92">
              <w:rPr>
                <w:sz w:val="23"/>
                <w:szCs w:val="23"/>
              </w:rPr>
              <w:t>4</w:t>
            </w:r>
            <w:r w:rsidR="00714297">
              <w:rPr>
                <w:sz w:val="23"/>
                <w:szCs w:val="23"/>
              </w:rPr>
              <w:t>,</w:t>
            </w:r>
            <w:r w:rsidRPr="00447F92">
              <w:rPr>
                <w:sz w:val="23"/>
                <w:szCs w:val="23"/>
              </w:rPr>
              <w:t>43</w:t>
            </w:r>
          </w:p>
        </w:tc>
        <w:tc>
          <w:tcPr>
            <w:tcW w:w="814" w:type="dxa"/>
            <w:noWrap/>
            <w:vAlign w:val="center"/>
            <w:hideMark/>
          </w:tcPr>
          <w:p w14:paraId="2C90138B" w14:textId="5CDD2318" w:rsidR="00764594" w:rsidRPr="00447F92" w:rsidRDefault="00764594" w:rsidP="00764594">
            <w:pPr>
              <w:pStyle w:val="Tables"/>
              <w:rPr>
                <w:sz w:val="23"/>
                <w:szCs w:val="23"/>
              </w:rPr>
            </w:pPr>
            <w:r w:rsidRPr="00447F92">
              <w:rPr>
                <w:sz w:val="23"/>
                <w:szCs w:val="23"/>
              </w:rPr>
              <w:t>84</w:t>
            </w:r>
            <w:r w:rsidR="00714297">
              <w:rPr>
                <w:sz w:val="23"/>
                <w:szCs w:val="23"/>
              </w:rPr>
              <w:t>,</w:t>
            </w:r>
            <w:r w:rsidRPr="00447F92">
              <w:rPr>
                <w:sz w:val="23"/>
                <w:szCs w:val="23"/>
              </w:rPr>
              <w:t>13</w:t>
            </w:r>
          </w:p>
        </w:tc>
        <w:tc>
          <w:tcPr>
            <w:tcW w:w="1273" w:type="dxa"/>
            <w:noWrap/>
            <w:vAlign w:val="center"/>
            <w:hideMark/>
          </w:tcPr>
          <w:p w14:paraId="2E4A8C92" w14:textId="2A9842BC" w:rsidR="00764594" w:rsidRPr="00447F92" w:rsidRDefault="00764594" w:rsidP="00764594">
            <w:pPr>
              <w:pStyle w:val="Tables"/>
              <w:rPr>
                <w:sz w:val="23"/>
                <w:szCs w:val="23"/>
              </w:rPr>
            </w:pPr>
            <w:r w:rsidRPr="00447F92">
              <w:rPr>
                <w:sz w:val="23"/>
                <w:szCs w:val="23"/>
              </w:rPr>
              <w:t>1</w:t>
            </w:r>
            <w:r w:rsidR="00714297">
              <w:rPr>
                <w:sz w:val="23"/>
                <w:szCs w:val="23"/>
              </w:rPr>
              <w:t>,</w:t>
            </w:r>
            <w:r w:rsidRPr="00447F92">
              <w:rPr>
                <w:sz w:val="23"/>
                <w:szCs w:val="23"/>
              </w:rPr>
              <w:t>80</w:t>
            </w:r>
          </w:p>
        </w:tc>
        <w:tc>
          <w:tcPr>
            <w:tcW w:w="878" w:type="dxa"/>
            <w:noWrap/>
            <w:vAlign w:val="center"/>
            <w:hideMark/>
          </w:tcPr>
          <w:p w14:paraId="7CFF850B" w14:textId="5AD19020" w:rsidR="00764594" w:rsidRPr="00447F92" w:rsidRDefault="00764594" w:rsidP="00764594">
            <w:pPr>
              <w:pStyle w:val="Tables"/>
              <w:rPr>
                <w:sz w:val="23"/>
                <w:szCs w:val="23"/>
              </w:rPr>
            </w:pPr>
            <w:r w:rsidRPr="00447F92">
              <w:rPr>
                <w:sz w:val="23"/>
                <w:szCs w:val="23"/>
              </w:rPr>
              <w:t>85</w:t>
            </w:r>
            <w:r w:rsidR="00A945CD">
              <w:rPr>
                <w:sz w:val="23"/>
                <w:szCs w:val="23"/>
              </w:rPr>
              <w:t>,</w:t>
            </w:r>
            <w:r w:rsidRPr="00447F92">
              <w:rPr>
                <w:sz w:val="23"/>
                <w:szCs w:val="23"/>
              </w:rPr>
              <w:t>93</w:t>
            </w:r>
          </w:p>
        </w:tc>
      </w:tr>
    </w:tbl>
    <w:p w14:paraId="48187159" w14:textId="09EB9677" w:rsidR="0082776B" w:rsidRPr="0082776B" w:rsidRDefault="0082776B" w:rsidP="00447F92">
      <w:pPr>
        <w:pStyle w:val="Sources"/>
        <w:ind w:left="-851" w:right="-784"/>
      </w:pPr>
      <w:r w:rsidRPr="0082776B">
        <w:rPr>
          <w:rFonts w:eastAsiaTheme="majorEastAsia"/>
        </w:rPr>
        <w:t>As the share of divisible taxes of these States is expected to be less than the guarantee</w:t>
      </w:r>
      <w:r>
        <w:t xml:space="preserve">d </w:t>
      </w:r>
      <w:r w:rsidRPr="0082776B">
        <w:t>“Revenue Gap Grants” the States will receive the same. The balance of these grants</w:t>
      </w:r>
      <w:r w:rsidRPr="0082776B">
        <w:rPr>
          <w:rFonts w:eastAsiaTheme="majorEastAsia"/>
        </w:rPr>
        <w:t xml:space="preserve"> after allowing for the share of divisible taxes in abatement column.</w:t>
      </w:r>
    </w:p>
    <w:p w14:paraId="380106F6" w14:textId="261D12E1" w:rsidR="0082776B" w:rsidRDefault="0082776B" w:rsidP="00447F92">
      <w:pPr>
        <w:pStyle w:val="Sources"/>
        <w:ind w:left="-851" w:right="-784"/>
      </w:pPr>
      <w:r w:rsidRPr="0082776B">
        <w:rPr>
          <w:rFonts w:eastAsiaTheme="majorEastAsia"/>
          <w:b/>
          <w:bCs/>
        </w:rPr>
        <w:t>NOTE:</w:t>
      </w:r>
      <w:r w:rsidRPr="0082776B">
        <w:t xml:space="preserve"> 1. Assam and the other States with Scheduled Tribes will in addition receive grants under the two provisos to Article 275 (1) of the Constitution.</w:t>
      </w:r>
      <w:r>
        <w:t xml:space="preserve"> Assam will also receive Rs. 40 lakhs under sub clause (a) of the Second proviso to Article 275 (1). </w:t>
      </w:r>
    </w:p>
    <w:p w14:paraId="1BBEEE89" w14:textId="00E48D8C" w:rsidR="0082776B" w:rsidRDefault="0082776B" w:rsidP="00447F92">
      <w:pPr>
        <w:pStyle w:val="Sources"/>
        <w:ind w:left="-851" w:right="-784"/>
      </w:pPr>
      <w:r>
        <w:t xml:space="preserve">2. In addition to the share of revenues </w:t>
      </w:r>
      <w:r w:rsidRPr="0082776B">
        <w:t>under the Commission’s scheme the States will also receive the outstanding arrears o</w:t>
      </w:r>
      <w:r w:rsidR="00DE3706">
        <w:t xml:space="preserve">f there Share  of income-tax </w:t>
      </w:r>
      <w:r w:rsidRPr="0082776B">
        <w:t>respect of the</w:t>
      </w:r>
      <w:r>
        <w:t xml:space="preserve"> period before the 1</w:t>
      </w:r>
      <w:r w:rsidRPr="0082776B">
        <w:rPr>
          <w:vertAlign w:val="superscript"/>
        </w:rPr>
        <w:t>st</w:t>
      </w:r>
      <w:r>
        <w:t xml:space="preserve"> April 1952. The budget for 1952-53 assumes that these arrears</w:t>
      </w:r>
      <w:r w:rsidRPr="0082776B">
        <w:t xml:space="preserve"> will be Rs. 5 crore and, if the a</w:t>
      </w:r>
      <w:r w:rsidR="00995040">
        <w:t xml:space="preserve">ctual </w:t>
      </w:r>
      <w:r w:rsidRPr="0082776B">
        <w:t xml:space="preserve"> exceed </w:t>
      </w:r>
      <w:r w:rsidR="0086642A">
        <w:t xml:space="preserve">is of </w:t>
      </w:r>
      <w:r w:rsidRPr="0082776B">
        <w:t>this order, Madras will receive</w:t>
      </w:r>
      <w:r>
        <w:t xml:space="preserve"> </w:t>
      </w:r>
      <w:r w:rsidRPr="0082776B">
        <w:rPr>
          <w:rFonts w:eastAsiaTheme="majorEastAsia"/>
        </w:rPr>
        <w:t>Rs. 87 lakhs, Bombay Rs. 10</w:t>
      </w:r>
      <w:r w:rsidR="0086642A">
        <w:rPr>
          <w:rFonts w:eastAsiaTheme="majorEastAsia"/>
        </w:rPr>
        <w:t>5</w:t>
      </w:r>
      <w:r w:rsidRPr="0082776B">
        <w:rPr>
          <w:rFonts w:eastAsiaTheme="majorEastAsia"/>
        </w:rPr>
        <w:t xml:space="preserve"> lakhs, West Bengal Rs. 68 lakhs, Uttar Pradesh</w:t>
      </w:r>
      <w:r w:rsidR="00447F92">
        <w:t xml:space="preserve"> </w:t>
      </w:r>
      <w:r w:rsidR="00447F92" w:rsidRPr="0082776B">
        <w:t xml:space="preserve">Rs. 90 lakhs, Punjab Rs. 27 lakhs, Bihar Rs. </w:t>
      </w:r>
      <w:r w:rsidR="0086642A">
        <w:t>6</w:t>
      </w:r>
      <w:r w:rsidR="00447F92" w:rsidRPr="0082776B">
        <w:t>3 lakhs, Madhya Pradesh Rs. 30 lakhs, Assam</w:t>
      </w:r>
      <w:r w:rsidR="00447F92">
        <w:t xml:space="preserve"> </w:t>
      </w:r>
      <w:r w:rsidR="00447F92" w:rsidRPr="0082776B">
        <w:rPr>
          <w:rFonts w:eastAsiaTheme="majorEastAsia"/>
        </w:rPr>
        <w:t xml:space="preserve">Rs. </w:t>
      </w:r>
      <w:r w:rsidR="00447F92">
        <w:t>1</w:t>
      </w:r>
      <w:r w:rsidR="00447F92" w:rsidRPr="0082776B">
        <w:rPr>
          <w:rFonts w:eastAsiaTheme="majorEastAsia"/>
        </w:rPr>
        <w:t>5 lakhs, Orissa Rs. 15 lakhs.</w:t>
      </w:r>
    </w:p>
    <w:p w14:paraId="3102E7AE" w14:textId="77777777" w:rsidR="00447F92" w:rsidRPr="00015DBB" w:rsidRDefault="00447F92" w:rsidP="00447F92">
      <w:pPr>
        <w:pStyle w:val="Sources"/>
        <w:ind w:left="-851" w:right="-784"/>
      </w:pPr>
      <w:r w:rsidRPr="00015DBB">
        <w:t xml:space="preserve">**Discontinued from 1951-52. The grants-in-aid to Punjab were </w:t>
      </w:r>
      <w:r w:rsidRPr="0086642A">
        <w:rPr>
          <w:i/>
          <w:iCs/>
        </w:rPr>
        <w:t>ad hoc</w:t>
      </w:r>
      <w:r w:rsidRPr="00015DBB">
        <w:t>.</w:t>
      </w:r>
    </w:p>
    <w:p w14:paraId="1E72DDB9" w14:textId="77777777" w:rsidR="0082776B" w:rsidRDefault="0082776B" w:rsidP="00015DBB">
      <w:pPr>
        <w:spacing w:after="0" w:line="420" w:lineRule="exact"/>
        <w:jc w:val="both"/>
        <w:rPr>
          <w:rFonts w:ascii="Times New Roman" w:hAnsi="Times New Roman" w:cs="Times New Roman"/>
          <w:sz w:val="28"/>
          <w:szCs w:val="28"/>
        </w:rPr>
        <w:sectPr w:rsidR="0082776B" w:rsidSect="00764594">
          <w:pgSz w:w="16838" w:h="11906" w:orient="landscape" w:code="9"/>
          <w:pgMar w:top="1134" w:right="1440" w:bottom="1276" w:left="1440" w:header="709" w:footer="709" w:gutter="0"/>
          <w:cols w:space="708"/>
          <w:docGrid w:linePitch="360"/>
        </w:sectPr>
      </w:pPr>
    </w:p>
    <w:p w14:paraId="59EFCFD8" w14:textId="60C72A76" w:rsidR="00457EF1" w:rsidRPr="0003452E" w:rsidRDefault="00457EF1" w:rsidP="00A2265D">
      <w:pPr>
        <w:pStyle w:val="Heading1"/>
        <w:spacing w:before="0"/>
      </w:pPr>
      <w:bookmarkStart w:id="11" w:name="_Toc221007120"/>
      <w:r w:rsidRPr="0003452E">
        <w:lastRenderedPageBreak/>
        <w:t>CHAPTER X</w:t>
      </w:r>
      <w:r w:rsidR="00A2265D">
        <w:t xml:space="preserve"> </w:t>
      </w:r>
      <w:r w:rsidR="00A2265D">
        <w:br/>
      </w:r>
      <w:r w:rsidRPr="0003452E">
        <w:t>MISCELLANEOUS</w:t>
      </w:r>
      <w:bookmarkEnd w:id="11"/>
    </w:p>
    <w:p w14:paraId="4D75EDEA" w14:textId="77777777" w:rsidR="00457EF1" w:rsidRPr="00A2265D" w:rsidRDefault="00457EF1" w:rsidP="00A2265D">
      <w:pPr>
        <w:pStyle w:val="ListParagraph"/>
        <w:numPr>
          <w:ilvl w:val="0"/>
          <w:numId w:val="38"/>
        </w:numPr>
        <w:shd w:val="clear" w:color="auto" w:fill="FFFFFF"/>
        <w:spacing w:after="0" w:line="360" w:lineRule="exact"/>
        <w:ind w:left="0" w:firstLine="556"/>
        <w:jc w:val="both"/>
        <w:rPr>
          <w:rFonts w:ascii="Times New Roman" w:hAnsi="Times New Roman" w:cs="Times New Roman"/>
          <w:sz w:val="28"/>
          <w:szCs w:val="28"/>
        </w:rPr>
      </w:pPr>
      <w:r w:rsidRPr="00A2265D">
        <w:rPr>
          <w:rFonts w:ascii="Times New Roman" w:hAnsi="Times New Roman" w:cs="Times New Roman"/>
          <w:sz w:val="28"/>
          <w:szCs w:val="28"/>
        </w:rPr>
        <w:t>Our experience as the first Commission has impressed us with the need for a small organisation being set up, preferably as part of the secretariat of the President, to make a continuous study of the finances of the State Governments so that whenever the Commission are constituted in the future, they will have sufficient material available to them at the very commencement of their enquiry. This organisation should work in close liaison with the Finance Ministry and should make a study of the budgets of the State Governments, the changes in their finances from time to time, the rates of taxes in operation, the effects of the further measures of taxation undertaken by them, the working of their commercial enterprises and their effect on the State finances and cognate matters. A study should be made of the various reports on the administration of State Governments, the reports of the proceedings of the State Legislatures and the reports of their Public Accounts and Estimates Committees, and points of interest affecting the State finances noted. The organisation should also obtain direct from the State Governments periodical information in regard to the progress of various social services such as education, medical and public health. Current data about the number of schools, the number of children attending schools, the number of hospitals and dispensaries, the number of beds provided, the number of patients treated and the dispersal of facilities, both medical and educational, in rural as distinct from urban areas, should be obtained periodically and tabulated. Information should be collected regarding the progress of local self-government in each State, the resources raised by local bodies, their dependence on the State Government for their finance and the extent to which the local bodies provide services in the field of education, public health and other social services. Information about the facilities provided by non-government agencies in these fields should also be obtained. Data about the development and maintenance of communications should be obtained periodically from the State Governments. Annual returns may be prescribed so that there is a continuous flow of information for tabulation and study. The results of these studies should be embodied in periodical papers, copies of which should be made available to the Commission. We suggest that the question of setting up this organisation be taken up immediately and the details worked out in consultation with the appropriate Ministries.</w:t>
      </w:r>
    </w:p>
    <w:p w14:paraId="70C9BBEE" w14:textId="5FF69F82" w:rsidR="00457EF1" w:rsidRPr="00A2265D" w:rsidRDefault="00457EF1" w:rsidP="00A2265D">
      <w:pPr>
        <w:pStyle w:val="ListParagraph"/>
        <w:numPr>
          <w:ilvl w:val="0"/>
          <w:numId w:val="38"/>
        </w:numPr>
        <w:shd w:val="clear" w:color="auto" w:fill="FFFFFF"/>
        <w:spacing w:after="0" w:line="360" w:lineRule="exact"/>
        <w:ind w:left="0" w:firstLine="556"/>
        <w:jc w:val="both"/>
        <w:rPr>
          <w:rFonts w:ascii="Times New Roman" w:hAnsi="Times New Roman" w:cs="Times New Roman"/>
          <w:sz w:val="28"/>
          <w:szCs w:val="28"/>
        </w:rPr>
      </w:pPr>
      <w:r w:rsidRPr="00A2265D">
        <w:rPr>
          <w:rFonts w:ascii="Times New Roman" w:hAnsi="Times New Roman" w:cs="Times New Roman"/>
          <w:sz w:val="28"/>
          <w:szCs w:val="28"/>
        </w:rPr>
        <w:t>We would also like to draw attention to the need for improving the available statistics in regard to income-tax. At present, apart from the collection figures available in the accounts by broad categories, there are no other statistics except those relating to assessments published by the Central Board of Revenue. The latter</w:t>
      </w:r>
      <w:r w:rsidR="00A2265D">
        <w:rPr>
          <w:rFonts w:ascii="Times New Roman" w:hAnsi="Times New Roman" w:cs="Times New Roman"/>
          <w:sz w:val="28"/>
          <w:szCs w:val="28"/>
        </w:rPr>
        <w:t xml:space="preserve"> </w:t>
      </w:r>
      <w:r w:rsidRPr="00A2265D">
        <w:rPr>
          <w:rFonts w:ascii="Times New Roman" w:hAnsi="Times New Roman" w:cs="Times New Roman"/>
          <w:sz w:val="28"/>
          <w:szCs w:val="28"/>
        </w:rPr>
        <w:t xml:space="preserve">contain a volume of useful information but these relate only to assessments and </w:t>
      </w:r>
      <w:r w:rsidRPr="00A2265D">
        <w:rPr>
          <w:rFonts w:ascii="Times New Roman" w:hAnsi="Times New Roman" w:cs="Times New Roman"/>
          <w:sz w:val="28"/>
          <w:szCs w:val="28"/>
        </w:rPr>
        <w:lastRenderedPageBreak/>
        <w:t>not to actual collections. We suggest that the question of compiling statistics with similar details but related to the actual collections should be considered. Information should also be readily available State-wise in regard to the collections of personal income-tax. In respect of assessees having an income of over Rs. 25,000 a year, we suggest, moreover, that information under the heads suggested in the statement given in Appendix X should be collected and be kept for reference.</w:t>
      </w:r>
    </w:p>
    <w:p w14:paraId="063B7A6C" w14:textId="7C92FE9B" w:rsidR="00457EF1" w:rsidRPr="00A2265D" w:rsidRDefault="00457EF1" w:rsidP="00A2265D">
      <w:pPr>
        <w:pStyle w:val="ListParagraph"/>
        <w:numPr>
          <w:ilvl w:val="0"/>
          <w:numId w:val="38"/>
        </w:numPr>
        <w:shd w:val="clear" w:color="auto" w:fill="FFFFFF"/>
        <w:spacing w:after="0" w:line="360" w:lineRule="exact"/>
        <w:ind w:left="0" w:firstLine="556"/>
        <w:jc w:val="both"/>
        <w:rPr>
          <w:rFonts w:ascii="Times New Roman" w:hAnsi="Times New Roman" w:cs="Times New Roman"/>
          <w:sz w:val="28"/>
          <w:szCs w:val="28"/>
        </w:rPr>
      </w:pPr>
      <w:r w:rsidRPr="00A2265D">
        <w:rPr>
          <w:rFonts w:ascii="Times New Roman" w:hAnsi="Times New Roman" w:cs="Times New Roman"/>
          <w:sz w:val="28"/>
          <w:szCs w:val="28"/>
        </w:rPr>
        <w:t>A doubt was expressed to us whether, in view of Section 54(2) of the Indian Income-tax Act, Commissioners of Income-tax can supply us with particulars relating to the income of assessees and the tax assessed thereon. It is necessary that the Finance Commission should have whatever information they may consider necessary for the proper discharge of their duties and we suggest that this doubt be removed by amending the Finance Commission (Miscellaneous Provisions) Act, 1951, so as to include a provision similar in terms to that in Section 6(1) of the Taxation on Income (Investigation Commission) Act, 1947.</w:t>
      </w:r>
    </w:p>
    <w:p w14:paraId="32D43682" w14:textId="77777777" w:rsidR="00457EF1" w:rsidRPr="00A2265D" w:rsidRDefault="00457EF1" w:rsidP="00A2265D">
      <w:pPr>
        <w:spacing w:after="0" w:line="360" w:lineRule="exact"/>
        <w:jc w:val="center"/>
        <w:rPr>
          <w:rFonts w:ascii="Times New Roman" w:hAnsi="Times New Roman" w:cs="Times New Roman"/>
          <w:sz w:val="28"/>
          <w:szCs w:val="28"/>
        </w:rPr>
      </w:pPr>
      <w:r w:rsidRPr="00A2265D">
        <w:rPr>
          <w:rFonts w:ascii="Times New Roman" w:hAnsi="Times New Roman" w:cs="Times New Roman"/>
          <w:sz w:val="28"/>
          <w:szCs w:val="28"/>
        </w:rPr>
        <w:t>ACKNOWLEDGMENTS</w:t>
      </w:r>
    </w:p>
    <w:p w14:paraId="123BF8B0" w14:textId="37450416" w:rsidR="00457EF1" w:rsidRPr="00A2265D" w:rsidRDefault="00457EF1" w:rsidP="00A2265D">
      <w:pPr>
        <w:pStyle w:val="ListParagraph"/>
        <w:numPr>
          <w:ilvl w:val="0"/>
          <w:numId w:val="38"/>
        </w:numPr>
        <w:shd w:val="clear" w:color="auto" w:fill="FFFFFF"/>
        <w:spacing w:after="0" w:line="360" w:lineRule="exact"/>
        <w:ind w:left="0" w:firstLine="556"/>
        <w:jc w:val="both"/>
        <w:rPr>
          <w:rFonts w:ascii="Times New Roman" w:hAnsi="Times New Roman" w:cs="Times New Roman"/>
          <w:sz w:val="28"/>
          <w:szCs w:val="28"/>
        </w:rPr>
      </w:pPr>
      <w:r w:rsidRPr="00A2265D">
        <w:rPr>
          <w:rFonts w:ascii="Times New Roman" w:hAnsi="Times New Roman" w:cs="Times New Roman"/>
          <w:sz w:val="28"/>
          <w:szCs w:val="28"/>
        </w:rPr>
        <w:t>We should like to place on record our appreciation of the help given to us by our staff. Among these we would particularly make mention of our Assistant Secretary, Dr. N. A. Sarma, who facilitated our work considerably by the zeal and ability which he brought to bear on his duties. The Research Officer, Shri B. S. Mahajan, and our Superintendent Shri A. G. Krishnan, worked assiduously and willingly and bore more than their usual share of the burden. We are greatly indebted to all of them for the ready help which they, along with the rest of the staff, rendered to us.</w:t>
      </w:r>
    </w:p>
    <w:p w14:paraId="21C03B26" w14:textId="77777777" w:rsidR="00457EF1" w:rsidRPr="00A2265D" w:rsidRDefault="00457EF1" w:rsidP="00A2265D">
      <w:pPr>
        <w:pStyle w:val="ListParagraph"/>
        <w:numPr>
          <w:ilvl w:val="0"/>
          <w:numId w:val="38"/>
        </w:numPr>
        <w:shd w:val="clear" w:color="auto" w:fill="FFFFFF"/>
        <w:spacing w:after="0" w:line="360" w:lineRule="exact"/>
        <w:ind w:left="0" w:firstLine="556"/>
        <w:jc w:val="both"/>
        <w:rPr>
          <w:rFonts w:ascii="Times New Roman" w:hAnsi="Times New Roman" w:cs="Times New Roman"/>
          <w:sz w:val="28"/>
          <w:szCs w:val="28"/>
        </w:rPr>
      </w:pPr>
      <w:r w:rsidRPr="00A2265D">
        <w:rPr>
          <w:rFonts w:ascii="Times New Roman" w:hAnsi="Times New Roman" w:cs="Times New Roman"/>
          <w:sz w:val="28"/>
          <w:szCs w:val="28"/>
        </w:rPr>
        <w:t>In conclusion, the rest of us on the Commission desire to express our high sense of appreciation of the valuable services rendered by Shri Rangachari as Member-Secretary. His long and intimate acquaintance with problems of Central and State finances, and particularly his association with the Expert Committee on the financial provisions of the Union Constitution, has equipped him with an uncommon measure of specialised knowledge which was of great assistance to his colleagues.</w:t>
      </w:r>
    </w:p>
    <w:p w14:paraId="08E24A31" w14:textId="77777777" w:rsidR="00A2265D" w:rsidRDefault="00A2265D" w:rsidP="00A2265D">
      <w:pPr>
        <w:spacing w:after="0" w:line="360" w:lineRule="exact"/>
        <w:ind w:left="5895"/>
        <w:rPr>
          <w:rFonts w:ascii="Times New Roman" w:hAnsi="Times New Roman" w:cs="Times New Roman"/>
          <w:b/>
          <w:bCs/>
          <w:sz w:val="28"/>
          <w:szCs w:val="28"/>
        </w:rPr>
      </w:pPr>
    </w:p>
    <w:p w14:paraId="2E26CDBF" w14:textId="77777777" w:rsidR="00A2265D" w:rsidRDefault="00A2265D" w:rsidP="00A2265D">
      <w:pPr>
        <w:spacing w:after="0" w:line="360" w:lineRule="exact"/>
        <w:ind w:left="5895"/>
        <w:rPr>
          <w:rFonts w:ascii="Times New Roman" w:hAnsi="Times New Roman" w:cs="Times New Roman"/>
          <w:b/>
          <w:bCs/>
          <w:sz w:val="28"/>
          <w:szCs w:val="28"/>
        </w:rPr>
      </w:pPr>
    </w:p>
    <w:p w14:paraId="74D87928" w14:textId="77777777" w:rsidR="00A2265D" w:rsidRDefault="00A2265D" w:rsidP="00A2265D">
      <w:pPr>
        <w:spacing w:after="0" w:line="360" w:lineRule="exact"/>
        <w:ind w:left="5895"/>
        <w:rPr>
          <w:rFonts w:ascii="Times New Roman" w:hAnsi="Times New Roman" w:cs="Times New Roman"/>
          <w:b/>
          <w:bCs/>
          <w:sz w:val="28"/>
          <w:szCs w:val="28"/>
        </w:rPr>
      </w:pPr>
    </w:p>
    <w:p w14:paraId="65718FAF" w14:textId="2FACD8E9" w:rsidR="00A2265D" w:rsidRDefault="00F52DB5" w:rsidP="00A2265D">
      <w:pPr>
        <w:spacing w:after="0" w:line="360" w:lineRule="exact"/>
        <w:ind w:left="5895"/>
        <w:rPr>
          <w:rFonts w:ascii="Times New Roman" w:hAnsi="Times New Roman" w:cs="Times New Roman"/>
          <w:b/>
          <w:bCs/>
          <w:sz w:val="28"/>
          <w:szCs w:val="28"/>
        </w:rPr>
      </w:pPr>
      <w:r w:rsidRPr="00A2265D">
        <w:rPr>
          <w:rFonts w:ascii="Times New Roman" w:hAnsi="Times New Roman" w:cs="Times New Roman"/>
          <w:b/>
          <w:bCs/>
          <w:sz w:val="28"/>
          <w:szCs w:val="28"/>
        </w:rPr>
        <w:t>K. C. NEOGY                                                                                                                         V. L. MEHTA</w:t>
      </w:r>
    </w:p>
    <w:p w14:paraId="6C0E1872" w14:textId="687B1F92" w:rsidR="00F52DB5" w:rsidRPr="00A2265D" w:rsidRDefault="00F52DB5" w:rsidP="00A2265D">
      <w:pPr>
        <w:spacing w:after="0" w:line="360" w:lineRule="exact"/>
        <w:ind w:left="360"/>
        <w:rPr>
          <w:rFonts w:ascii="Times New Roman" w:hAnsi="Times New Roman" w:cs="Times New Roman"/>
          <w:b/>
          <w:bCs/>
          <w:sz w:val="28"/>
          <w:szCs w:val="28"/>
        </w:rPr>
      </w:pPr>
      <w:r w:rsidRPr="00A2265D">
        <w:rPr>
          <w:rFonts w:ascii="Times New Roman" w:hAnsi="Times New Roman" w:cs="Times New Roman"/>
          <w:b/>
          <w:bCs/>
          <w:sz w:val="28"/>
          <w:szCs w:val="28"/>
        </w:rPr>
        <w:t>NEW DELHI                                                        R. KAUSHALENDRA RAO</w:t>
      </w:r>
      <w:r w:rsidR="00A2265D">
        <w:rPr>
          <w:rStyle w:val="FootnoteReference"/>
          <w:rFonts w:ascii="Times New Roman" w:hAnsi="Times New Roman" w:cs="Times New Roman"/>
          <w:b/>
          <w:bCs/>
          <w:sz w:val="28"/>
          <w:szCs w:val="28"/>
        </w:rPr>
        <w:footnoteReference w:id="6"/>
      </w:r>
      <w:r w:rsidRPr="00A2265D">
        <w:rPr>
          <w:rFonts w:ascii="Times New Roman" w:hAnsi="Times New Roman" w:cs="Times New Roman"/>
          <w:b/>
          <w:bCs/>
          <w:sz w:val="28"/>
          <w:szCs w:val="28"/>
        </w:rPr>
        <w:br/>
        <w:t xml:space="preserve">                                                                               B. K. MADAN</w:t>
      </w:r>
      <w:r w:rsidRPr="00A2265D">
        <w:rPr>
          <w:rFonts w:ascii="Times New Roman" w:hAnsi="Times New Roman" w:cs="Times New Roman"/>
          <w:b/>
          <w:bCs/>
          <w:sz w:val="28"/>
          <w:szCs w:val="28"/>
        </w:rPr>
        <w:br/>
        <w:t xml:space="preserve">The 31st December, 1952.                                  </w:t>
      </w:r>
      <w:r w:rsidR="00A2265D">
        <w:rPr>
          <w:rFonts w:ascii="Times New Roman" w:hAnsi="Times New Roman" w:cs="Times New Roman"/>
          <w:b/>
          <w:bCs/>
          <w:sz w:val="28"/>
          <w:szCs w:val="28"/>
        </w:rPr>
        <w:t xml:space="preserve"> </w:t>
      </w:r>
      <w:r w:rsidRPr="00A2265D">
        <w:rPr>
          <w:rFonts w:ascii="Times New Roman" w:hAnsi="Times New Roman" w:cs="Times New Roman"/>
          <w:b/>
          <w:bCs/>
          <w:sz w:val="28"/>
          <w:szCs w:val="28"/>
        </w:rPr>
        <w:t xml:space="preserve"> M. V. RANGACHARI</w:t>
      </w:r>
    </w:p>
    <w:p w14:paraId="1BDAE7E3" w14:textId="3E17E324" w:rsidR="00F52DB5" w:rsidRPr="0003452E" w:rsidRDefault="00A2265D" w:rsidP="00A2265D">
      <w:pPr>
        <w:pStyle w:val="Heading1"/>
      </w:pPr>
      <w:bookmarkStart w:id="12" w:name="_Toc221007121"/>
      <w:r>
        <w:lastRenderedPageBreak/>
        <w:t>M</w:t>
      </w:r>
      <w:r w:rsidR="00F52DB5" w:rsidRPr="0003452E">
        <w:t>INUTE</w:t>
      </w:r>
      <w:r>
        <w:t xml:space="preserve"> BY SHRI R. KAUSHALENDRA RAO</w:t>
      </w:r>
      <w:bookmarkEnd w:id="12"/>
    </w:p>
    <w:p w14:paraId="37FEA125" w14:textId="77777777" w:rsidR="00F52DB5" w:rsidRPr="00A2265D" w:rsidRDefault="00F52DB5" w:rsidP="0010492F">
      <w:pPr>
        <w:pStyle w:val="ListParagraph"/>
        <w:numPr>
          <w:ilvl w:val="0"/>
          <w:numId w:val="39"/>
        </w:numPr>
        <w:shd w:val="clear" w:color="auto" w:fill="FFFFFF"/>
        <w:spacing w:after="0" w:line="360" w:lineRule="exact"/>
        <w:ind w:left="0" w:firstLine="556"/>
        <w:jc w:val="both"/>
        <w:rPr>
          <w:rFonts w:ascii="Times New Roman" w:hAnsi="Times New Roman" w:cs="Times New Roman"/>
          <w:sz w:val="28"/>
          <w:szCs w:val="28"/>
        </w:rPr>
      </w:pPr>
      <w:r w:rsidRPr="00A2265D">
        <w:rPr>
          <w:rFonts w:ascii="Times New Roman" w:hAnsi="Times New Roman" w:cs="Times New Roman"/>
          <w:sz w:val="28"/>
          <w:szCs w:val="28"/>
        </w:rPr>
        <w:t>I am in agreement with the recommendations of the Commission. I, however, deem it necessary to deal with some aspects of the income-tax question which in my view are important. On previous occasions the decision on this question was in the nature of an award. But on this occasion the question has been discussed at length. We have chosen a constitutional system influenced by the three leading federal systems—America, Canada and Australia. There is need for appreciation of the issues raised in the light of the experience of those federal systems.</w:t>
      </w:r>
    </w:p>
    <w:p w14:paraId="3E78CC54" w14:textId="3196D235" w:rsidR="00F52DB5" w:rsidRPr="00A2265D" w:rsidRDefault="00F52DB5" w:rsidP="0010492F">
      <w:pPr>
        <w:pStyle w:val="ListParagraph"/>
        <w:numPr>
          <w:ilvl w:val="0"/>
          <w:numId w:val="39"/>
        </w:numPr>
        <w:shd w:val="clear" w:color="auto" w:fill="FFFFFF"/>
        <w:spacing w:after="0" w:line="360" w:lineRule="exact"/>
        <w:ind w:left="0" w:firstLine="556"/>
        <w:jc w:val="both"/>
        <w:rPr>
          <w:rFonts w:ascii="Times New Roman" w:hAnsi="Times New Roman" w:cs="Times New Roman"/>
          <w:sz w:val="28"/>
          <w:szCs w:val="28"/>
        </w:rPr>
      </w:pPr>
      <w:r w:rsidRPr="00A2265D">
        <w:rPr>
          <w:rFonts w:ascii="Times New Roman" w:hAnsi="Times New Roman" w:cs="Times New Roman"/>
          <w:sz w:val="28"/>
          <w:szCs w:val="28"/>
        </w:rPr>
        <w:t>The fundamental fact about the distribution of income-tax among the States is that about 74</w:t>
      </w:r>
      <w:r w:rsidR="00E74E0B">
        <w:rPr>
          <w:rFonts w:ascii="Times New Roman" w:hAnsi="Times New Roman" w:cs="Times New Roman"/>
          <w:sz w:val="28"/>
          <w:szCs w:val="28"/>
        </w:rPr>
        <w:t>.</w:t>
      </w:r>
      <w:r w:rsidRPr="00A2265D">
        <w:rPr>
          <w:rFonts w:ascii="Times New Roman" w:hAnsi="Times New Roman" w:cs="Times New Roman"/>
          <w:sz w:val="28"/>
          <w:szCs w:val="28"/>
        </w:rPr>
        <w:t>4 per cent of the divisible income-tax is collected in only two of the States: Bombay 45</w:t>
      </w:r>
      <w:r w:rsidR="00E74E0B">
        <w:rPr>
          <w:rFonts w:ascii="Times New Roman" w:hAnsi="Times New Roman" w:cs="Times New Roman"/>
          <w:sz w:val="28"/>
          <w:szCs w:val="28"/>
        </w:rPr>
        <w:t>.</w:t>
      </w:r>
      <w:r w:rsidRPr="00A2265D">
        <w:rPr>
          <w:rFonts w:ascii="Times New Roman" w:hAnsi="Times New Roman" w:cs="Times New Roman"/>
          <w:sz w:val="28"/>
          <w:szCs w:val="28"/>
        </w:rPr>
        <w:t>8 per cent and West Bengal 28</w:t>
      </w:r>
      <w:r w:rsidR="00E74E0B">
        <w:rPr>
          <w:rFonts w:ascii="Times New Roman" w:hAnsi="Times New Roman" w:cs="Times New Roman"/>
          <w:sz w:val="28"/>
          <w:szCs w:val="28"/>
        </w:rPr>
        <w:t>.</w:t>
      </w:r>
      <w:r w:rsidRPr="00A2265D">
        <w:rPr>
          <w:rFonts w:ascii="Times New Roman" w:hAnsi="Times New Roman" w:cs="Times New Roman"/>
          <w:sz w:val="28"/>
          <w:szCs w:val="28"/>
        </w:rPr>
        <w:t>6 per cent. These States have a population of about 17</w:t>
      </w:r>
      <w:r w:rsidR="00E74E0B">
        <w:rPr>
          <w:rFonts w:ascii="Times New Roman" w:hAnsi="Times New Roman" w:cs="Times New Roman"/>
          <w:sz w:val="28"/>
          <w:szCs w:val="28"/>
        </w:rPr>
        <w:t>.</w:t>
      </w:r>
      <w:r w:rsidRPr="00A2265D">
        <w:rPr>
          <w:rFonts w:ascii="Times New Roman" w:hAnsi="Times New Roman" w:cs="Times New Roman"/>
          <w:sz w:val="28"/>
          <w:szCs w:val="28"/>
        </w:rPr>
        <w:t>5 per cent of the total population in Part A and B States (Bombay 10</w:t>
      </w:r>
      <w:r w:rsidR="00E74E0B">
        <w:rPr>
          <w:rFonts w:ascii="Times New Roman" w:hAnsi="Times New Roman" w:cs="Times New Roman"/>
          <w:sz w:val="28"/>
          <w:szCs w:val="28"/>
        </w:rPr>
        <w:t>.</w:t>
      </w:r>
      <w:r w:rsidRPr="00A2265D">
        <w:rPr>
          <w:rFonts w:ascii="Times New Roman" w:hAnsi="Times New Roman" w:cs="Times New Roman"/>
          <w:sz w:val="28"/>
          <w:szCs w:val="28"/>
        </w:rPr>
        <w:t>37 per cent and West Bengal 7</w:t>
      </w:r>
      <w:r w:rsidR="00E74E0B">
        <w:rPr>
          <w:rFonts w:ascii="Times New Roman" w:hAnsi="Times New Roman" w:cs="Times New Roman"/>
          <w:sz w:val="28"/>
          <w:szCs w:val="28"/>
        </w:rPr>
        <w:t>.</w:t>
      </w:r>
      <w:r w:rsidRPr="00A2265D">
        <w:rPr>
          <w:rFonts w:ascii="Times New Roman" w:hAnsi="Times New Roman" w:cs="Times New Roman"/>
          <w:sz w:val="28"/>
          <w:szCs w:val="28"/>
        </w:rPr>
        <w:t>16 per cent).</w:t>
      </w:r>
    </w:p>
    <w:p w14:paraId="3B437BB9" w14:textId="304A4751" w:rsidR="00F52DB5" w:rsidRPr="00A2265D" w:rsidRDefault="00F52DB5" w:rsidP="0010492F">
      <w:pPr>
        <w:pStyle w:val="ListParagraph"/>
        <w:numPr>
          <w:ilvl w:val="0"/>
          <w:numId w:val="39"/>
        </w:numPr>
        <w:shd w:val="clear" w:color="auto" w:fill="FFFFFF"/>
        <w:spacing w:after="0" w:line="360" w:lineRule="exact"/>
        <w:ind w:left="0" w:firstLine="556"/>
        <w:jc w:val="both"/>
        <w:rPr>
          <w:rFonts w:ascii="Times New Roman" w:hAnsi="Times New Roman" w:cs="Times New Roman"/>
          <w:sz w:val="28"/>
          <w:szCs w:val="28"/>
        </w:rPr>
      </w:pPr>
      <w:r w:rsidRPr="00A2265D">
        <w:rPr>
          <w:rFonts w:ascii="Times New Roman" w:hAnsi="Times New Roman" w:cs="Times New Roman"/>
          <w:sz w:val="28"/>
          <w:szCs w:val="28"/>
        </w:rPr>
        <w:t>No doubt, each State is putting forward a scheme of distribution which is most advantageous to it. But, broadly, the main controversy in the country is between two schools of thought. One is that the tax should be distributed on the basis of contribution, if not collection, and the other on the basis of needs of the States measured by the population within their jurisdiction.</w:t>
      </w:r>
    </w:p>
    <w:p w14:paraId="26EE2D71" w14:textId="77777777" w:rsidR="00F52DB5" w:rsidRPr="00A2265D" w:rsidRDefault="00F52DB5" w:rsidP="0010492F">
      <w:pPr>
        <w:pStyle w:val="ListParagraph"/>
        <w:numPr>
          <w:ilvl w:val="0"/>
          <w:numId w:val="39"/>
        </w:numPr>
        <w:shd w:val="clear" w:color="auto" w:fill="FFFFFF"/>
        <w:spacing w:after="0" w:line="360" w:lineRule="exact"/>
        <w:ind w:left="0" w:firstLine="556"/>
        <w:jc w:val="both"/>
        <w:rPr>
          <w:rFonts w:ascii="Times New Roman" w:hAnsi="Times New Roman" w:cs="Times New Roman"/>
          <w:sz w:val="28"/>
          <w:szCs w:val="28"/>
        </w:rPr>
      </w:pPr>
      <w:r w:rsidRPr="00A2265D">
        <w:rPr>
          <w:rFonts w:ascii="Times New Roman" w:hAnsi="Times New Roman" w:cs="Times New Roman"/>
          <w:sz w:val="28"/>
          <w:szCs w:val="28"/>
        </w:rPr>
        <w:t>The experience of the three leading federal systems offers no ready-made solution to the specific problem with which we are concerned. But that experience has a lesson. It conveys a warning that in a federal system uniform distribution of powers between the Federation and the States does not necessarily mean the equal allocation of resources to fulfil the functions assigned under the Constitution.</w:t>
      </w:r>
    </w:p>
    <w:p w14:paraId="1A521B99" w14:textId="77777777" w:rsidR="00F52DB5" w:rsidRPr="00A2265D" w:rsidRDefault="00F52DB5" w:rsidP="0010492F">
      <w:pPr>
        <w:pStyle w:val="ListParagraph"/>
        <w:numPr>
          <w:ilvl w:val="0"/>
          <w:numId w:val="39"/>
        </w:numPr>
        <w:shd w:val="clear" w:color="auto" w:fill="FFFFFF"/>
        <w:spacing w:after="0" w:line="360" w:lineRule="exact"/>
        <w:ind w:left="0" w:firstLine="556"/>
        <w:jc w:val="both"/>
        <w:rPr>
          <w:rFonts w:ascii="Times New Roman" w:hAnsi="Times New Roman" w:cs="Times New Roman"/>
          <w:sz w:val="28"/>
          <w:szCs w:val="28"/>
        </w:rPr>
      </w:pPr>
      <w:r w:rsidRPr="00A2265D">
        <w:rPr>
          <w:rFonts w:ascii="Times New Roman" w:hAnsi="Times New Roman" w:cs="Times New Roman"/>
          <w:sz w:val="28"/>
          <w:szCs w:val="28"/>
        </w:rPr>
        <w:t>The division of powers in any federal system is a matter of ideals or convenience, political and economic, and has no reference to any criterion of economic or much less social justice. But the Constitution is designed to secure economic and social justice in all the States of the Union. The yield from the State heads of revenues varies in each State according to its conditions and resources. But the extent of financial responsibility of a State would primarily, though not necessarily, depend upon the number of people within its charge. Inequalities become apparent after the costs of the basic administration are met.</w:t>
      </w:r>
    </w:p>
    <w:p w14:paraId="11D03A4E" w14:textId="16C95134" w:rsidR="001929C0" w:rsidRPr="00A2265D" w:rsidRDefault="00F52DB5" w:rsidP="0010492F">
      <w:pPr>
        <w:pStyle w:val="ListParagraph"/>
        <w:numPr>
          <w:ilvl w:val="0"/>
          <w:numId w:val="39"/>
        </w:numPr>
        <w:shd w:val="clear" w:color="auto" w:fill="FFFFFF"/>
        <w:spacing w:after="0" w:line="360" w:lineRule="exact"/>
        <w:ind w:left="0" w:firstLine="556"/>
        <w:jc w:val="both"/>
        <w:rPr>
          <w:rFonts w:ascii="Times New Roman" w:hAnsi="Times New Roman" w:cs="Times New Roman"/>
          <w:sz w:val="28"/>
          <w:szCs w:val="28"/>
        </w:rPr>
      </w:pPr>
      <w:r w:rsidRPr="00A2265D">
        <w:rPr>
          <w:rFonts w:ascii="Times New Roman" w:hAnsi="Times New Roman" w:cs="Times New Roman"/>
          <w:sz w:val="28"/>
          <w:szCs w:val="28"/>
        </w:rPr>
        <w:t>The vast majority of Indians are not directly interested in industry. Development of industries is part of a plan to raise the</w:t>
      </w:r>
      <w:r w:rsidR="00A2265D" w:rsidRPr="00A2265D">
        <w:rPr>
          <w:rFonts w:ascii="Times New Roman" w:hAnsi="Times New Roman" w:cs="Times New Roman"/>
          <w:sz w:val="28"/>
          <w:szCs w:val="28"/>
        </w:rPr>
        <w:t xml:space="preserve"> </w:t>
      </w:r>
      <w:r w:rsidR="001929C0" w:rsidRPr="00A2265D">
        <w:rPr>
          <w:rFonts w:ascii="Times New Roman" w:hAnsi="Times New Roman" w:cs="Times New Roman"/>
          <w:sz w:val="28"/>
          <w:szCs w:val="28"/>
        </w:rPr>
        <w:t xml:space="preserve">standards of living in the country. The growth of economic inequalities has been an inevitable accompaniment of industrialisation in the West. It is that problem with which most governments are now grappling. That general problem is apt to be further complicated in a federation by regional disparities. The compromise between economic integration and political autonomy which is involved in federalism may, in the absence of a corrective, result </w:t>
      </w:r>
      <w:r w:rsidR="001929C0" w:rsidRPr="00A2265D">
        <w:rPr>
          <w:rFonts w:ascii="Times New Roman" w:hAnsi="Times New Roman" w:cs="Times New Roman"/>
          <w:sz w:val="28"/>
          <w:szCs w:val="28"/>
        </w:rPr>
        <w:lastRenderedPageBreak/>
        <w:t>in the accentuation of economic inequalities in the different States in a Federation. That has been the common experience of the three leading federal systems, United States of America, Australia and Canada. The inequalities were noticed and discussed in Australia in the 3rd Report of the Commonwealth Grants Commission (1936), in Canada in the Rowell-Sirois Report (1940) and in America in the Report presented to the Senate in 1943</w:t>
      </w:r>
      <w:r w:rsidR="002F6E62">
        <w:rPr>
          <w:rFonts w:ascii="Times New Roman" w:hAnsi="Times New Roman" w:cs="Times New Roman"/>
          <w:sz w:val="28"/>
          <w:szCs w:val="28"/>
        </w:rPr>
        <w:t>(</w:t>
      </w:r>
      <w:r w:rsidR="0010492F">
        <w:rPr>
          <w:rStyle w:val="FootnoteReference"/>
          <w:rFonts w:ascii="Times New Roman" w:hAnsi="Times New Roman" w:cs="Times New Roman"/>
          <w:sz w:val="28"/>
          <w:szCs w:val="28"/>
        </w:rPr>
        <w:footnoteReference w:id="7"/>
      </w:r>
      <w:r w:rsidR="002F6E62">
        <w:rPr>
          <w:rFonts w:ascii="Times New Roman" w:hAnsi="Times New Roman" w:cs="Times New Roman"/>
          <w:sz w:val="28"/>
          <w:szCs w:val="28"/>
        </w:rPr>
        <w:t>)</w:t>
      </w:r>
      <w:r w:rsidR="001929C0" w:rsidRPr="00A2265D">
        <w:rPr>
          <w:rFonts w:ascii="Times New Roman" w:hAnsi="Times New Roman" w:cs="Times New Roman"/>
          <w:sz w:val="28"/>
          <w:szCs w:val="28"/>
        </w:rPr>
        <w:t>. Each federation is trying to solve the problem under the limitations set by its own Constitution and history.</w:t>
      </w:r>
    </w:p>
    <w:p w14:paraId="47D26E60" w14:textId="25D05E59" w:rsidR="00732253" w:rsidRPr="0010492F" w:rsidRDefault="001929C0" w:rsidP="0010492F">
      <w:pPr>
        <w:pStyle w:val="ListParagraph"/>
        <w:numPr>
          <w:ilvl w:val="0"/>
          <w:numId w:val="39"/>
        </w:numPr>
        <w:shd w:val="clear" w:color="auto" w:fill="FFFFFF"/>
        <w:spacing w:after="0" w:line="360" w:lineRule="exact"/>
        <w:ind w:left="0" w:firstLine="556"/>
        <w:jc w:val="both"/>
        <w:rPr>
          <w:rFonts w:ascii="Times New Roman" w:hAnsi="Times New Roman" w:cs="Times New Roman"/>
          <w:sz w:val="28"/>
          <w:szCs w:val="28"/>
        </w:rPr>
      </w:pPr>
      <w:r w:rsidRPr="00A2265D">
        <w:rPr>
          <w:rFonts w:ascii="Times New Roman" w:hAnsi="Times New Roman" w:cs="Times New Roman"/>
          <w:sz w:val="28"/>
          <w:szCs w:val="28"/>
        </w:rPr>
        <w:t>In America a tax on income could not at one time be levied without apportionment</w:t>
      </w:r>
      <w:r w:rsidR="0010492F">
        <w:rPr>
          <w:rStyle w:val="FootnoteReference"/>
          <w:rFonts w:ascii="Times New Roman" w:hAnsi="Times New Roman" w:cs="Times New Roman"/>
          <w:sz w:val="28"/>
          <w:szCs w:val="28"/>
        </w:rPr>
        <w:footnoteReference w:id="8"/>
      </w:r>
      <w:r w:rsidRPr="00A2265D">
        <w:rPr>
          <w:rFonts w:ascii="Times New Roman" w:hAnsi="Times New Roman" w:cs="Times New Roman"/>
          <w:sz w:val="28"/>
          <w:szCs w:val="28"/>
        </w:rPr>
        <w:t>. Direct taxation by the Federal Government was originally subject to the rule of apportionment. That rule meant that once the Federal Government decided on a sum to be raised by direct taxation that sum had to be divided up among the States according to their respective populations. The purpose of the apportionment clause was to prevent any State being called upon to contribute more than its due share of the burden of the Federal Government. That seemed an eminently just procedure in an age of pre-occupation with state rights without appreciation of all the implications of economic integration. In 1913, the 16th Amendment dispensed with the necessity of apportionment in the case of taxes on income</w:t>
      </w:r>
      <w:r w:rsidR="0010492F">
        <w:rPr>
          <w:rStyle w:val="FootnoteReference"/>
          <w:rFonts w:ascii="Times New Roman" w:hAnsi="Times New Roman" w:cs="Times New Roman"/>
          <w:sz w:val="28"/>
          <w:szCs w:val="28"/>
        </w:rPr>
        <w:footnoteReference w:id="9"/>
      </w:r>
      <w:r w:rsidRPr="00A2265D">
        <w:rPr>
          <w:rFonts w:ascii="Times New Roman" w:hAnsi="Times New Roman" w:cs="Times New Roman"/>
          <w:sz w:val="28"/>
          <w:szCs w:val="28"/>
        </w:rPr>
        <w:t>. The Federal Government was thus enabled to raise a tax on the principle of ability to pay irrespective of state lines. The grants to the State by the Federal Government were at first made to stimulate specific State services rather than from the necessity of enabling the States to provide a minimum of essential services</w:t>
      </w:r>
      <w:r w:rsidR="0010492F">
        <w:rPr>
          <w:rStyle w:val="FootnoteReference"/>
          <w:rFonts w:ascii="Times New Roman" w:hAnsi="Times New Roman" w:cs="Times New Roman"/>
          <w:sz w:val="28"/>
          <w:szCs w:val="28"/>
        </w:rPr>
        <w:footnoteReference w:id="10"/>
      </w:r>
      <w:r w:rsidRPr="00A2265D">
        <w:rPr>
          <w:rFonts w:ascii="Times New Roman" w:hAnsi="Times New Roman" w:cs="Times New Roman"/>
          <w:sz w:val="28"/>
          <w:szCs w:val="28"/>
        </w:rPr>
        <w:t>. But the recourse to the Welfare Clause by the Federal Government and the increasing number of grants made to the States have resulted in some diversion of financial resources from the States where they are raised to the States where they are needed. It is not that this</w:t>
      </w:r>
      <w:r w:rsidR="0010492F">
        <w:rPr>
          <w:rFonts w:ascii="Times New Roman" w:hAnsi="Times New Roman" w:cs="Times New Roman"/>
          <w:sz w:val="28"/>
          <w:szCs w:val="28"/>
        </w:rPr>
        <w:t xml:space="preserve"> </w:t>
      </w:r>
      <w:r w:rsidR="00732253" w:rsidRPr="0010492F">
        <w:rPr>
          <w:rFonts w:ascii="Times New Roman" w:hAnsi="Times New Roman" w:cs="Times New Roman"/>
          <w:sz w:val="28"/>
          <w:szCs w:val="28"/>
        </w:rPr>
        <w:t>process has gone without the criticism familiar in federations or that the criticism has not been met</w:t>
      </w:r>
      <w:r w:rsidR="0010492F">
        <w:rPr>
          <w:rStyle w:val="FootnoteReference"/>
          <w:rFonts w:ascii="Times New Roman" w:hAnsi="Times New Roman" w:cs="Times New Roman"/>
          <w:sz w:val="28"/>
          <w:szCs w:val="28"/>
        </w:rPr>
        <w:footnoteReference w:id="11"/>
      </w:r>
      <w:r w:rsidR="00732253" w:rsidRPr="0010492F">
        <w:rPr>
          <w:rFonts w:ascii="Times New Roman" w:hAnsi="Times New Roman" w:cs="Times New Roman"/>
          <w:sz w:val="28"/>
          <w:szCs w:val="28"/>
        </w:rPr>
        <w:t>.</w:t>
      </w:r>
    </w:p>
    <w:p w14:paraId="6EE12AFE" w14:textId="3F2DA867" w:rsidR="00732253" w:rsidRPr="00A2265D" w:rsidRDefault="00732253" w:rsidP="0010492F">
      <w:pPr>
        <w:pStyle w:val="ListParagraph"/>
        <w:numPr>
          <w:ilvl w:val="0"/>
          <w:numId w:val="39"/>
        </w:numPr>
        <w:shd w:val="clear" w:color="auto" w:fill="FFFFFF"/>
        <w:spacing w:after="0" w:line="360" w:lineRule="exact"/>
        <w:ind w:left="0" w:firstLine="556"/>
        <w:jc w:val="both"/>
        <w:rPr>
          <w:rFonts w:ascii="Times New Roman" w:hAnsi="Times New Roman" w:cs="Times New Roman"/>
          <w:sz w:val="28"/>
          <w:szCs w:val="28"/>
        </w:rPr>
      </w:pPr>
      <w:r w:rsidRPr="00A2265D">
        <w:rPr>
          <w:rFonts w:ascii="Times New Roman" w:hAnsi="Times New Roman" w:cs="Times New Roman"/>
          <w:sz w:val="28"/>
          <w:szCs w:val="28"/>
        </w:rPr>
        <w:t xml:space="preserve">In Canada the exigencies of the last War favoured the adoption of the scheme of uniform taxation. But the movement towards it was recommended by the </w:t>
      </w:r>
      <w:r w:rsidRPr="00A2265D">
        <w:rPr>
          <w:rFonts w:ascii="Times New Roman" w:hAnsi="Times New Roman" w:cs="Times New Roman"/>
          <w:sz w:val="28"/>
          <w:szCs w:val="28"/>
        </w:rPr>
        <w:lastRenderedPageBreak/>
        <w:t>Rowell-Sirois Commission on their study of the inequities in the income-tax structure as a whole as well as "the great inequity as between Provinces in the revenues available for provincial services; the impossibility at times for some Provinces of providing services of average Canadian standards."</w:t>
      </w:r>
      <w:r w:rsidR="0010492F">
        <w:rPr>
          <w:rStyle w:val="FootnoteReference"/>
          <w:rFonts w:ascii="Times New Roman" w:hAnsi="Times New Roman" w:cs="Times New Roman"/>
          <w:sz w:val="28"/>
          <w:szCs w:val="28"/>
        </w:rPr>
        <w:footnoteReference w:id="12"/>
      </w:r>
      <w:r w:rsidRPr="00A2265D">
        <w:rPr>
          <w:rFonts w:ascii="Times New Roman" w:hAnsi="Times New Roman" w:cs="Times New Roman"/>
          <w:sz w:val="28"/>
          <w:szCs w:val="28"/>
        </w:rPr>
        <w:t>. The Commission also favoured Dominion administration of unemployment relief and national adjustments grants with a view to enabling the Provinces to meet the costs of major subjects of public welfare within the provincial sphere.</w:t>
      </w:r>
    </w:p>
    <w:p w14:paraId="4F3B5579" w14:textId="162D913E" w:rsidR="00732253" w:rsidRPr="00A2265D" w:rsidRDefault="00732253" w:rsidP="0010492F">
      <w:pPr>
        <w:pStyle w:val="ListParagraph"/>
        <w:numPr>
          <w:ilvl w:val="0"/>
          <w:numId w:val="39"/>
        </w:numPr>
        <w:shd w:val="clear" w:color="auto" w:fill="FFFFFF"/>
        <w:spacing w:after="0" w:line="360" w:lineRule="exact"/>
        <w:ind w:left="0" w:firstLine="556"/>
        <w:jc w:val="both"/>
        <w:rPr>
          <w:rFonts w:ascii="Times New Roman" w:hAnsi="Times New Roman" w:cs="Times New Roman"/>
          <w:sz w:val="28"/>
          <w:szCs w:val="28"/>
        </w:rPr>
      </w:pPr>
      <w:r w:rsidRPr="00A2265D">
        <w:rPr>
          <w:rFonts w:ascii="Times New Roman" w:hAnsi="Times New Roman" w:cs="Times New Roman"/>
          <w:sz w:val="28"/>
          <w:szCs w:val="28"/>
        </w:rPr>
        <w:t>Though under the options given to the Provinces which subscribe to the uniform tax proposals the amount receivable by one of the Provinces like Ontario is in absolute terms higher than the amount of the estimated collections in that State prior to the uniform tax, its relative share in the total payments is reduced</w:t>
      </w:r>
      <w:r w:rsidR="0010492F" w:rsidRPr="0010492F">
        <w:footnoteReference w:id="13"/>
      </w:r>
      <w:r w:rsidRPr="00A2265D">
        <w:rPr>
          <w:rFonts w:ascii="Times New Roman" w:hAnsi="Times New Roman" w:cs="Times New Roman"/>
          <w:sz w:val="28"/>
          <w:szCs w:val="28"/>
        </w:rPr>
        <w:t>.</w:t>
      </w:r>
    </w:p>
    <w:p w14:paraId="324ADEE5" w14:textId="18F0E839" w:rsidR="00732253" w:rsidRPr="00A2265D" w:rsidRDefault="00732253" w:rsidP="0010492F">
      <w:pPr>
        <w:pStyle w:val="ListParagraph"/>
        <w:numPr>
          <w:ilvl w:val="0"/>
          <w:numId w:val="39"/>
        </w:numPr>
        <w:shd w:val="clear" w:color="auto" w:fill="FFFFFF"/>
        <w:spacing w:after="0" w:line="360" w:lineRule="exact"/>
        <w:ind w:left="0" w:firstLine="556"/>
        <w:jc w:val="both"/>
        <w:rPr>
          <w:rFonts w:ascii="Times New Roman" w:hAnsi="Times New Roman" w:cs="Times New Roman"/>
          <w:sz w:val="28"/>
          <w:szCs w:val="28"/>
        </w:rPr>
      </w:pPr>
      <w:r w:rsidRPr="00A2265D">
        <w:rPr>
          <w:rFonts w:ascii="Times New Roman" w:hAnsi="Times New Roman" w:cs="Times New Roman"/>
          <w:sz w:val="28"/>
          <w:szCs w:val="28"/>
        </w:rPr>
        <w:t>In Australia the intention under the Act of 1946 to make by 1957 population the dominant criterion is in the direction of equalisation(⁴)</w:t>
      </w:r>
      <w:r w:rsidR="0010492F" w:rsidRPr="0010492F">
        <w:footnoteReference w:id="14"/>
      </w:r>
      <w:r w:rsidRPr="00A2265D">
        <w:rPr>
          <w:rFonts w:ascii="Times New Roman" w:hAnsi="Times New Roman" w:cs="Times New Roman"/>
          <w:sz w:val="28"/>
          <w:szCs w:val="28"/>
        </w:rPr>
        <w:t>. Financial assistance to the States under section 96 which was originally intended to have but a temporary operation now seems to have become a permanent feature with the establishment of the Grants Commission. Assistance was considered necessary to correct the inequality of financial resources of the members of the federation.</w:t>
      </w:r>
    </w:p>
    <w:p w14:paraId="19EFF370" w14:textId="0ABDBFAC" w:rsidR="00732253" w:rsidRPr="0010492F" w:rsidRDefault="00732253" w:rsidP="0010492F">
      <w:pPr>
        <w:pStyle w:val="ListParagraph"/>
        <w:numPr>
          <w:ilvl w:val="0"/>
          <w:numId w:val="39"/>
        </w:numPr>
        <w:shd w:val="clear" w:color="auto" w:fill="FFFFFF"/>
        <w:spacing w:after="0" w:line="360" w:lineRule="exact"/>
        <w:ind w:left="0" w:firstLine="556"/>
        <w:jc w:val="both"/>
        <w:rPr>
          <w:rFonts w:ascii="Times New Roman" w:hAnsi="Times New Roman" w:cs="Times New Roman"/>
          <w:sz w:val="28"/>
          <w:szCs w:val="28"/>
        </w:rPr>
      </w:pPr>
      <w:r w:rsidRPr="00A2265D">
        <w:rPr>
          <w:rFonts w:ascii="Times New Roman" w:hAnsi="Times New Roman" w:cs="Times New Roman"/>
          <w:sz w:val="28"/>
          <w:szCs w:val="28"/>
        </w:rPr>
        <w:t>A significant fact both in Australia and Canada is that the prosperous States are the populous States as well. Thus New South Wales and Victoria account for about 66 per cent of the population</w:t>
      </w:r>
      <w:r w:rsidR="0010492F">
        <w:rPr>
          <w:rFonts w:ascii="Times New Roman" w:hAnsi="Times New Roman" w:cs="Times New Roman"/>
          <w:sz w:val="28"/>
          <w:szCs w:val="28"/>
        </w:rPr>
        <w:t xml:space="preserve"> </w:t>
      </w:r>
      <w:r w:rsidRPr="0010492F">
        <w:rPr>
          <w:rFonts w:ascii="Times New Roman" w:hAnsi="Times New Roman" w:cs="Times New Roman"/>
          <w:sz w:val="28"/>
          <w:szCs w:val="28"/>
        </w:rPr>
        <w:t>of Australia. Ontario and Quebec account for about 60 per cent of the population of Canada. In neither country the well-being of two such States is by itself regarded as a satisfactory test of national welfare.</w:t>
      </w:r>
    </w:p>
    <w:p w14:paraId="255ADC44" w14:textId="45CDF99E" w:rsidR="00732253" w:rsidRPr="00A2265D" w:rsidRDefault="00732253" w:rsidP="0010492F">
      <w:pPr>
        <w:pStyle w:val="ListParagraph"/>
        <w:numPr>
          <w:ilvl w:val="0"/>
          <w:numId w:val="39"/>
        </w:numPr>
        <w:shd w:val="clear" w:color="auto" w:fill="FFFFFF"/>
        <w:spacing w:after="0" w:line="360" w:lineRule="exact"/>
        <w:ind w:left="0" w:firstLine="556"/>
        <w:jc w:val="both"/>
        <w:rPr>
          <w:rFonts w:ascii="Times New Roman" w:hAnsi="Times New Roman" w:cs="Times New Roman"/>
          <w:sz w:val="28"/>
          <w:szCs w:val="28"/>
        </w:rPr>
      </w:pPr>
      <w:r w:rsidRPr="00A2265D">
        <w:rPr>
          <w:rFonts w:ascii="Times New Roman" w:hAnsi="Times New Roman" w:cs="Times New Roman"/>
          <w:sz w:val="28"/>
          <w:szCs w:val="28"/>
        </w:rPr>
        <w:t>The original theory upon which federal systems were based in regarding indirect taxation as the main support of the federal government and direct taxation as within the legitimate province of the units has, in no small measure, been responsible for the maladjustments between the resources and the functions of the units in a federation. These maladjustments are being corrected either by recourse to the levy of a uniform progressive tax like the tax on incomes and the equitable distribution of it among the units or by the federal government making grants to the units or itself assuming responsibilities in a wider field</w:t>
      </w:r>
      <w:r w:rsidR="0010492F">
        <w:rPr>
          <w:rStyle w:val="FootnoteReference"/>
          <w:rFonts w:ascii="Times New Roman" w:hAnsi="Times New Roman" w:cs="Times New Roman"/>
          <w:sz w:val="28"/>
          <w:szCs w:val="28"/>
        </w:rPr>
        <w:footnoteReference w:id="15"/>
      </w:r>
      <w:r w:rsidRPr="00A2265D">
        <w:rPr>
          <w:rFonts w:ascii="Times New Roman" w:hAnsi="Times New Roman" w:cs="Times New Roman"/>
          <w:sz w:val="28"/>
          <w:szCs w:val="28"/>
        </w:rPr>
        <w:t>.</w:t>
      </w:r>
    </w:p>
    <w:p w14:paraId="29C0E89B" w14:textId="77777777" w:rsidR="00732253" w:rsidRPr="00A2265D" w:rsidRDefault="00732253" w:rsidP="0010492F">
      <w:pPr>
        <w:pStyle w:val="ListParagraph"/>
        <w:numPr>
          <w:ilvl w:val="0"/>
          <w:numId w:val="39"/>
        </w:numPr>
        <w:shd w:val="clear" w:color="auto" w:fill="FFFFFF"/>
        <w:spacing w:after="0" w:line="360" w:lineRule="exact"/>
        <w:ind w:left="0" w:firstLine="556"/>
        <w:jc w:val="both"/>
        <w:rPr>
          <w:rFonts w:ascii="Times New Roman" w:hAnsi="Times New Roman" w:cs="Times New Roman"/>
          <w:sz w:val="28"/>
          <w:szCs w:val="28"/>
        </w:rPr>
      </w:pPr>
      <w:r w:rsidRPr="00A2265D">
        <w:rPr>
          <w:rFonts w:ascii="Times New Roman" w:hAnsi="Times New Roman" w:cs="Times New Roman"/>
          <w:sz w:val="28"/>
          <w:szCs w:val="28"/>
        </w:rPr>
        <w:t xml:space="preserve">The limited conception about the functions of the federal government and about the role of a tax on income has changed or is changing. In the three federations the emphasis is shifting from the units to the people in whichever unit they </w:t>
      </w:r>
      <w:r w:rsidRPr="00A2265D">
        <w:rPr>
          <w:rFonts w:ascii="Times New Roman" w:hAnsi="Times New Roman" w:cs="Times New Roman"/>
          <w:sz w:val="28"/>
          <w:szCs w:val="28"/>
        </w:rPr>
        <w:lastRenderedPageBreak/>
        <w:t>may be. In federal finance the theory of contribution is yielding ground to the theory of equalisation. The federal government is raising taxes from territories where there is ability to pay and is appropriating the proceeds more and more to uses in territories where they are needed.</w:t>
      </w:r>
    </w:p>
    <w:p w14:paraId="68A85C38" w14:textId="0D82326D" w:rsidR="00732253" w:rsidRPr="00A2265D" w:rsidRDefault="00732253" w:rsidP="0010492F">
      <w:pPr>
        <w:pStyle w:val="ListParagraph"/>
        <w:numPr>
          <w:ilvl w:val="0"/>
          <w:numId w:val="39"/>
        </w:numPr>
        <w:shd w:val="clear" w:color="auto" w:fill="FFFFFF"/>
        <w:spacing w:after="0" w:line="360" w:lineRule="exact"/>
        <w:ind w:left="0" w:firstLine="556"/>
        <w:jc w:val="both"/>
        <w:rPr>
          <w:rFonts w:ascii="Times New Roman" w:hAnsi="Times New Roman" w:cs="Times New Roman"/>
          <w:sz w:val="28"/>
          <w:szCs w:val="28"/>
        </w:rPr>
      </w:pPr>
      <w:r w:rsidRPr="00A2265D">
        <w:rPr>
          <w:rFonts w:ascii="Times New Roman" w:hAnsi="Times New Roman" w:cs="Times New Roman"/>
          <w:sz w:val="28"/>
          <w:szCs w:val="28"/>
        </w:rPr>
        <w:t>Further, there is a noticeable change in the old ideas about the contribution made by a community or an area to national economy. Even in America there is awareness of the fact that under the prevailing economic conditions “the production of important raw materials does not insure a high place in the income scale”</w:t>
      </w:r>
      <w:r w:rsidR="0010492F">
        <w:rPr>
          <w:rStyle w:val="FootnoteReference"/>
          <w:rFonts w:ascii="Times New Roman" w:hAnsi="Times New Roman" w:cs="Times New Roman"/>
          <w:sz w:val="28"/>
          <w:szCs w:val="28"/>
        </w:rPr>
        <w:footnoteReference w:id="16"/>
      </w:r>
      <w:r w:rsidRPr="00A2265D">
        <w:rPr>
          <w:rFonts w:ascii="Times New Roman" w:hAnsi="Times New Roman" w:cs="Times New Roman"/>
          <w:sz w:val="28"/>
          <w:szCs w:val="28"/>
        </w:rPr>
        <w:t>.</w:t>
      </w:r>
    </w:p>
    <w:p w14:paraId="6181D544" w14:textId="55E7BFA3" w:rsidR="00732253" w:rsidRPr="0032563C" w:rsidRDefault="00732253" w:rsidP="0032563C">
      <w:pPr>
        <w:pStyle w:val="ListParagraph"/>
        <w:numPr>
          <w:ilvl w:val="0"/>
          <w:numId w:val="39"/>
        </w:numPr>
        <w:shd w:val="clear" w:color="auto" w:fill="FFFFFF"/>
        <w:spacing w:after="0" w:line="360" w:lineRule="exact"/>
        <w:ind w:left="0" w:firstLine="556"/>
        <w:jc w:val="both"/>
        <w:rPr>
          <w:rFonts w:ascii="Times New Roman" w:hAnsi="Times New Roman" w:cs="Times New Roman"/>
          <w:sz w:val="28"/>
          <w:szCs w:val="28"/>
        </w:rPr>
      </w:pPr>
      <w:r w:rsidRPr="00A2265D">
        <w:rPr>
          <w:rFonts w:ascii="Times New Roman" w:hAnsi="Times New Roman" w:cs="Times New Roman"/>
          <w:sz w:val="28"/>
          <w:szCs w:val="28"/>
        </w:rPr>
        <w:t>There are certain special features about the position of the States in the Indian Union which require to be noticed. Unlike in Australia or America, the States in India have not the same significance so far as territorial integrity is concerned</w:t>
      </w:r>
      <w:r w:rsidR="0010492F">
        <w:rPr>
          <w:rStyle w:val="FootnoteReference"/>
          <w:rFonts w:ascii="Times New Roman" w:hAnsi="Times New Roman" w:cs="Times New Roman"/>
          <w:sz w:val="28"/>
          <w:szCs w:val="28"/>
        </w:rPr>
        <w:footnoteReference w:id="17"/>
      </w:r>
      <w:r w:rsidRPr="00A2265D">
        <w:rPr>
          <w:rFonts w:ascii="Times New Roman" w:hAnsi="Times New Roman" w:cs="Times New Roman"/>
          <w:sz w:val="28"/>
          <w:szCs w:val="28"/>
        </w:rPr>
        <w:t>. The creation</w:t>
      </w:r>
      <w:r w:rsidR="0032563C">
        <w:rPr>
          <w:rFonts w:ascii="Times New Roman" w:hAnsi="Times New Roman" w:cs="Times New Roman"/>
          <w:sz w:val="28"/>
          <w:szCs w:val="28"/>
        </w:rPr>
        <w:t xml:space="preserve"> </w:t>
      </w:r>
      <w:r w:rsidRPr="0032563C">
        <w:rPr>
          <w:rFonts w:ascii="Times New Roman" w:hAnsi="Times New Roman" w:cs="Times New Roman"/>
          <w:sz w:val="28"/>
          <w:szCs w:val="28"/>
        </w:rPr>
        <w:t>of autonomous Provinces was not a concession to economic independence: it was in recognition of the need to administer certain functions and services in closer contact with the people than the Central Government. Aspirations for self-government were first met by affording scope for autonomous administration in matters of provincial concern.</w:t>
      </w:r>
    </w:p>
    <w:p w14:paraId="4CDF8F0F" w14:textId="5A5EBA8A" w:rsidR="00732253" w:rsidRPr="00A2265D" w:rsidRDefault="00732253" w:rsidP="0032563C">
      <w:pPr>
        <w:pStyle w:val="ListParagraph"/>
        <w:numPr>
          <w:ilvl w:val="0"/>
          <w:numId w:val="39"/>
        </w:numPr>
        <w:shd w:val="clear" w:color="auto" w:fill="FFFFFF"/>
        <w:spacing w:after="0" w:line="360" w:lineRule="exact"/>
        <w:ind w:left="0" w:firstLine="556"/>
        <w:jc w:val="both"/>
        <w:rPr>
          <w:rFonts w:ascii="Times New Roman" w:hAnsi="Times New Roman" w:cs="Times New Roman"/>
          <w:sz w:val="28"/>
          <w:szCs w:val="28"/>
        </w:rPr>
      </w:pPr>
      <w:r w:rsidRPr="00A2265D">
        <w:rPr>
          <w:rFonts w:ascii="Times New Roman" w:hAnsi="Times New Roman" w:cs="Times New Roman"/>
          <w:sz w:val="28"/>
          <w:szCs w:val="28"/>
        </w:rPr>
        <w:t>The development of the ports and the railways are not invariably a federal responsibility. In Australia, each one of the States had its own access to the sea, its own railway feeding its capital city and its own debt representing the costs of its development</w:t>
      </w:r>
      <w:r w:rsidR="0032563C">
        <w:rPr>
          <w:rStyle w:val="FootnoteReference"/>
          <w:rFonts w:ascii="Times New Roman" w:hAnsi="Times New Roman" w:cs="Times New Roman"/>
          <w:sz w:val="28"/>
          <w:szCs w:val="28"/>
        </w:rPr>
        <w:footnoteReference w:id="18"/>
      </w:r>
      <w:r w:rsidRPr="00A2265D">
        <w:rPr>
          <w:rFonts w:ascii="Times New Roman" w:hAnsi="Times New Roman" w:cs="Times New Roman"/>
          <w:sz w:val="28"/>
          <w:szCs w:val="28"/>
        </w:rPr>
        <w:t>. Even after the establishment of the Commonwealth a State is free to favour its manufacturers by determining the scale of freights on its railways</w:t>
      </w:r>
      <w:r w:rsidR="0032563C">
        <w:rPr>
          <w:rStyle w:val="FootnoteReference"/>
          <w:rFonts w:ascii="Times New Roman" w:hAnsi="Times New Roman" w:cs="Times New Roman"/>
          <w:sz w:val="28"/>
          <w:szCs w:val="28"/>
        </w:rPr>
        <w:footnoteReference w:id="19"/>
      </w:r>
      <w:r w:rsidRPr="00A2265D">
        <w:rPr>
          <w:rFonts w:ascii="Times New Roman" w:hAnsi="Times New Roman" w:cs="Times New Roman"/>
          <w:sz w:val="28"/>
          <w:szCs w:val="28"/>
        </w:rPr>
        <w:t>. In Canada, the Provinces are authorized to construct railways within the Province</w:t>
      </w:r>
      <w:r w:rsidR="0032563C">
        <w:rPr>
          <w:rStyle w:val="FootnoteReference"/>
          <w:rFonts w:ascii="Times New Roman" w:hAnsi="Times New Roman" w:cs="Times New Roman"/>
          <w:sz w:val="28"/>
          <w:szCs w:val="28"/>
        </w:rPr>
        <w:footnoteReference w:id="20"/>
      </w:r>
      <w:r w:rsidRPr="00A2265D">
        <w:rPr>
          <w:rFonts w:ascii="Times New Roman" w:hAnsi="Times New Roman" w:cs="Times New Roman"/>
          <w:sz w:val="28"/>
          <w:szCs w:val="28"/>
        </w:rPr>
        <w:t xml:space="preserve"> and two of them own railways.</w:t>
      </w:r>
    </w:p>
    <w:p w14:paraId="378007DE" w14:textId="22FE8DB8" w:rsidR="00732253" w:rsidRPr="00A2265D" w:rsidRDefault="00732253" w:rsidP="0032563C">
      <w:pPr>
        <w:pStyle w:val="ListParagraph"/>
        <w:numPr>
          <w:ilvl w:val="0"/>
          <w:numId w:val="39"/>
        </w:numPr>
        <w:shd w:val="clear" w:color="auto" w:fill="FFFFFF"/>
        <w:spacing w:after="0" w:line="360" w:lineRule="exact"/>
        <w:ind w:left="0" w:firstLine="556"/>
        <w:jc w:val="both"/>
        <w:rPr>
          <w:rFonts w:ascii="Times New Roman" w:hAnsi="Times New Roman" w:cs="Times New Roman"/>
          <w:sz w:val="28"/>
          <w:szCs w:val="28"/>
        </w:rPr>
      </w:pPr>
      <w:r w:rsidRPr="00A2265D">
        <w:rPr>
          <w:rFonts w:ascii="Times New Roman" w:hAnsi="Times New Roman" w:cs="Times New Roman"/>
          <w:sz w:val="28"/>
          <w:szCs w:val="28"/>
        </w:rPr>
        <w:t>The establishment of the ports and their development in India was determined by geographical and national rather than provincial considerations. During the First Great War extensions and improvements to the port of Bombay costing some Rs. 10 crores were effected by 1919</w:t>
      </w:r>
      <w:r w:rsidR="0032563C">
        <w:rPr>
          <w:rStyle w:val="FootnoteReference"/>
          <w:rFonts w:ascii="Times New Roman" w:hAnsi="Times New Roman" w:cs="Times New Roman"/>
          <w:sz w:val="28"/>
          <w:szCs w:val="28"/>
        </w:rPr>
        <w:footnoteReference w:id="21"/>
      </w:r>
      <w:r w:rsidRPr="00A2265D">
        <w:rPr>
          <w:rFonts w:ascii="Times New Roman" w:hAnsi="Times New Roman" w:cs="Times New Roman"/>
          <w:sz w:val="28"/>
          <w:szCs w:val="28"/>
        </w:rPr>
        <w:t xml:space="preserve">. An expenditure of Rs. 8 crores is now recommended by the Planning Commission for the creation of port facilities for the oil refineries proposed to be set up at Bombay. Loans to the extent of Rs. 12 crores by the Centre are recommended for the development of the five major ports, including Calcutta and Bombay. Apart from benefitting the national economy, the development of the ports cannot but result in improving the economic activity at the port centres, </w:t>
      </w:r>
      <w:r w:rsidRPr="00A2265D">
        <w:rPr>
          <w:rFonts w:ascii="Times New Roman" w:hAnsi="Times New Roman" w:cs="Times New Roman"/>
          <w:sz w:val="28"/>
          <w:szCs w:val="28"/>
        </w:rPr>
        <w:lastRenderedPageBreak/>
        <w:t>in raising the incomes and in further concentrating tax collections there. Of the total sea-borne trade valued at Rs. 1166 crores in 1950-51, imports and exports of the value of Rs. 1147 crores passed through the ports in the three States—West Bengal, Bombay and Madras. The distribution trade which is largely centred at Bombay and Calcutta is assessed to over 18 and 9 crores (including super-tax) respectively in 1949-50.</w:t>
      </w:r>
    </w:p>
    <w:p w14:paraId="2123C503" w14:textId="21557C63" w:rsidR="00732253" w:rsidRPr="0032563C" w:rsidRDefault="00732253" w:rsidP="0032563C">
      <w:pPr>
        <w:pStyle w:val="ListParagraph"/>
        <w:numPr>
          <w:ilvl w:val="0"/>
          <w:numId w:val="39"/>
        </w:numPr>
        <w:shd w:val="clear" w:color="auto" w:fill="FFFFFF"/>
        <w:spacing w:after="0" w:line="360" w:lineRule="exact"/>
        <w:ind w:left="0" w:firstLine="556"/>
        <w:jc w:val="both"/>
        <w:rPr>
          <w:rFonts w:ascii="Times New Roman" w:hAnsi="Times New Roman" w:cs="Times New Roman"/>
          <w:sz w:val="28"/>
          <w:szCs w:val="28"/>
        </w:rPr>
      </w:pPr>
      <w:r w:rsidRPr="00A2265D">
        <w:rPr>
          <w:rFonts w:ascii="Times New Roman" w:hAnsi="Times New Roman" w:cs="Times New Roman"/>
          <w:sz w:val="28"/>
          <w:szCs w:val="28"/>
        </w:rPr>
        <w:t>It is not a universal feature of federal systems that a company incorporated in one State can transact business as of right in another State. In the United States though there has been a tendency towards uniformity of treatment of corporations, the right of a State to exclude a company incorporated in another State of the Union from doing business within the territory of the former or subject it to discriminatory taxation as a condition to its doing business has been recognized and affirmed</w:t>
      </w:r>
      <w:r w:rsidR="0032563C" w:rsidRPr="0032563C">
        <w:rPr>
          <w:vertAlign w:val="superscript"/>
        </w:rPr>
        <w:footnoteReference w:id="22"/>
      </w:r>
      <w:r w:rsidRPr="00A2265D">
        <w:rPr>
          <w:rFonts w:ascii="Times New Roman" w:hAnsi="Times New Roman" w:cs="Times New Roman"/>
          <w:sz w:val="28"/>
          <w:szCs w:val="28"/>
        </w:rPr>
        <w:t>. The States viewed with</w:t>
      </w:r>
      <w:r w:rsidR="0032563C">
        <w:rPr>
          <w:rFonts w:ascii="Times New Roman" w:hAnsi="Times New Roman" w:cs="Times New Roman"/>
          <w:sz w:val="28"/>
          <w:szCs w:val="28"/>
        </w:rPr>
        <w:t xml:space="preserve"> </w:t>
      </w:r>
      <w:r w:rsidRPr="0032563C">
        <w:rPr>
          <w:rFonts w:ascii="Times New Roman" w:hAnsi="Times New Roman" w:cs="Times New Roman"/>
          <w:sz w:val="28"/>
          <w:szCs w:val="28"/>
        </w:rPr>
        <w:t>apprehension the expansion of business by companies incorporated in other States of the Union</w:t>
      </w:r>
      <w:r w:rsidR="0032563C">
        <w:rPr>
          <w:rStyle w:val="FootnoteReference"/>
          <w:rFonts w:ascii="Times New Roman" w:hAnsi="Times New Roman" w:cs="Times New Roman"/>
          <w:sz w:val="28"/>
          <w:szCs w:val="28"/>
        </w:rPr>
        <w:footnoteReference w:id="23"/>
      </w:r>
      <w:r w:rsidRPr="0032563C">
        <w:rPr>
          <w:rFonts w:ascii="Times New Roman" w:hAnsi="Times New Roman" w:cs="Times New Roman"/>
          <w:sz w:val="28"/>
          <w:szCs w:val="28"/>
        </w:rPr>
        <w:t>.</w:t>
      </w:r>
    </w:p>
    <w:p w14:paraId="7449D5C2" w14:textId="1367BCC4" w:rsidR="00732253" w:rsidRPr="0032563C" w:rsidRDefault="00732253" w:rsidP="0032563C">
      <w:pPr>
        <w:shd w:val="clear" w:color="auto" w:fill="FFFFFF"/>
        <w:spacing w:after="0" w:line="360" w:lineRule="exact"/>
        <w:ind w:firstLine="709"/>
        <w:jc w:val="both"/>
        <w:rPr>
          <w:rFonts w:ascii="Times New Roman" w:hAnsi="Times New Roman" w:cs="Times New Roman"/>
          <w:sz w:val="28"/>
          <w:szCs w:val="28"/>
        </w:rPr>
      </w:pPr>
      <w:r w:rsidRPr="0032563C">
        <w:rPr>
          <w:rFonts w:ascii="Times New Roman" w:hAnsi="Times New Roman" w:cs="Times New Roman"/>
          <w:sz w:val="28"/>
          <w:szCs w:val="28"/>
        </w:rPr>
        <w:t>In Australia, it would appear that the guarantee given to the subjects resident in one State against disability or discrimination is not available to a company incorporated under the law of one State but carrying on business in another</w:t>
      </w:r>
      <w:r w:rsidR="0032563C">
        <w:rPr>
          <w:rStyle w:val="FootnoteReference"/>
          <w:rFonts w:ascii="Times New Roman" w:hAnsi="Times New Roman" w:cs="Times New Roman"/>
          <w:sz w:val="28"/>
          <w:szCs w:val="28"/>
        </w:rPr>
        <w:footnoteReference w:id="24"/>
      </w:r>
      <w:r w:rsidRPr="0032563C">
        <w:rPr>
          <w:rFonts w:ascii="Times New Roman" w:hAnsi="Times New Roman" w:cs="Times New Roman"/>
          <w:sz w:val="28"/>
          <w:szCs w:val="28"/>
        </w:rPr>
        <w:t>. A non-resident corporation may be taxed at a higher rate than that applicable to a resident corporation</w:t>
      </w:r>
      <w:r w:rsidR="0032563C">
        <w:rPr>
          <w:rStyle w:val="FootnoteReference"/>
          <w:rFonts w:ascii="Times New Roman" w:hAnsi="Times New Roman" w:cs="Times New Roman"/>
          <w:sz w:val="28"/>
          <w:szCs w:val="28"/>
        </w:rPr>
        <w:footnoteReference w:id="25"/>
      </w:r>
      <w:r w:rsidRPr="0032563C">
        <w:rPr>
          <w:rFonts w:ascii="Times New Roman" w:hAnsi="Times New Roman" w:cs="Times New Roman"/>
          <w:sz w:val="28"/>
          <w:szCs w:val="28"/>
        </w:rPr>
        <w:t>.</w:t>
      </w:r>
    </w:p>
    <w:p w14:paraId="4F9A733B" w14:textId="0FE642BC" w:rsidR="00732253" w:rsidRPr="00A2265D" w:rsidRDefault="00732253" w:rsidP="0032563C">
      <w:pPr>
        <w:shd w:val="clear" w:color="auto" w:fill="FFFFFF"/>
        <w:spacing w:after="0" w:line="360" w:lineRule="exact"/>
        <w:ind w:firstLine="709"/>
        <w:jc w:val="both"/>
        <w:rPr>
          <w:rFonts w:ascii="Times New Roman" w:hAnsi="Times New Roman" w:cs="Times New Roman"/>
          <w:sz w:val="28"/>
          <w:szCs w:val="28"/>
        </w:rPr>
      </w:pPr>
      <w:r w:rsidRPr="00A2265D">
        <w:rPr>
          <w:rFonts w:ascii="Times New Roman" w:hAnsi="Times New Roman" w:cs="Times New Roman"/>
          <w:sz w:val="28"/>
          <w:szCs w:val="28"/>
        </w:rPr>
        <w:t>In Canada, the Provinces have the right to raise revenue for provincial purposes by taxing extra-provincial corporations including Dominion corporations under the powers of licensing and of direct taxation</w:t>
      </w:r>
      <w:r w:rsidR="0032563C">
        <w:rPr>
          <w:rStyle w:val="FootnoteReference"/>
          <w:rFonts w:ascii="Times New Roman" w:hAnsi="Times New Roman" w:cs="Times New Roman"/>
          <w:sz w:val="28"/>
          <w:szCs w:val="28"/>
        </w:rPr>
        <w:footnoteReference w:id="26"/>
      </w:r>
      <w:r w:rsidRPr="00A2265D">
        <w:rPr>
          <w:rFonts w:ascii="Times New Roman" w:hAnsi="Times New Roman" w:cs="Times New Roman"/>
          <w:sz w:val="28"/>
          <w:szCs w:val="28"/>
        </w:rPr>
        <w:t>. For example, a Province can impose a tax on a bank incorporated in another Province, proportioned to the paid-up capital of the bank and the number of office opened by the bank in the taxing Province</w:t>
      </w:r>
      <w:r w:rsidR="0032563C">
        <w:rPr>
          <w:rStyle w:val="FootnoteReference"/>
          <w:rFonts w:ascii="Times New Roman" w:hAnsi="Times New Roman" w:cs="Times New Roman"/>
          <w:sz w:val="28"/>
          <w:szCs w:val="28"/>
        </w:rPr>
        <w:footnoteReference w:id="27"/>
      </w:r>
      <w:r w:rsidRPr="00A2265D">
        <w:rPr>
          <w:rFonts w:ascii="Times New Roman" w:hAnsi="Times New Roman" w:cs="Times New Roman"/>
          <w:sz w:val="28"/>
          <w:szCs w:val="28"/>
        </w:rPr>
        <w:t>.</w:t>
      </w:r>
    </w:p>
    <w:p w14:paraId="73436CBB" w14:textId="3F2F9526" w:rsidR="00732253" w:rsidRPr="00A2265D" w:rsidRDefault="00732253" w:rsidP="0032563C">
      <w:pPr>
        <w:pStyle w:val="ListParagraph"/>
        <w:numPr>
          <w:ilvl w:val="0"/>
          <w:numId w:val="39"/>
        </w:numPr>
        <w:shd w:val="clear" w:color="auto" w:fill="FFFFFF"/>
        <w:spacing w:after="0" w:line="360" w:lineRule="exact"/>
        <w:ind w:left="0" w:firstLine="556"/>
        <w:jc w:val="both"/>
        <w:rPr>
          <w:rFonts w:ascii="Times New Roman" w:hAnsi="Times New Roman" w:cs="Times New Roman"/>
          <w:sz w:val="28"/>
          <w:szCs w:val="28"/>
        </w:rPr>
      </w:pPr>
      <w:r w:rsidRPr="00A2265D">
        <w:rPr>
          <w:rFonts w:ascii="Times New Roman" w:hAnsi="Times New Roman" w:cs="Times New Roman"/>
          <w:sz w:val="28"/>
          <w:szCs w:val="28"/>
        </w:rPr>
        <w:t>The States in India can tax professions, trades, callings and employments. But the power is limited by Article 276 of the Constitution. The total amount payable by any one person to the State or to any local authority etc. cannot exceed Rs. 250.</w:t>
      </w:r>
    </w:p>
    <w:p w14:paraId="7CAF3B04" w14:textId="1E0F4C96" w:rsidR="00732253" w:rsidRPr="00A2265D" w:rsidRDefault="00732253" w:rsidP="0032563C">
      <w:pPr>
        <w:pStyle w:val="ListParagraph"/>
        <w:numPr>
          <w:ilvl w:val="0"/>
          <w:numId w:val="39"/>
        </w:numPr>
        <w:shd w:val="clear" w:color="auto" w:fill="FFFFFF"/>
        <w:spacing w:after="0" w:line="360" w:lineRule="exact"/>
        <w:ind w:left="0" w:firstLine="556"/>
        <w:jc w:val="both"/>
        <w:rPr>
          <w:rFonts w:ascii="Times New Roman" w:hAnsi="Times New Roman" w:cs="Times New Roman"/>
          <w:sz w:val="28"/>
          <w:szCs w:val="28"/>
        </w:rPr>
      </w:pPr>
      <w:r w:rsidRPr="00A2265D">
        <w:rPr>
          <w:rFonts w:ascii="Times New Roman" w:hAnsi="Times New Roman" w:cs="Times New Roman"/>
          <w:sz w:val="28"/>
          <w:szCs w:val="28"/>
        </w:rPr>
        <w:t xml:space="preserve">The magnitude of the corporate enterprise located in the two collection States is evident from the fact that out of about Rs. 567 crores of paid-up capital of </w:t>
      </w:r>
      <w:r w:rsidRPr="00A2265D">
        <w:rPr>
          <w:rFonts w:ascii="Times New Roman" w:hAnsi="Times New Roman" w:cs="Times New Roman"/>
          <w:sz w:val="28"/>
          <w:szCs w:val="28"/>
        </w:rPr>
        <w:lastRenderedPageBreak/>
        <w:t>companies registered in Part A and Part C States, Rs. 203 crores is accounted for by companies registered in Bombay and Rs. 225 crores by companies registered in West Bengal</w:t>
      </w:r>
      <w:r w:rsidR="0032563C">
        <w:rPr>
          <w:rStyle w:val="FootnoteReference"/>
          <w:rFonts w:ascii="Times New Roman" w:hAnsi="Times New Roman" w:cs="Times New Roman"/>
          <w:sz w:val="28"/>
          <w:szCs w:val="28"/>
        </w:rPr>
        <w:footnoteReference w:id="28"/>
      </w:r>
      <w:r w:rsidRPr="00A2265D">
        <w:rPr>
          <w:rFonts w:ascii="Times New Roman" w:hAnsi="Times New Roman" w:cs="Times New Roman"/>
          <w:sz w:val="28"/>
          <w:szCs w:val="28"/>
        </w:rPr>
        <w:t>. The companies are assessed annually to about Rs. 53 crores. The assessment in Bombay is over Rs. 25 crores and in West Bengal over Rs. 18 crores</w:t>
      </w:r>
      <w:r w:rsidR="00330671">
        <w:rPr>
          <w:rStyle w:val="FootnoteReference"/>
          <w:rFonts w:ascii="Times New Roman" w:hAnsi="Times New Roman" w:cs="Times New Roman"/>
          <w:sz w:val="28"/>
          <w:szCs w:val="28"/>
        </w:rPr>
        <w:footnoteReference w:id="29"/>
      </w:r>
      <w:r w:rsidRPr="00A2265D">
        <w:rPr>
          <w:rFonts w:ascii="Times New Roman" w:hAnsi="Times New Roman" w:cs="Times New Roman"/>
          <w:sz w:val="28"/>
          <w:szCs w:val="28"/>
        </w:rPr>
        <w:t>. The presence of corporate enterprise of such magnitude influences even the level of personal incomes.</w:t>
      </w:r>
    </w:p>
    <w:p w14:paraId="5620458F" w14:textId="6B2DE5D5" w:rsidR="00202594" w:rsidRPr="00330671" w:rsidRDefault="00732253" w:rsidP="00330671">
      <w:pPr>
        <w:pStyle w:val="ListParagraph"/>
        <w:numPr>
          <w:ilvl w:val="0"/>
          <w:numId w:val="39"/>
        </w:numPr>
        <w:shd w:val="clear" w:color="auto" w:fill="FFFFFF"/>
        <w:spacing w:after="0" w:line="360" w:lineRule="exact"/>
        <w:ind w:left="0" w:firstLine="556"/>
        <w:jc w:val="both"/>
        <w:rPr>
          <w:rFonts w:ascii="Times New Roman" w:hAnsi="Times New Roman" w:cs="Times New Roman"/>
          <w:sz w:val="28"/>
          <w:szCs w:val="28"/>
        </w:rPr>
      </w:pPr>
      <w:r w:rsidRPr="00A2265D">
        <w:rPr>
          <w:rFonts w:ascii="Times New Roman" w:hAnsi="Times New Roman" w:cs="Times New Roman"/>
          <w:sz w:val="28"/>
          <w:szCs w:val="28"/>
        </w:rPr>
        <w:t>Even in the working of Devolution Rule 15 some ad hoc arrangements had to be made with regard to the allocation of income-tax of companies carrying on production in one Province but assessed</w:t>
      </w:r>
      <w:r w:rsidR="00330671">
        <w:rPr>
          <w:rFonts w:ascii="Times New Roman" w:hAnsi="Times New Roman" w:cs="Times New Roman"/>
          <w:sz w:val="28"/>
          <w:szCs w:val="28"/>
        </w:rPr>
        <w:t xml:space="preserve"> </w:t>
      </w:r>
      <w:r w:rsidR="00202594" w:rsidRPr="00330671">
        <w:rPr>
          <w:rFonts w:ascii="Times New Roman" w:hAnsi="Times New Roman" w:cs="Times New Roman"/>
          <w:sz w:val="28"/>
          <w:szCs w:val="28"/>
        </w:rPr>
        <w:t>to tax in another. The Province in which the production was carried on was credited with 70 to 85 per cent of the tax and the rest was credited to the Province in which the tax was paid</w:t>
      </w:r>
      <w:r w:rsidR="00330671">
        <w:rPr>
          <w:rStyle w:val="FootnoteReference"/>
          <w:rFonts w:ascii="Times New Roman" w:hAnsi="Times New Roman" w:cs="Times New Roman"/>
          <w:sz w:val="28"/>
          <w:szCs w:val="28"/>
        </w:rPr>
        <w:footnoteReference w:id="30"/>
      </w:r>
      <w:r w:rsidR="00202594" w:rsidRPr="00330671">
        <w:rPr>
          <w:rFonts w:ascii="Times New Roman" w:hAnsi="Times New Roman" w:cs="Times New Roman"/>
          <w:sz w:val="28"/>
          <w:szCs w:val="28"/>
        </w:rPr>
        <w:t>. The question was then regarded as one concerning only these two Provinces. But this is only a superficial view. For example, the leading steel company which is now paying about a crore as tax has its production works in Bihar, but the sources of its mineral ores are in Orissa, Bihar and Madhya Pradesh. Though its registered office is in Bombay, the head sales office is in Calcutta with branches in different States of the country.</w:t>
      </w:r>
    </w:p>
    <w:p w14:paraId="2F19617B" w14:textId="18CBECC7" w:rsidR="00202594" w:rsidRPr="00A2265D" w:rsidRDefault="00202594" w:rsidP="00330671">
      <w:pPr>
        <w:pStyle w:val="ListParagraph"/>
        <w:numPr>
          <w:ilvl w:val="0"/>
          <w:numId w:val="39"/>
        </w:numPr>
        <w:shd w:val="clear" w:color="auto" w:fill="FFFFFF"/>
        <w:spacing w:after="0" w:line="360" w:lineRule="exact"/>
        <w:ind w:left="0" w:firstLine="556"/>
        <w:jc w:val="both"/>
        <w:rPr>
          <w:rFonts w:ascii="Times New Roman" w:hAnsi="Times New Roman" w:cs="Times New Roman"/>
          <w:sz w:val="28"/>
          <w:szCs w:val="28"/>
        </w:rPr>
      </w:pPr>
      <w:r w:rsidRPr="00A2265D">
        <w:rPr>
          <w:rFonts w:ascii="Times New Roman" w:hAnsi="Times New Roman" w:cs="Times New Roman"/>
          <w:sz w:val="28"/>
          <w:szCs w:val="28"/>
        </w:rPr>
        <w:t>The Commission have rejected collection as the sole or even a major factor in the distribution of the tax. That uniform tax has a tendency to concentrate collections is evident from the shift in collections from some of the territories now comprised in Part B States as a result of integration. The non-residents who used to pay tax in those States need no longer pay them there.</w:t>
      </w:r>
    </w:p>
    <w:p w14:paraId="7BBD800D" w14:textId="32355FD9" w:rsidR="00202594" w:rsidRPr="00A2265D" w:rsidRDefault="00202594" w:rsidP="00330671">
      <w:pPr>
        <w:pStyle w:val="ListParagraph"/>
        <w:numPr>
          <w:ilvl w:val="0"/>
          <w:numId w:val="39"/>
        </w:numPr>
        <w:shd w:val="clear" w:color="auto" w:fill="FFFFFF"/>
        <w:spacing w:after="0" w:line="360" w:lineRule="exact"/>
        <w:ind w:left="0" w:firstLine="556"/>
        <w:jc w:val="both"/>
        <w:rPr>
          <w:rFonts w:ascii="Times New Roman" w:hAnsi="Times New Roman" w:cs="Times New Roman"/>
          <w:sz w:val="28"/>
          <w:szCs w:val="28"/>
        </w:rPr>
      </w:pPr>
      <w:r w:rsidRPr="00A2265D">
        <w:rPr>
          <w:rFonts w:ascii="Times New Roman" w:hAnsi="Times New Roman" w:cs="Times New Roman"/>
          <w:sz w:val="28"/>
          <w:szCs w:val="28"/>
        </w:rPr>
        <w:t>But the question is whether the contribution of a State should not enter into any scheme of distribution. The surplus which is taxed is the result of the efforts of individuals, the States and the nation as a whole. It is not that each State is a self-sufficient economic unit free to pursue its own economic policies joined in the Union only for the limited purposes of defence, external affairs and free commerce. With respect to the development and regulation of the national economy as a whole and particularly the industrial sector, the power of the Centre is either exclusive or dominant when concurrent. Central policies to augment production, though justifiable in the national interest, may have different results in different States. The extent of benefit or burden need not be the same in all the States. Under the Constitution the Centre when authorised by the Parliament can even pursue a policy of preference or discrimination for the purposes of dealing with a situation arising from scarcity of goods in any part of the territory of India</w:t>
      </w:r>
      <w:r w:rsidR="00330671">
        <w:rPr>
          <w:rStyle w:val="FootnoteReference"/>
          <w:rFonts w:ascii="Times New Roman" w:hAnsi="Times New Roman" w:cs="Times New Roman"/>
          <w:sz w:val="28"/>
          <w:szCs w:val="28"/>
        </w:rPr>
        <w:footnoteReference w:id="31"/>
      </w:r>
      <w:r w:rsidRPr="00A2265D">
        <w:rPr>
          <w:rFonts w:ascii="Times New Roman" w:hAnsi="Times New Roman" w:cs="Times New Roman"/>
          <w:sz w:val="28"/>
          <w:szCs w:val="28"/>
        </w:rPr>
        <w:t>.</w:t>
      </w:r>
    </w:p>
    <w:p w14:paraId="7DC51D6E" w14:textId="30A70A8C" w:rsidR="00202594" w:rsidRPr="00330671" w:rsidRDefault="00202594" w:rsidP="00330671">
      <w:pPr>
        <w:pStyle w:val="ListParagraph"/>
        <w:numPr>
          <w:ilvl w:val="0"/>
          <w:numId w:val="39"/>
        </w:numPr>
        <w:shd w:val="clear" w:color="auto" w:fill="FFFFFF"/>
        <w:spacing w:after="0" w:line="360" w:lineRule="exact"/>
        <w:ind w:left="0" w:firstLine="556"/>
        <w:jc w:val="both"/>
        <w:rPr>
          <w:rFonts w:ascii="Times New Roman" w:hAnsi="Times New Roman" w:cs="Times New Roman"/>
          <w:sz w:val="28"/>
          <w:szCs w:val="28"/>
        </w:rPr>
      </w:pPr>
      <w:r w:rsidRPr="00A2265D">
        <w:rPr>
          <w:rFonts w:ascii="Times New Roman" w:hAnsi="Times New Roman" w:cs="Times New Roman"/>
          <w:sz w:val="28"/>
          <w:szCs w:val="28"/>
        </w:rPr>
        <w:lastRenderedPageBreak/>
        <w:t>The two collection States are among the States deficit in food. The deficit is made good by procuring food at controlled prices from the surplus States and by the import of foodgrains. The Central Government has borne a part of the cost of the food subsidy in these two States. During the last six years from 1946-47 to 1951-52 the subsidising of imported foodgrains cost the Central Government about Rs. 112 crores. Of the above expenditure, over Rs. 40 crores was in Bombay</w:t>
      </w:r>
      <w:r w:rsidR="00330671">
        <w:rPr>
          <w:rFonts w:ascii="Times New Roman" w:hAnsi="Times New Roman" w:cs="Times New Roman"/>
          <w:sz w:val="28"/>
          <w:szCs w:val="28"/>
        </w:rPr>
        <w:t xml:space="preserve"> </w:t>
      </w:r>
      <w:r w:rsidRPr="00330671">
        <w:rPr>
          <w:rFonts w:ascii="Times New Roman" w:hAnsi="Times New Roman" w:cs="Times New Roman"/>
          <w:sz w:val="28"/>
          <w:szCs w:val="28"/>
        </w:rPr>
        <w:t>and nearly Rs. 10 crores in Bengal</w:t>
      </w:r>
      <w:r w:rsidR="00330671">
        <w:rPr>
          <w:rStyle w:val="FootnoteReference"/>
          <w:rFonts w:ascii="Times New Roman" w:hAnsi="Times New Roman" w:cs="Times New Roman"/>
          <w:sz w:val="28"/>
          <w:szCs w:val="28"/>
        </w:rPr>
        <w:footnoteReference w:id="32"/>
      </w:r>
      <w:r w:rsidRPr="00330671">
        <w:rPr>
          <w:rFonts w:ascii="Times New Roman" w:hAnsi="Times New Roman" w:cs="Times New Roman"/>
          <w:sz w:val="28"/>
          <w:szCs w:val="28"/>
        </w:rPr>
        <w:t>. Procurement and subsidy are ensuring the equitable supply of a vital necessity like food irrespective of provincial considerations. The result can, however, be viewed in two aspects—either as a direct benefit to the residents in the collection States or partly as an indirect subsidy to the industries concentrated there.</w:t>
      </w:r>
    </w:p>
    <w:p w14:paraId="0E071101" w14:textId="77777777" w:rsidR="00202594" w:rsidRPr="00A2265D" w:rsidRDefault="00202594" w:rsidP="00330671">
      <w:pPr>
        <w:shd w:val="clear" w:color="auto" w:fill="FFFFFF"/>
        <w:spacing w:after="0" w:line="360" w:lineRule="exact"/>
        <w:ind w:firstLine="709"/>
        <w:jc w:val="both"/>
        <w:rPr>
          <w:rFonts w:ascii="Times New Roman" w:hAnsi="Times New Roman" w:cs="Times New Roman"/>
          <w:sz w:val="28"/>
          <w:szCs w:val="28"/>
        </w:rPr>
      </w:pPr>
      <w:r w:rsidRPr="00A2265D">
        <w:rPr>
          <w:rFonts w:ascii="Times New Roman" w:hAnsi="Times New Roman" w:cs="Times New Roman"/>
          <w:sz w:val="28"/>
          <w:szCs w:val="28"/>
        </w:rPr>
        <w:t>The Five Year Plan recognizes food control to be executed as an all-India policy. The objective in view is to secure from each surplus State the maximum it can make available and to organize the procurement and distribution of grains in each deficit State.</w:t>
      </w:r>
    </w:p>
    <w:p w14:paraId="40241992" w14:textId="4BCD78EF" w:rsidR="00202594" w:rsidRPr="00A2265D" w:rsidRDefault="00202594" w:rsidP="00330671">
      <w:pPr>
        <w:pStyle w:val="ListParagraph"/>
        <w:numPr>
          <w:ilvl w:val="0"/>
          <w:numId w:val="39"/>
        </w:numPr>
        <w:shd w:val="clear" w:color="auto" w:fill="FFFFFF"/>
        <w:spacing w:after="0" w:line="360" w:lineRule="exact"/>
        <w:ind w:left="0" w:firstLine="556"/>
        <w:jc w:val="both"/>
        <w:rPr>
          <w:rFonts w:ascii="Times New Roman" w:hAnsi="Times New Roman" w:cs="Times New Roman"/>
          <w:sz w:val="28"/>
          <w:szCs w:val="28"/>
        </w:rPr>
      </w:pPr>
      <w:r w:rsidRPr="00A2265D">
        <w:rPr>
          <w:rFonts w:ascii="Times New Roman" w:hAnsi="Times New Roman" w:cs="Times New Roman"/>
          <w:sz w:val="28"/>
          <w:szCs w:val="28"/>
        </w:rPr>
        <w:t>The prices of important raw materials like cotton, coal and rubber are also being controlled. The textile industry in Bombay is assessed to over Rs. 11 crores (including super-tax). The rubber goods industry is assessed in Bombay and West Bengal to over Rs. 180 lakhs (including super-tax). The object of price control may be either to ensure floor prices or to ensure that the prices do not go beyond the ceiling. It is not to purpose to begin analysing what has been the effect of price control—whether it has benefited the producer of the raw material or the manufacturer. The level of the price of coal may have influenced the industrial profits in Bombay or the profits of the collieries in Bihar but assessed to tax in Bengal. The point is the Centre is in a position either to initiate or co-ordinate policies in regard to prices, the result of which may either depress incomes in certain States or raise them in others.</w:t>
      </w:r>
    </w:p>
    <w:p w14:paraId="43F5D772" w14:textId="1BE213DE" w:rsidR="00202594" w:rsidRPr="00A2265D" w:rsidRDefault="00202594" w:rsidP="00330671">
      <w:pPr>
        <w:pStyle w:val="ListParagraph"/>
        <w:numPr>
          <w:ilvl w:val="0"/>
          <w:numId w:val="39"/>
        </w:numPr>
        <w:shd w:val="clear" w:color="auto" w:fill="FFFFFF"/>
        <w:spacing w:after="0" w:line="360" w:lineRule="exact"/>
        <w:ind w:left="0" w:firstLine="556"/>
        <w:jc w:val="both"/>
        <w:rPr>
          <w:rFonts w:ascii="Times New Roman" w:hAnsi="Times New Roman" w:cs="Times New Roman"/>
          <w:sz w:val="28"/>
          <w:szCs w:val="28"/>
        </w:rPr>
      </w:pPr>
      <w:r w:rsidRPr="00A2265D">
        <w:rPr>
          <w:rFonts w:ascii="Times New Roman" w:hAnsi="Times New Roman" w:cs="Times New Roman"/>
          <w:sz w:val="28"/>
          <w:szCs w:val="28"/>
        </w:rPr>
        <w:t>The right of the States to tax mineral rights within their jurisdiction is subject to regulation by the Centre in the public interest</w:t>
      </w:r>
      <w:r w:rsidR="00330671">
        <w:rPr>
          <w:rStyle w:val="FootnoteReference"/>
          <w:rFonts w:ascii="Times New Roman" w:hAnsi="Times New Roman" w:cs="Times New Roman"/>
          <w:sz w:val="28"/>
          <w:szCs w:val="28"/>
        </w:rPr>
        <w:footnoteReference w:id="33"/>
      </w:r>
      <w:r w:rsidRPr="00A2265D">
        <w:rPr>
          <w:rFonts w:ascii="Times New Roman" w:hAnsi="Times New Roman" w:cs="Times New Roman"/>
          <w:sz w:val="28"/>
          <w:szCs w:val="28"/>
        </w:rPr>
        <w:t>. States like Bihar, Orissa and Madhya Pradesh have invited our attention to the loss resulting from the regulation of the rates of royalties under the rules recently made by the Centre</w:t>
      </w:r>
      <w:r w:rsidR="00330671">
        <w:rPr>
          <w:rStyle w:val="FootnoteReference"/>
          <w:rFonts w:ascii="Times New Roman" w:hAnsi="Times New Roman" w:cs="Times New Roman"/>
          <w:sz w:val="28"/>
          <w:szCs w:val="28"/>
        </w:rPr>
        <w:footnoteReference w:id="34"/>
      </w:r>
      <w:r w:rsidRPr="00A2265D">
        <w:rPr>
          <w:rFonts w:ascii="Times New Roman" w:hAnsi="Times New Roman" w:cs="Times New Roman"/>
          <w:sz w:val="28"/>
          <w:szCs w:val="28"/>
        </w:rPr>
        <w:t>.</w:t>
      </w:r>
    </w:p>
    <w:p w14:paraId="49570F59" w14:textId="64C93798" w:rsidR="00202594" w:rsidRPr="00A2265D" w:rsidRDefault="00202594" w:rsidP="00330671">
      <w:pPr>
        <w:pStyle w:val="ListParagraph"/>
        <w:numPr>
          <w:ilvl w:val="0"/>
          <w:numId w:val="39"/>
        </w:numPr>
        <w:shd w:val="clear" w:color="auto" w:fill="FFFFFF"/>
        <w:spacing w:after="0" w:line="360" w:lineRule="exact"/>
        <w:ind w:left="0" w:firstLine="556"/>
        <w:jc w:val="both"/>
        <w:rPr>
          <w:rFonts w:ascii="Times New Roman" w:hAnsi="Times New Roman" w:cs="Times New Roman"/>
          <w:sz w:val="28"/>
          <w:szCs w:val="28"/>
        </w:rPr>
      </w:pPr>
      <w:r w:rsidRPr="00A2265D">
        <w:rPr>
          <w:rFonts w:ascii="Times New Roman" w:hAnsi="Times New Roman" w:cs="Times New Roman"/>
          <w:sz w:val="28"/>
          <w:szCs w:val="28"/>
        </w:rPr>
        <w:t>An Act of Parliament</w:t>
      </w:r>
      <w:r w:rsidR="00330671">
        <w:rPr>
          <w:rStyle w:val="FootnoteReference"/>
          <w:rFonts w:ascii="Times New Roman" w:hAnsi="Times New Roman" w:cs="Times New Roman"/>
          <w:sz w:val="28"/>
          <w:szCs w:val="28"/>
        </w:rPr>
        <w:footnoteReference w:id="35"/>
      </w:r>
      <w:r w:rsidRPr="00A2265D">
        <w:rPr>
          <w:rFonts w:ascii="Times New Roman" w:hAnsi="Times New Roman" w:cs="Times New Roman"/>
          <w:sz w:val="28"/>
          <w:szCs w:val="28"/>
        </w:rPr>
        <w:t xml:space="preserve"> now governs the development and regulation of 37 industries engaged in the manufacture or production of textiles, cement, vanaspati, batteries, bicycles, machine tools, pharmaceutical drugs, rubber goods, leather goods, small and hand tools, etc. No person can start an industry unless he gets a licence from the Central Government. The permission may impose conditions as to the location of </w:t>
      </w:r>
      <w:r w:rsidRPr="00A2265D">
        <w:rPr>
          <w:rFonts w:ascii="Times New Roman" w:hAnsi="Times New Roman" w:cs="Times New Roman"/>
          <w:sz w:val="28"/>
          <w:szCs w:val="28"/>
        </w:rPr>
        <w:lastRenderedPageBreak/>
        <w:t>the industry and the minimum standards in respect of the size to be provided therein. The main object of this legislation is to conserve the national resources. Competition is reduced by eliminating ill-thought-out ventures. In the long run the law may also be conducive to the further expansion of some of the industries already well established in the collection States.</w:t>
      </w:r>
    </w:p>
    <w:p w14:paraId="22E39932" w14:textId="3DBEA605" w:rsidR="00202594" w:rsidRPr="00A2265D" w:rsidRDefault="00202594" w:rsidP="00330671">
      <w:pPr>
        <w:pStyle w:val="ListParagraph"/>
        <w:numPr>
          <w:ilvl w:val="0"/>
          <w:numId w:val="39"/>
        </w:numPr>
        <w:shd w:val="clear" w:color="auto" w:fill="FFFFFF"/>
        <w:spacing w:after="0" w:line="360" w:lineRule="exact"/>
        <w:ind w:left="0" w:firstLine="556"/>
        <w:jc w:val="both"/>
        <w:rPr>
          <w:rFonts w:ascii="Times New Roman" w:hAnsi="Times New Roman" w:cs="Times New Roman"/>
          <w:sz w:val="28"/>
          <w:szCs w:val="28"/>
        </w:rPr>
      </w:pPr>
      <w:r w:rsidRPr="00A2265D">
        <w:rPr>
          <w:rFonts w:ascii="Times New Roman" w:hAnsi="Times New Roman" w:cs="Times New Roman"/>
          <w:sz w:val="28"/>
          <w:szCs w:val="28"/>
        </w:rPr>
        <w:t>The Commission are not concerned with the merits of any particular policy which is in the sole discretion of the Central Government. It is not suggested that the policies are pursued with an intention to discriminate between the States. But the question here is about the results and not the intention.</w:t>
      </w:r>
    </w:p>
    <w:p w14:paraId="1078CFA2" w14:textId="7D9C1890" w:rsidR="00202594" w:rsidRPr="00A2265D" w:rsidRDefault="00202594" w:rsidP="00330671">
      <w:pPr>
        <w:pStyle w:val="ListParagraph"/>
        <w:numPr>
          <w:ilvl w:val="0"/>
          <w:numId w:val="39"/>
        </w:numPr>
        <w:shd w:val="clear" w:color="auto" w:fill="FFFFFF"/>
        <w:spacing w:after="0" w:line="360" w:lineRule="exact"/>
        <w:ind w:left="0" w:firstLine="556"/>
        <w:jc w:val="both"/>
        <w:rPr>
          <w:rFonts w:ascii="Times New Roman" w:hAnsi="Times New Roman" w:cs="Times New Roman"/>
          <w:sz w:val="28"/>
          <w:szCs w:val="28"/>
        </w:rPr>
      </w:pPr>
      <w:r w:rsidRPr="00A2265D">
        <w:rPr>
          <w:rFonts w:ascii="Times New Roman" w:hAnsi="Times New Roman" w:cs="Times New Roman"/>
          <w:sz w:val="28"/>
          <w:szCs w:val="28"/>
        </w:rPr>
        <w:t xml:space="preserve">Some States are more favourably endowed with natural resources than others. But the economy of the States is interdependent. As the economy of the country is being planned, it is coming to be regulated more according to national or social objectives than by the </w:t>
      </w:r>
      <w:r w:rsidR="00BF31A3" w:rsidRPr="00A2265D">
        <w:rPr>
          <w:rFonts w:ascii="Times New Roman" w:hAnsi="Times New Roman" w:cs="Times New Roman"/>
          <w:sz w:val="28"/>
          <w:szCs w:val="28"/>
        </w:rPr>
        <w:t>free play</w:t>
      </w:r>
      <w:r w:rsidRPr="00A2265D">
        <w:rPr>
          <w:rFonts w:ascii="Times New Roman" w:hAnsi="Times New Roman" w:cs="Times New Roman"/>
          <w:sz w:val="28"/>
          <w:szCs w:val="28"/>
        </w:rPr>
        <w:t xml:space="preserve"> of individual or regional interests. It is not possible to measure by the quantum of the taxes paid the relative contributions made by the States which are producing food and raw materials, supplying them at controlled prices and providing a market for finished goods and those which are increasing wealth by manufacture and sale of finished goods—also at times at controlled prices.</w:t>
      </w:r>
    </w:p>
    <w:p w14:paraId="05C243BC" w14:textId="77777777" w:rsidR="00202594" w:rsidRPr="00A2265D" w:rsidRDefault="00202594" w:rsidP="00330671">
      <w:pPr>
        <w:shd w:val="clear" w:color="auto" w:fill="FFFFFF"/>
        <w:spacing w:after="0" w:line="360" w:lineRule="exact"/>
        <w:ind w:firstLine="709"/>
        <w:jc w:val="both"/>
        <w:rPr>
          <w:rFonts w:ascii="Times New Roman" w:hAnsi="Times New Roman" w:cs="Times New Roman"/>
          <w:sz w:val="28"/>
          <w:szCs w:val="28"/>
        </w:rPr>
      </w:pPr>
      <w:r w:rsidRPr="00A2265D">
        <w:rPr>
          <w:rFonts w:ascii="Times New Roman" w:hAnsi="Times New Roman" w:cs="Times New Roman"/>
          <w:sz w:val="28"/>
          <w:szCs w:val="28"/>
        </w:rPr>
        <w:t>Nor is it possible to measure by reference to collections the contribution made by the consumer all over the country in respect of the tax paid by industries helped by tariffs. To illustrate, the match industry developed as a result of an almost prohibitive tariff amounting to 100 to 200 per cent ad valorem. One of the leading match companies pays tax between 16 to 31 lakhs a year at Bombay. It has its manufacturing units in three other States and also in the Andamans.</w:t>
      </w:r>
    </w:p>
    <w:p w14:paraId="08AD3A86" w14:textId="4BDCFAED" w:rsidR="00202594" w:rsidRPr="00A2265D" w:rsidRDefault="00202594" w:rsidP="00330671">
      <w:pPr>
        <w:pStyle w:val="ListParagraph"/>
        <w:numPr>
          <w:ilvl w:val="0"/>
          <w:numId w:val="39"/>
        </w:numPr>
        <w:shd w:val="clear" w:color="auto" w:fill="FFFFFF"/>
        <w:spacing w:after="0" w:line="360" w:lineRule="exact"/>
        <w:ind w:left="0" w:firstLine="556"/>
        <w:jc w:val="both"/>
        <w:rPr>
          <w:rFonts w:ascii="Times New Roman" w:hAnsi="Times New Roman" w:cs="Times New Roman"/>
          <w:sz w:val="28"/>
          <w:szCs w:val="28"/>
        </w:rPr>
      </w:pPr>
      <w:r w:rsidRPr="00A2265D">
        <w:rPr>
          <w:rFonts w:ascii="Times New Roman" w:hAnsi="Times New Roman" w:cs="Times New Roman"/>
          <w:sz w:val="28"/>
          <w:szCs w:val="28"/>
        </w:rPr>
        <w:t>It was, however, urged that a per capita distribution of the tax may be unfair as it ignores the additional burdens imposed on the States in which the industries are concentrated. The point has some force and requires careful consideration. The high level of prices and wages in such a State results in increasing the costs of provincial administration. The cost of maintenance of law and order and general administration is comparatively high in Bombay and West Bengal.</w:t>
      </w:r>
    </w:p>
    <w:p w14:paraId="78AAD522" w14:textId="77777777" w:rsidR="00202594" w:rsidRPr="00A2265D" w:rsidRDefault="00202594" w:rsidP="00330671">
      <w:pPr>
        <w:shd w:val="clear" w:color="auto" w:fill="FFFFFF"/>
        <w:spacing w:after="0" w:line="360" w:lineRule="exact"/>
        <w:ind w:firstLine="709"/>
        <w:jc w:val="both"/>
        <w:rPr>
          <w:rFonts w:ascii="Times New Roman" w:hAnsi="Times New Roman" w:cs="Times New Roman"/>
          <w:sz w:val="28"/>
          <w:szCs w:val="28"/>
        </w:rPr>
      </w:pPr>
      <w:r w:rsidRPr="00A2265D">
        <w:rPr>
          <w:rFonts w:ascii="Times New Roman" w:hAnsi="Times New Roman" w:cs="Times New Roman"/>
          <w:sz w:val="28"/>
          <w:szCs w:val="28"/>
        </w:rPr>
        <w:t>But all the burdens of an industrial economy are not on the States concerned. The Central Government is subsidising industrial housing schemes and has been advancing loans. The provision in the current year’s budget for industrial housing is Rs. 9 crores. Out of this amount the allocation between subsidies and loans is Rs. 324 and 392 lakhs respectively.</w:t>
      </w:r>
    </w:p>
    <w:p w14:paraId="0C4342A9" w14:textId="75D12668" w:rsidR="00202594" w:rsidRPr="00330671" w:rsidRDefault="00202594" w:rsidP="00330671">
      <w:pPr>
        <w:pStyle w:val="ListParagraph"/>
        <w:numPr>
          <w:ilvl w:val="0"/>
          <w:numId w:val="39"/>
        </w:numPr>
        <w:shd w:val="clear" w:color="auto" w:fill="FFFFFF"/>
        <w:spacing w:after="0" w:line="360" w:lineRule="exact"/>
        <w:ind w:left="0" w:firstLine="556"/>
        <w:jc w:val="both"/>
        <w:rPr>
          <w:rFonts w:ascii="Times New Roman" w:hAnsi="Times New Roman" w:cs="Times New Roman"/>
          <w:sz w:val="28"/>
          <w:szCs w:val="28"/>
        </w:rPr>
      </w:pPr>
      <w:r w:rsidRPr="00A2265D">
        <w:rPr>
          <w:rFonts w:ascii="Times New Roman" w:hAnsi="Times New Roman" w:cs="Times New Roman"/>
          <w:sz w:val="28"/>
          <w:szCs w:val="28"/>
        </w:rPr>
        <w:t>An industrial and commercial economy confers benefits as well which are apt to be reflected under the State heads of revenue. Thus Bombay and Bengal which together have 21</w:t>
      </w:r>
      <w:r w:rsidR="00614FE6">
        <w:rPr>
          <w:rFonts w:ascii="Times New Roman" w:hAnsi="Times New Roman" w:cs="Times New Roman"/>
          <w:sz w:val="28"/>
          <w:szCs w:val="28"/>
        </w:rPr>
        <w:t>.</w:t>
      </w:r>
      <w:r w:rsidRPr="00A2265D">
        <w:rPr>
          <w:rFonts w:ascii="Times New Roman" w:hAnsi="Times New Roman" w:cs="Times New Roman"/>
          <w:sz w:val="28"/>
          <w:szCs w:val="28"/>
        </w:rPr>
        <w:t xml:space="preserve">8 per cent of the population in Part A States are, largely </w:t>
      </w:r>
      <w:r w:rsidRPr="00A2265D">
        <w:rPr>
          <w:rFonts w:ascii="Times New Roman" w:hAnsi="Times New Roman" w:cs="Times New Roman"/>
          <w:sz w:val="28"/>
          <w:szCs w:val="28"/>
        </w:rPr>
        <w:lastRenderedPageBreak/>
        <w:t>because of the concentration of industry and commerce within their States, in a position to tax for State purposes about 52 (24 and 28) per cent of the motor vehicles</w:t>
      </w:r>
      <w:r w:rsidR="00330671">
        <w:rPr>
          <w:rStyle w:val="FootnoteReference"/>
          <w:rFonts w:ascii="Times New Roman" w:hAnsi="Times New Roman" w:cs="Times New Roman"/>
          <w:sz w:val="28"/>
          <w:szCs w:val="28"/>
        </w:rPr>
        <w:footnoteReference w:id="36"/>
      </w:r>
      <w:r w:rsidRPr="00A2265D">
        <w:rPr>
          <w:rFonts w:ascii="Times New Roman" w:hAnsi="Times New Roman" w:cs="Times New Roman"/>
          <w:sz w:val="28"/>
          <w:szCs w:val="28"/>
        </w:rPr>
        <w:t>, 42 (25 and 17) per cent of motor spirit consumed</w:t>
      </w:r>
      <w:r w:rsidR="00330671">
        <w:rPr>
          <w:rStyle w:val="FootnoteReference"/>
          <w:rFonts w:ascii="Times New Roman" w:hAnsi="Times New Roman" w:cs="Times New Roman"/>
          <w:sz w:val="28"/>
          <w:szCs w:val="28"/>
        </w:rPr>
        <w:footnoteReference w:id="37"/>
      </w:r>
      <w:r w:rsidRPr="00A2265D">
        <w:rPr>
          <w:rFonts w:ascii="Times New Roman" w:hAnsi="Times New Roman" w:cs="Times New Roman"/>
          <w:sz w:val="28"/>
          <w:szCs w:val="28"/>
        </w:rPr>
        <w:t xml:space="preserve"> and subject to</w:t>
      </w:r>
      <w:r w:rsidR="00330671">
        <w:rPr>
          <w:rFonts w:ascii="Times New Roman" w:hAnsi="Times New Roman" w:cs="Times New Roman"/>
          <w:sz w:val="28"/>
          <w:szCs w:val="28"/>
        </w:rPr>
        <w:t xml:space="preserve"> </w:t>
      </w:r>
      <w:r w:rsidRPr="00330671">
        <w:rPr>
          <w:rFonts w:ascii="Times New Roman" w:hAnsi="Times New Roman" w:cs="Times New Roman"/>
          <w:sz w:val="28"/>
          <w:szCs w:val="28"/>
        </w:rPr>
        <w:t>Arts. 287-288, 67 (41 and 26) per cent of the electricity sold</w:t>
      </w:r>
      <w:r w:rsidR="00330671">
        <w:rPr>
          <w:rStyle w:val="FootnoteReference"/>
          <w:rFonts w:ascii="Times New Roman" w:hAnsi="Times New Roman" w:cs="Times New Roman"/>
          <w:sz w:val="28"/>
          <w:szCs w:val="28"/>
        </w:rPr>
        <w:footnoteReference w:id="38"/>
      </w:r>
      <w:r w:rsidRPr="00330671">
        <w:rPr>
          <w:rFonts w:ascii="Times New Roman" w:hAnsi="Times New Roman" w:cs="Times New Roman"/>
          <w:sz w:val="28"/>
          <w:szCs w:val="28"/>
        </w:rPr>
        <w:t xml:space="preserve"> in all the Part A States.</w:t>
      </w:r>
    </w:p>
    <w:p w14:paraId="0B6107EB" w14:textId="5CDB421D" w:rsidR="00202594" w:rsidRPr="00A2265D" w:rsidRDefault="00202594" w:rsidP="00330671">
      <w:pPr>
        <w:pStyle w:val="ListParagraph"/>
        <w:numPr>
          <w:ilvl w:val="0"/>
          <w:numId w:val="39"/>
        </w:numPr>
        <w:shd w:val="clear" w:color="auto" w:fill="FFFFFF"/>
        <w:spacing w:after="0" w:line="360" w:lineRule="exact"/>
        <w:ind w:left="0" w:firstLine="556"/>
        <w:jc w:val="both"/>
        <w:rPr>
          <w:rFonts w:ascii="Times New Roman" w:hAnsi="Times New Roman" w:cs="Times New Roman"/>
          <w:sz w:val="28"/>
          <w:szCs w:val="28"/>
        </w:rPr>
      </w:pPr>
      <w:r w:rsidRPr="00A2265D">
        <w:rPr>
          <w:rFonts w:ascii="Times New Roman" w:hAnsi="Times New Roman" w:cs="Times New Roman"/>
          <w:sz w:val="28"/>
          <w:szCs w:val="28"/>
        </w:rPr>
        <w:t>The wages and salaries paid in the two collection States by the manufacturing industries alone indicate the comparative strength of their economic position. In 1948 out of about Rs. 132 crores of the total wages paid to workers and about Rs. 26 crores of salaries paid in the Part A States, the workers in Bombay received over Rs. 62 crores and the workers in Bengal received over Rs. 33 crores. The salaries paid are over Rs. 8 crores in Bombay and over Rs. 7 crores in Bengal</w:t>
      </w:r>
      <w:r w:rsidR="00330671">
        <w:rPr>
          <w:rStyle w:val="FootnoteReference"/>
          <w:rFonts w:ascii="Times New Roman" w:hAnsi="Times New Roman" w:cs="Times New Roman"/>
          <w:sz w:val="28"/>
          <w:szCs w:val="28"/>
        </w:rPr>
        <w:footnoteReference w:id="39"/>
      </w:r>
      <w:r w:rsidRPr="00A2265D">
        <w:rPr>
          <w:rFonts w:ascii="Times New Roman" w:hAnsi="Times New Roman" w:cs="Times New Roman"/>
          <w:sz w:val="28"/>
          <w:szCs w:val="28"/>
        </w:rPr>
        <w:t xml:space="preserve">. Because of this large purchasing power, relative to the population, the receipts under the taxes on sales, luxuries, amusements and entertainments are likely to be higher. Again the yield under the head of ‘general stamps’ must necessarily be higher in the States in which the commercial and business activities of the nation are </w:t>
      </w:r>
      <w:r w:rsidR="00BF31A3" w:rsidRPr="00A2265D">
        <w:rPr>
          <w:rFonts w:ascii="Times New Roman" w:hAnsi="Times New Roman" w:cs="Times New Roman"/>
          <w:sz w:val="28"/>
          <w:szCs w:val="28"/>
        </w:rPr>
        <w:t>cantered</w:t>
      </w:r>
      <w:r w:rsidRPr="00A2265D">
        <w:rPr>
          <w:rFonts w:ascii="Times New Roman" w:hAnsi="Times New Roman" w:cs="Times New Roman"/>
          <w:sz w:val="28"/>
          <w:szCs w:val="28"/>
        </w:rPr>
        <w:t>.</w:t>
      </w:r>
    </w:p>
    <w:p w14:paraId="24797087" w14:textId="77777777" w:rsidR="00202594" w:rsidRPr="00A2265D" w:rsidRDefault="00202594" w:rsidP="00330671">
      <w:pPr>
        <w:shd w:val="clear" w:color="auto" w:fill="FFFFFF"/>
        <w:spacing w:after="0" w:line="360" w:lineRule="exact"/>
        <w:ind w:firstLine="709"/>
        <w:jc w:val="both"/>
        <w:rPr>
          <w:rFonts w:ascii="Times New Roman" w:hAnsi="Times New Roman" w:cs="Times New Roman"/>
          <w:sz w:val="28"/>
          <w:szCs w:val="28"/>
        </w:rPr>
      </w:pPr>
      <w:r w:rsidRPr="00A2265D">
        <w:rPr>
          <w:rFonts w:ascii="Times New Roman" w:hAnsi="Times New Roman" w:cs="Times New Roman"/>
          <w:sz w:val="28"/>
          <w:szCs w:val="28"/>
        </w:rPr>
        <w:t>It is not suggested that in an industrial State every head of State revenue can be taken to the highest pitch. But the sources of revenue available to such a State are more varied and lucrative than in other States.</w:t>
      </w:r>
    </w:p>
    <w:p w14:paraId="61DEC0AF" w14:textId="76A5B7C4" w:rsidR="00202594" w:rsidRPr="00A2265D" w:rsidRDefault="00202594" w:rsidP="00330671">
      <w:pPr>
        <w:pStyle w:val="ListParagraph"/>
        <w:numPr>
          <w:ilvl w:val="0"/>
          <w:numId w:val="39"/>
        </w:numPr>
        <w:shd w:val="clear" w:color="auto" w:fill="FFFFFF"/>
        <w:spacing w:after="0" w:line="360" w:lineRule="exact"/>
        <w:ind w:left="0" w:firstLine="556"/>
        <w:jc w:val="both"/>
        <w:rPr>
          <w:rFonts w:ascii="Times New Roman" w:hAnsi="Times New Roman" w:cs="Times New Roman"/>
          <w:sz w:val="28"/>
          <w:szCs w:val="28"/>
        </w:rPr>
      </w:pPr>
      <w:r w:rsidRPr="00A2265D">
        <w:rPr>
          <w:rFonts w:ascii="Times New Roman" w:hAnsi="Times New Roman" w:cs="Times New Roman"/>
          <w:sz w:val="28"/>
          <w:szCs w:val="28"/>
        </w:rPr>
        <w:t>In the industrial States in urban areas the local authorities are in a position to relieve the State Government from the responsibility of providing certain social services. The budgets of the corporations of the two collection cities are of nearly the same dimensions as of some of the smaller States in the Union. The scope for the taxes on professions, trades and callings in the very nature of things is comparatively large in States where industry and commerce are most concentrated.</w:t>
      </w:r>
    </w:p>
    <w:p w14:paraId="3992EB04" w14:textId="77777777" w:rsidR="00202594" w:rsidRPr="00A2265D" w:rsidRDefault="00202594" w:rsidP="00330671">
      <w:pPr>
        <w:pStyle w:val="ListParagraph"/>
        <w:numPr>
          <w:ilvl w:val="0"/>
          <w:numId w:val="39"/>
        </w:numPr>
        <w:shd w:val="clear" w:color="auto" w:fill="FFFFFF"/>
        <w:spacing w:after="0" w:line="360" w:lineRule="exact"/>
        <w:ind w:left="0" w:firstLine="556"/>
        <w:jc w:val="both"/>
        <w:rPr>
          <w:rFonts w:ascii="Times New Roman" w:hAnsi="Times New Roman" w:cs="Times New Roman"/>
          <w:sz w:val="28"/>
          <w:szCs w:val="28"/>
        </w:rPr>
      </w:pPr>
      <w:r w:rsidRPr="00A2265D">
        <w:rPr>
          <w:rFonts w:ascii="Times New Roman" w:hAnsi="Times New Roman" w:cs="Times New Roman"/>
          <w:sz w:val="28"/>
          <w:szCs w:val="28"/>
        </w:rPr>
        <w:t>Even if some allowance has to be made because of the higher costs of administration to be maintained in an industrial State, it is worthwhile to consider whether the factor of industrial labour in each State, suggested by Bombay, is not a more satisfactory factor to enter into the formula for distribution than the concept of collection.</w:t>
      </w:r>
    </w:p>
    <w:p w14:paraId="0909D634" w14:textId="7AD4B240" w:rsidR="00202594" w:rsidRPr="00330671" w:rsidRDefault="00202594" w:rsidP="00330671">
      <w:pPr>
        <w:pStyle w:val="ListParagraph"/>
        <w:numPr>
          <w:ilvl w:val="0"/>
          <w:numId w:val="39"/>
        </w:numPr>
        <w:shd w:val="clear" w:color="auto" w:fill="FFFFFF"/>
        <w:spacing w:after="0" w:line="360" w:lineRule="exact"/>
        <w:ind w:left="0" w:firstLine="556"/>
        <w:jc w:val="both"/>
        <w:rPr>
          <w:rFonts w:ascii="Times New Roman" w:hAnsi="Times New Roman" w:cs="Times New Roman"/>
          <w:sz w:val="28"/>
          <w:szCs w:val="28"/>
        </w:rPr>
      </w:pPr>
      <w:r w:rsidRPr="00A2265D">
        <w:rPr>
          <w:rFonts w:ascii="Times New Roman" w:hAnsi="Times New Roman" w:cs="Times New Roman"/>
          <w:sz w:val="28"/>
          <w:szCs w:val="28"/>
        </w:rPr>
        <w:t>The relevance of industrial labour as a factor in the distribution of the tax is not on the ground that labour alone produces the incomes which are taxed or that labour has any particular right to share in the tax. We are concerned with the distribution of a tax on non-agricultural incomes. The presence of industrial labour may furnish a much truer index than collection of the degree of industrialization and the burdens thrown upon a State by the nature of the</w:t>
      </w:r>
      <w:r w:rsidR="00330671">
        <w:rPr>
          <w:rFonts w:ascii="Times New Roman" w:hAnsi="Times New Roman" w:cs="Times New Roman"/>
          <w:sz w:val="28"/>
          <w:szCs w:val="28"/>
        </w:rPr>
        <w:t xml:space="preserve"> </w:t>
      </w:r>
      <w:r w:rsidRPr="00330671">
        <w:rPr>
          <w:rFonts w:ascii="Times New Roman" w:hAnsi="Times New Roman" w:cs="Times New Roman"/>
          <w:sz w:val="28"/>
          <w:szCs w:val="28"/>
        </w:rPr>
        <w:t xml:space="preserve">economy. For example, Bihar </w:t>
      </w:r>
      <w:r w:rsidRPr="00330671">
        <w:rPr>
          <w:rFonts w:ascii="Times New Roman" w:hAnsi="Times New Roman" w:cs="Times New Roman"/>
          <w:sz w:val="28"/>
          <w:szCs w:val="28"/>
        </w:rPr>
        <w:lastRenderedPageBreak/>
        <w:t>has large industrial labour. But its collections do not bring out the benefits of industrialization to the same extent as in other States as a substantial part of the incomes accruing in that State is assessed to tax elsewhere. So the State is left with the burden of having to deal with an industrialized economy without the corresponding advantage reflected in the collections in that State. The difference in the strength of the industrial labour, employed in Bombay and Bengal, is not of the same degree as the difference in collections. The statistics available from the Part B States are, however, not all maintained on the same basis as in the Part A States. Until proper statistics are available, this factor, though probably very useful, has to be excluded from consideration.</w:t>
      </w:r>
    </w:p>
    <w:p w14:paraId="596B3D1D" w14:textId="05262A67" w:rsidR="00202594" w:rsidRPr="00A2265D" w:rsidRDefault="00202594" w:rsidP="00330671">
      <w:pPr>
        <w:pStyle w:val="ListParagraph"/>
        <w:numPr>
          <w:ilvl w:val="0"/>
          <w:numId w:val="39"/>
        </w:numPr>
        <w:shd w:val="clear" w:color="auto" w:fill="FFFFFF"/>
        <w:spacing w:after="0" w:line="360" w:lineRule="exact"/>
        <w:ind w:left="0" w:firstLine="556"/>
        <w:jc w:val="both"/>
        <w:rPr>
          <w:rFonts w:ascii="Times New Roman" w:hAnsi="Times New Roman" w:cs="Times New Roman"/>
          <w:sz w:val="28"/>
          <w:szCs w:val="28"/>
        </w:rPr>
      </w:pPr>
      <w:r w:rsidRPr="00A2265D">
        <w:rPr>
          <w:rFonts w:ascii="Times New Roman" w:hAnsi="Times New Roman" w:cs="Times New Roman"/>
          <w:sz w:val="28"/>
          <w:szCs w:val="28"/>
        </w:rPr>
        <w:t>For the very reason another basis of allocation cannot be considered on this occasion. As has been suggested before it is possible to allocate the divisible pool by permitting, for example, each State to retain the taxes on incomes below the super-tax limit and distributing the rest of the pool on a per capita basis. If the tax on incomes of local origin were to be permitted to be retained by the States, this may be a more satisfactory basis than giving weight to collection.</w:t>
      </w:r>
    </w:p>
    <w:p w14:paraId="02147288" w14:textId="77777777" w:rsidR="00202594" w:rsidRPr="00A2265D" w:rsidRDefault="00202594" w:rsidP="00330671">
      <w:pPr>
        <w:pStyle w:val="ListParagraph"/>
        <w:numPr>
          <w:ilvl w:val="0"/>
          <w:numId w:val="39"/>
        </w:numPr>
        <w:shd w:val="clear" w:color="auto" w:fill="FFFFFF"/>
        <w:spacing w:after="0" w:line="360" w:lineRule="exact"/>
        <w:ind w:left="0" w:firstLine="556"/>
        <w:jc w:val="both"/>
        <w:rPr>
          <w:rFonts w:ascii="Times New Roman" w:hAnsi="Times New Roman" w:cs="Times New Roman"/>
          <w:sz w:val="28"/>
          <w:szCs w:val="28"/>
        </w:rPr>
      </w:pPr>
      <w:r w:rsidRPr="00A2265D">
        <w:rPr>
          <w:rFonts w:ascii="Times New Roman" w:hAnsi="Times New Roman" w:cs="Times New Roman"/>
          <w:sz w:val="28"/>
          <w:szCs w:val="28"/>
        </w:rPr>
        <w:t>Either of the above factors can, if at all, be taken into account in substitution of the factor of collection and not in addition to it.</w:t>
      </w:r>
    </w:p>
    <w:p w14:paraId="657A7B95" w14:textId="5CB63716" w:rsidR="00202594" w:rsidRPr="00A2265D" w:rsidRDefault="00202594" w:rsidP="00330671">
      <w:pPr>
        <w:pStyle w:val="ListParagraph"/>
        <w:numPr>
          <w:ilvl w:val="0"/>
          <w:numId w:val="39"/>
        </w:numPr>
        <w:shd w:val="clear" w:color="auto" w:fill="FFFFFF"/>
        <w:spacing w:after="0" w:line="360" w:lineRule="exact"/>
        <w:ind w:left="0" w:firstLine="556"/>
        <w:jc w:val="both"/>
        <w:rPr>
          <w:rFonts w:ascii="Times New Roman" w:hAnsi="Times New Roman" w:cs="Times New Roman"/>
          <w:sz w:val="28"/>
          <w:szCs w:val="28"/>
        </w:rPr>
      </w:pPr>
      <w:r w:rsidRPr="00A2265D">
        <w:rPr>
          <w:rFonts w:ascii="Times New Roman" w:hAnsi="Times New Roman" w:cs="Times New Roman"/>
          <w:sz w:val="28"/>
          <w:szCs w:val="28"/>
        </w:rPr>
        <w:t>It is not necessary to pursue the discussion. The Commission are called upon to deal with the problem not in the abstract but as it has developed in the country. The formula of Sir Otto Niemeyer was based partly on residence and partly on population. There is nothing to indicate in what proportions the two factors were taken into account. Nor is there anything to show whether collection figures based on residence were separately available to him. It is also not clear how the factor of residence was used with reference to corporations. The result of the formula was that it gave to Bombay with 7</w:t>
      </w:r>
      <w:r w:rsidR="00E0199C">
        <w:rPr>
          <w:rFonts w:ascii="Times New Roman" w:hAnsi="Times New Roman" w:cs="Times New Roman"/>
          <w:sz w:val="28"/>
          <w:szCs w:val="28"/>
        </w:rPr>
        <w:t>.</w:t>
      </w:r>
      <w:r w:rsidRPr="00A2265D">
        <w:rPr>
          <w:rFonts w:ascii="Times New Roman" w:hAnsi="Times New Roman" w:cs="Times New Roman"/>
          <w:sz w:val="28"/>
          <w:szCs w:val="28"/>
        </w:rPr>
        <w:t>1 per cent of the population 20 per cent of the tax and the same percentage to Bengal also with a population of 19</w:t>
      </w:r>
      <w:r w:rsidR="00E0199C">
        <w:rPr>
          <w:rFonts w:ascii="Times New Roman" w:hAnsi="Times New Roman" w:cs="Times New Roman"/>
          <w:sz w:val="28"/>
          <w:szCs w:val="28"/>
        </w:rPr>
        <w:t>.</w:t>
      </w:r>
      <w:r w:rsidRPr="00A2265D">
        <w:rPr>
          <w:rFonts w:ascii="Times New Roman" w:hAnsi="Times New Roman" w:cs="Times New Roman"/>
          <w:sz w:val="28"/>
          <w:szCs w:val="28"/>
        </w:rPr>
        <w:t>9 per cent</w:t>
      </w:r>
      <w:r w:rsidR="00330671">
        <w:rPr>
          <w:rStyle w:val="FootnoteReference"/>
          <w:rFonts w:ascii="Times New Roman" w:hAnsi="Times New Roman" w:cs="Times New Roman"/>
          <w:sz w:val="28"/>
          <w:szCs w:val="28"/>
        </w:rPr>
        <w:footnoteReference w:id="40"/>
      </w:r>
      <w:r w:rsidRPr="00A2265D">
        <w:rPr>
          <w:rFonts w:ascii="Times New Roman" w:hAnsi="Times New Roman" w:cs="Times New Roman"/>
          <w:sz w:val="28"/>
          <w:szCs w:val="28"/>
        </w:rPr>
        <w:t>. The adjustments made by Shri Deshmukh were largely based on population. It is at that point that the Commission are called upon to deal with the problem.</w:t>
      </w:r>
    </w:p>
    <w:p w14:paraId="26E3FB78" w14:textId="69BB10B5" w:rsidR="00202594" w:rsidRPr="00A2265D" w:rsidRDefault="00202594" w:rsidP="00330671">
      <w:pPr>
        <w:pStyle w:val="ListParagraph"/>
        <w:numPr>
          <w:ilvl w:val="0"/>
          <w:numId w:val="39"/>
        </w:numPr>
        <w:shd w:val="clear" w:color="auto" w:fill="FFFFFF"/>
        <w:spacing w:after="0" w:line="360" w:lineRule="exact"/>
        <w:ind w:left="0" w:firstLine="556"/>
        <w:jc w:val="both"/>
        <w:rPr>
          <w:rFonts w:ascii="Times New Roman" w:hAnsi="Times New Roman" w:cs="Times New Roman"/>
          <w:sz w:val="28"/>
          <w:szCs w:val="28"/>
        </w:rPr>
      </w:pPr>
      <w:r w:rsidRPr="00A2265D">
        <w:rPr>
          <w:rFonts w:ascii="Times New Roman" w:hAnsi="Times New Roman" w:cs="Times New Roman"/>
          <w:sz w:val="28"/>
          <w:szCs w:val="28"/>
        </w:rPr>
        <w:t>It is true that the right of the States to share in the tax had its origin in the claim put forward by the industrial Provinces. But the claim was advanced on the basis of contribution as well as the special needs of the industrial States</w:t>
      </w:r>
      <w:r w:rsidR="00330671">
        <w:rPr>
          <w:rStyle w:val="FootnoteReference"/>
          <w:rFonts w:ascii="Times New Roman" w:hAnsi="Times New Roman" w:cs="Times New Roman"/>
          <w:sz w:val="28"/>
          <w:szCs w:val="28"/>
        </w:rPr>
        <w:footnoteReference w:id="41"/>
      </w:r>
      <w:r w:rsidRPr="00A2265D">
        <w:rPr>
          <w:rFonts w:ascii="Times New Roman" w:hAnsi="Times New Roman" w:cs="Times New Roman"/>
          <w:sz w:val="28"/>
          <w:szCs w:val="28"/>
        </w:rPr>
        <w:t>.</w:t>
      </w:r>
    </w:p>
    <w:p w14:paraId="14BB4D08" w14:textId="33E7E6D2" w:rsidR="00202594" w:rsidRPr="00330671" w:rsidRDefault="00202594" w:rsidP="00330671">
      <w:pPr>
        <w:pStyle w:val="ListParagraph"/>
        <w:numPr>
          <w:ilvl w:val="0"/>
          <w:numId w:val="39"/>
        </w:numPr>
        <w:shd w:val="clear" w:color="auto" w:fill="FFFFFF"/>
        <w:spacing w:after="0" w:line="360" w:lineRule="exact"/>
        <w:ind w:left="0" w:firstLine="556"/>
        <w:jc w:val="both"/>
        <w:rPr>
          <w:rFonts w:ascii="Times New Roman" w:hAnsi="Times New Roman" w:cs="Times New Roman"/>
          <w:sz w:val="28"/>
          <w:szCs w:val="28"/>
        </w:rPr>
      </w:pPr>
      <w:r w:rsidRPr="00A2265D">
        <w:rPr>
          <w:rFonts w:ascii="Times New Roman" w:hAnsi="Times New Roman" w:cs="Times New Roman"/>
          <w:sz w:val="28"/>
          <w:szCs w:val="28"/>
        </w:rPr>
        <w:t>A claim on the basis of contribution or special needs cannot be divorced from its context. The relative position of land revenue and income-tax in the total revenues of the country is today not the same</w:t>
      </w:r>
      <w:r w:rsidR="00330671">
        <w:rPr>
          <w:rFonts w:ascii="Times New Roman" w:hAnsi="Times New Roman" w:cs="Times New Roman"/>
          <w:sz w:val="28"/>
          <w:szCs w:val="28"/>
        </w:rPr>
        <w:t xml:space="preserve"> </w:t>
      </w:r>
      <w:r w:rsidRPr="00330671">
        <w:rPr>
          <w:rFonts w:ascii="Times New Roman" w:hAnsi="Times New Roman" w:cs="Times New Roman"/>
          <w:sz w:val="28"/>
          <w:szCs w:val="28"/>
        </w:rPr>
        <w:t xml:space="preserve">as at the beginning of the century or in the twenties. The divisible pool of income-tax in the first year of its distribution was </w:t>
      </w:r>
      <w:r w:rsidRPr="00330671">
        <w:rPr>
          <w:rFonts w:ascii="Times New Roman" w:hAnsi="Times New Roman" w:cs="Times New Roman"/>
          <w:sz w:val="28"/>
          <w:szCs w:val="28"/>
        </w:rPr>
        <w:lastRenderedPageBreak/>
        <w:t>Rs. 1 crore 25 lakhs (1937-38). It has passed Rs. 45 crores in 1949-50. The States have now the right to tax sales and the other heads of revenue are much more developed in Part A States than in the twenties.</w:t>
      </w:r>
    </w:p>
    <w:p w14:paraId="7086EC6B" w14:textId="317BD94E" w:rsidR="00202594" w:rsidRPr="00A2265D" w:rsidRDefault="00202594" w:rsidP="00330671">
      <w:pPr>
        <w:pStyle w:val="ListParagraph"/>
        <w:numPr>
          <w:ilvl w:val="0"/>
          <w:numId w:val="39"/>
        </w:numPr>
        <w:shd w:val="clear" w:color="auto" w:fill="FFFFFF"/>
        <w:spacing w:after="0" w:line="360" w:lineRule="exact"/>
        <w:ind w:left="0" w:firstLine="556"/>
        <w:jc w:val="both"/>
        <w:rPr>
          <w:rFonts w:ascii="Times New Roman" w:hAnsi="Times New Roman" w:cs="Times New Roman"/>
          <w:sz w:val="28"/>
          <w:szCs w:val="28"/>
        </w:rPr>
      </w:pPr>
      <w:r w:rsidRPr="00A2265D">
        <w:rPr>
          <w:rFonts w:ascii="Times New Roman" w:hAnsi="Times New Roman" w:cs="Times New Roman"/>
          <w:sz w:val="28"/>
          <w:szCs w:val="28"/>
        </w:rPr>
        <w:t>The principal data available to the Commission are the population figures, the collection figures and the assessment figures. The adjustment which has been made in the formula is in the right direction. It is in the circumstances equitable and all that can be done. The disparities in the resources of the States which arose as a result of the distribution of only the tax on incomes and the omission to give effect to the recommendation of Sir Walter Layton to distribute some of the duties on excise on a population basis are to some extent corrected by the scheme of distribution now recommended.</w:t>
      </w:r>
    </w:p>
    <w:p w14:paraId="3B988939" w14:textId="77777777" w:rsidR="00202594" w:rsidRPr="00A2265D" w:rsidRDefault="00202594" w:rsidP="00A2265D">
      <w:pPr>
        <w:spacing w:after="0" w:line="380" w:lineRule="exact"/>
        <w:ind w:left="720"/>
        <w:jc w:val="both"/>
        <w:rPr>
          <w:rFonts w:ascii="Times New Roman" w:hAnsi="Times New Roman" w:cs="Times New Roman"/>
          <w:sz w:val="28"/>
          <w:szCs w:val="28"/>
        </w:rPr>
      </w:pPr>
    </w:p>
    <w:p w14:paraId="0328ADC6" w14:textId="77777777" w:rsidR="00202594" w:rsidRPr="0003452E" w:rsidRDefault="00202594" w:rsidP="00330671">
      <w:pPr>
        <w:spacing w:after="0" w:line="380" w:lineRule="exact"/>
        <w:ind w:left="720"/>
        <w:jc w:val="right"/>
        <w:rPr>
          <w:rFonts w:ascii="Times New Roman" w:hAnsi="Times New Roman" w:cs="Times New Roman"/>
        </w:rPr>
      </w:pPr>
      <w:r w:rsidRPr="00A2265D">
        <w:rPr>
          <w:rFonts w:ascii="Times New Roman" w:hAnsi="Times New Roman" w:cs="Times New Roman"/>
          <w:sz w:val="28"/>
          <w:szCs w:val="28"/>
        </w:rPr>
        <w:t>R. KAUSHALENDRA RAO.</w:t>
      </w:r>
    </w:p>
    <w:p w14:paraId="5E8C4692" w14:textId="467C2894" w:rsidR="00B2502B" w:rsidRPr="0003452E" w:rsidRDefault="00B2502B">
      <w:pPr>
        <w:rPr>
          <w:rFonts w:ascii="Times New Roman" w:hAnsi="Times New Roman" w:cs="Times New Roman"/>
        </w:rPr>
      </w:pPr>
      <w:r w:rsidRPr="0003452E">
        <w:rPr>
          <w:rFonts w:ascii="Times New Roman" w:hAnsi="Times New Roman" w:cs="Times New Roman"/>
        </w:rPr>
        <w:br w:type="page"/>
      </w:r>
    </w:p>
    <w:p w14:paraId="242D91EE" w14:textId="77777777" w:rsidR="00B2502B" w:rsidRPr="0003452E" w:rsidRDefault="00B2502B" w:rsidP="00202594">
      <w:pPr>
        <w:ind w:left="720"/>
        <w:jc w:val="right"/>
        <w:rPr>
          <w:rFonts w:ascii="Times New Roman" w:hAnsi="Times New Roman" w:cs="Times New Roman"/>
        </w:rPr>
      </w:pPr>
    </w:p>
    <w:p w14:paraId="63CF69B0" w14:textId="03441AFA" w:rsidR="00B2502B" w:rsidRPr="0003452E" w:rsidRDefault="00B2502B">
      <w:pPr>
        <w:rPr>
          <w:rFonts w:ascii="Times New Roman" w:hAnsi="Times New Roman" w:cs="Times New Roman"/>
        </w:rPr>
      </w:pPr>
      <w:r w:rsidRPr="0003452E">
        <w:rPr>
          <w:rFonts w:ascii="Times New Roman" w:hAnsi="Times New Roman" w:cs="Times New Roman"/>
        </w:rPr>
        <w:br w:type="page"/>
      </w:r>
    </w:p>
    <w:p w14:paraId="66CB8F2E" w14:textId="77777777" w:rsidR="00F52DB5" w:rsidRPr="0003452E" w:rsidRDefault="00F52DB5" w:rsidP="00F52DB5">
      <w:pPr>
        <w:ind w:left="720"/>
        <w:rPr>
          <w:rFonts w:ascii="Times New Roman" w:hAnsi="Times New Roman" w:cs="Times New Roman"/>
        </w:rPr>
      </w:pPr>
    </w:p>
    <w:p w14:paraId="14A814B0" w14:textId="77777777" w:rsidR="00B2502B" w:rsidRPr="0003452E" w:rsidRDefault="00B2502B" w:rsidP="00F52DB5">
      <w:pPr>
        <w:ind w:left="720"/>
        <w:rPr>
          <w:rFonts w:ascii="Times New Roman" w:hAnsi="Times New Roman" w:cs="Times New Roman"/>
        </w:rPr>
      </w:pPr>
    </w:p>
    <w:p w14:paraId="7E6F3F9A" w14:textId="77777777" w:rsidR="00B2502B" w:rsidRPr="0003452E" w:rsidRDefault="00B2502B" w:rsidP="00F52DB5">
      <w:pPr>
        <w:ind w:left="720"/>
        <w:rPr>
          <w:rFonts w:ascii="Times New Roman" w:hAnsi="Times New Roman" w:cs="Times New Roman"/>
        </w:rPr>
      </w:pPr>
    </w:p>
    <w:p w14:paraId="37E1F712" w14:textId="77777777" w:rsidR="00B2502B" w:rsidRPr="0003452E" w:rsidRDefault="00B2502B" w:rsidP="00F52DB5">
      <w:pPr>
        <w:ind w:left="720"/>
        <w:rPr>
          <w:rFonts w:ascii="Times New Roman" w:hAnsi="Times New Roman" w:cs="Times New Roman"/>
        </w:rPr>
      </w:pPr>
    </w:p>
    <w:p w14:paraId="39525CCD" w14:textId="77777777" w:rsidR="00B2502B" w:rsidRPr="0003452E" w:rsidRDefault="00B2502B" w:rsidP="00F52DB5">
      <w:pPr>
        <w:ind w:left="720"/>
        <w:rPr>
          <w:rFonts w:ascii="Times New Roman" w:hAnsi="Times New Roman" w:cs="Times New Roman"/>
        </w:rPr>
      </w:pPr>
    </w:p>
    <w:p w14:paraId="6534D479" w14:textId="77777777" w:rsidR="00B2502B" w:rsidRPr="0003452E" w:rsidRDefault="00B2502B" w:rsidP="00F52DB5">
      <w:pPr>
        <w:ind w:left="720"/>
        <w:rPr>
          <w:rFonts w:ascii="Times New Roman" w:hAnsi="Times New Roman" w:cs="Times New Roman"/>
        </w:rPr>
      </w:pPr>
    </w:p>
    <w:p w14:paraId="361F5392" w14:textId="77777777" w:rsidR="00B2502B" w:rsidRPr="0003452E" w:rsidRDefault="00B2502B" w:rsidP="00F52DB5">
      <w:pPr>
        <w:ind w:left="720"/>
        <w:rPr>
          <w:rFonts w:ascii="Times New Roman" w:hAnsi="Times New Roman" w:cs="Times New Roman"/>
        </w:rPr>
      </w:pPr>
    </w:p>
    <w:p w14:paraId="271CAAE2" w14:textId="77777777" w:rsidR="00B2502B" w:rsidRPr="0003452E" w:rsidRDefault="00B2502B" w:rsidP="00F52DB5">
      <w:pPr>
        <w:ind w:left="720"/>
        <w:rPr>
          <w:rFonts w:ascii="Times New Roman" w:hAnsi="Times New Roman" w:cs="Times New Roman"/>
        </w:rPr>
      </w:pPr>
    </w:p>
    <w:p w14:paraId="2344BFD1" w14:textId="77777777" w:rsidR="00B2502B" w:rsidRPr="0003452E" w:rsidRDefault="00B2502B" w:rsidP="00F52DB5">
      <w:pPr>
        <w:ind w:left="720"/>
        <w:rPr>
          <w:rFonts w:ascii="Times New Roman" w:hAnsi="Times New Roman" w:cs="Times New Roman"/>
        </w:rPr>
      </w:pPr>
    </w:p>
    <w:p w14:paraId="7A6134B6" w14:textId="77777777" w:rsidR="00B2502B" w:rsidRPr="0003452E" w:rsidRDefault="00B2502B" w:rsidP="00F52DB5">
      <w:pPr>
        <w:ind w:left="720"/>
        <w:rPr>
          <w:rFonts w:ascii="Times New Roman" w:hAnsi="Times New Roman" w:cs="Times New Roman"/>
        </w:rPr>
      </w:pPr>
    </w:p>
    <w:p w14:paraId="15DA9FE3" w14:textId="77777777" w:rsidR="00B2502B" w:rsidRPr="0003452E" w:rsidRDefault="00B2502B" w:rsidP="00F52DB5">
      <w:pPr>
        <w:ind w:left="720"/>
        <w:rPr>
          <w:rFonts w:ascii="Times New Roman" w:hAnsi="Times New Roman" w:cs="Times New Roman"/>
        </w:rPr>
      </w:pPr>
    </w:p>
    <w:p w14:paraId="1A54CD20" w14:textId="77777777" w:rsidR="00B2502B" w:rsidRPr="0003452E" w:rsidRDefault="00B2502B" w:rsidP="00F52DB5">
      <w:pPr>
        <w:ind w:left="720"/>
        <w:rPr>
          <w:rFonts w:ascii="Times New Roman" w:hAnsi="Times New Roman" w:cs="Times New Roman"/>
        </w:rPr>
      </w:pPr>
    </w:p>
    <w:p w14:paraId="2F21CCC9" w14:textId="77777777" w:rsidR="00471BC2" w:rsidRDefault="00471BC2">
      <w:pPr>
        <w:rPr>
          <w:rFonts w:ascii="Times New Roman" w:hAnsi="Times New Roman" w:cs="Times New Roman"/>
          <w:sz w:val="52"/>
          <w:szCs w:val="52"/>
        </w:rPr>
      </w:pPr>
      <w:r>
        <w:rPr>
          <w:rFonts w:ascii="Times New Roman" w:hAnsi="Times New Roman" w:cs="Times New Roman"/>
          <w:sz w:val="52"/>
          <w:szCs w:val="52"/>
        </w:rPr>
        <w:br w:type="page"/>
      </w:r>
    </w:p>
    <w:p w14:paraId="028B7B70" w14:textId="77777777" w:rsidR="00471BC2" w:rsidRDefault="00471BC2" w:rsidP="00B2502B">
      <w:pPr>
        <w:ind w:left="720"/>
        <w:jc w:val="center"/>
        <w:rPr>
          <w:rFonts w:ascii="Times New Roman" w:hAnsi="Times New Roman" w:cs="Times New Roman"/>
          <w:sz w:val="52"/>
          <w:szCs w:val="52"/>
        </w:rPr>
      </w:pPr>
    </w:p>
    <w:p w14:paraId="1089FE35" w14:textId="77777777" w:rsidR="00471BC2" w:rsidRDefault="00471BC2" w:rsidP="00B2502B">
      <w:pPr>
        <w:ind w:left="720"/>
        <w:jc w:val="center"/>
        <w:rPr>
          <w:rFonts w:ascii="Times New Roman" w:hAnsi="Times New Roman" w:cs="Times New Roman"/>
          <w:sz w:val="52"/>
          <w:szCs w:val="52"/>
        </w:rPr>
      </w:pPr>
    </w:p>
    <w:p w14:paraId="612F55FC" w14:textId="77777777" w:rsidR="00471BC2" w:rsidRDefault="00471BC2" w:rsidP="00B2502B">
      <w:pPr>
        <w:ind w:left="720"/>
        <w:jc w:val="center"/>
        <w:rPr>
          <w:rFonts w:ascii="Times New Roman" w:hAnsi="Times New Roman" w:cs="Times New Roman"/>
          <w:sz w:val="52"/>
          <w:szCs w:val="52"/>
        </w:rPr>
      </w:pPr>
    </w:p>
    <w:p w14:paraId="2A9AAEEE" w14:textId="77777777" w:rsidR="00471BC2" w:rsidRDefault="00471BC2" w:rsidP="00B2502B">
      <w:pPr>
        <w:ind w:left="720"/>
        <w:jc w:val="center"/>
        <w:rPr>
          <w:rFonts w:ascii="Times New Roman" w:hAnsi="Times New Roman" w:cs="Times New Roman"/>
          <w:sz w:val="52"/>
          <w:szCs w:val="52"/>
        </w:rPr>
      </w:pPr>
    </w:p>
    <w:p w14:paraId="2794E982" w14:textId="77777777" w:rsidR="00471BC2" w:rsidRDefault="00471BC2" w:rsidP="00B2502B">
      <w:pPr>
        <w:ind w:left="720"/>
        <w:jc w:val="center"/>
        <w:rPr>
          <w:rFonts w:ascii="Times New Roman" w:hAnsi="Times New Roman" w:cs="Times New Roman"/>
          <w:sz w:val="52"/>
          <w:szCs w:val="52"/>
        </w:rPr>
      </w:pPr>
    </w:p>
    <w:p w14:paraId="1AC70D98" w14:textId="5DD16983" w:rsidR="00471BC2" w:rsidRDefault="005C2209" w:rsidP="00B2502B">
      <w:pPr>
        <w:ind w:left="720"/>
        <w:jc w:val="center"/>
        <w:rPr>
          <w:rFonts w:ascii="Times New Roman" w:hAnsi="Times New Roman" w:cs="Times New Roman"/>
          <w:sz w:val="52"/>
          <w:szCs w:val="52"/>
        </w:rPr>
      </w:pPr>
      <w:r>
        <w:rPr>
          <w:rFonts w:ascii="Times New Roman" w:hAnsi="Times New Roman" w:cs="Times New Roman"/>
          <w:sz w:val="52"/>
          <w:szCs w:val="52"/>
        </w:rPr>
        <w:t>_________________________________</w:t>
      </w:r>
    </w:p>
    <w:p w14:paraId="6D08574B" w14:textId="77777777" w:rsidR="00471BC2" w:rsidRDefault="00471BC2" w:rsidP="00B2502B">
      <w:pPr>
        <w:ind w:left="720"/>
        <w:jc w:val="center"/>
        <w:rPr>
          <w:rFonts w:ascii="Times New Roman" w:hAnsi="Times New Roman" w:cs="Times New Roman"/>
          <w:sz w:val="52"/>
          <w:szCs w:val="52"/>
        </w:rPr>
      </w:pPr>
    </w:p>
    <w:p w14:paraId="1B3513D1" w14:textId="61614E5E" w:rsidR="00B2502B" w:rsidRDefault="00B2502B" w:rsidP="00100F88">
      <w:pPr>
        <w:pStyle w:val="Heading1"/>
      </w:pPr>
      <w:bookmarkStart w:id="13" w:name="_Toc221007122"/>
      <w:r w:rsidRPr="0003452E">
        <w:t>APENDICES</w:t>
      </w:r>
      <w:bookmarkEnd w:id="13"/>
    </w:p>
    <w:p w14:paraId="66F38167" w14:textId="77777777" w:rsidR="005C2209" w:rsidRDefault="005C2209" w:rsidP="00B2502B">
      <w:pPr>
        <w:ind w:left="720"/>
        <w:jc w:val="center"/>
        <w:rPr>
          <w:rFonts w:ascii="Times New Roman" w:hAnsi="Times New Roman" w:cs="Times New Roman"/>
          <w:sz w:val="52"/>
          <w:szCs w:val="52"/>
        </w:rPr>
      </w:pPr>
    </w:p>
    <w:p w14:paraId="03107319" w14:textId="16DEB521" w:rsidR="005C2209" w:rsidRPr="0003452E" w:rsidRDefault="005C2209" w:rsidP="00B2502B">
      <w:pPr>
        <w:ind w:left="720"/>
        <w:jc w:val="center"/>
        <w:rPr>
          <w:rFonts w:ascii="Times New Roman" w:hAnsi="Times New Roman" w:cs="Times New Roman"/>
          <w:sz w:val="52"/>
          <w:szCs w:val="52"/>
        </w:rPr>
      </w:pPr>
      <w:r>
        <w:rPr>
          <w:rFonts w:ascii="Times New Roman" w:hAnsi="Times New Roman" w:cs="Times New Roman"/>
          <w:sz w:val="52"/>
          <w:szCs w:val="52"/>
        </w:rPr>
        <w:t>_________________________________</w:t>
      </w:r>
    </w:p>
    <w:p w14:paraId="7FBD082A" w14:textId="77777777" w:rsidR="00B2502B" w:rsidRPr="0003452E" w:rsidRDefault="00B2502B">
      <w:pPr>
        <w:rPr>
          <w:rFonts w:ascii="Times New Roman" w:hAnsi="Times New Roman" w:cs="Times New Roman"/>
          <w:sz w:val="52"/>
          <w:szCs w:val="52"/>
        </w:rPr>
      </w:pPr>
      <w:r w:rsidRPr="0003452E">
        <w:rPr>
          <w:rFonts w:ascii="Times New Roman" w:hAnsi="Times New Roman" w:cs="Times New Roman"/>
          <w:sz w:val="52"/>
          <w:szCs w:val="52"/>
        </w:rPr>
        <w:br w:type="page"/>
      </w:r>
    </w:p>
    <w:p w14:paraId="1853DC17" w14:textId="181104A1" w:rsidR="00B2502B" w:rsidRPr="0003452E" w:rsidRDefault="00B2502B">
      <w:pPr>
        <w:rPr>
          <w:rFonts w:ascii="Times New Roman" w:hAnsi="Times New Roman" w:cs="Times New Roman"/>
          <w:sz w:val="52"/>
          <w:szCs w:val="52"/>
        </w:rPr>
      </w:pPr>
      <w:r w:rsidRPr="0003452E">
        <w:rPr>
          <w:rFonts w:ascii="Times New Roman" w:hAnsi="Times New Roman" w:cs="Times New Roman"/>
          <w:sz w:val="52"/>
          <w:szCs w:val="52"/>
        </w:rPr>
        <w:lastRenderedPageBreak/>
        <w:br w:type="page"/>
      </w:r>
    </w:p>
    <w:p w14:paraId="3536FE6E" w14:textId="30103B6D" w:rsidR="00A25B8F" w:rsidRPr="004B15CE" w:rsidRDefault="00A25B8F" w:rsidP="004B15CE">
      <w:pPr>
        <w:pStyle w:val="Heading2"/>
      </w:pPr>
      <w:bookmarkStart w:id="14" w:name="_Toc221007123"/>
      <w:r w:rsidRPr="004B15CE">
        <w:lastRenderedPageBreak/>
        <w:t>APPENDIX I</w:t>
      </w:r>
      <w:r w:rsidR="004B15CE" w:rsidRPr="004B15CE">
        <w:t xml:space="preserve"> </w:t>
      </w:r>
      <w:r w:rsidR="004B15CE" w:rsidRPr="004B15CE">
        <w:br/>
      </w:r>
      <w:r w:rsidRPr="004B15CE">
        <w:t>PROVISIONS OF THE CONSTITUTION BEARING ON THE WORK OF THE FINANCE COMMISSION</w:t>
      </w:r>
      <w:bookmarkEnd w:id="14"/>
    </w:p>
    <w:p w14:paraId="19CB9ECD" w14:textId="77777777" w:rsidR="00A25B8F" w:rsidRPr="004B15CE" w:rsidRDefault="00A25B8F" w:rsidP="004B15CE">
      <w:pPr>
        <w:spacing w:after="0" w:line="400" w:lineRule="exact"/>
        <w:jc w:val="both"/>
        <w:rPr>
          <w:rFonts w:ascii="Times New Roman" w:hAnsi="Times New Roman" w:cs="Times New Roman"/>
          <w:sz w:val="28"/>
          <w:szCs w:val="28"/>
        </w:rPr>
      </w:pPr>
      <w:r w:rsidRPr="004B15CE">
        <w:rPr>
          <w:rFonts w:ascii="Times New Roman" w:hAnsi="Times New Roman" w:cs="Times New Roman"/>
          <w:i/>
          <w:iCs/>
          <w:sz w:val="28"/>
          <w:szCs w:val="28"/>
        </w:rPr>
        <w:t>Article 270—</w:t>
      </w:r>
    </w:p>
    <w:p w14:paraId="3397DF79" w14:textId="6F275DEC" w:rsidR="00A25B8F" w:rsidRPr="004B15CE" w:rsidRDefault="00A25B8F" w:rsidP="004B15CE">
      <w:pPr>
        <w:pStyle w:val="ListParagraph"/>
        <w:numPr>
          <w:ilvl w:val="0"/>
          <w:numId w:val="40"/>
        </w:numPr>
        <w:spacing w:after="0" w:line="400" w:lineRule="exact"/>
        <w:ind w:left="0" w:firstLine="284"/>
        <w:jc w:val="both"/>
        <w:rPr>
          <w:rFonts w:ascii="Times New Roman" w:hAnsi="Times New Roman" w:cs="Times New Roman"/>
          <w:sz w:val="28"/>
          <w:szCs w:val="28"/>
        </w:rPr>
      </w:pPr>
      <w:r w:rsidRPr="004B15CE">
        <w:rPr>
          <w:rFonts w:ascii="Times New Roman" w:hAnsi="Times New Roman" w:cs="Times New Roman"/>
          <w:sz w:val="28"/>
          <w:szCs w:val="28"/>
        </w:rPr>
        <w:t>Taxes on income other than agricultural income shall be levied and collected by the Government of India and distributed between the Union and the States in the manner provided in clause (2).</w:t>
      </w:r>
    </w:p>
    <w:p w14:paraId="6465019B" w14:textId="0CDE8D3E" w:rsidR="00A25B8F" w:rsidRPr="004B15CE" w:rsidRDefault="00A25B8F" w:rsidP="004B15CE">
      <w:pPr>
        <w:pStyle w:val="ListParagraph"/>
        <w:numPr>
          <w:ilvl w:val="0"/>
          <w:numId w:val="40"/>
        </w:numPr>
        <w:spacing w:after="0" w:line="400" w:lineRule="exact"/>
        <w:ind w:left="0" w:firstLine="284"/>
        <w:jc w:val="both"/>
        <w:rPr>
          <w:rFonts w:ascii="Times New Roman" w:hAnsi="Times New Roman" w:cs="Times New Roman"/>
          <w:sz w:val="28"/>
          <w:szCs w:val="28"/>
        </w:rPr>
      </w:pPr>
      <w:r w:rsidRPr="004B15CE">
        <w:rPr>
          <w:rFonts w:ascii="Times New Roman" w:hAnsi="Times New Roman" w:cs="Times New Roman"/>
          <w:sz w:val="28"/>
          <w:szCs w:val="28"/>
        </w:rPr>
        <w:t>Such percentage, as may be prescribed, of the net proceeds in any financial year of any such tax, except in so far as those proceeds represent proceeds attributable to States specified in Part C of the First Schedule or to taxes payable in respect of Union emoluments, shall not form part of the Consolidated Fund of India, but shall be assigned to the States within which that tax is leviable in that year, and shall be distributed among those States in such manner and from such time as may be prescribed.</w:t>
      </w:r>
    </w:p>
    <w:p w14:paraId="11FB74EF" w14:textId="1D27AFC8" w:rsidR="00A25B8F" w:rsidRPr="004B15CE" w:rsidRDefault="00A25B8F" w:rsidP="004B15CE">
      <w:pPr>
        <w:pStyle w:val="ListParagraph"/>
        <w:numPr>
          <w:ilvl w:val="0"/>
          <w:numId w:val="40"/>
        </w:numPr>
        <w:spacing w:after="0" w:line="400" w:lineRule="exact"/>
        <w:ind w:left="0" w:firstLine="284"/>
        <w:jc w:val="both"/>
        <w:rPr>
          <w:rFonts w:ascii="Times New Roman" w:hAnsi="Times New Roman" w:cs="Times New Roman"/>
          <w:sz w:val="28"/>
          <w:szCs w:val="28"/>
        </w:rPr>
      </w:pPr>
      <w:r w:rsidRPr="004B15CE">
        <w:rPr>
          <w:rFonts w:ascii="Times New Roman" w:hAnsi="Times New Roman" w:cs="Times New Roman"/>
          <w:sz w:val="28"/>
          <w:szCs w:val="28"/>
        </w:rPr>
        <w:t>For the purposes of clause (2), in each financial year such percentage as may be prescribed of so much of the net proceeds of taxes on income as does not represent the net proceeds of taxes payable in respect of Union emoluments shall be deemed to represent proceeds attributable to States specified in Part C of the First Schedule.</w:t>
      </w:r>
    </w:p>
    <w:p w14:paraId="3694567F" w14:textId="77777777" w:rsidR="004B15CE" w:rsidRDefault="00A25B8F" w:rsidP="004B15CE">
      <w:pPr>
        <w:pStyle w:val="ListParagraph"/>
        <w:numPr>
          <w:ilvl w:val="0"/>
          <w:numId w:val="40"/>
        </w:numPr>
        <w:spacing w:after="0" w:line="400" w:lineRule="exact"/>
        <w:ind w:left="0" w:firstLine="284"/>
        <w:jc w:val="both"/>
        <w:rPr>
          <w:rFonts w:ascii="Times New Roman" w:hAnsi="Times New Roman" w:cs="Times New Roman"/>
          <w:sz w:val="28"/>
          <w:szCs w:val="28"/>
        </w:rPr>
      </w:pPr>
      <w:r w:rsidRPr="004B15CE">
        <w:rPr>
          <w:rFonts w:ascii="Times New Roman" w:hAnsi="Times New Roman" w:cs="Times New Roman"/>
          <w:sz w:val="28"/>
          <w:szCs w:val="28"/>
        </w:rPr>
        <w:t>In this article—</w:t>
      </w:r>
    </w:p>
    <w:p w14:paraId="6B7786B9" w14:textId="77777777" w:rsidR="004B15CE" w:rsidRDefault="00A25B8F" w:rsidP="004B15CE">
      <w:pPr>
        <w:pStyle w:val="ListParagraph"/>
        <w:spacing w:after="0" w:line="400" w:lineRule="exact"/>
        <w:ind w:left="1440"/>
        <w:jc w:val="both"/>
        <w:rPr>
          <w:rFonts w:ascii="Times New Roman" w:hAnsi="Times New Roman" w:cs="Times New Roman"/>
          <w:sz w:val="28"/>
          <w:szCs w:val="28"/>
        </w:rPr>
      </w:pPr>
      <w:r w:rsidRPr="004B15CE">
        <w:rPr>
          <w:rFonts w:ascii="Times New Roman" w:hAnsi="Times New Roman" w:cs="Times New Roman"/>
          <w:sz w:val="28"/>
          <w:szCs w:val="28"/>
        </w:rPr>
        <w:t>(a) “taxes on income” does not include a corporation tax;</w:t>
      </w:r>
    </w:p>
    <w:p w14:paraId="785C8E3F" w14:textId="77777777" w:rsidR="004B15CE" w:rsidRDefault="00A25B8F" w:rsidP="004B15CE">
      <w:pPr>
        <w:pStyle w:val="ListParagraph"/>
        <w:spacing w:after="0" w:line="400" w:lineRule="exact"/>
        <w:ind w:left="1440"/>
        <w:jc w:val="both"/>
        <w:rPr>
          <w:rFonts w:ascii="Times New Roman" w:hAnsi="Times New Roman" w:cs="Times New Roman"/>
          <w:sz w:val="28"/>
          <w:szCs w:val="28"/>
        </w:rPr>
      </w:pPr>
      <w:r w:rsidRPr="004B15CE">
        <w:rPr>
          <w:rFonts w:ascii="Times New Roman" w:hAnsi="Times New Roman" w:cs="Times New Roman"/>
          <w:sz w:val="28"/>
          <w:szCs w:val="28"/>
        </w:rPr>
        <w:t>(b) “prescribed” means—</w:t>
      </w:r>
    </w:p>
    <w:p w14:paraId="6D973312" w14:textId="77777777" w:rsidR="004B15CE" w:rsidRDefault="00A25B8F" w:rsidP="004B15CE">
      <w:pPr>
        <w:pStyle w:val="ListParagraph"/>
        <w:spacing w:after="0" w:line="400" w:lineRule="exact"/>
        <w:ind w:left="2160"/>
        <w:jc w:val="both"/>
        <w:rPr>
          <w:rFonts w:ascii="Times New Roman" w:hAnsi="Times New Roman" w:cs="Times New Roman"/>
          <w:sz w:val="28"/>
          <w:szCs w:val="28"/>
        </w:rPr>
      </w:pPr>
      <w:r w:rsidRPr="004B15CE">
        <w:rPr>
          <w:rFonts w:ascii="Times New Roman" w:hAnsi="Times New Roman" w:cs="Times New Roman"/>
          <w:sz w:val="28"/>
          <w:szCs w:val="28"/>
        </w:rPr>
        <w:t>(i) until a Finance Commission has been constituted, prescribed by the President by order, and</w:t>
      </w:r>
    </w:p>
    <w:p w14:paraId="660FA748" w14:textId="77777777" w:rsidR="004B15CE" w:rsidRDefault="00A25B8F" w:rsidP="004B15CE">
      <w:pPr>
        <w:pStyle w:val="ListParagraph"/>
        <w:spacing w:after="0" w:line="400" w:lineRule="exact"/>
        <w:ind w:left="2160"/>
        <w:jc w:val="both"/>
        <w:rPr>
          <w:rFonts w:ascii="Times New Roman" w:hAnsi="Times New Roman" w:cs="Times New Roman"/>
          <w:sz w:val="28"/>
          <w:szCs w:val="28"/>
        </w:rPr>
      </w:pPr>
      <w:r w:rsidRPr="004B15CE">
        <w:rPr>
          <w:rFonts w:ascii="Times New Roman" w:hAnsi="Times New Roman" w:cs="Times New Roman"/>
          <w:sz w:val="28"/>
          <w:szCs w:val="28"/>
        </w:rPr>
        <w:t>(ii) after a Finance Commission has been constituted, prescribed by the President by order after considering the recommendations of the Finance Commission;</w:t>
      </w:r>
    </w:p>
    <w:p w14:paraId="76C1B9E8" w14:textId="78E4369A" w:rsidR="00A25B8F" w:rsidRPr="004B15CE" w:rsidRDefault="00A25B8F" w:rsidP="004B15CE">
      <w:pPr>
        <w:pStyle w:val="ListParagraph"/>
        <w:spacing w:after="0" w:line="400" w:lineRule="exact"/>
        <w:ind w:left="1440"/>
        <w:jc w:val="both"/>
        <w:rPr>
          <w:rFonts w:ascii="Times New Roman" w:hAnsi="Times New Roman" w:cs="Times New Roman"/>
          <w:sz w:val="28"/>
          <w:szCs w:val="28"/>
        </w:rPr>
      </w:pPr>
      <w:r w:rsidRPr="004B15CE">
        <w:rPr>
          <w:rFonts w:ascii="Times New Roman" w:hAnsi="Times New Roman" w:cs="Times New Roman"/>
          <w:sz w:val="28"/>
          <w:szCs w:val="28"/>
        </w:rPr>
        <w:t>(c) “Union emoluments” includes all emoluments and pensions payable out of the Consolidated Fund of India in respect of which income-tax is chargeable.</w:t>
      </w:r>
    </w:p>
    <w:p w14:paraId="0105E542" w14:textId="77777777" w:rsidR="00A25B8F" w:rsidRPr="004B15CE" w:rsidRDefault="00A25B8F" w:rsidP="004B15CE">
      <w:pPr>
        <w:spacing w:after="0" w:line="400" w:lineRule="exact"/>
        <w:jc w:val="both"/>
        <w:rPr>
          <w:rFonts w:ascii="Times New Roman" w:hAnsi="Times New Roman" w:cs="Times New Roman"/>
          <w:sz w:val="28"/>
          <w:szCs w:val="28"/>
        </w:rPr>
      </w:pPr>
      <w:r w:rsidRPr="004B15CE">
        <w:rPr>
          <w:rFonts w:ascii="Times New Roman" w:hAnsi="Times New Roman" w:cs="Times New Roman"/>
          <w:i/>
          <w:iCs/>
          <w:sz w:val="28"/>
          <w:szCs w:val="28"/>
        </w:rPr>
        <w:t>Article 273—</w:t>
      </w:r>
    </w:p>
    <w:p w14:paraId="36BB80B3" w14:textId="77777777" w:rsidR="004B15CE" w:rsidRDefault="00A25B8F" w:rsidP="004B15CE">
      <w:pPr>
        <w:pStyle w:val="ListParagraph"/>
        <w:numPr>
          <w:ilvl w:val="0"/>
          <w:numId w:val="41"/>
        </w:numPr>
        <w:spacing w:after="0" w:line="400" w:lineRule="exact"/>
        <w:ind w:left="0" w:firstLine="284"/>
        <w:jc w:val="both"/>
        <w:rPr>
          <w:rFonts w:ascii="Times New Roman" w:hAnsi="Times New Roman" w:cs="Times New Roman"/>
          <w:sz w:val="28"/>
          <w:szCs w:val="28"/>
        </w:rPr>
      </w:pPr>
      <w:r w:rsidRPr="004B15CE">
        <w:rPr>
          <w:rFonts w:ascii="Times New Roman" w:hAnsi="Times New Roman" w:cs="Times New Roman"/>
          <w:sz w:val="28"/>
          <w:szCs w:val="28"/>
        </w:rPr>
        <w:t>There shall be charged on the Consolidated Fund of India in each year as grants-in-aid of the revenues of the States of Assam, Bihar, Orissa and West Bengal, in</w:t>
      </w:r>
      <w:r w:rsidR="004B15CE">
        <w:rPr>
          <w:rFonts w:ascii="Times New Roman" w:hAnsi="Times New Roman" w:cs="Times New Roman"/>
          <w:sz w:val="28"/>
          <w:szCs w:val="28"/>
        </w:rPr>
        <w:t xml:space="preserve"> </w:t>
      </w:r>
      <w:r w:rsidRPr="004B15CE">
        <w:rPr>
          <w:rFonts w:ascii="Times New Roman" w:hAnsi="Times New Roman" w:cs="Times New Roman"/>
          <w:sz w:val="28"/>
          <w:szCs w:val="28"/>
        </w:rPr>
        <w:t>lieu of assignment of any share of the net proceeds in each year of export duty on jute and jute products to those States, such sums as may be prescribed.</w:t>
      </w:r>
    </w:p>
    <w:p w14:paraId="4419EAB0" w14:textId="13B35747" w:rsidR="00A25B8F" w:rsidRPr="004B15CE" w:rsidRDefault="00A25B8F" w:rsidP="004B15CE">
      <w:pPr>
        <w:pStyle w:val="ListParagraph"/>
        <w:numPr>
          <w:ilvl w:val="0"/>
          <w:numId w:val="41"/>
        </w:numPr>
        <w:spacing w:after="0" w:line="400" w:lineRule="exact"/>
        <w:ind w:left="0" w:firstLine="284"/>
        <w:jc w:val="both"/>
        <w:rPr>
          <w:rFonts w:ascii="Times New Roman" w:hAnsi="Times New Roman" w:cs="Times New Roman"/>
          <w:sz w:val="28"/>
          <w:szCs w:val="28"/>
        </w:rPr>
      </w:pPr>
      <w:r w:rsidRPr="004B15CE">
        <w:rPr>
          <w:rFonts w:ascii="Times New Roman" w:hAnsi="Times New Roman" w:cs="Times New Roman"/>
          <w:sz w:val="28"/>
          <w:szCs w:val="28"/>
        </w:rPr>
        <w:lastRenderedPageBreak/>
        <w:t>The sums so prescribed shall continue to be charged on the Consolidated Fund of India so long as any export duty on jute or jute products continues to be levied by the Government of India or until the expiration of ten years from the commencement of this Constitution, whichever is earlier.</w:t>
      </w:r>
    </w:p>
    <w:p w14:paraId="314D4405" w14:textId="4461D58D" w:rsidR="00A25B8F" w:rsidRPr="004B15CE" w:rsidRDefault="00A25B8F" w:rsidP="004B15CE">
      <w:pPr>
        <w:pStyle w:val="ListParagraph"/>
        <w:numPr>
          <w:ilvl w:val="0"/>
          <w:numId w:val="41"/>
        </w:numPr>
        <w:spacing w:after="0" w:line="400" w:lineRule="exact"/>
        <w:ind w:left="0" w:firstLine="284"/>
        <w:jc w:val="both"/>
        <w:rPr>
          <w:rFonts w:ascii="Times New Roman" w:hAnsi="Times New Roman" w:cs="Times New Roman"/>
          <w:sz w:val="28"/>
          <w:szCs w:val="28"/>
        </w:rPr>
      </w:pPr>
      <w:r w:rsidRPr="004B15CE">
        <w:rPr>
          <w:rFonts w:ascii="Times New Roman" w:hAnsi="Times New Roman" w:cs="Times New Roman"/>
          <w:sz w:val="28"/>
          <w:szCs w:val="28"/>
        </w:rPr>
        <w:t>In this article, the expression “prescribed” has the same meaning as in article 270.</w:t>
      </w:r>
    </w:p>
    <w:p w14:paraId="7C3744BC" w14:textId="77777777" w:rsidR="00A25B8F" w:rsidRPr="004B15CE" w:rsidRDefault="00A25B8F" w:rsidP="004B15CE">
      <w:pPr>
        <w:spacing w:after="0" w:line="400" w:lineRule="exact"/>
        <w:jc w:val="both"/>
        <w:rPr>
          <w:rFonts w:ascii="Times New Roman" w:hAnsi="Times New Roman" w:cs="Times New Roman"/>
          <w:sz w:val="28"/>
          <w:szCs w:val="28"/>
        </w:rPr>
      </w:pPr>
      <w:r w:rsidRPr="004B15CE">
        <w:rPr>
          <w:rFonts w:ascii="Times New Roman" w:hAnsi="Times New Roman" w:cs="Times New Roman"/>
          <w:i/>
          <w:iCs/>
          <w:sz w:val="28"/>
          <w:szCs w:val="28"/>
        </w:rPr>
        <w:t>Article 275—</w:t>
      </w:r>
    </w:p>
    <w:p w14:paraId="6F54E717" w14:textId="73B21D48" w:rsidR="00A25B8F" w:rsidRPr="004B15CE" w:rsidRDefault="00A25B8F" w:rsidP="004B15CE">
      <w:pPr>
        <w:pStyle w:val="ListParagraph"/>
        <w:numPr>
          <w:ilvl w:val="0"/>
          <w:numId w:val="42"/>
        </w:numPr>
        <w:spacing w:after="0" w:line="400" w:lineRule="exact"/>
        <w:ind w:left="0" w:firstLine="284"/>
        <w:jc w:val="both"/>
        <w:rPr>
          <w:rFonts w:ascii="Times New Roman" w:hAnsi="Times New Roman" w:cs="Times New Roman"/>
          <w:sz w:val="28"/>
          <w:szCs w:val="28"/>
        </w:rPr>
      </w:pPr>
      <w:r w:rsidRPr="004B15CE">
        <w:rPr>
          <w:rFonts w:ascii="Times New Roman" w:hAnsi="Times New Roman" w:cs="Times New Roman"/>
          <w:sz w:val="28"/>
          <w:szCs w:val="28"/>
        </w:rPr>
        <w:t>Such sums as Parliament may by law provide shall be charged on the Consolidated Fund of India in each year as grants-in-aid of the revenues of such States as Parliament may determine to be in need of assistance, and different sums may be fixed for different States:</w:t>
      </w:r>
    </w:p>
    <w:p w14:paraId="273254DE" w14:textId="77777777" w:rsidR="00A25B8F" w:rsidRPr="004B15CE" w:rsidRDefault="00A25B8F" w:rsidP="004B15CE">
      <w:pPr>
        <w:shd w:val="clear" w:color="auto" w:fill="FFFFFF"/>
        <w:spacing w:after="0" w:line="400" w:lineRule="exact"/>
        <w:ind w:firstLine="709"/>
        <w:jc w:val="both"/>
        <w:rPr>
          <w:rFonts w:ascii="Times New Roman" w:hAnsi="Times New Roman" w:cs="Times New Roman"/>
          <w:sz w:val="28"/>
          <w:szCs w:val="28"/>
        </w:rPr>
      </w:pPr>
      <w:r w:rsidRPr="004B15CE">
        <w:rPr>
          <w:rFonts w:ascii="Times New Roman" w:hAnsi="Times New Roman" w:cs="Times New Roman"/>
          <w:sz w:val="28"/>
          <w:szCs w:val="28"/>
        </w:rPr>
        <w:t>Provided that there shall be paid out of the Consolidated Fund of India as grants-in-aid of the revenues of a State such capital and recurring sums as may be necessary to enable that State to meet the costs of such schemes of development as may be undertaken by the State with the approval of the Government of India for the purpose of promoting the welfare of the Scheduled Tribes in that State or raising the level of administration of the Scheduled Areas therein to that of the administration of the rest of the areas of that State:</w:t>
      </w:r>
    </w:p>
    <w:p w14:paraId="50EE97B2" w14:textId="77777777" w:rsidR="00A25B8F" w:rsidRPr="004B15CE" w:rsidRDefault="00A25B8F" w:rsidP="004B15CE">
      <w:pPr>
        <w:shd w:val="clear" w:color="auto" w:fill="FFFFFF"/>
        <w:spacing w:after="0" w:line="400" w:lineRule="exact"/>
        <w:ind w:firstLine="709"/>
        <w:jc w:val="both"/>
        <w:rPr>
          <w:rFonts w:ascii="Times New Roman" w:hAnsi="Times New Roman" w:cs="Times New Roman"/>
          <w:sz w:val="28"/>
          <w:szCs w:val="28"/>
        </w:rPr>
      </w:pPr>
      <w:r w:rsidRPr="004B15CE">
        <w:rPr>
          <w:rFonts w:ascii="Times New Roman" w:hAnsi="Times New Roman" w:cs="Times New Roman"/>
          <w:sz w:val="28"/>
          <w:szCs w:val="28"/>
        </w:rPr>
        <w:t>Provided further that there shall be paid out of the Consolidated Fund of India as grants-in-aid of the revenues of the State of Assam sums, capital and recurring, equivalent to—</w:t>
      </w:r>
    </w:p>
    <w:p w14:paraId="6C3E79B4" w14:textId="3CEBB30D" w:rsidR="00A25B8F" w:rsidRPr="004B15CE" w:rsidRDefault="00A25B8F" w:rsidP="004B15CE">
      <w:pPr>
        <w:spacing w:after="0" w:line="400" w:lineRule="exact"/>
        <w:ind w:left="720"/>
        <w:jc w:val="both"/>
        <w:rPr>
          <w:rFonts w:ascii="Times New Roman" w:hAnsi="Times New Roman" w:cs="Times New Roman"/>
          <w:sz w:val="28"/>
          <w:szCs w:val="28"/>
        </w:rPr>
      </w:pPr>
      <w:r w:rsidRPr="004B15CE">
        <w:rPr>
          <w:rFonts w:ascii="Times New Roman" w:hAnsi="Times New Roman" w:cs="Times New Roman"/>
          <w:sz w:val="28"/>
          <w:szCs w:val="28"/>
        </w:rPr>
        <w:t>(a). the average excess of expenditure over the revenues during the two years immediately preceding the commencement of this Constitution in respect of the administration of the tribal areas specified in Part A of the table appended to paragraph 20 of the Sixth Schedule; and</w:t>
      </w:r>
    </w:p>
    <w:p w14:paraId="33CFD9C4" w14:textId="2CB41D8A" w:rsidR="00A25B8F" w:rsidRPr="004B15CE" w:rsidRDefault="00A25B8F" w:rsidP="004B15CE">
      <w:pPr>
        <w:spacing w:after="0" w:line="400" w:lineRule="exact"/>
        <w:ind w:left="720"/>
        <w:jc w:val="both"/>
        <w:rPr>
          <w:rFonts w:ascii="Times New Roman" w:hAnsi="Times New Roman" w:cs="Times New Roman"/>
          <w:sz w:val="28"/>
          <w:szCs w:val="28"/>
        </w:rPr>
      </w:pPr>
      <w:r w:rsidRPr="004B15CE">
        <w:rPr>
          <w:rFonts w:ascii="Times New Roman" w:hAnsi="Times New Roman" w:cs="Times New Roman"/>
          <w:sz w:val="28"/>
          <w:szCs w:val="28"/>
        </w:rPr>
        <w:t>(b). the cost of such schemes of development as may be undertaken by that State with the approval of the Government of India for the purpose of raising the level of administration of the said areas to that of the administration of the rest of the areas of that State.</w:t>
      </w:r>
    </w:p>
    <w:p w14:paraId="47E1F2EB" w14:textId="3F24DD50" w:rsidR="00A25B8F" w:rsidRPr="004B15CE" w:rsidRDefault="00A25B8F" w:rsidP="004B15CE">
      <w:pPr>
        <w:pStyle w:val="ListParagraph"/>
        <w:numPr>
          <w:ilvl w:val="0"/>
          <w:numId w:val="42"/>
        </w:numPr>
        <w:spacing w:after="0" w:line="400" w:lineRule="exact"/>
        <w:ind w:left="0" w:firstLine="284"/>
        <w:jc w:val="both"/>
        <w:rPr>
          <w:rFonts w:ascii="Times New Roman" w:hAnsi="Times New Roman" w:cs="Times New Roman"/>
          <w:sz w:val="28"/>
          <w:szCs w:val="28"/>
        </w:rPr>
      </w:pPr>
      <w:r w:rsidRPr="004B15CE">
        <w:rPr>
          <w:rFonts w:ascii="Times New Roman" w:hAnsi="Times New Roman" w:cs="Times New Roman"/>
          <w:sz w:val="28"/>
          <w:szCs w:val="28"/>
        </w:rPr>
        <w:t>Until provision is made by Parliament under clause (1), the powers conferred on Parliament under that clause shall be exercisable by the President by order and any order made by the President under this clause shall effect subject to any provision so made by Parliament:</w:t>
      </w:r>
    </w:p>
    <w:p w14:paraId="4230FC7C" w14:textId="77777777" w:rsidR="00A25B8F" w:rsidRPr="004B15CE" w:rsidRDefault="00A25B8F" w:rsidP="004B15CE">
      <w:pPr>
        <w:shd w:val="clear" w:color="auto" w:fill="FFFFFF"/>
        <w:spacing w:after="0" w:line="400" w:lineRule="exact"/>
        <w:ind w:firstLine="709"/>
        <w:jc w:val="both"/>
        <w:rPr>
          <w:rFonts w:ascii="Times New Roman" w:hAnsi="Times New Roman" w:cs="Times New Roman"/>
          <w:sz w:val="28"/>
          <w:szCs w:val="28"/>
        </w:rPr>
      </w:pPr>
      <w:r w:rsidRPr="004B15CE">
        <w:rPr>
          <w:rFonts w:ascii="Times New Roman" w:hAnsi="Times New Roman" w:cs="Times New Roman"/>
          <w:sz w:val="28"/>
          <w:szCs w:val="28"/>
        </w:rPr>
        <w:lastRenderedPageBreak/>
        <w:t>Provided that after a Finance Commission has been constituted no order shall be made under this clause by the President except after considering the recommendations of the Finance Commission.</w:t>
      </w:r>
    </w:p>
    <w:p w14:paraId="4CD875A1" w14:textId="77777777" w:rsidR="004B15CE" w:rsidRDefault="00A25B8F" w:rsidP="004B15CE">
      <w:pPr>
        <w:spacing w:after="0" w:line="400" w:lineRule="exact"/>
        <w:jc w:val="both"/>
        <w:rPr>
          <w:rFonts w:ascii="Times New Roman" w:hAnsi="Times New Roman" w:cs="Times New Roman"/>
          <w:i/>
          <w:iCs/>
          <w:sz w:val="28"/>
          <w:szCs w:val="28"/>
        </w:rPr>
      </w:pPr>
      <w:r w:rsidRPr="004B15CE">
        <w:rPr>
          <w:rFonts w:ascii="Times New Roman" w:hAnsi="Times New Roman" w:cs="Times New Roman"/>
          <w:i/>
          <w:iCs/>
          <w:sz w:val="28"/>
          <w:szCs w:val="28"/>
        </w:rPr>
        <w:t>Article 278—</w:t>
      </w:r>
    </w:p>
    <w:p w14:paraId="5C2FE54E" w14:textId="556A0AD5" w:rsidR="00A25B8F" w:rsidRPr="004B15CE" w:rsidRDefault="00A25B8F" w:rsidP="004B15CE">
      <w:pPr>
        <w:pStyle w:val="ListParagraph"/>
        <w:numPr>
          <w:ilvl w:val="0"/>
          <w:numId w:val="43"/>
        </w:numPr>
        <w:spacing w:after="0" w:line="400" w:lineRule="exact"/>
        <w:ind w:left="0" w:firstLine="338"/>
        <w:jc w:val="both"/>
        <w:rPr>
          <w:rFonts w:ascii="Times New Roman" w:hAnsi="Times New Roman" w:cs="Times New Roman"/>
          <w:sz w:val="28"/>
          <w:szCs w:val="28"/>
        </w:rPr>
      </w:pPr>
      <w:r w:rsidRPr="004B15CE">
        <w:rPr>
          <w:rFonts w:ascii="Times New Roman" w:hAnsi="Times New Roman" w:cs="Times New Roman"/>
          <w:sz w:val="28"/>
          <w:szCs w:val="28"/>
        </w:rPr>
        <w:t>Notwithstanding anything in this Constitution, the Government of India may, subject to the provisions of clause (2), enter into an agreement with the Government of a State specified in Part B of the First Schedule with respect to—</w:t>
      </w:r>
    </w:p>
    <w:p w14:paraId="347CB5C8" w14:textId="77777777" w:rsidR="00A25B8F" w:rsidRPr="004B15CE" w:rsidRDefault="00A25B8F" w:rsidP="004B15CE">
      <w:pPr>
        <w:spacing w:after="0" w:line="400" w:lineRule="exact"/>
        <w:ind w:left="720"/>
        <w:jc w:val="both"/>
        <w:rPr>
          <w:rFonts w:ascii="Times New Roman" w:hAnsi="Times New Roman" w:cs="Times New Roman"/>
          <w:sz w:val="28"/>
          <w:szCs w:val="28"/>
        </w:rPr>
      </w:pPr>
      <w:r w:rsidRPr="004B15CE">
        <w:rPr>
          <w:rFonts w:ascii="Times New Roman" w:hAnsi="Times New Roman" w:cs="Times New Roman"/>
          <w:sz w:val="28"/>
          <w:szCs w:val="28"/>
        </w:rPr>
        <w:t>(a) the levy and collection of any tax or duty leviable by the Government of India in such State and for the distribution of the proceeds thereof otherwise than in accordance with the provisions of this chapter;</w:t>
      </w:r>
    </w:p>
    <w:p w14:paraId="2F568855" w14:textId="77777777" w:rsidR="00A25B8F" w:rsidRPr="004B15CE" w:rsidRDefault="00A25B8F" w:rsidP="004B15CE">
      <w:pPr>
        <w:spacing w:after="0" w:line="400" w:lineRule="exact"/>
        <w:ind w:left="720"/>
        <w:jc w:val="both"/>
        <w:rPr>
          <w:rFonts w:ascii="Times New Roman" w:hAnsi="Times New Roman" w:cs="Times New Roman"/>
          <w:sz w:val="28"/>
          <w:szCs w:val="28"/>
        </w:rPr>
      </w:pPr>
      <w:r w:rsidRPr="004B15CE">
        <w:rPr>
          <w:rFonts w:ascii="Times New Roman" w:hAnsi="Times New Roman" w:cs="Times New Roman"/>
          <w:sz w:val="28"/>
          <w:szCs w:val="28"/>
        </w:rPr>
        <w:t>(b) the grant of any financial assistance by the Government of India to such State in consequence of the loss of any revenue which that State used to derive from any tax or duty leviable under this Constitution by the Government of India or from any other sources;</w:t>
      </w:r>
    </w:p>
    <w:p w14:paraId="25B8F414" w14:textId="77777777" w:rsidR="00A25B8F" w:rsidRPr="004B15CE" w:rsidRDefault="00A25B8F" w:rsidP="004B15CE">
      <w:pPr>
        <w:spacing w:after="0" w:line="400" w:lineRule="exact"/>
        <w:ind w:left="720"/>
        <w:jc w:val="both"/>
        <w:rPr>
          <w:rFonts w:ascii="Times New Roman" w:hAnsi="Times New Roman" w:cs="Times New Roman"/>
          <w:sz w:val="28"/>
          <w:szCs w:val="28"/>
        </w:rPr>
      </w:pPr>
      <w:r w:rsidRPr="004B15CE">
        <w:rPr>
          <w:rFonts w:ascii="Times New Roman" w:hAnsi="Times New Roman" w:cs="Times New Roman"/>
          <w:sz w:val="28"/>
          <w:szCs w:val="28"/>
        </w:rPr>
        <w:t>(c) the contribution by such State in respect of any payment made by the Government of India under clause (1) of Article 291,</w:t>
      </w:r>
    </w:p>
    <w:p w14:paraId="43787CE1" w14:textId="77777777" w:rsidR="00A25B8F" w:rsidRPr="004B15CE" w:rsidRDefault="00A25B8F" w:rsidP="004B15CE">
      <w:pPr>
        <w:spacing w:after="0" w:line="400" w:lineRule="exact"/>
        <w:jc w:val="both"/>
        <w:rPr>
          <w:rFonts w:ascii="Times New Roman" w:hAnsi="Times New Roman" w:cs="Times New Roman"/>
          <w:sz w:val="28"/>
          <w:szCs w:val="28"/>
        </w:rPr>
      </w:pPr>
      <w:r w:rsidRPr="004B15CE">
        <w:rPr>
          <w:rFonts w:ascii="Times New Roman" w:hAnsi="Times New Roman" w:cs="Times New Roman"/>
          <w:sz w:val="28"/>
          <w:szCs w:val="28"/>
        </w:rPr>
        <w:t>and, when an agreement is so entered into, the provisions of this Chapter shall in relation to such State have effect subject to the terms of such agreement.</w:t>
      </w:r>
    </w:p>
    <w:p w14:paraId="005BA6DF" w14:textId="70936A29" w:rsidR="00A25B8F" w:rsidRPr="004B15CE" w:rsidRDefault="00A25B8F" w:rsidP="004B15CE">
      <w:pPr>
        <w:pStyle w:val="ListParagraph"/>
        <w:numPr>
          <w:ilvl w:val="0"/>
          <w:numId w:val="43"/>
        </w:numPr>
        <w:spacing w:after="0" w:line="400" w:lineRule="exact"/>
        <w:ind w:left="0" w:firstLine="338"/>
        <w:jc w:val="both"/>
        <w:rPr>
          <w:rFonts w:ascii="Times New Roman" w:hAnsi="Times New Roman" w:cs="Times New Roman"/>
          <w:sz w:val="28"/>
          <w:szCs w:val="28"/>
        </w:rPr>
      </w:pPr>
      <w:r w:rsidRPr="004B15CE">
        <w:rPr>
          <w:rFonts w:ascii="Times New Roman" w:hAnsi="Times New Roman" w:cs="Times New Roman"/>
          <w:sz w:val="28"/>
          <w:szCs w:val="28"/>
        </w:rPr>
        <w:t>An agreement entered into under clause (1) shall continue in force for a period not exceeding ten years from the commencement of this Constitution:</w:t>
      </w:r>
    </w:p>
    <w:p w14:paraId="571D7866" w14:textId="77777777" w:rsidR="00A25B8F" w:rsidRPr="004B15CE" w:rsidRDefault="00A25B8F" w:rsidP="004B15CE">
      <w:pPr>
        <w:shd w:val="clear" w:color="auto" w:fill="FFFFFF"/>
        <w:spacing w:after="0" w:line="400" w:lineRule="exact"/>
        <w:ind w:firstLine="709"/>
        <w:jc w:val="both"/>
        <w:rPr>
          <w:rFonts w:ascii="Times New Roman" w:hAnsi="Times New Roman" w:cs="Times New Roman"/>
          <w:sz w:val="28"/>
          <w:szCs w:val="28"/>
        </w:rPr>
      </w:pPr>
      <w:r w:rsidRPr="004B15CE">
        <w:rPr>
          <w:rFonts w:ascii="Times New Roman" w:hAnsi="Times New Roman" w:cs="Times New Roman"/>
          <w:sz w:val="28"/>
          <w:szCs w:val="28"/>
        </w:rPr>
        <w:t>Provided that the President may at any time after the expiration of five years from such commencement terminate or modify any such agreement if after consideration of the report of the Finance Commission he thinks it necessary to do so.</w:t>
      </w:r>
    </w:p>
    <w:p w14:paraId="155C8E3B" w14:textId="77777777" w:rsidR="004B15CE" w:rsidRDefault="00A25B8F" w:rsidP="004B15CE">
      <w:pPr>
        <w:spacing w:after="0" w:line="400" w:lineRule="exact"/>
        <w:jc w:val="both"/>
        <w:rPr>
          <w:rFonts w:ascii="Times New Roman" w:hAnsi="Times New Roman" w:cs="Times New Roman"/>
          <w:i/>
          <w:iCs/>
          <w:sz w:val="28"/>
          <w:szCs w:val="28"/>
        </w:rPr>
      </w:pPr>
      <w:r w:rsidRPr="004B15CE">
        <w:rPr>
          <w:rFonts w:ascii="Times New Roman" w:hAnsi="Times New Roman" w:cs="Times New Roman"/>
          <w:i/>
          <w:iCs/>
          <w:sz w:val="28"/>
          <w:szCs w:val="28"/>
        </w:rPr>
        <w:t>Article 280—</w:t>
      </w:r>
    </w:p>
    <w:p w14:paraId="20A0D486" w14:textId="5FB91942" w:rsidR="00A25B8F" w:rsidRPr="004B15CE" w:rsidRDefault="00A25B8F" w:rsidP="004B15CE">
      <w:pPr>
        <w:pStyle w:val="ListParagraph"/>
        <w:numPr>
          <w:ilvl w:val="0"/>
          <w:numId w:val="44"/>
        </w:numPr>
        <w:spacing w:after="0" w:line="400" w:lineRule="exact"/>
        <w:ind w:left="0" w:firstLine="426"/>
        <w:jc w:val="both"/>
        <w:rPr>
          <w:rFonts w:ascii="Times New Roman" w:hAnsi="Times New Roman" w:cs="Times New Roman"/>
          <w:sz w:val="28"/>
          <w:szCs w:val="28"/>
        </w:rPr>
      </w:pPr>
      <w:r w:rsidRPr="004B15CE">
        <w:rPr>
          <w:rFonts w:ascii="Times New Roman" w:hAnsi="Times New Roman" w:cs="Times New Roman"/>
          <w:sz w:val="28"/>
          <w:szCs w:val="28"/>
        </w:rPr>
        <w:t>The President shall, within two years from the commencement of this Constitution and thereafter at the expiration of every fifth year or at such earlier time as the President considers necessary, by order constitute a Finance Commission which shall consist of a Chairman and four other members to be appointed by the President.</w:t>
      </w:r>
    </w:p>
    <w:p w14:paraId="5505D705" w14:textId="3BFC931F" w:rsidR="00A25B8F" w:rsidRPr="004B15CE" w:rsidRDefault="00A25B8F" w:rsidP="004B15CE">
      <w:pPr>
        <w:pStyle w:val="ListParagraph"/>
        <w:numPr>
          <w:ilvl w:val="0"/>
          <w:numId w:val="44"/>
        </w:numPr>
        <w:spacing w:after="0" w:line="400" w:lineRule="exact"/>
        <w:ind w:left="0" w:firstLine="426"/>
        <w:jc w:val="both"/>
        <w:rPr>
          <w:rFonts w:ascii="Times New Roman" w:hAnsi="Times New Roman" w:cs="Times New Roman"/>
          <w:sz w:val="28"/>
          <w:szCs w:val="28"/>
        </w:rPr>
      </w:pPr>
      <w:r w:rsidRPr="004B15CE">
        <w:rPr>
          <w:rFonts w:ascii="Times New Roman" w:hAnsi="Times New Roman" w:cs="Times New Roman"/>
          <w:sz w:val="28"/>
          <w:szCs w:val="28"/>
        </w:rPr>
        <w:t>Parliament may by law determine the qualifications which shall be requisite for appointment as members of the Commission and the manner in which they shall be selected.</w:t>
      </w:r>
    </w:p>
    <w:p w14:paraId="5C16B973" w14:textId="41A60EF0" w:rsidR="00A25B8F" w:rsidRPr="004B15CE" w:rsidRDefault="00A25B8F" w:rsidP="004B15CE">
      <w:pPr>
        <w:pStyle w:val="ListParagraph"/>
        <w:numPr>
          <w:ilvl w:val="0"/>
          <w:numId w:val="44"/>
        </w:numPr>
        <w:spacing w:after="0" w:line="400" w:lineRule="exact"/>
        <w:ind w:left="0" w:firstLine="426"/>
        <w:jc w:val="both"/>
        <w:rPr>
          <w:rFonts w:ascii="Times New Roman" w:hAnsi="Times New Roman" w:cs="Times New Roman"/>
          <w:sz w:val="28"/>
          <w:szCs w:val="28"/>
        </w:rPr>
      </w:pPr>
      <w:r w:rsidRPr="004B15CE">
        <w:rPr>
          <w:rFonts w:ascii="Times New Roman" w:hAnsi="Times New Roman" w:cs="Times New Roman"/>
          <w:sz w:val="28"/>
          <w:szCs w:val="28"/>
        </w:rPr>
        <w:t>It shall be the duty of the Commission to make recommendations to the President as to—</w:t>
      </w:r>
    </w:p>
    <w:p w14:paraId="207B4FDB" w14:textId="77777777" w:rsidR="004B15CE" w:rsidRDefault="00A25B8F" w:rsidP="004B15CE">
      <w:pPr>
        <w:spacing w:after="0" w:line="400" w:lineRule="exact"/>
        <w:ind w:left="720"/>
        <w:jc w:val="both"/>
        <w:rPr>
          <w:rFonts w:ascii="Times New Roman" w:hAnsi="Times New Roman" w:cs="Times New Roman"/>
          <w:sz w:val="28"/>
          <w:szCs w:val="28"/>
        </w:rPr>
      </w:pPr>
      <w:r w:rsidRPr="004B15CE">
        <w:rPr>
          <w:rFonts w:ascii="Times New Roman" w:hAnsi="Times New Roman" w:cs="Times New Roman"/>
          <w:sz w:val="28"/>
          <w:szCs w:val="28"/>
        </w:rPr>
        <w:lastRenderedPageBreak/>
        <w:t>(a) the distribution between the Union and the States of the net proceeds of taxes which are to be, or may be, divided</w:t>
      </w:r>
      <w:r w:rsidR="004B15CE">
        <w:rPr>
          <w:rFonts w:ascii="Times New Roman" w:hAnsi="Times New Roman" w:cs="Times New Roman"/>
          <w:sz w:val="28"/>
          <w:szCs w:val="28"/>
        </w:rPr>
        <w:t xml:space="preserve"> </w:t>
      </w:r>
      <w:r w:rsidR="00924044" w:rsidRPr="004B15CE">
        <w:rPr>
          <w:rFonts w:ascii="Times New Roman" w:hAnsi="Times New Roman" w:cs="Times New Roman"/>
          <w:sz w:val="28"/>
          <w:szCs w:val="28"/>
        </w:rPr>
        <w:t>between them under this Chapter and the allocation between the States of the respective shares of such proceeds;</w:t>
      </w:r>
    </w:p>
    <w:p w14:paraId="4D881501" w14:textId="77777777" w:rsidR="004B15CE" w:rsidRDefault="00924044" w:rsidP="004B15CE">
      <w:pPr>
        <w:spacing w:after="0" w:line="400" w:lineRule="exact"/>
        <w:ind w:left="720"/>
        <w:jc w:val="both"/>
        <w:rPr>
          <w:rFonts w:ascii="Times New Roman" w:hAnsi="Times New Roman" w:cs="Times New Roman"/>
          <w:sz w:val="28"/>
          <w:szCs w:val="28"/>
        </w:rPr>
      </w:pPr>
      <w:r w:rsidRPr="004B15CE">
        <w:rPr>
          <w:rFonts w:ascii="Times New Roman" w:hAnsi="Times New Roman" w:cs="Times New Roman"/>
          <w:sz w:val="28"/>
          <w:szCs w:val="28"/>
        </w:rPr>
        <w:t>(b) the principles which should govern the grants-in-aid of the revenues of the States out of the Consolidated Fund of India;</w:t>
      </w:r>
    </w:p>
    <w:p w14:paraId="3EECDA0B" w14:textId="77777777" w:rsidR="004B15CE" w:rsidRDefault="00924044" w:rsidP="004B15CE">
      <w:pPr>
        <w:spacing w:after="0" w:line="400" w:lineRule="exact"/>
        <w:ind w:left="720"/>
        <w:jc w:val="both"/>
        <w:rPr>
          <w:rFonts w:ascii="Times New Roman" w:hAnsi="Times New Roman" w:cs="Times New Roman"/>
          <w:sz w:val="28"/>
          <w:szCs w:val="28"/>
        </w:rPr>
      </w:pPr>
      <w:r w:rsidRPr="004B15CE">
        <w:rPr>
          <w:rFonts w:ascii="Times New Roman" w:hAnsi="Times New Roman" w:cs="Times New Roman"/>
          <w:sz w:val="28"/>
          <w:szCs w:val="28"/>
        </w:rPr>
        <w:t>(c) the continuance or modification of the terms of any agreement entered into by the Government of India with the Government of any State specified in Part B of the First Schedule under clause (1) of article 278 or under article 306; and</w:t>
      </w:r>
    </w:p>
    <w:p w14:paraId="2CFA3392" w14:textId="5F6EF654" w:rsidR="00924044" w:rsidRPr="004B15CE" w:rsidRDefault="00924044" w:rsidP="004B15CE">
      <w:pPr>
        <w:spacing w:after="0" w:line="400" w:lineRule="exact"/>
        <w:ind w:left="720"/>
        <w:jc w:val="both"/>
        <w:rPr>
          <w:rFonts w:ascii="Times New Roman" w:hAnsi="Times New Roman" w:cs="Times New Roman"/>
          <w:sz w:val="28"/>
          <w:szCs w:val="28"/>
        </w:rPr>
      </w:pPr>
      <w:r w:rsidRPr="004B15CE">
        <w:rPr>
          <w:rFonts w:ascii="Times New Roman" w:hAnsi="Times New Roman" w:cs="Times New Roman"/>
          <w:sz w:val="28"/>
          <w:szCs w:val="28"/>
        </w:rPr>
        <w:t>(d) any other matter referred to the Commission by the President in the interests of sound finance.</w:t>
      </w:r>
    </w:p>
    <w:p w14:paraId="159941A8" w14:textId="1797FDBE" w:rsidR="00924044" w:rsidRPr="004B15CE" w:rsidRDefault="00924044" w:rsidP="004B15CE">
      <w:pPr>
        <w:pStyle w:val="ListParagraph"/>
        <w:numPr>
          <w:ilvl w:val="0"/>
          <w:numId w:val="44"/>
        </w:numPr>
        <w:spacing w:after="0" w:line="400" w:lineRule="exact"/>
        <w:ind w:left="0" w:firstLine="426"/>
        <w:jc w:val="both"/>
        <w:rPr>
          <w:rFonts w:ascii="Times New Roman" w:hAnsi="Times New Roman" w:cs="Times New Roman"/>
          <w:sz w:val="28"/>
          <w:szCs w:val="28"/>
        </w:rPr>
      </w:pPr>
      <w:r w:rsidRPr="004B15CE">
        <w:rPr>
          <w:rFonts w:ascii="Times New Roman" w:hAnsi="Times New Roman" w:cs="Times New Roman"/>
          <w:sz w:val="28"/>
          <w:szCs w:val="28"/>
        </w:rPr>
        <w:t>The Commission shall determine their procedure and shall have such powers in the performance of their functions as Parliament may by law confer on them.</w:t>
      </w:r>
    </w:p>
    <w:p w14:paraId="337886CD" w14:textId="77777777" w:rsidR="00924044" w:rsidRPr="004B15CE" w:rsidRDefault="00924044" w:rsidP="004B15CE">
      <w:pPr>
        <w:spacing w:after="0" w:line="400" w:lineRule="exact"/>
        <w:jc w:val="both"/>
        <w:rPr>
          <w:rFonts w:ascii="Times New Roman" w:hAnsi="Times New Roman" w:cs="Times New Roman"/>
          <w:sz w:val="28"/>
          <w:szCs w:val="28"/>
        </w:rPr>
      </w:pPr>
      <w:r w:rsidRPr="004B15CE">
        <w:rPr>
          <w:rFonts w:ascii="Times New Roman" w:hAnsi="Times New Roman" w:cs="Times New Roman"/>
          <w:i/>
          <w:iCs/>
          <w:sz w:val="28"/>
          <w:szCs w:val="28"/>
        </w:rPr>
        <w:t>Article 306—</w:t>
      </w:r>
    </w:p>
    <w:p w14:paraId="31D825DD" w14:textId="77777777" w:rsidR="00924044" w:rsidRPr="004B15CE" w:rsidRDefault="00924044" w:rsidP="004B15CE">
      <w:pPr>
        <w:shd w:val="clear" w:color="auto" w:fill="FFFFFF"/>
        <w:spacing w:after="0" w:line="400" w:lineRule="exact"/>
        <w:ind w:firstLine="709"/>
        <w:jc w:val="both"/>
        <w:rPr>
          <w:rFonts w:ascii="Times New Roman" w:hAnsi="Times New Roman" w:cs="Times New Roman"/>
          <w:sz w:val="28"/>
          <w:szCs w:val="28"/>
        </w:rPr>
      </w:pPr>
      <w:r w:rsidRPr="004B15CE">
        <w:rPr>
          <w:rFonts w:ascii="Times New Roman" w:hAnsi="Times New Roman" w:cs="Times New Roman"/>
          <w:sz w:val="28"/>
          <w:szCs w:val="28"/>
        </w:rPr>
        <w:t>Notwithstanding anything in the foregoing provisions of this Part or in any other provisions of this Constitution, any State specified in Part B of the First Schedule which before the commencement of this Constitution was levying any tax or duty on the import of goods into the State from other States or on the export of goods from the State to other States may, if an agreement in that behalf has been entered into between the Government of India and the Government of that State, continue to levy and collect such tax or duty subject to the terms of such agreement and for such period not exceeding ten years from the commencement of this Constitution as may be specified in the agreement:</w:t>
      </w:r>
    </w:p>
    <w:p w14:paraId="4C315C63" w14:textId="77777777" w:rsidR="00924044" w:rsidRPr="004B15CE" w:rsidRDefault="00924044" w:rsidP="004B15CE">
      <w:pPr>
        <w:shd w:val="clear" w:color="auto" w:fill="FFFFFF"/>
        <w:spacing w:after="0" w:line="400" w:lineRule="exact"/>
        <w:ind w:firstLine="709"/>
        <w:jc w:val="both"/>
        <w:rPr>
          <w:rFonts w:ascii="Times New Roman" w:hAnsi="Times New Roman" w:cs="Times New Roman"/>
          <w:sz w:val="28"/>
          <w:szCs w:val="28"/>
        </w:rPr>
      </w:pPr>
      <w:r w:rsidRPr="004B15CE">
        <w:rPr>
          <w:rFonts w:ascii="Times New Roman" w:hAnsi="Times New Roman" w:cs="Times New Roman"/>
          <w:sz w:val="28"/>
          <w:szCs w:val="28"/>
        </w:rPr>
        <w:t>Provided that the President may at any time after the expiration of five years from such commencement terminate or modify any such agreement if, after consideration of the report of the Finance Commission constituted under article 280, he thinks it necessary to do so.</w:t>
      </w:r>
    </w:p>
    <w:p w14:paraId="11013780" w14:textId="77777777" w:rsidR="00A25B8F" w:rsidRPr="004B15CE" w:rsidRDefault="00A25B8F" w:rsidP="004B15CE">
      <w:pPr>
        <w:spacing w:after="0" w:line="400" w:lineRule="exact"/>
        <w:ind w:left="720"/>
        <w:jc w:val="both"/>
        <w:rPr>
          <w:rFonts w:ascii="Times New Roman" w:hAnsi="Times New Roman" w:cs="Times New Roman"/>
          <w:sz w:val="28"/>
          <w:szCs w:val="28"/>
        </w:rPr>
      </w:pPr>
    </w:p>
    <w:p w14:paraId="1AAD936F" w14:textId="18F04C32" w:rsidR="00924044" w:rsidRPr="004B15CE" w:rsidRDefault="00924044" w:rsidP="004B15CE">
      <w:pPr>
        <w:spacing w:after="0" w:line="400" w:lineRule="exact"/>
        <w:jc w:val="both"/>
        <w:rPr>
          <w:rFonts w:ascii="Times New Roman" w:hAnsi="Times New Roman" w:cs="Times New Roman"/>
          <w:sz w:val="28"/>
          <w:szCs w:val="28"/>
        </w:rPr>
      </w:pPr>
      <w:r w:rsidRPr="004B15CE">
        <w:rPr>
          <w:rFonts w:ascii="Times New Roman" w:hAnsi="Times New Roman" w:cs="Times New Roman"/>
          <w:sz w:val="28"/>
          <w:szCs w:val="28"/>
        </w:rPr>
        <w:br w:type="page"/>
      </w:r>
    </w:p>
    <w:p w14:paraId="2FDE04AB" w14:textId="0CF4AC94" w:rsidR="00924044" w:rsidRPr="004B15CE" w:rsidRDefault="00924044" w:rsidP="00986895">
      <w:pPr>
        <w:pStyle w:val="Heading2"/>
      </w:pPr>
      <w:bookmarkStart w:id="15" w:name="_Toc221007124"/>
      <w:r w:rsidRPr="004B15CE">
        <w:lastRenderedPageBreak/>
        <w:t>APPENDIX II</w:t>
      </w:r>
      <w:r w:rsidR="00986895">
        <w:t xml:space="preserve"> </w:t>
      </w:r>
      <w:r w:rsidR="00986895">
        <w:br/>
      </w:r>
      <w:r w:rsidRPr="004B15CE">
        <w:t>THE FINANCE COMMISSION (MISCELLANEOUS PROVISIONS) ACT, 1951</w:t>
      </w:r>
      <w:bookmarkEnd w:id="15"/>
    </w:p>
    <w:p w14:paraId="7365F2C1" w14:textId="77777777" w:rsidR="00924044" w:rsidRPr="004B15CE" w:rsidRDefault="00924044" w:rsidP="00986895">
      <w:pPr>
        <w:spacing w:after="0" w:line="400" w:lineRule="exact"/>
        <w:ind w:left="720"/>
        <w:jc w:val="center"/>
        <w:rPr>
          <w:rFonts w:ascii="Times New Roman" w:hAnsi="Times New Roman" w:cs="Times New Roman"/>
          <w:sz w:val="28"/>
          <w:szCs w:val="28"/>
        </w:rPr>
      </w:pPr>
      <w:r w:rsidRPr="004B15CE">
        <w:rPr>
          <w:rFonts w:ascii="Times New Roman" w:hAnsi="Times New Roman" w:cs="Times New Roman"/>
          <w:sz w:val="28"/>
          <w:szCs w:val="28"/>
        </w:rPr>
        <w:t>AN ACT</w:t>
      </w:r>
    </w:p>
    <w:p w14:paraId="291EBFC4" w14:textId="77777777" w:rsidR="00924044" w:rsidRPr="004B15CE" w:rsidRDefault="00924044" w:rsidP="00986895">
      <w:pPr>
        <w:spacing w:line="400" w:lineRule="exact"/>
        <w:ind w:left="720"/>
        <w:jc w:val="both"/>
        <w:rPr>
          <w:rFonts w:ascii="Times New Roman" w:hAnsi="Times New Roman" w:cs="Times New Roman"/>
          <w:sz w:val="28"/>
          <w:szCs w:val="28"/>
        </w:rPr>
      </w:pPr>
      <w:r w:rsidRPr="004B15CE">
        <w:rPr>
          <w:rFonts w:ascii="Times New Roman" w:hAnsi="Times New Roman" w:cs="Times New Roman"/>
          <w:i/>
          <w:iCs/>
          <w:sz w:val="28"/>
          <w:szCs w:val="28"/>
        </w:rPr>
        <w:t>to determine the qualifications requisite for appointment as members of the Finance Commission and the manner in which they shall be selected, and to prescribe their powers.</w:t>
      </w:r>
    </w:p>
    <w:p w14:paraId="1BAF7A2D" w14:textId="77777777" w:rsidR="00924044" w:rsidRPr="004B15CE" w:rsidRDefault="00924044" w:rsidP="004B15CE">
      <w:pPr>
        <w:spacing w:after="0" w:line="400" w:lineRule="exact"/>
        <w:ind w:left="720"/>
        <w:jc w:val="both"/>
        <w:rPr>
          <w:rFonts w:ascii="Times New Roman" w:hAnsi="Times New Roman" w:cs="Times New Roman"/>
          <w:sz w:val="28"/>
          <w:szCs w:val="28"/>
        </w:rPr>
      </w:pPr>
      <w:r w:rsidRPr="004B15CE">
        <w:rPr>
          <w:rFonts w:ascii="Times New Roman" w:hAnsi="Times New Roman" w:cs="Times New Roman"/>
          <w:sz w:val="28"/>
          <w:szCs w:val="28"/>
        </w:rPr>
        <w:t>BE it enacted by Parliament as follows:—</w:t>
      </w:r>
    </w:p>
    <w:p w14:paraId="35EEDE20" w14:textId="77777777" w:rsidR="00924044" w:rsidRPr="004B15CE" w:rsidRDefault="00924044" w:rsidP="004B15CE">
      <w:pPr>
        <w:numPr>
          <w:ilvl w:val="0"/>
          <w:numId w:val="21"/>
        </w:numPr>
        <w:spacing w:after="0" w:line="400" w:lineRule="exact"/>
        <w:jc w:val="both"/>
        <w:rPr>
          <w:rFonts w:ascii="Times New Roman" w:hAnsi="Times New Roman" w:cs="Times New Roman"/>
          <w:sz w:val="28"/>
          <w:szCs w:val="28"/>
        </w:rPr>
      </w:pPr>
      <w:r w:rsidRPr="004B15CE">
        <w:rPr>
          <w:rFonts w:ascii="Times New Roman" w:hAnsi="Times New Roman" w:cs="Times New Roman"/>
          <w:i/>
          <w:iCs/>
          <w:sz w:val="28"/>
          <w:szCs w:val="28"/>
        </w:rPr>
        <w:t>Short title</w:t>
      </w:r>
      <w:r w:rsidRPr="004B15CE">
        <w:rPr>
          <w:rFonts w:ascii="Times New Roman" w:hAnsi="Times New Roman" w:cs="Times New Roman"/>
          <w:sz w:val="28"/>
          <w:szCs w:val="28"/>
        </w:rPr>
        <w:t>—This Act may be called the Finance Commission (Miscellaneous Provisions) Act, 1951 (Act XXXIII of 1951).</w:t>
      </w:r>
    </w:p>
    <w:p w14:paraId="27CC39EF" w14:textId="77777777" w:rsidR="00924044" w:rsidRPr="004B15CE" w:rsidRDefault="00924044" w:rsidP="004B15CE">
      <w:pPr>
        <w:numPr>
          <w:ilvl w:val="0"/>
          <w:numId w:val="21"/>
        </w:numPr>
        <w:spacing w:after="0" w:line="400" w:lineRule="exact"/>
        <w:jc w:val="both"/>
        <w:rPr>
          <w:rFonts w:ascii="Times New Roman" w:hAnsi="Times New Roman" w:cs="Times New Roman"/>
          <w:sz w:val="28"/>
          <w:szCs w:val="28"/>
        </w:rPr>
      </w:pPr>
      <w:r w:rsidRPr="004B15CE">
        <w:rPr>
          <w:rFonts w:ascii="Times New Roman" w:hAnsi="Times New Roman" w:cs="Times New Roman"/>
          <w:i/>
          <w:iCs/>
          <w:sz w:val="28"/>
          <w:szCs w:val="28"/>
        </w:rPr>
        <w:t>Definition</w:t>
      </w:r>
      <w:r w:rsidRPr="004B15CE">
        <w:rPr>
          <w:rFonts w:ascii="Times New Roman" w:hAnsi="Times New Roman" w:cs="Times New Roman"/>
          <w:sz w:val="28"/>
          <w:szCs w:val="28"/>
        </w:rPr>
        <w:t>—In this Act, “the Commission” means the Finance Commission constituted by the President pursuant to clause (1) of article 280 of the Constitution.</w:t>
      </w:r>
    </w:p>
    <w:p w14:paraId="60D7442A" w14:textId="77777777" w:rsidR="00924044" w:rsidRPr="004B15CE" w:rsidRDefault="00924044" w:rsidP="004B15CE">
      <w:pPr>
        <w:numPr>
          <w:ilvl w:val="0"/>
          <w:numId w:val="21"/>
        </w:numPr>
        <w:spacing w:after="0" w:line="400" w:lineRule="exact"/>
        <w:jc w:val="both"/>
        <w:rPr>
          <w:rFonts w:ascii="Times New Roman" w:hAnsi="Times New Roman" w:cs="Times New Roman"/>
          <w:sz w:val="28"/>
          <w:szCs w:val="28"/>
        </w:rPr>
      </w:pPr>
      <w:r w:rsidRPr="004B15CE">
        <w:rPr>
          <w:rFonts w:ascii="Times New Roman" w:hAnsi="Times New Roman" w:cs="Times New Roman"/>
          <w:i/>
          <w:iCs/>
          <w:sz w:val="28"/>
          <w:szCs w:val="28"/>
        </w:rPr>
        <w:t>Qualifications for appointment as, and the manner of selection of, members of the Commission</w:t>
      </w:r>
      <w:r w:rsidRPr="004B15CE">
        <w:rPr>
          <w:rFonts w:ascii="Times New Roman" w:hAnsi="Times New Roman" w:cs="Times New Roman"/>
          <w:sz w:val="28"/>
          <w:szCs w:val="28"/>
        </w:rPr>
        <w:t>—The Chairman of the Commission shall be selected from among persons who have had experience in public affairs, and the four other members shall be selected from among persons who</w:t>
      </w:r>
    </w:p>
    <w:p w14:paraId="3D5EDDE5" w14:textId="77777777" w:rsidR="00924044" w:rsidRPr="004B15CE" w:rsidRDefault="00924044" w:rsidP="004B15CE">
      <w:pPr>
        <w:spacing w:after="0" w:line="400" w:lineRule="exact"/>
        <w:ind w:left="1440"/>
        <w:jc w:val="both"/>
        <w:rPr>
          <w:rFonts w:ascii="Times New Roman" w:hAnsi="Times New Roman" w:cs="Times New Roman"/>
          <w:sz w:val="28"/>
          <w:szCs w:val="28"/>
        </w:rPr>
      </w:pPr>
      <w:r w:rsidRPr="004B15CE">
        <w:rPr>
          <w:rFonts w:ascii="Times New Roman" w:hAnsi="Times New Roman" w:cs="Times New Roman"/>
          <w:sz w:val="28"/>
          <w:szCs w:val="28"/>
        </w:rPr>
        <w:t>(a) are, or have been, or are qualified to be appointed as Judges of a High Court; or</w:t>
      </w:r>
    </w:p>
    <w:p w14:paraId="7B735D79" w14:textId="77777777" w:rsidR="00924044" w:rsidRPr="004B15CE" w:rsidRDefault="00924044" w:rsidP="004B15CE">
      <w:pPr>
        <w:spacing w:after="0" w:line="400" w:lineRule="exact"/>
        <w:ind w:left="1440"/>
        <w:jc w:val="both"/>
        <w:rPr>
          <w:rFonts w:ascii="Times New Roman" w:hAnsi="Times New Roman" w:cs="Times New Roman"/>
          <w:sz w:val="28"/>
          <w:szCs w:val="28"/>
        </w:rPr>
      </w:pPr>
      <w:r w:rsidRPr="004B15CE">
        <w:rPr>
          <w:rFonts w:ascii="Times New Roman" w:hAnsi="Times New Roman" w:cs="Times New Roman"/>
          <w:sz w:val="28"/>
          <w:szCs w:val="28"/>
        </w:rPr>
        <w:t>(b) have special knowledge of the finances and accounts of the Government;</w:t>
      </w:r>
    </w:p>
    <w:p w14:paraId="13D5EF82" w14:textId="77777777" w:rsidR="00924044" w:rsidRPr="004B15CE" w:rsidRDefault="00924044" w:rsidP="004B15CE">
      <w:pPr>
        <w:spacing w:after="0" w:line="400" w:lineRule="exact"/>
        <w:ind w:left="1440"/>
        <w:jc w:val="both"/>
        <w:rPr>
          <w:rFonts w:ascii="Times New Roman" w:hAnsi="Times New Roman" w:cs="Times New Roman"/>
          <w:sz w:val="28"/>
          <w:szCs w:val="28"/>
        </w:rPr>
      </w:pPr>
      <w:r w:rsidRPr="004B15CE">
        <w:rPr>
          <w:rFonts w:ascii="Times New Roman" w:hAnsi="Times New Roman" w:cs="Times New Roman"/>
          <w:sz w:val="28"/>
          <w:szCs w:val="28"/>
        </w:rPr>
        <w:t>(c) have had wide experience in financial matters and in administration; or</w:t>
      </w:r>
    </w:p>
    <w:p w14:paraId="11520E25" w14:textId="77777777" w:rsidR="00924044" w:rsidRPr="004B15CE" w:rsidRDefault="00924044" w:rsidP="004B15CE">
      <w:pPr>
        <w:spacing w:after="0" w:line="400" w:lineRule="exact"/>
        <w:ind w:left="1440"/>
        <w:jc w:val="both"/>
        <w:rPr>
          <w:rFonts w:ascii="Times New Roman" w:hAnsi="Times New Roman" w:cs="Times New Roman"/>
          <w:sz w:val="28"/>
          <w:szCs w:val="28"/>
        </w:rPr>
      </w:pPr>
      <w:r w:rsidRPr="004B15CE">
        <w:rPr>
          <w:rFonts w:ascii="Times New Roman" w:hAnsi="Times New Roman" w:cs="Times New Roman"/>
          <w:sz w:val="28"/>
          <w:szCs w:val="28"/>
        </w:rPr>
        <w:t>(d) have special knowledge of economics.</w:t>
      </w:r>
    </w:p>
    <w:p w14:paraId="13F55299" w14:textId="53205D96" w:rsidR="00924044" w:rsidRPr="004B15CE" w:rsidRDefault="00924044" w:rsidP="004B15CE">
      <w:pPr>
        <w:pStyle w:val="ListParagraph"/>
        <w:numPr>
          <w:ilvl w:val="0"/>
          <w:numId w:val="21"/>
        </w:numPr>
        <w:spacing w:after="0" w:line="400" w:lineRule="exact"/>
        <w:jc w:val="both"/>
        <w:rPr>
          <w:rFonts w:ascii="Times New Roman" w:hAnsi="Times New Roman" w:cs="Times New Roman"/>
          <w:sz w:val="28"/>
          <w:szCs w:val="28"/>
        </w:rPr>
      </w:pPr>
      <w:r w:rsidRPr="004B15CE">
        <w:rPr>
          <w:rFonts w:ascii="Times New Roman" w:hAnsi="Times New Roman" w:cs="Times New Roman"/>
          <w:i/>
          <w:iCs/>
          <w:sz w:val="28"/>
          <w:szCs w:val="28"/>
        </w:rPr>
        <w:t>Personal interest to disqualify members</w:t>
      </w:r>
      <w:r w:rsidRPr="004B15CE">
        <w:rPr>
          <w:rFonts w:ascii="Times New Roman" w:hAnsi="Times New Roman" w:cs="Times New Roman"/>
          <w:sz w:val="28"/>
          <w:szCs w:val="28"/>
        </w:rPr>
        <w:t>—Before appointing a person to be a member of the Commission, the President shall satisfy himself that that person will have no such financial or other interest as is likely to affect prejudicially his functions as a member of the Commission; and the President shall also satisfy himself from time to time with respect to every member of the Commission that he has no such interest and any person who is, or whom the President proposes to appoint to be a member of the Commission shall, whenever required by the President so to do, furnish to him such information as the President considers necessary for the performance by him of his duties under this section.</w:t>
      </w:r>
    </w:p>
    <w:p w14:paraId="07FF8F75" w14:textId="628A9EEF" w:rsidR="00924044" w:rsidRPr="004B15CE" w:rsidRDefault="00924044" w:rsidP="00986895">
      <w:pPr>
        <w:pStyle w:val="ListParagraph"/>
        <w:numPr>
          <w:ilvl w:val="0"/>
          <w:numId w:val="21"/>
        </w:numPr>
        <w:spacing w:after="0" w:line="400" w:lineRule="exact"/>
        <w:jc w:val="both"/>
        <w:rPr>
          <w:rFonts w:ascii="Times New Roman" w:hAnsi="Times New Roman" w:cs="Times New Roman"/>
          <w:sz w:val="28"/>
          <w:szCs w:val="28"/>
        </w:rPr>
      </w:pPr>
      <w:r w:rsidRPr="004B15CE">
        <w:rPr>
          <w:rFonts w:ascii="Times New Roman" w:hAnsi="Times New Roman" w:cs="Times New Roman"/>
          <w:i/>
          <w:iCs/>
          <w:sz w:val="28"/>
          <w:szCs w:val="28"/>
        </w:rPr>
        <w:lastRenderedPageBreak/>
        <w:t>Disqualifications for being a member of the Commission.</w:t>
      </w:r>
      <w:r w:rsidRPr="004B15CE">
        <w:rPr>
          <w:rFonts w:ascii="Times New Roman" w:hAnsi="Times New Roman" w:cs="Times New Roman"/>
          <w:sz w:val="28"/>
          <w:szCs w:val="28"/>
        </w:rPr>
        <w:t>—A person shall be disqualified for being appointed as, or for being, a member of the Commission—</w:t>
      </w:r>
    </w:p>
    <w:p w14:paraId="722F40F6" w14:textId="77777777" w:rsidR="00924044" w:rsidRPr="004B15CE" w:rsidRDefault="00924044" w:rsidP="004B15CE">
      <w:pPr>
        <w:pStyle w:val="ListParagraph"/>
        <w:spacing w:after="0" w:line="400" w:lineRule="exact"/>
        <w:ind w:left="1440"/>
        <w:jc w:val="both"/>
        <w:rPr>
          <w:rFonts w:ascii="Times New Roman" w:hAnsi="Times New Roman" w:cs="Times New Roman"/>
          <w:sz w:val="28"/>
          <w:szCs w:val="28"/>
        </w:rPr>
      </w:pPr>
      <w:r w:rsidRPr="004B15CE">
        <w:rPr>
          <w:rFonts w:ascii="Times New Roman" w:hAnsi="Times New Roman" w:cs="Times New Roman"/>
          <w:sz w:val="28"/>
          <w:szCs w:val="28"/>
        </w:rPr>
        <w:t>(a) if he is of unsound mind;</w:t>
      </w:r>
    </w:p>
    <w:p w14:paraId="19DC05D2" w14:textId="77777777" w:rsidR="00924044" w:rsidRPr="004B15CE" w:rsidRDefault="00924044" w:rsidP="004B15CE">
      <w:pPr>
        <w:pStyle w:val="ListParagraph"/>
        <w:spacing w:after="0" w:line="400" w:lineRule="exact"/>
        <w:ind w:left="1440"/>
        <w:jc w:val="both"/>
        <w:rPr>
          <w:rFonts w:ascii="Times New Roman" w:hAnsi="Times New Roman" w:cs="Times New Roman"/>
          <w:sz w:val="28"/>
          <w:szCs w:val="28"/>
        </w:rPr>
      </w:pPr>
      <w:r w:rsidRPr="004B15CE">
        <w:rPr>
          <w:rFonts w:ascii="Times New Roman" w:hAnsi="Times New Roman" w:cs="Times New Roman"/>
          <w:sz w:val="28"/>
          <w:szCs w:val="28"/>
        </w:rPr>
        <w:t>(b) if he is an undischarged insolvent;</w:t>
      </w:r>
    </w:p>
    <w:p w14:paraId="28D804DC" w14:textId="77777777" w:rsidR="00924044" w:rsidRPr="004B15CE" w:rsidRDefault="00924044" w:rsidP="004B15CE">
      <w:pPr>
        <w:pStyle w:val="ListParagraph"/>
        <w:spacing w:after="0" w:line="400" w:lineRule="exact"/>
        <w:ind w:left="1440"/>
        <w:jc w:val="both"/>
        <w:rPr>
          <w:rFonts w:ascii="Times New Roman" w:hAnsi="Times New Roman" w:cs="Times New Roman"/>
          <w:sz w:val="28"/>
          <w:szCs w:val="28"/>
        </w:rPr>
      </w:pPr>
      <w:r w:rsidRPr="004B15CE">
        <w:rPr>
          <w:rFonts w:ascii="Times New Roman" w:hAnsi="Times New Roman" w:cs="Times New Roman"/>
          <w:sz w:val="28"/>
          <w:szCs w:val="28"/>
        </w:rPr>
        <w:t>(c) if he has been convicted of an offence involving moral turpitude; and</w:t>
      </w:r>
    </w:p>
    <w:p w14:paraId="023F2EE9" w14:textId="77777777" w:rsidR="00924044" w:rsidRPr="004B15CE" w:rsidRDefault="00924044" w:rsidP="004B15CE">
      <w:pPr>
        <w:pStyle w:val="ListParagraph"/>
        <w:spacing w:after="0" w:line="400" w:lineRule="exact"/>
        <w:ind w:left="1440"/>
        <w:jc w:val="both"/>
        <w:rPr>
          <w:rFonts w:ascii="Times New Roman" w:hAnsi="Times New Roman" w:cs="Times New Roman"/>
          <w:sz w:val="28"/>
          <w:szCs w:val="28"/>
        </w:rPr>
      </w:pPr>
      <w:r w:rsidRPr="004B15CE">
        <w:rPr>
          <w:rFonts w:ascii="Times New Roman" w:hAnsi="Times New Roman" w:cs="Times New Roman"/>
          <w:sz w:val="28"/>
          <w:szCs w:val="28"/>
        </w:rPr>
        <w:t>(d) if he has such financial or other interest as is likely to effect prejudicially his functions as a member of the Commission.</w:t>
      </w:r>
    </w:p>
    <w:p w14:paraId="4CF762F5" w14:textId="0185E439" w:rsidR="00924044" w:rsidRPr="004B15CE" w:rsidRDefault="00924044" w:rsidP="004B15CE">
      <w:pPr>
        <w:pStyle w:val="ListParagraph"/>
        <w:numPr>
          <w:ilvl w:val="0"/>
          <w:numId w:val="21"/>
        </w:numPr>
        <w:spacing w:after="0" w:line="400" w:lineRule="exact"/>
        <w:jc w:val="both"/>
        <w:rPr>
          <w:rFonts w:ascii="Times New Roman" w:hAnsi="Times New Roman" w:cs="Times New Roman"/>
          <w:sz w:val="28"/>
          <w:szCs w:val="28"/>
        </w:rPr>
      </w:pPr>
      <w:r w:rsidRPr="004B15CE">
        <w:rPr>
          <w:rFonts w:ascii="Times New Roman" w:hAnsi="Times New Roman" w:cs="Times New Roman"/>
          <w:i/>
          <w:iCs/>
          <w:sz w:val="28"/>
          <w:szCs w:val="28"/>
        </w:rPr>
        <w:t>Term of office of members and eligibility for re-appointment.</w:t>
      </w:r>
      <w:r w:rsidRPr="004B15CE">
        <w:rPr>
          <w:rFonts w:ascii="Times New Roman" w:hAnsi="Times New Roman" w:cs="Times New Roman"/>
          <w:sz w:val="28"/>
          <w:szCs w:val="28"/>
        </w:rPr>
        <w:t>—Every member of the Commission shall hold office for such period as may be provided for in the order of the President appointing him, but shall be eligible for reappointment:</w:t>
      </w:r>
    </w:p>
    <w:p w14:paraId="499C2154" w14:textId="77777777" w:rsidR="00924044" w:rsidRPr="004B15CE" w:rsidRDefault="00924044" w:rsidP="004B15CE">
      <w:pPr>
        <w:pStyle w:val="ListParagraph"/>
        <w:spacing w:after="0" w:line="400" w:lineRule="exact"/>
        <w:jc w:val="both"/>
        <w:rPr>
          <w:rFonts w:ascii="Times New Roman" w:hAnsi="Times New Roman" w:cs="Times New Roman"/>
          <w:sz w:val="28"/>
          <w:szCs w:val="28"/>
        </w:rPr>
      </w:pPr>
      <w:r w:rsidRPr="004B15CE">
        <w:rPr>
          <w:rFonts w:ascii="Times New Roman" w:hAnsi="Times New Roman" w:cs="Times New Roman"/>
          <w:sz w:val="28"/>
          <w:szCs w:val="28"/>
        </w:rPr>
        <w:t>Provided that he may, by letter addressed to the President, resign his office.</w:t>
      </w:r>
    </w:p>
    <w:p w14:paraId="05B77992" w14:textId="7E85D495" w:rsidR="00924044" w:rsidRPr="004B15CE" w:rsidRDefault="00924044" w:rsidP="004B15CE">
      <w:pPr>
        <w:pStyle w:val="ListParagraph"/>
        <w:numPr>
          <w:ilvl w:val="0"/>
          <w:numId w:val="21"/>
        </w:numPr>
        <w:spacing w:after="0" w:line="400" w:lineRule="exact"/>
        <w:jc w:val="both"/>
        <w:rPr>
          <w:rFonts w:ascii="Times New Roman" w:hAnsi="Times New Roman" w:cs="Times New Roman"/>
          <w:sz w:val="28"/>
          <w:szCs w:val="28"/>
        </w:rPr>
      </w:pPr>
      <w:r w:rsidRPr="004B15CE">
        <w:rPr>
          <w:rFonts w:ascii="Times New Roman" w:hAnsi="Times New Roman" w:cs="Times New Roman"/>
          <w:i/>
          <w:iCs/>
          <w:sz w:val="28"/>
          <w:szCs w:val="28"/>
        </w:rPr>
        <w:t>Conditions of service and salaries and allowances of members.</w:t>
      </w:r>
      <w:r w:rsidRPr="004B15CE">
        <w:rPr>
          <w:rFonts w:ascii="Times New Roman" w:hAnsi="Times New Roman" w:cs="Times New Roman"/>
          <w:sz w:val="28"/>
          <w:szCs w:val="28"/>
        </w:rPr>
        <w:t>—The members of the Commission shall render wholetime or part time service to the Commission as the President may in each case specify and there shall be paid to the members of the Commission such fees or salaries and such allowances as the Central Government may, by rules made in this behalf, determine.</w:t>
      </w:r>
    </w:p>
    <w:p w14:paraId="6ABF98A6" w14:textId="77777777" w:rsidR="00924044" w:rsidRPr="004B15CE" w:rsidRDefault="00924044" w:rsidP="004B15CE">
      <w:pPr>
        <w:pStyle w:val="ListParagraph"/>
        <w:numPr>
          <w:ilvl w:val="0"/>
          <w:numId w:val="21"/>
        </w:numPr>
        <w:spacing w:after="0" w:line="400" w:lineRule="exact"/>
        <w:jc w:val="both"/>
        <w:rPr>
          <w:rFonts w:ascii="Times New Roman" w:hAnsi="Times New Roman" w:cs="Times New Roman"/>
          <w:sz w:val="28"/>
          <w:szCs w:val="28"/>
        </w:rPr>
      </w:pPr>
      <w:r w:rsidRPr="004B15CE">
        <w:rPr>
          <w:rFonts w:ascii="Times New Roman" w:hAnsi="Times New Roman" w:cs="Times New Roman"/>
          <w:i/>
          <w:iCs/>
          <w:sz w:val="28"/>
          <w:szCs w:val="28"/>
        </w:rPr>
        <w:t>Procedure and powers of the Commission.</w:t>
      </w:r>
      <w:r w:rsidRPr="004B15CE">
        <w:rPr>
          <w:rFonts w:ascii="Times New Roman" w:hAnsi="Times New Roman" w:cs="Times New Roman"/>
          <w:sz w:val="28"/>
          <w:szCs w:val="28"/>
        </w:rPr>
        <w:t>—(1) The Commission shall determine their procedure and in the performance of their functions shall have all the powers of a civil court under the Code of Civil Procedure, 1908 (Act V of 1908) while trying a suit in respect of the following matters, namely:—</w:t>
      </w:r>
    </w:p>
    <w:p w14:paraId="53500480" w14:textId="77777777" w:rsidR="00924044" w:rsidRPr="004B15CE" w:rsidRDefault="00924044" w:rsidP="004B15CE">
      <w:pPr>
        <w:pStyle w:val="ListParagraph"/>
        <w:spacing w:after="0" w:line="400" w:lineRule="exact"/>
        <w:ind w:left="1440"/>
        <w:jc w:val="both"/>
        <w:rPr>
          <w:rFonts w:ascii="Times New Roman" w:hAnsi="Times New Roman" w:cs="Times New Roman"/>
          <w:sz w:val="28"/>
          <w:szCs w:val="28"/>
        </w:rPr>
      </w:pPr>
      <w:r w:rsidRPr="004B15CE">
        <w:rPr>
          <w:rFonts w:ascii="Times New Roman" w:hAnsi="Times New Roman" w:cs="Times New Roman"/>
          <w:sz w:val="28"/>
          <w:szCs w:val="28"/>
        </w:rPr>
        <w:t>(a) summoning and enforcing the attendance of witnesses;</w:t>
      </w:r>
    </w:p>
    <w:p w14:paraId="3FC9876E" w14:textId="77777777" w:rsidR="00924044" w:rsidRPr="004B15CE" w:rsidRDefault="00924044" w:rsidP="004B15CE">
      <w:pPr>
        <w:pStyle w:val="ListParagraph"/>
        <w:spacing w:after="0" w:line="400" w:lineRule="exact"/>
        <w:ind w:left="1440"/>
        <w:jc w:val="both"/>
        <w:rPr>
          <w:rFonts w:ascii="Times New Roman" w:hAnsi="Times New Roman" w:cs="Times New Roman"/>
          <w:sz w:val="28"/>
          <w:szCs w:val="28"/>
        </w:rPr>
      </w:pPr>
      <w:r w:rsidRPr="004B15CE">
        <w:rPr>
          <w:rFonts w:ascii="Times New Roman" w:hAnsi="Times New Roman" w:cs="Times New Roman"/>
          <w:sz w:val="28"/>
          <w:szCs w:val="28"/>
        </w:rPr>
        <w:t>(b) requiring the production of any document; and</w:t>
      </w:r>
    </w:p>
    <w:p w14:paraId="315D5423" w14:textId="77777777" w:rsidR="00924044" w:rsidRPr="004B15CE" w:rsidRDefault="00924044" w:rsidP="004B15CE">
      <w:pPr>
        <w:pStyle w:val="ListParagraph"/>
        <w:spacing w:after="0" w:line="400" w:lineRule="exact"/>
        <w:ind w:left="1440"/>
        <w:jc w:val="both"/>
        <w:rPr>
          <w:rFonts w:ascii="Times New Roman" w:hAnsi="Times New Roman" w:cs="Times New Roman"/>
          <w:sz w:val="28"/>
          <w:szCs w:val="28"/>
        </w:rPr>
      </w:pPr>
      <w:r w:rsidRPr="004B15CE">
        <w:rPr>
          <w:rFonts w:ascii="Times New Roman" w:hAnsi="Times New Roman" w:cs="Times New Roman"/>
          <w:sz w:val="28"/>
          <w:szCs w:val="28"/>
        </w:rPr>
        <w:t>(c) requisitioning any public record from any court or office.</w:t>
      </w:r>
    </w:p>
    <w:p w14:paraId="6471A000" w14:textId="77777777" w:rsidR="00924044" w:rsidRPr="004B15CE" w:rsidRDefault="00924044" w:rsidP="004B15CE">
      <w:pPr>
        <w:pStyle w:val="ListParagraph"/>
        <w:spacing w:after="0" w:line="400" w:lineRule="exact"/>
        <w:jc w:val="both"/>
        <w:rPr>
          <w:rFonts w:ascii="Times New Roman" w:hAnsi="Times New Roman" w:cs="Times New Roman"/>
          <w:sz w:val="28"/>
          <w:szCs w:val="28"/>
        </w:rPr>
      </w:pPr>
      <w:r w:rsidRPr="004B15CE">
        <w:rPr>
          <w:rFonts w:ascii="Times New Roman" w:hAnsi="Times New Roman" w:cs="Times New Roman"/>
          <w:sz w:val="28"/>
          <w:szCs w:val="28"/>
        </w:rPr>
        <w:t>(2) The Commission shall have power to require any person to furnish information on such points or matters as in the opinion of the Commission may be useful for, or relevant to, any matter under the consideration of the Commission.</w:t>
      </w:r>
    </w:p>
    <w:p w14:paraId="7613FF4E" w14:textId="77777777" w:rsidR="00924044" w:rsidRPr="004B15CE" w:rsidRDefault="00924044" w:rsidP="004B15CE">
      <w:pPr>
        <w:pStyle w:val="ListParagraph"/>
        <w:spacing w:after="0" w:line="400" w:lineRule="exact"/>
        <w:jc w:val="both"/>
        <w:rPr>
          <w:rFonts w:ascii="Times New Roman" w:hAnsi="Times New Roman" w:cs="Times New Roman"/>
          <w:sz w:val="28"/>
          <w:szCs w:val="28"/>
        </w:rPr>
      </w:pPr>
      <w:r w:rsidRPr="004B15CE">
        <w:rPr>
          <w:rFonts w:ascii="Times New Roman" w:hAnsi="Times New Roman" w:cs="Times New Roman"/>
          <w:sz w:val="28"/>
          <w:szCs w:val="28"/>
        </w:rPr>
        <w:t>(3) The Commission shall be deemed to be a civil court for the purposes of sections 480 and 482 of the Code of Criminal Procedure, 1898 (Act V of 1898).</w:t>
      </w:r>
    </w:p>
    <w:p w14:paraId="78365555" w14:textId="77777777" w:rsidR="00924044" w:rsidRPr="004B15CE" w:rsidRDefault="00924044" w:rsidP="004B15CE">
      <w:pPr>
        <w:pStyle w:val="ListParagraph"/>
        <w:spacing w:after="0" w:line="400" w:lineRule="exact"/>
        <w:jc w:val="both"/>
        <w:rPr>
          <w:rFonts w:ascii="Times New Roman" w:hAnsi="Times New Roman" w:cs="Times New Roman"/>
          <w:sz w:val="28"/>
          <w:szCs w:val="28"/>
        </w:rPr>
      </w:pPr>
      <w:r w:rsidRPr="004B15CE">
        <w:rPr>
          <w:rFonts w:ascii="Times New Roman" w:hAnsi="Times New Roman" w:cs="Times New Roman"/>
          <w:i/>
          <w:iCs/>
          <w:sz w:val="28"/>
          <w:szCs w:val="28"/>
        </w:rPr>
        <w:t>Explanation.</w:t>
      </w:r>
      <w:r w:rsidRPr="004B15CE">
        <w:rPr>
          <w:rFonts w:ascii="Times New Roman" w:hAnsi="Times New Roman" w:cs="Times New Roman"/>
          <w:sz w:val="28"/>
          <w:szCs w:val="28"/>
        </w:rPr>
        <w:t>—For the purposes of enforcing the attendance of witnesses, the local limits of the Commission's jurisdiction shall be the limits of the territory of India.</w:t>
      </w:r>
    </w:p>
    <w:p w14:paraId="1EB7068B" w14:textId="0ED79E78" w:rsidR="007863B7" w:rsidRPr="004B15CE" w:rsidRDefault="007863B7" w:rsidP="00986895">
      <w:pPr>
        <w:pStyle w:val="Heading2"/>
      </w:pPr>
      <w:bookmarkStart w:id="16" w:name="_Toc221007125"/>
      <w:r w:rsidRPr="004B15CE">
        <w:lastRenderedPageBreak/>
        <w:t>APPENDIX III</w:t>
      </w:r>
      <w:r w:rsidR="00986895">
        <w:t xml:space="preserve"> </w:t>
      </w:r>
      <w:r w:rsidR="00986895">
        <w:br/>
      </w:r>
      <w:r w:rsidRPr="004B15CE">
        <w:t>FIRST REPORT OF THE FINANCE COMMISSION</w:t>
      </w:r>
      <w:bookmarkEnd w:id="16"/>
    </w:p>
    <w:p w14:paraId="6E82BD50" w14:textId="37E7C835" w:rsidR="007863B7" w:rsidRPr="004B15CE" w:rsidRDefault="007863B7" w:rsidP="00986895">
      <w:pPr>
        <w:shd w:val="clear" w:color="auto" w:fill="FFFFFF"/>
        <w:spacing w:after="0" w:line="400" w:lineRule="exact"/>
        <w:ind w:firstLine="709"/>
        <w:jc w:val="both"/>
        <w:rPr>
          <w:rFonts w:ascii="Times New Roman" w:hAnsi="Times New Roman" w:cs="Times New Roman"/>
          <w:sz w:val="28"/>
          <w:szCs w:val="28"/>
        </w:rPr>
      </w:pPr>
      <w:r w:rsidRPr="004B15CE">
        <w:rPr>
          <w:rFonts w:ascii="Times New Roman" w:hAnsi="Times New Roman" w:cs="Times New Roman"/>
          <w:sz w:val="28"/>
          <w:szCs w:val="28"/>
        </w:rPr>
        <w:t>We have been constituted as the Finance Commission under Article 280 of the Constitution and we assumed office on the afternoon of the 30th November, 1951.</w:t>
      </w:r>
    </w:p>
    <w:p w14:paraId="28A59675" w14:textId="77777777" w:rsidR="007863B7" w:rsidRPr="004B15CE" w:rsidRDefault="007863B7" w:rsidP="00986895">
      <w:pPr>
        <w:shd w:val="clear" w:color="auto" w:fill="FFFFFF"/>
        <w:spacing w:after="0" w:line="400" w:lineRule="exact"/>
        <w:ind w:firstLine="709"/>
        <w:jc w:val="both"/>
        <w:rPr>
          <w:rFonts w:ascii="Times New Roman" w:hAnsi="Times New Roman" w:cs="Times New Roman"/>
          <w:sz w:val="28"/>
          <w:szCs w:val="28"/>
        </w:rPr>
      </w:pPr>
      <w:r w:rsidRPr="004B15CE">
        <w:rPr>
          <w:rFonts w:ascii="Times New Roman" w:hAnsi="Times New Roman" w:cs="Times New Roman"/>
          <w:sz w:val="28"/>
          <w:szCs w:val="28"/>
        </w:rPr>
        <w:t>As the work of the Commission has only just begun and is likely to take some time to complete we have considered the question of making certain provisional recommendations to the President in respect of the matters in which, after the appointment of the Finance Commission, the Constitution requires him to take into account their recommendations before making an Order.</w:t>
      </w:r>
    </w:p>
    <w:p w14:paraId="7389CBA9" w14:textId="6B78803D" w:rsidR="007863B7" w:rsidRPr="004B15CE" w:rsidRDefault="007863B7" w:rsidP="00986895">
      <w:pPr>
        <w:shd w:val="clear" w:color="auto" w:fill="FFFFFF"/>
        <w:spacing w:after="0" w:line="400" w:lineRule="exact"/>
        <w:ind w:firstLine="709"/>
        <w:jc w:val="both"/>
        <w:rPr>
          <w:rFonts w:ascii="Times New Roman" w:hAnsi="Times New Roman" w:cs="Times New Roman"/>
          <w:sz w:val="28"/>
          <w:szCs w:val="28"/>
        </w:rPr>
      </w:pPr>
      <w:r w:rsidRPr="004B15CE">
        <w:rPr>
          <w:rFonts w:ascii="Times New Roman" w:hAnsi="Times New Roman" w:cs="Times New Roman"/>
          <w:sz w:val="28"/>
          <w:szCs w:val="28"/>
        </w:rPr>
        <w:t xml:space="preserve">     The Commission understand that the allocation of income-tax between the Union and the States and the distribution of the States' share among them, the payment of grants to certain States in lieu of assignment of any share of the net proceeds in each year of export duty on jute and jute products and the payment of general grants-in-aid to certain States are now regulated by an Order made by the President from year to year and that the Order now regulating these matters is current upto the 31st March 1952. Pending their final recommendations the Commission consider that some provisional arrangements should be made so as to avoid dislocation to the finances of the States which are now receiving a share of income-tax or grants under one or other of the provisions of the Constitution. We feel that the most appropriate course would be for the existing position to be maintained for the year 1952-53, subject to the condition that any decision taken on our final recommendations should be given effect from the year 1952-53. The Commission accordingly recommend that subject to the aforesaid condition the President may be pleased to make an Order applying the provision of paragraphs 3 and 4 of the Constitution (Distribution of Revenues) Order 1950, in relation to the year ending on the 31st day of March 1953, as they apply in relation to the year ending on the 31st day of March 1952.</w:t>
      </w:r>
    </w:p>
    <w:p w14:paraId="3BA59FF2" w14:textId="43DB8796" w:rsidR="00B2502B" w:rsidRPr="004B15CE" w:rsidRDefault="007863B7" w:rsidP="00986895">
      <w:pPr>
        <w:shd w:val="clear" w:color="auto" w:fill="FFFFFF"/>
        <w:spacing w:after="0" w:line="400" w:lineRule="exact"/>
        <w:ind w:firstLine="709"/>
        <w:jc w:val="both"/>
        <w:rPr>
          <w:rFonts w:ascii="Times New Roman" w:hAnsi="Times New Roman" w:cs="Times New Roman"/>
          <w:sz w:val="28"/>
          <w:szCs w:val="28"/>
        </w:rPr>
      </w:pPr>
      <w:r w:rsidRPr="004B15CE">
        <w:rPr>
          <w:rFonts w:ascii="Times New Roman" w:hAnsi="Times New Roman" w:cs="Times New Roman"/>
          <w:sz w:val="28"/>
          <w:szCs w:val="28"/>
        </w:rPr>
        <w:t xml:space="preserve">    We also understand that some of the States specified in Part A of the First Schedule to the Constitution in which certain territories of former Indian States have been merged are now receiving grants on the same basis as certain States specified in Part B of the First Schedule to the Constitution receiving grants under subclause (1)(b) of Article 278 of the Constitution. The Commission</w:t>
      </w:r>
      <w:r w:rsidR="00986895">
        <w:rPr>
          <w:rFonts w:ascii="Times New Roman" w:hAnsi="Times New Roman" w:cs="Times New Roman"/>
          <w:sz w:val="28"/>
          <w:szCs w:val="28"/>
        </w:rPr>
        <w:t xml:space="preserve"> r</w:t>
      </w:r>
      <w:r w:rsidRPr="004B15CE">
        <w:rPr>
          <w:rFonts w:ascii="Times New Roman" w:hAnsi="Times New Roman" w:cs="Times New Roman"/>
          <w:sz w:val="28"/>
          <w:szCs w:val="28"/>
        </w:rPr>
        <w:t xml:space="preserve">ecommend that such grants, if any, payable to the States concerned may also be continued during the year ending on the 31st day of March 1953, subject to the condition that they are treated as </w:t>
      </w:r>
      <w:r w:rsidRPr="004B15CE">
        <w:rPr>
          <w:rFonts w:ascii="Times New Roman" w:hAnsi="Times New Roman" w:cs="Times New Roman"/>
          <w:sz w:val="28"/>
          <w:szCs w:val="28"/>
        </w:rPr>
        <w:lastRenderedPageBreak/>
        <w:t>provisional and readjusted in the light of any decisions that may be taken on their final recommendations in regard to financial assistance to these States.</w:t>
      </w:r>
    </w:p>
    <w:p w14:paraId="754EAEDE" w14:textId="77777777" w:rsidR="008050D9" w:rsidRDefault="008050D9" w:rsidP="00986895">
      <w:pPr>
        <w:spacing w:after="0" w:line="400" w:lineRule="exact"/>
        <w:ind w:left="6480"/>
        <w:rPr>
          <w:rFonts w:ascii="Times New Roman" w:hAnsi="Times New Roman" w:cs="Times New Roman"/>
          <w:sz w:val="28"/>
          <w:szCs w:val="28"/>
        </w:rPr>
      </w:pPr>
    </w:p>
    <w:p w14:paraId="5C4DEF25" w14:textId="77777777" w:rsidR="008050D9" w:rsidRDefault="008050D9" w:rsidP="00986895">
      <w:pPr>
        <w:spacing w:after="0" w:line="400" w:lineRule="exact"/>
        <w:ind w:left="6480"/>
        <w:rPr>
          <w:rFonts w:ascii="Times New Roman" w:hAnsi="Times New Roman" w:cs="Times New Roman"/>
          <w:sz w:val="28"/>
          <w:szCs w:val="28"/>
        </w:rPr>
      </w:pPr>
    </w:p>
    <w:p w14:paraId="1FA86BC7" w14:textId="66977AC6" w:rsidR="001D43EE" w:rsidRPr="004B15CE" w:rsidRDefault="001D43EE" w:rsidP="00986895">
      <w:pPr>
        <w:spacing w:after="0" w:line="400" w:lineRule="exact"/>
        <w:ind w:left="6480"/>
        <w:rPr>
          <w:rFonts w:ascii="Times New Roman" w:hAnsi="Times New Roman" w:cs="Times New Roman"/>
          <w:sz w:val="28"/>
          <w:szCs w:val="28"/>
        </w:rPr>
      </w:pPr>
      <w:r w:rsidRPr="004B15CE">
        <w:rPr>
          <w:rFonts w:ascii="Times New Roman" w:hAnsi="Times New Roman" w:cs="Times New Roman"/>
          <w:sz w:val="28"/>
          <w:szCs w:val="28"/>
        </w:rPr>
        <w:t>K. C. NEOGY</w:t>
      </w:r>
      <w:r w:rsidRPr="004B15CE">
        <w:rPr>
          <w:rFonts w:ascii="Times New Roman" w:hAnsi="Times New Roman" w:cs="Times New Roman"/>
          <w:sz w:val="28"/>
          <w:szCs w:val="28"/>
        </w:rPr>
        <w:br/>
        <w:t>V. P. MENON</w:t>
      </w:r>
      <w:r w:rsidRPr="004B15CE">
        <w:rPr>
          <w:rFonts w:ascii="Times New Roman" w:hAnsi="Times New Roman" w:cs="Times New Roman"/>
          <w:sz w:val="28"/>
          <w:szCs w:val="28"/>
        </w:rPr>
        <w:br/>
        <w:t>R. KAUSHALENDRA RAOB. K. MADAN</w:t>
      </w:r>
      <w:r w:rsidRPr="004B15CE">
        <w:rPr>
          <w:rFonts w:ascii="Times New Roman" w:hAnsi="Times New Roman" w:cs="Times New Roman"/>
          <w:sz w:val="28"/>
          <w:szCs w:val="28"/>
        </w:rPr>
        <w:br/>
        <w:t>M. V. RANGACHARI</w:t>
      </w:r>
    </w:p>
    <w:p w14:paraId="11096BA2" w14:textId="77777777" w:rsidR="001D43EE" w:rsidRPr="004B15CE" w:rsidRDefault="001D43EE" w:rsidP="00986895">
      <w:pPr>
        <w:spacing w:after="0" w:line="400" w:lineRule="exact"/>
        <w:ind w:left="720"/>
        <w:rPr>
          <w:rFonts w:ascii="Times New Roman" w:hAnsi="Times New Roman" w:cs="Times New Roman"/>
          <w:sz w:val="28"/>
          <w:szCs w:val="28"/>
        </w:rPr>
      </w:pPr>
      <w:r w:rsidRPr="004B15CE">
        <w:rPr>
          <w:rFonts w:ascii="Times New Roman" w:hAnsi="Times New Roman" w:cs="Times New Roman"/>
          <w:sz w:val="28"/>
          <w:szCs w:val="28"/>
        </w:rPr>
        <w:t>NEW DELHI;</w:t>
      </w:r>
      <w:r w:rsidRPr="004B15CE">
        <w:rPr>
          <w:rFonts w:ascii="Times New Roman" w:hAnsi="Times New Roman" w:cs="Times New Roman"/>
          <w:sz w:val="28"/>
          <w:szCs w:val="28"/>
        </w:rPr>
        <w:br/>
        <w:t>The 15th December, 1951.</w:t>
      </w:r>
    </w:p>
    <w:p w14:paraId="3172EC83" w14:textId="0B8370FB" w:rsidR="001D43EE" w:rsidRPr="004B15CE" w:rsidRDefault="001D43EE" w:rsidP="004B15CE">
      <w:pPr>
        <w:spacing w:after="0" w:line="400" w:lineRule="exact"/>
        <w:ind w:left="720"/>
        <w:jc w:val="both"/>
        <w:rPr>
          <w:rFonts w:ascii="Times New Roman" w:hAnsi="Times New Roman" w:cs="Times New Roman"/>
          <w:sz w:val="28"/>
          <w:szCs w:val="28"/>
        </w:rPr>
      </w:pPr>
    </w:p>
    <w:p w14:paraId="540B0368" w14:textId="3326F351" w:rsidR="001D43EE" w:rsidRPr="004B15CE" w:rsidRDefault="001D43EE" w:rsidP="004B15CE">
      <w:pPr>
        <w:spacing w:after="0" w:line="400" w:lineRule="exact"/>
        <w:jc w:val="both"/>
        <w:rPr>
          <w:rFonts w:ascii="Times New Roman" w:hAnsi="Times New Roman" w:cs="Times New Roman"/>
          <w:sz w:val="28"/>
          <w:szCs w:val="28"/>
        </w:rPr>
      </w:pPr>
      <w:r w:rsidRPr="004B15CE">
        <w:rPr>
          <w:rFonts w:ascii="Times New Roman" w:hAnsi="Times New Roman" w:cs="Times New Roman"/>
          <w:sz w:val="28"/>
          <w:szCs w:val="28"/>
        </w:rPr>
        <w:br w:type="page"/>
      </w:r>
    </w:p>
    <w:p w14:paraId="2FD24C93" w14:textId="6C10946E" w:rsidR="001D43EE" w:rsidRPr="004B15CE" w:rsidRDefault="001D43EE" w:rsidP="00FF46E6">
      <w:pPr>
        <w:pStyle w:val="Heading2"/>
      </w:pPr>
      <w:bookmarkStart w:id="17" w:name="_Toc221007126"/>
      <w:r w:rsidRPr="004B15CE">
        <w:lastRenderedPageBreak/>
        <w:t>APPENDIX IV</w:t>
      </w:r>
      <w:r w:rsidR="00FF46E6">
        <w:t xml:space="preserve"> </w:t>
      </w:r>
      <w:r w:rsidR="00FF46E6">
        <w:br/>
      </w:r>
      <w:r w:rsidRPr="004B15CE">
        <w:t>COMMUNICATIONS ADDRESSED TO STATE GOVERNMENTS AND PRESS NOTE ISSUED BY THE COMMISSION</w:t>
      </w:r>
      <w:bookmarkEnd w:id="17"/>
    </w:p>
    <w:p w14:paraId="31D07440" w14:textId="77777777" w:rsidR="001D43EE" w:rsidRPr="004B15CE" w:rsidRDefault="001D43EE" w:rsidP="00FF46E6">
      <w:pPr>
        <w:spacing w:after="0" w:line="400" w:lineRule="exact"/>
        <w:jc w:val="both"/>
        <w:rPr>
          <w:rFonts w:ascii="Times New Roman" w:hAnsi="Times New Roman" w:cs="Times New Roman"/>
          <w:sz w:val="28"/>
          <w:szCs w:val="28"/>
        </w:rPr>
      </w:pPr>
      <w:r w:rsidRPr="004B15CE">
        <w:rPr>
          <w:rFonts w:ascii="Times New Roman" w:hAnsi="Times New Roman" w:cs="Times New Roman"/>
          <w:sz w:val="28"/>
          <w:szCs w:val="28"/>
        </w:rPr>
        <w:t>(1) </w:t>
      </w:r>
      <w:r w:rsidRPr="004B15CE">
        <w:rPr>
          <w:rFonts w:ascii="Times New Roman" w:hAnsi="Times New Roman" w:cs="Times New Roman"/>
          <w:i/>
          <w:iCs/>
          <w:sz w:val="28"/>
          <w:szCs w:val="28"/>
        </w:rPr>
        <w:t>D.O. letter No. D. 8885-B-II/51, dated the 22nd September, 1951, from Shri M. V. Rangachari, Joint Secretary, Ministry of Finance, Government of India, to the Finance Secretaries of all Part A States.</w:t>
      </w:r>
    </w:p>
    <w:p w14:paraId="250894B7" w14:textId="77777777" w:rsidR="001D43EE" w:rsidRPr="004B15CE" w:rsidRDefault="001D43EE" w:rsidP="00FF46E6">
      <w:pPr>
        <w:spacing w:after="0" w:line="400" w:lineRule="exact"/>
        <w:ind w:firstLine="709"/>
        <w:jc w:val="both"/>
        <w:rPr>
          <w:rFonts w:ascii="Times New Roman" w:hAnsi="Times New Roman" w:cs="Times New Roman"/>
          <w:sz w:val="28"/>
          <w:szCs w:val="28"/>
        </w:rPr>
      </w:pPr>
      <w:r w:rsidRPr="004B15CE">
        <w:rPr>
          <w:rFonts w:ascii="Times New Roman" w:hAnsi="Times New Roman" w:cs="Times New Roman"/>
          <w:sz w:val="28"/>
          <w:szCs w:val="28"/>
        </w:rPr>
        <w:t>As you may have seen from the papers and from answers to questions in Parliament, the Finance Commission is likely to be constituted about the middle of next month and may be expected to commence its work almost immediately. In anticipation of the formal constitution of the Commission, I thought it might be an advantage if I gave you informally some idea of the kind of material which should be prepared by you for presentation to the Commission, so that you might take the collection of the material in hand. This is purely an informal letter which I have shown to the Chairman-designate and which I shall place before the Commission as soon as it is constituted. If the Commission, or any of its members require additional information, I shall write to you further.</w:t>
      </w:r>
    </w:p>
    <w:p w14:paraId="553E05AC" w14:textId="12E4C151" w:rsidR="001D43EE" w:rsidRPr="004B15CE" w:rsidRDefault="001D43EE" w:rsidP="00FF46E6">
      <w:pPr>
        <w:pStyle w:val="ListParagraph"/>
        <w:numPr>
          <w:ilvl w:val="0"/>
          <w:numId w:val="22"/>
        </w:numPr>
        <w:spacing w:after="0" w:line="400" w:lineRule="exact"/>
        <w:ind w:left="0" w:firstLine="556"/>
        <w:jc w:val="both"/>
        <w:rPr>
          <w:rFonts w:ascii="Times New Roman" w:hAnsi="Times New Roman" w:cs="Times New Roman"/>
          <w:sz w:val="28"/>
          <w:szCs w:val="28"/>
        </w:rPr>
      </w:pPr>
      <w:r w:rsidRPr="004B15CE">
        <w:rPr>
          <w:rFonts w:ascii="Times New Roman" w:hAnsi="Times New Roman" w:cs="Times New Roman"/>
          <w:sz w:val="28"/>
          <w:szCs w:val="28"/>
        </w:rPr>
        <w:t>To begin with, the Commission will be concerned with three problems. The first is the allocation of the States' share of income-tax among the Part A States, which is now regulated by the Deshmukh Award. The second is the determination of grants payable to the States of Assam, Bihar, Orissa and West Bengal in lieu of the export duty on jute under Article 273 of the Constitution. The third is the determination of the general grants payable to Orissa and Assam (and such other States as may now ask for grants) under Article 275 of the Constitution.</w:t>
      </w:r>
    </w:p>
    <w:p w14:paraId="6C988753" w14:textId="371C3141" w:rsidR="001D43EE" w:rsidRPr="00FF46E6" w:rsidRDefault="001D43EE" w:rsidP="00FF46E6">
      <w:pPr>
        <w:pStyle w:val="ListParagraph"/>
        <w:numPr>
          <w:ilvl w:val="0"/>
          <w:numId w:val="22"/>
        </w:numPr>
        <w:spacing w:after="0" w:line="400" w:lineRule="exact"/>
        <w:ind w:left="0" w:firstLine="556"/>
        <w:jc w:val="both"/>
        <w:rPr>
          <w:rFonts w:ascii="Times New Roman" w:hAnsi="Times New Roman" w:cs="Times New Roman"/>
          <w:sz w:val="28"/>
          <w:szCs w:val="28"/>
        </w:rPr>
      </w:pPr>
      <w:r w:rsidRPr="004B15CE">
        <w:rPr>
          <w:rFonts w:ascii="Times New Roman" w:hAnsi="Times New Roman" w:cs="Times New Roman"/>
          <w:sz w:val="28"/>
          <w:szCs w:val="28"/>
        </w:rPr>
        <w:t>In regard to the shares of income-tax and the grant payable in lieu of the jute export duty the representations made by the State Governments to Mr. Deshmukh when he was enquiring into this subject and the criticism of the State Governments of the Award made by him will be placed before the members of the Commission. In any further representation which the State Government may wish to make in this matter, it is unnecessary to repeat what has been urged by them in the earlier representations. It will be sufficient if a concise statement of the State's case is now prepared for the use of the Commission and sent so as to reach it by the 15th November at the latest. It will be convenient if six copies</w:t>
      </w:r>
      <w:r w:rsidR="00FF46E6">
        <w:rPr>
          <w:rFonts w:ascii="Times New Roman" w:hAnsi="Times New Roman" w:cs="Times New Roman"/>
          <w:sz w:val="28"/>
          <w:szCs w:val="28"/>
        </w:rPr>
        <w:t xml:space="preserve"> </w:t>
      </w:r>
      <w:r w:rsidRPr="00FF46E6">
        <w:rPr>
          <w:rFonts w:ascii="Times New Roman" w:hAnsi="Times New Roman" w:cs="Times New Roman"/>
          <w:sz w:val="28"/>
          <w:szCs w:val="28"/>
        </w:rPr>
        <w:t xml:space="preserve">are sent together with six copies of the representation made to Mr. Deshmukh in 1949. It is unnecessary, at this stage, to go into all the past historical arguments for or against a particular method of allocation </w:t>
      </w:r>
      <w:r w:rsidRPr="00FF46E6">
        <w:rPr>
          <w:rFonts w:ascii="Times New Roman" w:hAnsi="Times New Roman" w:cs="Times New Roman"/>
          <w:sz w:val="28"/>
          <w:szCs w:val="28"/>
        </w:rPr>
        <w:lastRenderedPageBreak/>
        <w:t>and it will suffice if the State's case is prepared with reference to the existing circumstances and the needs of the State rather than with reference to historical arguments of rights and wrongs or abstract principles of social justice.</w:t>
      </w:r>
    </w:p>
    <w:p w14:paraId="328C64BA" w14:textId="115D9E7A" w:rsidR="001D43EE" w:rsidRPr="004B15CE" w:rsidRDefault="001D43EE" w:rsidP="00FF46E6">
      <w:pPr>
        <w:pStyle w:val="ListParagraph"/>
        <w:numPr>
          <w:ilvl w:val="0"/>
          <w:numId w:val="22"/>
        </w:numPr>
        <w:spacing w:after="0" w:line="400" w:lineRule="exact"/>
        <w:ind w:left="0" w:firstLine="556"/>
        <w:jc w:val="both"/>
        <w:rPr>
          <w:rFonts w:ascii="Times New Roman" w:hAnsi="Times New Roman" w:cs="Times New Roman"/>
          <w:sz w:val="28"/>
          <w:szCs w:val="28"/>
        </w:rPr>
      </w:pPr>
      <w:r w:rsidRPr="004B15CE">
        <w:rPr>
          <w:rFonts w:ascii="Times New Roman" w:hAnsi="Times New Roman" w:cs="Times New Roman"/>
          <w:sz w:val="28"/>
          <w:szCs w:val="28"/>
        </w:rPr>
        <w:t>As regards general grants-in-aid to the States, at present only Assam and Orissa are in receipt of them. These two States may wish to press for a modification of the sums now paid to them and other States may conceivably wish to ask for grants-in-aid in addition to their share of income-tax and the specific grants, if any, received by them under Article 273 of the Constitution. Here again, it would assist the Commission if each State sent a self-contained statement of its case for assistance supported by a forecast of its revenue and expenditure for the next 5 years. This forecast should be by major heads of account and should be prepared on the basis of the existing level of taxation and expenditure. For the purposes of this forecast the State's share of income-tax and grant-in-aid whether for general purposes or in lieu of the jute export duty, may be taken as ‘Nil’. In these States in which any of the former Indian States have been merged, the forecast should include the revenue and expenditure under the State heads in the merged States. The forecast should also provide for the bringing up of the level of administration in these areas to the level of the rest of the State. Subject to this, the forecast of revenue and expenditure should not provide for any further developmental or other expenditure. In determining the amount of Central revenue to be diverted to the State either by way of a share of income-tax or by way of grants, the Commission would doubtless take into account the needs of the State for development. I suggest, therefore, that the case for any increase in the existing grant or for fresh grants-in-aid should be prepared on the basis of the dislocation in the revenue position of the State at the existing level of taxation and expenditure. If the State bases its claim for a further grant on its additional requirements for developmental and other purposes, this should be set out in a separate memorandum and the expenditure involved should not be included in the forecast just mentioned. I enclose a form in which this forecast may be prepared and have added a few explanatory footnotes which may assist in its preparation. If on this, or any other point, you require further elucidation, would you kindly drop me a line?</w:t>
      </w:r>
    </w:p>
    <w:p w14:paraId="0CA440F1" w14:textId="3518F1A8" w:rsidR="001D43EE" w:rsidRPr="004B15CE" w:rsidRDefault="001D43EE" w:rsidP="004B15CE">
      <w:pPr>
        <w:spacing w:after="0" w:line="400" w:lineRule="exact"/>
        <w:jc w:val="both"/>
        <w:rPr>
          <w:rFonts w:ascii="Times New Roman" w:hAnsi="Times New Roman" w:cs="Times New Roman"/>
          <w:sz w:val="28"/>
          <w:szCs w:val="28"/>
        </w:rPr>
      </w:pPr>
      <w:r w:rsidRPr="004B15CE">
        <w:rPr>
          <w:rFonts w:ascii="Times New Roman" w:hAnsi="Times New Roman" w:cs="Times New Roman"/>
          <w:sz w:val="28"/>
          <w:szCs w:val="28"/>
        </w:rPr>
        <w:br w:type="page"/>
      </w:r>
    </w:p>
    <w:p w14:paraId="731241CB" w14:textId="77777777" w:rsidR="001D43EE" w:rsidRPr="004B15CE" w:rsidRDefault="001D43EE" w:rsidP="00FF46E6">
      <w:pPr>
        <w:spacing w:after="0" w:line="400" w:lineRule="exact"/>
        <w:ind w:left="720"/>
        <w:jc w:val="center"/>
        <w:rPr>
          <w:rFonts w:ascii="Times New Roman" w:hAnsi="Times New Roman" w:cs="Times New Roman"/>
          <w:sz w:val="28"/>
          <w:szCs w:val="28"/>
        </w:rPr>
      </w:pPr>
      <w:r w:rsidRPr="0079071F">
        <w:rPr>
          <w:rFonts w:ascii="Times New Roman" w:hAnsi="Times New Roman" w:cs="Times New Roman"/>
          <w:i/>
          <w:iCs/>
          <w:sz w:val="28"/>
          <w:szCs w:val="28"/>
        </w:rPr>
        <w:lastRenderedPageBreak/>
        <w:t>Forecast of Revenue and Expenditure</w:t>
      </w:r>
      <w:r w:rsidRPr="004B15CE">
        <w:rPr>
          <w:rFonts w:ascii="Times New Roman" w:hAnsi="Times New Roman" w:cs="Times New Roman"/>
          <w:sz w:val="28"/>
          <w:szCs w:val="28"/>
        </w:rPr>
        <w:br/>
        <w:t>___________ State.</w:t>
      </w:r>
    </w:p>
    <w:p w14:paraId="1E730222" w14:textId="77777777" w:rsidR="001D43EE" w:rsidRPr="008050D9" w:rsidRDefault="001D43EE" w:rsidP="00FF46E6">
      <w:pPr>
        <w:spacing w:after="0" w:line="400" w:lineRule="exact"/>
        <w:ind w:left="720"/>
        <w:jc w:val="right"/>
        <w:rPr>
          <w:rFonts w:ascii="Times New Roman" w:hAnsi="Times New Roman" w:cs="Times New Roman"/>
          <w:i/>
          <w:iCs/>
          <w:sz w:val="28"/>
          <w:szCs w:val="28"/>
        </w:rPr>
      </w:pPr>
      <w:r w:rsidRPr="008050D9">
        <w:rPr>
          <w:rFonts w:ascii="Times New Roman" w:hAnsi="Times New Roman" w:cs="Times New Roman"/>
          <w:i/>
          <w:iCs/>
          <w:sz w:val="28"/>
          <w:szCs w:val="28"/>
        </w:rPr>
        <w:t>(In lakhs of rupees)</w:t>
      </w:r>
    </w:p>
    <w:tbl>
      <w:tblPr>
        <w:tblStyle w:val="TableGrid"/>
        <w:tblW w:w="0" w:type="auto"/>
        <w:tblInd w:w="720" w:type="dxa"/>
        <w:tblLook w:val="04A0" w:firstRow="1" w:lastRow="0" w:firstColumn="1" w:lastColumn="0" w:noHBand="0" w:noVBand="1"/>
      </w:tblPr>
      <w:tblGrid>
        <w:gridCol w:w="2146"/>
        <w:gridCol w:w="1177"/>
        <w:gridCol w:w="1089"/>
        <w:gridCol w:w="1089"/>
        <w:gridCol w:w="1089"/>
        <w:gridCol w:w="1089"/>
        <w:gridCol w:w="1089"/>
      </w:tblGrid>
      <w:tr w:rsidR="00553990" w:rsidRPr="004B15CE" w14:paraId="07D16DEA" w14:textId="77777777" w:rsidTr="00553990">
        <w:tc>
          <w:tcPr>
            <w:tcW w:w="1773" w:type="dxa"/>
          </w:tcPr>
          <w:p w14:paraId="3FEE7C97" w14:textId="48D0B1CB" w:rsidR="00553990" w:rsidRPr="008050D9" w:rsidRDefault="00553990" w:rsidP="00FF46E6">
            <w:pPr>
              <w:pStyle w:val="Tables"/>
              <w:rPr>
                <w:b/>
                <w:bCs/>
              </w:rPr>
            </w:pPr>
            <w:r w:rsidRPr="008050D9">
              <w:rPr>
                <w:b/>
                <w:bCs/>
              </w:rPr>
              <w:t>Heads</w:t>
            </w:r>
          </w:p>
        </w:tc>
        <w:tc>
          <w:tcPr>
            <w:tcW w:w="1194" w:type="dxa"/>
          </w:tcPr>
          <w:p w14:paraId="3B2E73E3" w14:textId="0F6CEF9E" w:rsidR="00553990" w:rsidRPr="008050D9" w:rsidRDefault="00553990" w:rsidP="00FF46E6">
            <w:pPr>
              <w:pStyle w:val="Tables"/>
              <w:rPr>
                <w:b/>
                <w:bCs/>
              </w:rPr>
            </w:pPr>
            <w:r w:rsidRPr="008050D9">
              <w:rPr>
                <w:b/>
                <w:bCs/>
              </w:rPr>
              <w:t>1951-52 Budget</w:t>
            </w:r>
          </w:p>
        </w:tc>
        <w:tc>
          <w:tcPr>
            <w:tcW w:w="1127" w:type="dxa"/>
          </w:tcPr>
          <w:p w14:paraId="0020ACCD" w14:textId="71332F1F" w:rsidR="00553990" w:rsidRPr="008050D9" w:rsidRDefault="00553990" w:rsidP="00FF46E6">
            <w:pPr>
              <w:pStyle w:val="Tables"/>
              <w:rPr>
                <w:b/>
                <w:bCs/>
              </w:rPr>
            </w:pPr>
            <w:r w:rsidRPr="008050D9">
              <w:rPr>
                <w:b/>
                <w:bCs/>
              </w:rPr>
              <w:t>1952-53</w:t>
            </w:r>
          </w:p>
        </w:tc>
        <w:tc>
          <w:tcPr>
            <w:tcW w:w="1127" w:type="dxa"/>
          </w:tcPr>
          <w:p w14:paraId="0091E614" w14:textId="4DF55361" w:rsidR="00553990" w:rsidRPr="008050D9" w:rsidRDefault="00553990" w:rsidP="00FF46E6">
            <w:pPr>
              <w:pStyle w:val="Tables"/>
              <w:rPr>
                <w:b/>
                <w:bCs/>
              </w:rPr>
            </w:pPr>
            <w:r w:rsidRPr="008050D9">
              <w:rPr>
                <w:b/>
                <w:bCs/>
              </w:rPr>
              <w:t>1953-54</w:t>
            </w:r>
          </w:p>
        </w:tc>
        <w:tc>
          <w:tcPr>
            <w:tcW w:w="1127" w:type="dxa"/>
          </w:tcPr>
          <w:p w14:paraId="78344A2E" w14:textId="2DC62247" w:rsidR="00553990" w:rsidRPr="008050D9" w:rsidRDefault="00553990" w:rsidP="00FF46E6">
            <w:pPr>
              <w:pStyle w:val="Tables"/>
              <w:rPr>
                <w:b/>
                <w:bCs/>
              </w:rPr>
            </w:pPr>
            <w:r w:rsidRPr="008050D9">
              <w:rPr>
                <w:b/>
                <w:bCs/>
              </w:rPr>
              <w:t>1954-55</w:t>
            </w:r>
          </w:p>
        </w:tc>
        <w:tc>
          <w:tcPr>
            <w:tcW w:w="1127" w:type="dxa"/>
          </w:tcPr>
          <w:p w14:paraId="090EC8C7" w14:textId="606FB175" w:rsidR="00553990" w:rsidRPr="008050D9" w:rsidRDefault="00553990" w:rsidP="00FF46E6">
            <w:pPr>
              <w:pStyle w:val="Tables"/>
              <w:rPr>
                <w:b/>
                <w:bCs/>
              </w:rPr>
            </w:pPr>
            <w:r w:rsidRPr="008050D9">
              <w:rPr>
                <w:b/>
                <w:bCs/>
              </w:rPr>
              <w:t>1955-56</w:t>
            </w:r>
          </w:p>
        </w:tc>
        <w:tc>
          <w:tcPr>
            <w:tcW w:w="1127" w:type="dxa"/>
          </w:tcPr>
          <w:p w14:paraId="17392F1F" w14:textId="7C58CC56" w:rsidR="00553990" w:rsidRPr="008050D9" w:rsidRDefault="00553990" w:rsidP="00FF46E6">
            <w:pPr>
              <w:pStyle w:val="Tables"/>
              <w:rPr>
                <w:b/>
                <w:bCs/>
              </w:rPr>
            </w:pPr>
            <w:r w:rsidRPr="008050D9">
              <w:rPr>
                <w:b/>
                <w:bCs/>
              </w:rPr>
              <w:t>1956-57</w:t>
            </w:r>
          </w:p>
        </w:tc>
      </w:tr>
      <w:tr w:rsidR="00553990" w:rsidRPr="004B15CE" w14:paraId="25E2066D" w14:textId="77777777" w:rsidTr="00553990">
        <w:tc>
          <w:tcPr>
            <w:tcW w:w="1773" w:type="dxa"/>
          </w:tcPr>
          <w:p w14:paraId="08725F96" w14:textId="3836393E" w:rsidR="00553990" w:rsidRPr="004B15CE" w:rsidRDefault="00553990" w:rsidP="00FF46E6">
            <w:pPr>
              <w:pStyle w:val="Tables"/>
            </w:pPr>
            <w:r w:rsidRPr="004B15CE">
              <w:t>REVENUE</w:t>
            </w:r>
          </w:p>
        </w:tc>
        <w:tc>
          <w:tcPr>
            <w:tcW w:w="1194" w:type="dxa"/>
          </w:tcPr>
          <w:p w14:paraId="26C9AC19" w14:textId="77777777" w:rsidR="00553990" w:rsidRPr="004B15CE" w:rsidRDefault="00553990" w:rsidP="00FF46E6">
            <w:pPr>
              <w:pStyle w:val="Tables"/>
            </w:pPr>
          </w:p>
        </w:tc>
        <w:tc>
          <w:tcPr>
            <w:tcW w:w="1127" w:type="dxa"/>
          </w:tcPr>
          <w:p w14:paraId="21DC142D" w14:textId="77777777" w:rsidR="00553990" w:rsidRPr="004B15CE" w:rsidRDefault="00553990" w:rsidP="00FF46E6">
            <w:pPr>
              <w:pStyle w:val="Tables"/>
            </w:pPr>
          </w:p>
        </w:tc>
        <w:tc>
          <w:tcPr>
            <w:tcW w:w="1127" w:type="dxa"/>
          </w:tcPr>
          <w:p w14:paraId="12FEB4B4" w14:textId="77777777" w:rsidR="00553990" w:rsidRPr="004B15CE" w:rsidRDefault="00553990" w:rsidP="00FF46E6">
            <w:pPr>
              <w:pStyle w:val="Tables"/>
            </w:pPr>
          </w:p>
        </w:tc>
        <w:tc>
          <w:tcPr>
            <w:tcW w:w="1127" w:type="dxa"/>
          </w:tcPr>
          <w:p w14:paraId="50671343" w14:textId="77777777" w:rsidR="00553990" w:rsidRPr="004B15CE" w:rsidRDefault="00553990" w:rsidP="00FF46E6">
            <w:pPr>
              <w:pStyle w:val="Tables"/>
            </w:pPr>
          </w:p>
        </w:tc>
        <w:tc>
          <w:tcPr>
            <w:tcW w:w="1127" w:type="dxa"/>
          </w:tcPr>
          <w:p w14:paraId="1D5AE22F" w14:textId="77777777" w:rsidR="00553990" w:rsidRPr="004B15CE" w:rsidRDefault="00553990" w:rsidP="00FF46E6">
            <w:pPr>
              <w:pStyle w:val="Tables"/>
            </w:pPr>
          </w:p>
        </w:tc>
        <w:tc>
          <w:tcPr>
            <w:tcW w:w="1127" w:type="dxa"/>
          </w:tcPr>
          <w:p w14:paraId="42A3EDAE" w14:textId="77777777" w:rsidR="00553990" w:rsidRPr="004B15CE" w:rsidRDefault="00553990" w:rsidP="00FF46E6">
            <w:pPr>
              <w:pStyle w:val="Tables"/>
            </w:pPr>
          </w:p>
        </w:tc>
      </w:tr>
      <w:tr w:rsidR="00553990" w:rsidRPr="004B15CE" w14:paraId="2E6D8D7A" w14:textId="77777777" w:rsidTr="00553990">
        <w:tc>
          <w:tcPr>
            <w:tcW w:w="1773" w:type="dxa"/>
          </w:tcPr>
          <w:p w14:paraId="6B1D51BF" w14:textId="5E03B302" w:rsidR="00553990" w:rsidRPr="004B15CE" w:rsidRDefault="00553990" w:rsidP="00FF46E6">
            <w:pPr>
              <w:pStyle w:val="Tables"/>
            </w:pPr>
            <w:r w:rsidRPr="004B15CE">
              <w:t>---</w:t>
            </w:r>
          </w:p>
        </w:tc>
        <w:tc>
          <w:tcPr>
            <w:tcW w:w="1194" w:type="dxa"/>
          </w:tcPr>
          <w:p w14:paraId="5ED5F788" w14:textId="77777777" w:rsidR="00553990" w:rsidRPr="004B15CE" w:rsidRDefault="00553990" w:rsidP="00FF46E6">
            <w:pPr>
              <w:pStyle w:val="Tables"/>
            </w:pPr>
          </w:p>
        </w:tc>
        <w:tc>
          <w:tcPr>
            <w:tcW w:w="1127" w:type="dxa"/>
          </w:tcPr>
          <w:p w14:paraId="51861304" w14:textId="77777777" w:rsidR="00553990" w:rsidRPr="004B15CE" w:rsidRDefault="00553990" w:rsidP="00FF46E6">
            <w:pPr>
              <w:pStyle w:val="Tables"/>
            </w:pPr>
          </w:p>
        </w:tc>
        <w:tc>
          <w:tcPr>
            <w:tcW w:w="1127" w:type="dxa"/>
          </w:tcPr>
          <w:p w14:paraId="1F946EE6" w14:textId="77777777" w:rsidR="00553990" w:rsidRPr="004B15CE" w:rsidRDefault="00553990" w:rsidP="00FF46E6">
            <w:pPr>
              <w:pStyle w:val="Tables"/>
            </w:pPr>
          </w:p>
        </w:tc>
        <w:tc>
          <w:tcPr>
            <w:tcW w:w="1127" w:type="dxa"/>
          </w:tcPr>
          <w:p w14:paraId="1C6F3D5B" w14:textId="77777777" w:rsidR="00553990" w:rsidRPr="004B15CE" w:rsidRDefault="00553990" w:rsidP="00FF46E6">
            <w:pPr>
              <w:pStyle w:val="Tables"/>
            </w:pPr>
          </w:p>
        </w:tc>
        <w:tc>
          <w:tcPr>
            <w:tcW w:w="1127" w:type="dxa"/>
          </w:tcPr>
          <w:p w14:paraId="729190B1" w14:textId="77777777" w:rsidR="00553990" w:rsidRPr="004B15CE" w:rsidRDefault="00553990" w:rsidP="00FF46E6">
            <w:pPr>
              <w:pStyle w:val="Tables"/>
            </w:pPr>
          </w:p>
        </w:tc>
        <w:tc>
          <w:tcPr>
            <w:tcW w:w="1127" w:type="dxa"/>
          </w:tcPr>
          <w:p w14:paraId="5568BED3" w14:textId="77777777" w:rsidR="00553990" w:rsidRPr="004B15CE" w:rsidRDefault="00553990" w:rsidP="00FF46E6">
            <w:pPr>
              <w:pStyle w:val="Tables"/>
            </w:pPr>
          </w:p>
        </w:tc>
      </w:tr>
      <w:tr w:rsidR="00553990" w:rsidRPr="004B15CE" w14:paraId="4803293B" w14:textId="77777777" w:rsidTr="00553990">
        <w:tc>
          <w:tcPr>
            <w:tcW w:w="1773" w:type="dxa"/>
          </w:tcPr>
          <w:p w14:paraId="3BD95F95" w14:textId="404DC14D" w:rsidR="00553990" w:rsidRPr="004B15CE" w:rsidRDefault="00553990" w:rsidP="00FF46E6">
            <w:pPr>
              <w:pStyle w:val="Tables"/>
            </w:pPr>
            <w:r w:rsidRPr="004B15CE">
              <w:t>---</w:t>
            </w:r>
          </w:p>
        </w:tc>
        <w:tc>
          <w:tcPr>
            <w:tcW w:w="1194" w:type="dxa"/>
          </w:tcPr>
          <w:p w14:paraId="1D349DF0" w14:textId="77777777" w:rsidR="00553990" w:rsidRPr="004B15CE" w:rsidRDefault="00553990" w:rsidP="00FF46E6">
            <w:pPr>
              <w:pStyle w:val="Tables"/>
            </w:pPr>
          </w:p>
        </w:tc>
        <w:tc>
          <w:tcPr>
            <w:tcW w:w="1127" w:type="dxa"/>
          </w:tcPr>
          <w:p w14:paraId="069BCC9E" w14:textId="77777777" w:rsidR="00553990" w:rsidRPr="004B15CE" w:rsidRDefault="00553990" w:rsidP="00FF46E6">
            <w:pPr>
              <w:pStyle w:val="Tables"/>
            </w:pPr>
          </w:p>
        </w:tc>
        <w:tc>
          <w:tcPr>
            <w:tcW w:w="1127" w:type="dxa"/>
          </w:tcPr>
          <w:p w14:paraId="2205875E" w14:textId="77777777" w:rsidR="00553990" w:rsidRPr="004B15CE" w:rsidRDefault="00553990" w:rsidP="00FF46E6">
            <w:pPr>
              <w:pStyle w:val="Tables"/>
            </w:pPr>
          </w:p>
        </w:tc>
        <w:tc>
          <w:tcPr>
            <w:tcW w:w="1127" w:type="dxa"/>
          </w:tcPr>
          <w:p w14:paraId="4926DCF1" w14:textId="77777777" w:rsidR="00553990" w:rsidRPr="004B15CE" w:rsidRDefault="00553990" w:rsidP="00FF46E6">
            <w:pPr>
              <w:pStyle w:val="Tables"/>
            </w:pPr>
          </w:p>
        </w:tc>
        <w:tc>
          <w:tcPr>
            <w:tcW w:w="1127" w:type="dxa"/>
          </w:tcPr>
          <w:p w14:paraId="72F6E170" w14:textId="77777777" w:rsidR="00553990" w:rsidRPr="004B15CE" w:rsidRDefault="00553990" w:rsidP="00FF46E6">
            <w:pPr>
              <w:pStyle w:val="Tables"/>
            </w:pPr>
          </w:p>
        </w:tc>
        <w:tc>
          <w:tcPr>
            <w:tcW w:w="1127" w:type="dxa"/>
          </w:tcPr>
          <w:p w14:paraId="0433885E" w14:textId="77777777" w:rsidR="00553990" w:rsidRPr="004B15CE" w:rsidRDefault="00553990" w:rsidP="00FF46E6">
            <w:pPr>
              <w:pStyle w:val="Tables"/>
            </w:pPr>
          </w:p>
        </w:tc>
      </w:tr>
      <w:tr w:rsidR="00553990" w:rsidRPr="004B15CE" w14:paraId="61E770B1" w14:textId="77777777" w:rsidTr="00553990">
        <w:tc>
          <w:tcPr>
            <w:tcW w:w="1773" w:type="dxa"/>
          </w:tcPr>
          <w:p w14:paraId="3C51A748" w14:textId="50F3D9CF" w:rsidR="00553990" w:rsidRPr="004B15CE" w:rsidRDefault="00553990" w:rsidP="00FF46E6">
            <w:pPr>
              <w:pStyle w:val="Tables"/>
            </w:pPr>
            <w:r w:rsidRPr="004B15CE">
              <w:t>---</w:t>
            </w:r>
          </w:p>
        </w:tc>
        <w:tc>
          <w:tcPr>
            <w:tcW w:w="1194" w:type="dxa"/>
          </w:tcPr>
          <w:p w14:paraId="238B4FBF" w14:textId="77777777" w:rsidR="00553990" w:rsidRPr="004B15CE" w:rsidRDefault="00553990" w:rsidP="00FF46E6">
            <w:pPr>
              <w:pStyle w:val="Tables"/>
            </w:pPr>
          </w:p>
        </w:tc>
        <w:tc>
          <w:tcPr>
            <w:tcW w:w="1127" w:type="dxa"/>
          </w:tcPr>
          <w:p w14:paraId="327F1D04" w14:textId="77777777" w:rsidR="00553990" w:rsidRPr="004B15CE" w:rsidRDefault="00553990" w:rsidP="00FF46E6">
            <w:pPr>
              <w:pStyle w:val="Tables"/>
            </w:pPr>
          </w:p>
        </w:tc>
        <w:tc>
          <w:tcPr>
            <w:tcW w:w="1127" w:type="dxa"/>
          </w:tcPr>
          <w:p w14:paraId="5188F8FF" w14:textId="77777777" w:rsidR="00553990" w:rsidRPr="004B15CE" w:rsidRDefault="00553990" w:rsidP="00FF46E6">
            <w:pPr>
              <w:pStyle w:val="Tables"/>
            </w:pPr>
          </w:p>
        </w:tc>
        <w:tc>
          <w:tcPr>
            <w:tcW w:w="1127" w:type="dxa"/>
          </w:tcPr>
          <w:p w14:paraId="0EC5209D" w14:textId="77777777" w:rsidR="00553990" w:rsidRPr="004B15CE" w:rsidRDefault="00553990" w:rsidP="00FF46E6">
            <w:pPr>
              <w:pStyle w:val="Tables"/>
            </w:pPr>
          </w:p>
        </w:tc>
        <w:tc>
          <w:tcPr>
            <w:tcW w:w="1127" w:type="dxa"/>
          </w:tcPr>
          <w:p w14:paraId="3B80CF92" w14:textId="77777777" w:rsidR="00553990" w:rsidRPr="004B15CE" w:rsidRDefault="00553990" w:rsidP="00FF46E6">
            <w:pPr>
              <w:pStyle w:val="Tables"/>
            </w:pPr>
          </w:p>
        </w:tc>
        <w:tc>
          <w:tcPr>
            <w:tcW w:w="1127" w:type="dxa"/>
          </w:tcPr>
          <w:p w14:paraId="57A7F824" w14:textId="77777777" w:rsidR="00553990" w:rsidRPr="004B15CE" w:rsidRDefault="00553990" w:rsidP="00FF46E6">
            <w:pPr>
              <w:pStyle w:val="Tables"/>
            </w:pPr>
          </w:p>
        </w:tc>
      </w:tr>
      <w:tr w:rsidR="00553990" w:rsidRPr="004B15CE" w14:paraId="1B69608C" w14:textId="77777777" w:rsidTr="00553990">
        <w:tc>
          <w:tcPr>
            <w:tcW w:w="1773" w:type="dxa"/>
          </w:tcPr>
          <w:p w14:paraId="06DB1A8F" w14:textId="0CFD76F0" w:rsidR="00553990" w:rsidRPr="004B15CE" w:rsidRDefault="00553990" w:rsidP="00FF46E6">
            <w:pPr>
              <w:pStyle w:val="Tables"/>
            </w:pPr>
            <w:r w:rsidRPr="004B15CE">
              <w:t>---</w:t>
            </w:r>
          </w:p>
        </w:tc>
        <w:tc>
          <w:tcPr>
            <w:tcW w:w="1194" w:type="dxa"/>
          </w:tcPr>
          <w:p w14:paraId="1E9694C7" w14:textId="77777777" w:rsidR="00553990" w:rsidRPr="004B15CE" w:rsidRDefault="00553990" w:rsidP="00FF46E6">
            <w:pPr>
              <w:pStyle w:val="Tables"/>
            </w:pPr>
          </w:p>
        </w:tc>
        <w:tc>
          <w:tcPr>
            <w:tcW w:w="1127" w:type="dxa"/>
          </w:tcPr>
          <w:p w14:paraId="11D64BF2" w14:textId="77777777" w:rsidR="00553990" w:rsidRPr="004B15CE" w:rsidRDefault="00553990" w:rsidP="00FF46E6">
            <w:pPr>
              <w:pStyle w:val="Tables"/>
            </w:pPr>
          </w:p>
        </w:tc>
        <w:tc>
          <w:tcPr>
            <w:tcW w:w="1127" w:type="dxa"/>
          </w:tcPr>
          <w:p w14:paraId="652C387C" w14:textId="77777777" w:rsidR="00553990" w:rsidRPr="004B15CE" w:rsidRDefault="00553990" w:rsidP="00FF46E6">
            <w:pPr>
              <w:pStyle w:val="Tables"/>
            </w:pPr>
          </w:p>
        </w:tc>
        <w:tc>
          <w:tcPr>
            <w:tcW w:w="1127" w:type="dxa"/>
          </w:tcPr>
          <w:p w14:paraId="6C7FE860" w14:textId="77777777" w:rsidR="00553990" w:rsidRPr="004B15CE" w:rsidRDefault="00553990" w:rsidP="00FF46E6">
            <w:pPr>
              <w:pStyle w:val="Tables"/>
            </w:pPr>
          </w:p>
        </w:tc>
        <w:tc>
          <w:tcPr>
            <w:tcW w:w="1127" w:type="dxa"/>
          </w:tcPr>
          <w:p w14:paraId="0202AA55" w14:textId="77777777" w:rsidR="00553990" w:rsidRPr="004B15CE" w:rsidRDefault="00553990" w:rsidP="00FF46E6">
            <w:pPr>
              <w:pStyle w:val="Tables"/>
            </w:pPr>
          </w:p>
        </w:tc>
        <w:tc>
          <w:tcPr>
            <w:tcW w:w="1127" w:type="dxa"/>
          </w:tcPr>
          <w:p w14:paraId="3B4D314E" w14:textId="77777777" w:rsidR="00553990" w:rsidRPr="004B15CE" w:rsidRDefault="00553990" w:rsidP="00FF46E6">
            <w:pPr>
              <w:pStyle w:val="Tables"/>
            </w:pPr>
          </w:p>
        </w:tc>
      </w:tr>
      <w:tr w:rsidR="00553990" w:rsidRPr="004B15CE" w14:paraId="3EF25456" w14:textId="77777777" w:rsidTr="00553990">
        <w:tc>
          <w:tcPr>
            <w:tcW w:w="1773" w:type="dxa"/>
          </w:tcPr>
          <w:p w14:paraId="7BA257F2" w14:textId="51507B86" w:rsidR="00553990" w:rsidRPr="004B15CE" w:rsidRDefault="00553990" w:rsidP="00FF46E6">
            <w:pPr>
              <w:pStyle w:val="Tables"/>
            </w:pPr>
            <w:r w:rsidRPr="004B15CE">
              <w:t>TOTAL REVENUE</w:t>
            </w:r>
          </w:p>
        </w:tc>
        <w:tc>
          <w:tcPr>
            <w:tcW w:w="1194" w:type="dxa"/>
          </w:tcPr>
          <w:p w14:paraId="1E14CF3C" w14:textId="77777777" w:rsidR="00553990" w:rsidRPr="004B15CE" w:rsidRDefault="00553990" w:rsidP="00FF46E6">
            <w:pPr>
              <w:pStyle w:val="Tables"/>
            </w:pPr>
          </w:p>
        </w:tc>
        <w:tc>
          <w:tcPr>
            <w:tcW w:w="1127" w:type="dxa"/>
          </w:tcPr>
          <w:p w14:paraId="1F5EEF11" w14:textId="77777777" w:rsidR="00553990" w:rsidRPr="004B15CE" w:rsidRDefault="00553990" w:rsidP="00FF46E6">
            <w:pPr>
              <w:pStyle w:val="Tables"/>
            </w:pPr>
          </w:p>
        </w:tc>
        <w:tc>
          <w:tcPr>
            <w:tcW w:w="1127" w:type="dxa"/>
          </w:tcPr>
          <w:p w14:paraId="1806107B" w14:textId="77777777" w:rsidR="00553990" w:rsidRPr="004B15CE" w:rsidRDefault="00553990" w:rsidP="00FF46E6">
            <w:pPr>
              <w:pStyle w:val="Tables"/>
            </w:pPr>
          </w:p>
        </w:tc>
        <w:tc>
          <w:tcPr>
            <w:tcW w:w="1127" w:type="dxa"/>
          </w:tcPr>
          <w:p w14:paraId="3BB30617" w14:textId="77777777" w:rsidR="00553990" w:rsidRPr="004B15CE" w:rsidRDefault="00553990" w:rsidP="00FF46E6">
            <w:pPr>
              <w:pStyle w:val="Tables"/>
            </w:pPr>
          </w:p>
        </w:tc>
        <w:tc>
          <w:tcPr>
            <w:tcW w:w="1127" w:type="dxa"/>
          </w:tcPr>
          <w:p w14:paraId="5DFD7E2A" w14:textId="77777777" w:rsidR="00553990" w:rsidRPr="004B15CE" w:rsidRDefault="00553990" w:rsidP="00FF46E6">
            <w:pPr>
              <w:pStyle w:val="Tables"/>
            </w:pPr>
          </w:p>
        </w:tc>
        <w:tc>
          <w:tcPr>
            <w:tcW w:w="1127" w:type="dxa"/>
          </w:tcPr>
          <w:p w14:paraId="60DDFAFB" w14:textId="77777777" w:rsidR="00553990" w:rsidRPr="004B15CE" w:rsidRDefault="00553990" w:rsidP="00FF46E6">
            <w:pPr>
              <w:pStyle w:val="Tables"/>
            </w:pPr>
          </w:p>
        </w:tc>
      </w:tr>
      <w:tr w:rsidR="00553990" w:rsidRPr="004B15CE" w14:paraId="1EDEE614" w14:textId="77777777" w:rsidTr="00553990">
        <w:tc>
          <w:tcPr>
            <w:tcW w:w="1773" w:type="dxa"/>
          </w:tcPr>
          <w:p w14:paraId="6DE94CBE" w14:textId="7F1C4470" w:rsidR="00553990" w:rsidRPr="004B15CE" w:rsidRDefault="00553990" w:rsidP="00FF46E6">
            <w:pPr>
              <w:pStyle w:val="Tables"/>
            </w:pPr>
            <w:r w:rsidRPr="004B15CE">
              <w:t>EXPENDITURE MET</w:t>
            </w:r>
          </w:p>
        </w:tc>
        <w:tc>
          <w:tcPr>
            <w:tcW w:w="1194" w:type="dxa"/>
          </w:tcPr>
          <w:p w14:paraId="2A320844" w14:textId="77777777" w:rsidR="00553990" w:rsidRPr="004B15CE" w:rsidRDefault="00553990" w:rsidP="00FF46E6">
            <w:pPr>
              <w:pStyle w:val="Tables"/>
            </w:pPr>
          </w:p>
        </w:tc>
        <w:tc>
          <w:tcPr>
            <w:tcW w:w="1127" w:type="dxa"/>
          </w:tcPr>
          <w:p w14:paraId="5C73DA44" w14:textId="77777777" w:rsidR="00553990" w:rsidRPr="004B15CE" w:rsidRDefault="00553990" w:rsidP="00FF46E6">
            <w:pPr>
              <w:pStyle w:val="Tables"/>
            </w:pPr>
          </w:p>
        </w:tc>
        <w:tc>
          <w:tcPr>
            <w:tcW w:w="1127" w:type="dxa"/>
          </w:tcPr>
          <w:p w14:paraId="63893A11" w14:textId="77777777" w:rsidR="00553990" w:rsidRPr="004B15CE" w:rsidRDefault="00553990" w:rsidP="00FF46E6">
            <w:pPr>
              <w:pStyle w:val="Tables"/>
            </w:pPr>
          </w:p>
        </w:tc>
        <w:tc>
          <w:tcPr>
            <w:tcW w:w="1127" w:type="dxa"/>
          </w:tcPr>
          <w:p w14:paraId="22859670" w14:textId="77777777" w:rsidR="00553990" w:rsidRPr="004B15CE" w:rsidRDefault="00553990" w:rsidP="00FF46E6">
            <w:pPr>
              <w:pStyle w:val="Tables"/>
            </w:pPr>
          </w:p>
        </w:tc>
        <w:tc>
          <w:tcPr>
            <w:tcW w:w="1127" w:type="dxa"/>
          </w:tcPr>
          <w:p w14:paraId="79E90E9E" w14:textId="77777777" w:rsidR="00553990" w:rsidRPr="004B15CE" w:rsidRDefault="00553990" w:rsidP="00FF46E6">
            <w:pPr>
              <w:pStyle w:val="Tables"/>
            </w:pPr>
          </w:p>
        </w:tc>
        <w:tc>
          <w:tcPr>
            <w:tcW w:w="1127" w:type="dxa"/>
          </w:tcPr>
          <w:p w14:paraId="7CE2AB9F" w14:textId="77777777" w:rsidR="00553990" w:rsidRPr="004B15CE" w:rsidRDefault="00553990" w:rsidP="00FF46E6">
            <w:pPr>
              <w:pStyle w:val="Tables"/>
            </w:pPr>
          </w:p>
        </w:tc>
      </w:tr>
      <w:tr w:rsidR="00553990" w:rsidRPr="004B15CE" w14:paraId="73B46EE7" w14:textId="77777777" w:rsidTr="00553990">
        <w:tc>
          <w:tcPr>
            <w:tcW w:w="1773" w:type="dxa"/>
          </w:tcPr>
          <w:p w14:paraId="42C64189" w14:textId="01265E9F" w:rsidR="00553990" w:rsidRPr="004B15CE" w:rsidRDefault="00553990" w:rsidP="00FF46E6">
            <w:pPr>
              <w:pStyle w:val="Tables"/>
            </w:pPr>
            <w:r w:rsidRPr="004B15CE">
              <w:t> FROM REVENUE</w:t>
            </w:r>
          </w:p>
        </w:tc>
        <w:tc>
          <w:tcPr>
            <w:tcW w:w="1194" w:type="dxa"/>
          </w:tcPr>
          <w:p w14:paraId="4ACD032E" w14:textId="77777777" w:rsidR="00553990" w:rsidRPr="004B15CE" w:rsidRDefault="00553990" w:rsidP="00FF46E6">
            <w:pPr>
              <w:pStyle w:val="Tables"/>
            </w:pPr>
          </w:p>
        </w:tc>
        <w:tc>
          <w:tcPr>
            <w:tcW w:w="1127" w:type="dxa"/>
          </w:tcPr>
          <w:p w14:paraId="35FFD075" w14:textId="77777777" w:rsidR="00553990" w:rsidRPr="004B15CE" w:rsidRDefault="00553990" w:rsidP="00FF46E6">
            <w:pPr>
              <w:pStyle w:val="Tables"/>
            </w:pPr>
          </w:p>
        </w:tc>
        <w:tc>
          <w:tcPr>
            <w:tcW w:w="1127" w:type="dxa"/>
          </w:tcPr>
          <w:p w14:paraId="31ECDCB1" w14:textId="77777777" w:rsidR="00553990" w:rsidRPr="004B15CE" w:rsidRDefault="00553990" w:rsidP="00FF46E6">
            <w:pPr>
              <w:pStyle w:val="Tables"/>
            </w:pPr>
          </w:p>
        </w:tc>
        <w:tc>
          <w:tcPr>
            <w:tcW w:w="1127" w:type="dxa"/>
          </w:tcPr>
          <w:p w14:paraId="66DB3104" w14:textId="77777777" w:rsidR="00553990" w:rsidRPr="004B15CE" w:rsidRDefault="00553990" w:rsidP="00FF46E6">
            <w:pPr>
              <w:pStyle w:val="Tables"/>
            </w:pPr>
          </w:p>
        </w:tc>
        <w:tc>
          <w:tcPr>
            <w:tcW w:w="1127" w:type="dxa"/>
          </w:tcPr>
          <w:p w14:paraId="01F44192" w14:textId="77777777" w:rsidR="00553990" w:rsidRPr="004B15CE" w:rsidRDefault="00553990" w:rsidP="00FF46E6">
            <w:pPr>
              <w:pStyle w:val="Tables"/>
            </w:pPr>
          </w:p>
        </w:tc>
        <w:tc>
          <w:tcPr>
            <w:tcW w:w="1127" w:type="dxa"/>
          </w:tcPr>
          <w:p w14:paraId="12842CB9" w14:textId="77777777" w:rsidR="00553990" w:rsidRPr="004B15CE" w:rsidRDefault="00553990" w:rsidP="00FF46E6">
            <w:pPr>
              <w:pStyle w:val="Tables"/>
            </w:pPr>
          </w:p>
        </w:tc>
      </w:tr>
      <w:tr w:rsidR="00553990" w:rsidRPr="004B15CE" w14:paraId="413F0101" w14:textId="77777777" w:rsidTr="00553990">
        <w:tc>
          <w:tcPr>
            <w:tcW w:w="1773" w:type="dxa"/>
          </w:tcPr>
          <w:p w14:paraId="32FC6601" w14:textId="225F5A50" w:rsidR="00553990" w:rsidRPr="004B15CE" w:rsidRDefault="00553990" w:rsidP="00FF46E6">
            <w:pPr>
              <w:pStyle w:val="Tables"/>
            </w:pPr>
            <w:r w:rsidRPr="004B15CE">
              <w:t>---</w:t>
            </w:r>
          </w:p>
        </w:tc>
        <w:tc>
          <w:tcPr>
            <w:tcW w:w="1194" w:type="dxa"/>
          </w:tcPr>
          <w:p w14:paraId="17E1F9AD" w14:textId="77777777" w:rsidR="00553990" w:rsidRPr="004B15CE" w:rsidRDefault="00553990" w:rsidP="00FF46E6">
            <w:pPr>
              <w:pStyle w:val="Tables"/>
            </w:pPr>
          </w:p>
        </w:tc>
        <w:tc>
          <w:tcPr>
            <w:tcW w:w="1127" w:type="dxa"/>
          </w:tcPr>
          <w:p w14:paraId="533415FF" w14:textId="77777777" w:rsidR="00553990" w:rsidRPr="004B15CE" w:rsidRDefault="00553990" w:rsidP="00FF46E6">
            <w:pPr>
              <w:pStyle w:val="Tables"/>
            </w:pPr>
          </w:p>
        </w:tc>
        <w:tc>
          <w:tcPr>
            <w:tcW w:w="1127" w:type="dxa"/>
          </w:tcPr>
          <w:p w14:paraId="103CC1AA" w14:textId="77777777" w:rsidR="00553990" w:rsidRPr="004B15CE" w:rsidRDefault="00553990" w:rsidP="00FF46E6">
            <w:pPr>
              <w:pStyle w:val="Tables"/>
            </w:pPr>
          </w:p>
        </w:tc>
        <w:tc>
          <w:tcPr>
            <w:tcW w:w="1127" w:type="dxa"/>
          </w:tcPr>
          <w:p w14:paraId="05DE4B10" w14:textId="77777777" w:rsidR="00553990" w:rsidRPr="004B15CE" w:rsidRDefault="00553990" w:rsidP="00FF46E6">
            <w:pPr>
              <w:pStyle w:val="Tables"/>
            </w:pPr>
          </w:p>
        </w:tc>
        <w:tc>
          <w:tcPr>
            <w:tcW w:w="1127" w:type="dxa"/>
          </w:tcPr>
          <w:p w14:paraId="3BF2500C" w14:textId="77777777" w:rsidR="00553990" w:rsidRPr="004B15CE" w:rsidRDefault="00553990" w:rsidP="00FF46E6">
            <w:pPr>
              <w:pStyle w:val="Tables"/>
            </w:pPr>
          </w:p>
        </w:tc>
        <w:tc>
          <w:tcPr>
            <w:tcW w:w="1127" w:type="dxa"/>
          </w:tcPr>
          <w:p w14:paraId="59F5AEC7" w14:textId="77777777" w:rsidR="00553990" w:rsidRPr="004B15CE" w:rsidRDefault="00553990" w:rsidP="00FF46E6">
            <w:pPr>
              <w:pStyle w:val="Tables"/>
            </w:pPr>
          </w:p>
        </w:tc>
      </w:tr>
      <w:tr w:rsidR="00553990" w:rsidRPr="004B15CE" w14:paraId="2EBD7088" w14:textId="77777777" w:rsidTr="00553990">
        <w:tc>
          <w:tcPr>
            <w:tcW w:w="1773" w:type="dxa"/>
          </w:tcPr>
          <w:p w14:paraId="76B78082" w14:textId="44481671" w:rsidR="00553990" w:rsidRPr="004B15CE" w:rsidRDefault="00553990" w:rsidP="00FF46E6">
            <w:pPr>
              <w:pStyle w:val="Tables"/>
            </w:pPr>
            <w:r w:rsidRPr="004B15CE">
              <w:t>---</w:t>
            </w:r>
          </w:p>
        </w:tc>
        <w:tc>
          <w:tcPr>
            <w:tcW w:w="1194" w:type="dxa"/>
          </w:tcPr>
          <w:p w14:paraId="78CA0338" w14:textId="77777777" w:rsidR="00553990" w:rsidRPr="004B15CE" w:rsidRDefault="00553990" w:rsidP="00FF46E6">
            <w:pPr>
              <w:pStyle w:val="Tables"/>
            </w:pPr>
          </w:p>
        </w:tc>
        <w:tc>
          <w:tcPr>
            <w:tcW w:w="1127" w:type="dxa"/>
          </w:tcPr>
          <w:p w14:paraId="78EA6F41" w14:textId="77777777" w:rsidR="00553990" w:rsidRPr="004B15CE" w:rsidRDefault="00553990" w:rsidP="00FF46E6">
            <w:pPr>
              <w:pStyle w:val="Tables"/>
            </w:pPr>
          </w:p>
        </w:tc>
        <w:tc>
          <w:tcPr>
            <w:tcW w:w="1127" w:type="dxa"/>
          </w:tcPr>
          <w:p w14:paraId="54BB10D1" w14:textId="77777777" w:rsidR="00553990" w:rsidRPr="004B15CE" w:rsidRDefault="00553990" w:rsidP="00FF46E6">
            <w:pPr>
              <w:pStyle w:val="Tables"/>
            </w:pPr>
          </w:p>
        </w:tc>
        <w:tc>
          <w:tcPr>
            <w:tcW w:w="1127" w:type="dxa"/>
          </w:tcPr>
          <w:p w14:paraId="2780F3AD" w14:textId="77777777" w:rsidR="00553990" w:rsidRPr="004B15CE" w:rsidRDefault="00553990" w:rsidP="00FF46E6">
            <w:pPr>
              <w:pStyle w:val="Tables"/>
            </w:pPr>
          </w:p>
        </w:tc>
        <w:tc>
          <w:tcPr>
            <w:tcW w:w="1127" w:type="dxa"/>
          </w:tcPr>
          <w:p w14:paraId="1910EDD8" w14:textId="77777777" w:rsidR="00553990" w:rsidRPr="004B15CE" w:rsidRDefault="00553990" w:rsidP="00FF46E6">
            <w:pPr>
              <w:pStyle w:val="Tables"/>
            </w:pPr>
          </w:p>
        </w:tc>
        <w:tc>
          <w:tcPr>
            <w:tcW w:w="1127" w:type="dxa"/>
          </w:tcPr>
          <w:p w14:paraId="39814193" w14:textId="77777777" w:rsidR="00553990" w:rsidRPr="004B15CE" w:rsidRDefault="00553990" w:rsidP="00FF46E6">
            <w:pPr>
              <w:pStyle w:val="Tables"/>
            </w:pPr>
          </w:p>
        </w:tc>
      </w:tr>
      <w:tr w:rsidR="00553990" w:rsidRPr="004B15CE" w14:paraId="36FC71A5" w14:textId="77777777" w:rsidTr="00553990">
        <w:tc>
          <w:tcPr>
            <w:tcW w:w="1773" w:type="dxa"/>
          </w:tcPr>
          <w:p w14:paraId="2B365F8D" w14:textId="301802DE" w:rsidR="00553990" w:rsidRPr="004B15CE" w:rsidRDefault="00553990" w:rsidP="00FF46E6">
            <w:pPr>
              <w:pStyle w:val="Tables"/>
            </w:pPr>
            <w:r w:rsidRPr="004B15CE">
              <w:t>---</w:t>
            </w:r>
          </w:p>
        </w:tc>
        <w:tc>
          <w:tcPr>
            <w:tcW w:w="1194" w:type="dxa"/>
          </w:tcPr>
          <w:p w14:paraId="5FFC63AF" w14:textId="77777777" w:rsidR="00553990" w:rsidRPr="004B15CE" w:rsidRDefault="00553990" w:rsidP="00FF46E6">
            <w:pPr>
              <w:pStyle w:val="Tables"/>
            </w:pPr>
          </w:p>
        </w:tc>
        <w:tc>
          <w:tcPr>
            <w:tcW w:w="1127" w:type="dxa"/>
          </w:tcPr>
          <w:p w14:paraId="70892B01" w14:textId="77777777" w:rsidR="00553990" w:rsidRPr="004B15CE" w:rsidRDefault="00553990" w:rsidP="00FF46E6">
            <w:pPr>
              <w:pStyle w:val="Tables"/>
            </w:pPr>
          </w:p>
        </w:tc>
        <w:tc>
          <w:tcPr>
            <w:tcW w:w="1127" w:type="dxa"/>
          </w:tcPr>
          <w:p w14:paraId="5943BDEC" w14:textId="77777777" w:rsidR="00553990" w:rsidRPr="004B15CE" w:rsidRDefault="00553990" w:rsidP="00FF46E6">
            <w:pPr>
              <w:pStyle w:val="Tables"/>
            </w:pPr>
          </w:p>
        </w:tc>
        <w:tc>
          <w:tcPr>
            <w:tcW w:w="1127" w:type="dxa"/>
          </w:tcPr>
          <w:p w14:paraId="16D9EA9E" w14:textId="77777777" w:rsidR="00553990" w:rsidRPr="004B15CE" w:rsidRDefault="00553990" w:rsidP="00FF46E6">
            <w:pPr>
              <w:pStyle w:val="Tables"/>
            </w:pPr>
          </w:p>
        </w:tc>
        <w:tc>
          <w:tcPr>
            <w:tcW w:w="1127" w:type="dxa"/>
          </w:tcPr>
          <w:p w14:paraId="410A67BF" w14:textId="77777777" w:rsidR="00553990" w:rsidRPr="004B15CE" w:rsidRDefault="00553990" w:rsidP="00FF46E6">
            <w:pPr>
              <w:pStyle w:val="Tables"/>
            </w:pPr>
          </w:p>
        </w:tc>
        <w:tc>
          <w:tcPr>
            <w:tcW w:w="1127" w:type="dxa"/>
          </w:tcPr>
          <w:p w14:paraId="473AD4A4" w14:textId="77777777" w:rsidR="00553990" w:rsidRPr="004B15CE" w:rsidRDefault="00553990" w:rsidP="00FF46E6">
            <w:pPr>
              <w:pStyle w:val="Tables"/>
            </w:pPr>
          </w:p>
        </w:tc>
      </w:tr>
      <w:tr w:rsidR="00553990" w:rsidRPr="004B15CE" w14:paraId="08873A7F" w14:textId="77777777" w:rsidTr="00553990">
        <w:tc>
          <w:tcPr>
            <w:tcW w:w="1773" w:type="dxa"/>
          </w:tcPr>
          <w:p w14:paraId="2ECA121D" w14:textId="26D9FFCE" w:rsidR="00553990" w:rsidRPr="004B15CE" w:rsidRDefault="00553990" w:rsidP="00FF46E6">
            <w:pPr>
              <w:pStyle w:val="Tables"/>
            </w:pPr>
            <w:r w:rsidRPr="004B15CE">
              <w:t>---</w:t>
            </w:r>
          </w:p>
        </w:tc>
        <w:tc>
          <w:tcPr>
            <w:tcW w:w="1194" w:type="dxa"/>
          </w:tcPr>
          <w:p w14:paraId="1925A380" w14:textId="77777777" w:rsidR="00553990" w:rsidRPr="004B15CE" w:rsidRDefault="00553990" w:rsidP="00FF46E6">
            <w:pPr>
              <w:pStyle w:val="Tables"/>
            </w:pPr>
          </w:p>
        </w:tc>
        <w:tc>
          <w:tcPr>
            <w:tcW w:w="1127" w:type="dxa"/>
          </w:tcPr>
          <w:p w14:paraId="53FE2B7B" w14:textId="77777777" w:rsidR="00553990" w:rsidRPr="004B15CE" w:rsidRDefault="00553990" w:rsidP="00FF46E6">
            <w:pPr>
              <w:pStyle w:val="Tables"/>
            </w:pPr>
          </w:p>
        </w:tc>
        <w:tc>
          <w:tcPr>
            <w:tcW w:w="1127" w:type="dxa"/>
          </w:tcPr>
          <w:p w14:paraId="58D7008C" w14:textId="77777777" w:rsidR="00553990" w:rsidRPr="004B15CE" w:rsidRDefault="00553990" w:rsidP="00FF46E6">
            <w:pPr>
              <w:pStyle w:val="Tables"/>
            </w:pPr>
          </w:p>
        </w:tc>
        <w:tc>
          <w:tcPr>
            <w:tcW w:w="1127" w:type="dxa"/>
          </w:tcPr>
          <w:p w14:paraId="4B3CE628" w14:textId="77777777" w:rsidR="00553990" w:rsidRPr="004B15CE" w:rsidRDefault="00553990" w:rsidP="00FF46E6">
            <w:pPr>
              <w:pStyle w:val="Tables"/>
            </w:pPr>
          </w:p>
        </w:tc>
        <w:tc>
          <w:tcPr>
            <w:tcW w:w="1127" w:type="dxa"/>
          </w:tcPr>
          <w:p w14:paraId="7A566A90" w14:textId="77777777" w:rsidR="00553990" w:rsidRPr="004B15CE" w:rsidRDefault="00553990" w:rsidP="00FF46E6">
            <w:pPr>
              <w:pStyle w:val="Tables"/>
            </w:pPr>
          </w:p>
        </w:tc>
        <w:tc>
          <w:tcPr>
            <w:tcW w:w="1127" w:type="dxa"/>
          </w:tcPr>
          <w:p w14:paraId="604314F1" w14:textId="77777777" w:rsidR="00553990" w:rsidRPr="004B15CE" w:rsidRDefault="00553990" w:rsidP="00FF46E6">
            <w:pPr>
              <w:pStyle w:val="Tables"/>
            </w:pPr>
          </w:p>
        </w:tc>
      </w:tr>
      <w:tr w:rsidR="00553990" w:rsidRPr="004B15CE" w14:paraId="45D61B0A" w14:textId="77777777" w:rsidTr="00553990">
        <w:tc>
          <w:tcPr>
            <w:tcW w:w="1773" w:type="dxa"/>
          </w:tcPr>
          <w:p w14:paraId="029F989E" w14:textId="516E8BB0" w:rsidR="00553990" w:rsidRPr="004B15CE" w:rsidRDefault="00553990" w:rsidP="00FF46E6">
            <w:pPr>
              <w:pStyle w:val="Tables"/>
            </w:pPr>
            <w:r w:rsidRPr="004B15CE">
              <w:t>TOTAL EXPENDITURE</w:t>
            </w:r>
          </w:p>
        </w:tc>
        <w:tc>
          <w:tcPr>
            <w:tcW w:w="1194" w:type="dxa"/>
          </w:tcPr>
          <w:p w14:paraId="3FAE88B1" w14:textId="77777777" w:rsidR="00553990" w:rsidRPr="004B15CE" w:rsidRDefault="00553990" w:rsidP="00FF46E6">
            <w:pPr>
              <w:pStyle w:val="Tables"/>
            </w:pPr>
          </w:p>
        </w:tc>
        <w:tc>
          <w:tcPr>
            <w:tcW w:w="1127" w:type="dxa"/>
          </w:tcPr>
          <w:p w14:paraId="25BEB6FC" w14:textId="77777777" w:rsidR="00553990" w:rsidRPr="004B15CE" w:rsidRDefault="00553990" w:rsidP="00FF46E6">
            <w:pPr>
              <w:pStyle w:val="Tables"/>
            </w:pPr>
          </w:p>
        </w:tc>
        <w:tc>
          <w:tcPr>
            <w:tcW w:w="1127" w:type="dxa"/>
          </w:tcPr>
          <w:p w14:paraId="207EB35F" w14:textId="77777777" w:rsidR="00553990" w:rsidRPr="004B15CE" w:rsidRDefault="00553990" w:rsidP="00FF46E6">
            <w:pPr>
              <w:pStyle w:val="Tables"/>
            </w:pPr>
          </w:p>
        </w:tc>
        <w:tc>
          <w:tcPr>
            <w:tcW w:w="1127" w:type="dxa"/>
          </w:tcPr>
          <w:p w14:paraId="37B4047A" w14:textId="77777777" w:rsidR="00553990" w:rsidRPr="004B15CE" w:rsidRDefault="00553990" w:rsidP="00FF46E6">
            <w:pPr>
              <w:pStyle w:val="Tables"/>
            </w:pPr>
          </w:p>
        </w:tc>
        <w:tc>
          <w:tcPr>
            <w:tcW w:w="1127" w:type="dxa"/>
          </w:tcPr>
          <w:p w14:paraId="101C824E" w14:textId="77777777" w:rsidR="00553990" w:rsidRPr="004B15CE" w:rsidRDefault="00553990" w:rsidP="00FF46E6">
            <w:pPr>
              <w:pStyle w:val="Tables"/>
            </w:pPr>
          </w:p>
        </w:tc>
        <w:tc>
          <w:tcPr>
            <w:tcW w:w="1127" w:type="dxa"/>
          </w:tcPr>
          <w:p w14:paraId="30BFB6D7" w14:textId="77777777" w:rsidR="00553990" w:rsidRPr="004B15CE" w:rsidRDefault="00553990" w:rsidP="00FF46E6">
            <w:pPr>
              <w:pStyle w:val="Tables"/>
            </w:pPr>
          </w:p>
        </w:tc>
      </w:tr>
      <w:tr w:rsidR="00553990" w:rsidRPr="004B15CE" w14:paraId="1EFA00C8" w14:textId="77777777" w:rsidTr="00553990">
        <w:tc>
          <w:tcPr>
            <w:tcW w:w="1773" w:type="dxa"/>
          </w:tcPr>
          <w:p w14:paraId="4E933587" w14:textId="6569042F" w:rsidR="00553990" w:rsidRPr="004B15CE" w:rsidRDefault="008050D9" w:rsidP="00FF46E6">
            <w:pPr>
              <w:pStyle w:val="Tables"/>
            </w:pPr>
            <w:r>
              <w:t xml:space="preserve">Net </w:t>
            </w:r>
            <w:r w:rsidR="00553990" w:rsidRPr="004B15CE">
              <w:t>Surplus</w:t>
            </w:r>
          </w:p>
          <w:p w14:paraId="009CD934" w14:textId="34DC49E4" w:rsidR="00553990" w:rsidRPr="004B15CE" w:rsidRDefault="00553990" w:rsidP="00FF46E6">
            <w:pPr>
              <w:pStyle w:val="Tables"/>
            </w:pPr>
          </w:p>
          <w:p w14:paraId="7E1C69C3" w14:textId="1EFCFA7E" w:rsidR="00553990" w:rsidRPr="004B15CE" w:rsidRDefault="002F6E62" w:rsidP="002F6E62">
            <w:pPr>
              <w:pStyle w:val="Tables"/>
              <w:jc w:val="left"/>
            </w:pPr>
            <w:r>
              <w:t xml:space="preserve">     </w:t>
            </w:r>
            <w:r w:rsidR="008050D9">
              <w:t>Net</w:t>
            </w:r>
            <w:r>
              <w:t xml:space="preserve"> </w:t>
            </w:r>
            <w:r w:rsidR="00553990" w:rsidRPr="004B15CE">
              <w:t>Deficit</w:t>
            </w:r>
          </w:p>
        </w:tc>
        <w:tc>
          <w:tcPr>
            <w:tcW w:w="1194" w:type="dxa"/>
          </w:tcPr>
          <w:p w14:paraId="231268FC" w14:textId="77777777" w:rsidR="00553990" w:rsidRPr="004B15CE" w:rsidRDefault="00553990" w:rsidP="00FF46E6">
            <w:pPr>
              <w:pStyle w:val="Tables"/>
            </w:pPr>
          </w:p>
        </w:tc>
        <w:tc>
          <w:tcPr>
            <w:tcW w:w="1127" w:type="dxa"/>
          </w:tcPr>
          <w:p w14:paraId="14524ADD" w14:textId="77777777" w:rsidR="00553990" w:rsidRPr="004B15CE" w:rsidRDefault="00553990" w:rsidP="00FF46E6">
            <w:pPr>
              <w:pStyle w:val="Tables"/>
            </w:pPr>
          </w:p>
        </w:tc>
        <w:tc>
          <w:tcPr>
            <w:tcW w:w="1127" w:type="dxa"/>
          </w:tcPr>
          <w:p w14:paraId="340EC66B" w14:textId="77777777" w:rsidR="00553990" w:rsidRPr="004B15CE" w:rsidRDefault="00553990" w:rsidP="00FF46E6">
            <w:pPr>
              <w:pStyle w:val="Tables"/>
            </w:pPr>
          </w:p>
        </w:tc>
        <w:tc>
          <w:tcPr>
            <w:tcW w:w="1127" w:type="dxa"/>
          </w:tcPr>
          <w:p w14:paraId="35DED14F" w14:textId="77777777" w:rsidR="00553990" w:rsidRPr="004B15CE" w:rsidRDefault="00553990" w:rsidP="00FF46E6">
            <w:pPr>
              <w:pStyle w:val="Tables"/>
            </w:pPr>
          </w:p>
        </w:tc>
        <w:tc>
          <w:tcPr>
            <w:tcW w:w="1127" w:type="dxa"/>
          </w:tcPr>
          <w:p w14:paraId="4010A6C1" w14:textId="77777777" w:rsidR="00553990" w:rsidRPr="004B15CE" w:rsidRDefault="00553990" w:rsidP="00FF46E6">
            <w:pPr>
              <w:pStyle w:val="Tables"/>
            </w:pPr>
          </w:p>
        </w:tc>
        <w:tc>
          <w:tcPr>
            <w:tcW w:w="1127" w:type="dxa"/>
          </w:tcPr>
          <w:p w14:paraId="59DA18E5" w14:textId="77777777" w:rsidR="00553990" w:rsidRPr="004B15CE" w:rsidRDefault="00553990" w:rsidP="00FF46E6">
            <w:pPr>
              <w:pStyle w:val="Tables"/>
            </w:pPr>
          </w:p>
        </w:tc>
      </w:tr>
    </w:tbl>
    <w:p w14:paraId="05F2B557" w14:textId="77777777" w:rsidR="00FF46E6" w:rsidRDefault="00FF46E6" w:rsidP="00FF46E6">
      <w:pPr>
        <w:spacing w:after="0" w:line="320" w:lineRule="exact"/>
        <w:ind w:left="720"/>
        <w:jc w:val="center"/>
        <w:rPr>
          <w:rFonts w:ascii="Times New Roman" w:hAnsi="Times New Roman" w:cs="Times New Roman"/>
          <w:sz w:val="28"/>
          <w:szCs w:val="28"/>
        </w:rPr>
      </w:pPr>
    </w:p>
    <w:p w14:paraId="7F56958F" w14:textId="2729B432" w:rsidR="001D43EE" w:rsidRDefault="001D43EE" w:rsidP="00FF46E6">
      <w:pPr>
        <w:spacing w:after="0" w:line="320" w:lineRule="exact"/>
        <w:ind w:left="720"/>
        <w:jc w:val="center"/>
        <w:rPr>
          <w:rFonts w:ascii="Times New Roman" w:hAnsi="Times New Roman" w:cs="Times New Roman"/>
          <w:sz w:val="28"/>
          <w:szCs w:val="28"/>
        </w:rPr>
      </w:pPr>
      <w:r w:rsidRPr="004B15CE">
        <w:rPr>
          <w:rFonts w:ascii="Times New Roman" w:hAnsi="Times New Roman" w:cs="Times New Roman"/>
          <w:sz w:val="28"/>
          <w:szCs w:val="28"/>
        </w:rPr>
        <w:t>NOTES</w:t>
      </w:r>
    </w:p>
    <w:p w14:paraId="297B1664" w14:textId="77777777" w:rsidR="00FF46E6" w:rsidRPr="004B15CE" w:rsidRDefault="00FF46E6" w:rsidP="00FF46E6">
      <w:pPr>
        <w:spacing w:after="0" w:line="320" w:lineRule="exact"/>
        <w:ind w:left="720"/>
        <w:jc w:val="center"/>
        <w:rPr>
          <w:rFonts w:ascii="Times New Roman" w:hAnsi="Times New Roman" w:cs="Times New Roman"/>
          <w:sz w:val="28"/>
          <w:szCs w:val="28"/>
        </w:rPr>
      </w:pPr>
    </w:p>
    <w:p w14:paraId="37B494FF" w14:textId="77777777" w:rsidR="001D43EE" w:rsidRPr="004B15CE" w:rsidRDefault="001D43EE" w:rsidP="00FF46E6">
      <w:pPr>
        <w:numPr>
          <w:ilvl w:val="0"/>
          <w:numId w:val="23"/>
        </w:numPr>
        <w:spacing w:after="0" w:line="320" w:lineRule="exact"/>
        <w:jc w:val="both"/>
        <w:rPr>
          <w:rFonts w:ascii="Times New Roman" w:hAnsi="Times New Roman" w:cs="Times New Roman"/>
          <w:sz w:val="28"/>
          <w:szCs w:val="28"/>
        </w:rPr>
      </w:pPr>
      <w:r w:rsidRPr="004B15CE">
        <w:rPr>
          <w:rFonts w:ascii="Times New Roman" w:hAnsi="Times New Roman" w:cs="Times New Roman"/>
          <w:sz w:val="28"/>
          <w:szCs w:val="28"/>
        </w:rPr>
        <w:t>Figures should be given by Major Heads of account.</w:t>
      </w:r>
    </w:p>
    <w:p w14:paraId="6D710C39" w14:textId="77777777" w:rsidR="00FF46E6" w:rsidRDefault="001D43EE" w:rsidP="00FF46E6">
      <w:pPr>
        <w:numPr>
          <w:ilvl w:val="0"/>
          <w:numId w:val="23"/>
        </w:numPr>
        <w:spacing w:after="0" w:line="320" w:lineRule="exact"/>
        <w:jc w:val="both"/>
        <w:rPr>
          <w:rFonts w:ascii="Times New Roman" w:hAnsi="Times New Roman" w:cs="Times New Roman"/>
          <w:sz w:val="28"/>
          <w:szCs w:val="28"/>
        </w:rPr>
      </w:pPr>
      <w:r w:rsidRPr="004B15CE">
        <w:rPr>
          <w:rFonts w:ascii="Times New Roman" w:hAnsi="Times New Roman" w:cs="Times New Roman"/>
          <w:sz w:val="28"/>
          <w:szCs w:val="28"/>
        </w:rPr>
        <w:t>In the section dealing with revenue—</w:t>
      </w:r>
    </w:p>
    <w:p w14:paraId="2241C34E" w14:textId="77777777" w:rsidR="008050D9" w:rsidRDefault="001D43EE" w:rsidP="00FF46E6">
      <w:pPr>
        <w:spacing w:after="0" w:line="320" w:lineRule="exact"/>
        <w:ind w:left="720"/>
        <w:jc w:val="both"/>
        <w:rPr>
          <w:rFonts w:ascii="Times New Roman" w:hAnsi="Times New Roman" w:cs="Times New Roman"/>
          <w:sz w:val="28"/>
          <w:szCs w:val="28"/>
        </w:rPr>
      </w:pPr>
      <w:r w:rsidRPr="004B15CE">
        <w:rPr>
          <w:rFonts w:ascii="Times New Roman" w:hAnsi="Times New Roman" w:cs="Times New Roman"/>
          <w:sz w:val="28"/>
          <w:szCs w:val="28"/>
        </w:rPr>
        <w:t>(a) The State share of income-tax and any grant received under Article 273 or 275 of the Constitution should be shown as nil.</w:t>
      </w:r>
    </w:p>
    <w:p w14:paraId="296EB18D" w14:textId="476C5691" w:rsidR="009B2CEC" w:rsidRPr="00FF46E6" w:rsidRDefault="001D43EE" w:rsidP="00FF46E6">
      <w:pPr>
        <w:spacing w:after="0" w:line="320" w:lineRule="exact"/>
        <w:ind w:left="720"/>
        <w:jc w:val="both"/>
        <w:rPr>
          <w:rFonts w:ascii="Times New Roman" w:hAnsi="Times New Roman" w:cs="Times New Roman"/>
          <w:sz w:val="28"/>
          <w:szCs w:val="28"/>
        </w:rPr>
      </w:pPr>
      <w:r w:rsidRPr="004B15CE">
        <w:rPr>
          <w:rFonts w:ascii="Times New Roman" w:hAnsi="Times New Roman" w:cs="Times New Roman"/>
          <w:sz w:val="28"/>
          <w:szCs w:val="28"/>
        </w:rPr>
        <w:t>(b) Full details should be given of any other grant from the Centre included in the estimate e.g. grant to make good the revenue-gap following federal financial integration, grants for rehabilitation of displaced persons, etc.</w:t>
      </w:r>
      <w:r w:rsidRPr="004B15CE">
        <w:rPr>
          <w:rFonts w:ascii="Times New Roman" w:hAnsi="Times New Roman" w:cs="Times New Roman"/>
          <w:sz w:val="28"/>
          <w:szCs w:val="28"/>
        </w:rPr>
        <w:br/>
        <w:t>(c) Any amount included for expected improvement in revenue or any allowance made for the abandonment of any existing sources of State revenue or the reduction in their yield should be explained in detail in supplementary notes, indicating the amounts involved each year.</w:t>
      </w:r>
    </w:p>
    <w:p w14:paraId="2D851E14" w14:textId="7E8E4DD1" w:rsidR="009B2CEC" w:rsidRPr="004B15CE" w:rsidRDefault="009B2CEC" w:rsidP="00FF46E6">
      <w:pPr>
        <w:numPr>
          <w:ilvl w:val="0"/>
          <w:numId w:val="23"/>
        </w:numPr>
        <w:spacing w:after="0" w:line="320" w:lineRule="exact"/>
        <w:jc w:val="both"/>
        <w:rPr>
          <w:rFonts w:ascii="Times New Roman" w:hAnsi="Times New Roman" w:cs="Times New Roman"/>
          <w:sz w:val="28"/>
          <w:szCs w:val="28"/>
        </w:rPr>
      </w:pPr>
      <w:r w:rsidRPr="004B15CE">
        <w:rPr>
          <w:rFonts w:ascii="Times New Roman" w:hAnsi="Times New Roman" w:cs="Times New Roman"/>
          <w:sz w:val="28"/>
          <w:szCs w:val="28"/>
        </w:rPr>
        <w:t>In the section dealing with expenditure—</w:t>
      </w:r>
    </w:p>
    <w:p w14:paraId="66DFA3FB" w14:textId="77777777" w:rsidR="009B2CEC" w:rsidRPr="004B15CE" w:rsidRDefault="009B2CEC" w:rsidP="00FF46E6">
      <w:pPr>
        <w:spacing w:after="0" w:line="320" w:lineRule="exact"/>
        <w:ind w:left="720"/>
        <w:jc w:val="both"/>
        <w:rPr>
          <w:rFonts w:ascii="Times New Roman" w:hAnsi="Times New Roman" w:cs="Times New Roman"/>
          <w:sz w:val="28"/>
          <w:szCs w:val="28"/>
        </w:rPr>
      </w:pPr>
      <w:r w:rsidRPr="004B15CE">
        <w:rPr>
          <w:rFonts w:ascii="Times New Roman" w:hAnsi="Times New Roman" w:cs="Times New Roman"/>
          <w:sz w:val="28"/>
          <w:szCs w:val="28"/>
        </w:rPr>
        <w:t>    (a) No allowance should be made for fresh expenditure on developmental purposes.</w:t>
      </w:r>
    </w:p>
    <w:p w14:paraId="2CA2BDAF" w14:textId="77777777" w:rsidR="009B2CEC" w:rsidRPr="004B15CE" w:rsidRDefault="009B2CEC" w:rsidP="00FF46E6">
      <w:pPr>
        <w:spacing w:after="0" w:line="320" w:lineRule="exact"/>
        <w:ind w:left="720"/>
        <w:jc w:val="both"/>
        <w:rPr>
          <w:rFonts w:ascii="Times New Roman" w:hAnsi="Times New Roman" w:cs="Times New Roman"/>
          <w:sz w:val="28"/>
          <w:szCs w:val="28"/>
        </w:rPr>
      </w:pPr>
      <w:r w:rsidRPr="004B15CE">
        <w:rPr>
          <w:rFonts w:ascii="Times New Roman" w:hAnsi="Times New Roman" w:cs="Times New Roman"/>
          <w:sz w:val="28"/>
          <w:szCs w:val="28"/>
        </w:rPr>
        <w:t>    (b) If the estimates in any year include any special item of expenditure this should be indicated in explanatory notes.</w:t>
      </w:r>
    </w:p>
    <w:p w14:paraId="7A53B2D2" w14:textId="77777777" w:rsidR="009B2CEC" w:rsidRPr="004B15CE" w:rsidRDefault="009B2CEC" w:rsidP="00FF46E6">
      <w:pPr>
        <w:spacing w:after="0" w:line="320" w:lineRule="exact"/>
        <w:ind w:left="720"/>
        <w:jc w:val="both"/>
        <w:rPr>
          <w:rFonts w:ascii="Times New Roman" w:hAnsi="Times New Roman" w:cs="Times New Roman"/>
          <w:sz w:val="28"/>
          <w:szCs w:val="28"/>
        </w:rPr>
      </w:pPr>
      <w:r w:rsidRPr="004B15CE">
        <w:rPr>
          <w:rFonts w:ascii="Times New Roman" w:hAnsi="Times New Roman" w:cs="Times New Roman"/>
          <w:sz w:val="28"/>
          <w:szCs w:val="28"/>
        </w:rPr>
        <w:lastRenderedPageBreak/>
        <w:t>    (c) The estimates should include provision for the bringing up of the level of administration in the areas forming the merged States. The amounts so included should be indicated in the explanatory notes.</w:t>
      </w:r>
    </w:p>
    <w:p w14:paraId="780010BB" w14:textId="153EDF28" w:rsidR="009B2CEC" w:rsidRPr="004B15CE" w:rsidRDefault="00BF31A3" w:rsidP="00FF46E6">
      <w:pPr>
        <w:numPr>
          <w:ilvl w:val="0"/>
          <w:numId w:val="23"/>
        </w:numPr>
        <w:spacing w:after="0" w:line="320" w:lineRule="exact"/>
        <w:jc w:val="both"/>
        <w:rPr>
          <w:rFonts w:ascii="Times New Roman" w:hAnsi="Times New Roman" w:cs="Times New Roman"/>
          <w:sz w:val="28"/>
          <w:szCs w:val="28"/>
        </w:rPr>
      </w:pPr>
      <w:r w:rsidRPr="004B15CE">
        <w:rPr>
          <w:rFonts w:ascii="Times New Roman" w:hAnsi="Times New Roman" w:cs="Times New Roman"/>
          <w:sz w:val="28"/>
          <w:szCs w:val="28"/>
        </w:rPr>
        <w:t>All-important</w:t>
      </w:r>
      <w:r w:rsidR="009B2CEC" w:rsidRPr="004B15CE">
        <w:rPr>
          <w:rFonts w:ascii="Times New Roman" w:hAnsi="Times New Roman" w:cs="Times New Roman"/>
          <w:sz w:val="28"/>
          <w:szCs w:val="28"/>
        </w:rPr>
        <w:t xml:space="preserve"> variations in revenue or expenditure from year to year should be briefly explained in suitable footnotes.</w:t>
      </w:r>
    </w:p>
    <w:p w14:paraId="7DF69083" w14:textId="77777777" w:rsidR="001D43EE" w:rsidRPr="004B15CE" w:rsidRDefault="001D43EE" w:rsidP="004B15CE">
      <w:pPr>
        <w:spacing w:after="0" w:line="400" w:lineRule="exact"/>
        <w:ind w:left="720"/>
        <w:jc w:val="both"/>
        <w:rPr>
          <w:rFonts w:ascii="Times New Roman" w:hAnsi="Times New Roman" w:cs="Times New Roman"/>
          <w:sz w:val="28"/>
          <w:szCs w:val="28"/>
        </w:rPr>
      </w:pPr>
    </w:p>
    <w:p w14:paraId="18FB8856" w14:textId="4F92911D" w:rsidR="009B2CEC" w:rsidRPr="004B15CE" w:rsidRDefault="009B2CEC" w:rsidP="004B15CE">
      <w:pPr>
        <w:spacing w:after="0" w:line="400" w:lineRule="exact"/>
        <w:jc w:val="both"/>
        <w:rPr>
          <w:rFonts w:ascii="Times New Roman" w:hAnsi="Times New Roman" w:cs="Times New Roman"/>
          <w:sz w:val="28"/>
          <w:szCs w:val="28"/>
        </w:rPr>
      </w:pPr>
      <w:r w:rsidRPr="004B15CE">
        <w:rPr>
          <w:rFonts w:ascii="Times New Roman" w:hAnsi="Times New Roman" w:cs="Times New Roman"/>
          <w:sz w:val="28"/>
          <w:szCs w:val="28"/>
        </w:rPr>
        <w:br w:type="page"/>
      </w:r>
    </w:p>
    <w:p w14:paraId="3D588BBA" w14:textId="0EBB288A" w:rsidR="009B2CEC" w:rsidRPr="003A1F1D" w:rsidRDefault="009B2CEC" w:rsidP="003A1F1D">
      <w:pPr>
        <w:spacing w:after="0" w:line="400" w:lineRule="exact"/>
        <w:jc w:val="both"/>
        <w:rPr>
          <w:rFonts w:ascii="Times New Roman" w:hAnsi="Times New Roman" w:cs="Times New Roman"/>
          <w:i/>
          <w:iCs/>
          <w:sz w:val="28"/>
          <w:szCs w:val="28"/>
        </w:rPr>
      </w:pPr>
      <w:r w:rsidRPr="003A1F1D">
        <w:rPr>
          <w:rFonts w:ascii="Times New Roman" w:hAnsi="Times New Roman" w:cs="Times New Roman"/>
          <w:i/>
          <w:iCs/>
          <w:sz w:val="28"/>
          <w:szCs w:val="28"/>
        </w:rPr>
        <w:lastRenderedPageBreak/>
        <w:t>(2) DO letter No. F.C. 111-51, dated the 14th December 1951, from Shri M. V. Rangachari, Member-Secretary, to the Finance Secretaries of all Part B States except Jammu and Kashmir.</w:t>
      </w:r>
    </w:p>
    <w:p w14:paraId="08F53F62" w14:textId="77777777" w:rsidR="009B2CEC" w:rsidRPr="004B15CE" w:rsidRDefault="009B2CEC" w:rsidP="003A1F1D">
      <w:pPr>
        <w:spacing w:after="0" w:line="400" w:lineRule="exact"/>
        <w:ind w:firstLine="709"/>
        <w:jc w:val="both"/>
        <w:rPr>
          <w:rFonts w:ascii="Times New Roman" w:hAnsi="Times New Roman" w:cs="Times New Roman"/>
          <w:sz w:val="28"/>
          <w:szCs w:val="28"/>
        </w:rPr>
      </w:pPr>
      <w:r w:rsidRPr="004B15CE">
        <w:rPr>
          <w:rFonts w:ascii="Times New Roman" w:hAnsi="Times New Roman" w:cs="Times New Roman"/>
          <w:sz w:val="28"/>
          <w:szCs w:val="28"/>
        </w:rPr>
        <w:t>As you might have seen from the papers the Finance Commission constituted under Article 280 of the Constitution has started its work and I am writing this letter to you on behalf of the Commission in regard to matters affecting the Part B States with which the Commission will have to deal.</w:t>
      </w:r>
    </w:p>
    <w:p w14:paraId="438D39CA" w14:textId="77777777" w:rsidR="009B2CEC" w:rsidRPr="004B15CE" w:rsidRDefault="009B2CEC" w:rsidP="003A1F1D">
      <w:pPr>
        <w:spacing w:after="0" w:line="400" w:lineRule="exact"/>
        <w:ind w:firstLine="709"/>
        <w:jc w:val="both"/>
        <w:rPr>
          <w:rFonts w:ascii="Times New Roman" w:hAnsi="Times New Roman" w:cs="Times New Roman"/>
          <w:sz w:val="28"/>
          <w:szCs w:val="28"/>
        </w:rPr>
      </w:pPr>
      <w:r w:rsidRPr="004B15CE">
        <w:rPr>
          <w:rFonts w:ascii="Times New Roman" w:hAnsi="Times New Roman" w:cs="Times New Roman"/>
          <w:sz w:val="28"/>
          <w:szCs w:val="28"/>
        </w:rPr>
        <w:t>So far as the Part B States are concerned, the Commission will have to make recommendations to the President regarding the share of the divisible taxes allocable to each of the States and also to make recommendations in regard to any request from a State for a general grant-in-aid. As you know, the actual payment of the States' share of any divisible taxes is subject to the terms of the agreement between the State and the Centre under Articles 278 and 306 of the Constitution.</w:t>
      </w:r>
    </w:p>
    <w:p w14:paraId="1BEED426" w14:textId="77777777" w:rsidR="009B2CEC" w:rsidRPr="004B15CE" w:rsidRDefault="009B2CEC" w:rsidP="003A1F1D">
      <w:pPr>
        <w:spacing w:after="0" w:line="400" w:lineRule="exact"/>
        <w:ind w:firstLine="709"/>
        <w:jc w:val="both"/>
        <w:rPr>
          <w:rFonts w:ascii="Times New Roman" w:hAnsi="Times New Roman" w:cs="Times New Roman"/>
          <w:sz w:val="28"/>
          <w:szCs w:val="28"/>
        </w:rPr>
      </w:pPr>
      <w:r w:rsidRPr="004B15CE">
        <w:rPr>
          <w:rFonts w:ascii="Times New Roman" w:hAnsi="Times New Roman" w:cs="Times New Roman"/>
          <w:sz w:val="28"/>
          <w:szCs w:val="28"/>
        </w:rPr>
        <w:t>At present the only divisible tax is income-tax other than tax on agricultural income and Article 270 regulates the distribution of this tax between the Centre and the States. The Commission would like to have any representation which your Government may wish to make in regard to the allocation of this tax between the Centre and the States and also your State's share of the share allocated to the States.</w:t>
      </w:r>
    </w:p>
    <w:p w14:paraId="6B188B6E" w14:textId="77777777" w:rsidR="003A1F1D" w:rsidRDefault="009B2CEC" w:rsidP="003A1F1D">
      <w:pPr>
        <w:spacing w:after="0" w:line="400" w:lineRule="exact"/>
        <w:ind w:firstLine="709"/>
        <w:jc w:val="both"/>
        <w:rPr>
          <w:rFonts w:ascii="Times New Roman" w:hAnsi="Times New Roman" w:cs="Times New Roman"/>
          <w:sz w:val="28"/>
          <w:szCs w:val="28"/>
        </w:rPr>
      </w:pPr>
      <w:r w:rsidRPr="004B15CE">
        <w:rPr>
          <w:rFonts w:ascii="Times New Roman" w:hAnsi="Times New Roman" w:cs="Times New Roman"/>
          <w:sz w:val="28"/>
          <w:szCs w:val="28"/>
        </w:rPr>
        <w:t>If in addition to your share of income-tax your State intends to ask for a general or specific grant a detailed note setting out the reasons for this request may also be sent. This statement should be supported by a forecast of the revenue and expenditure of the State for the next five years. This forecast should be by major heads of accounts and should be prepared on the basis of the existing level of taxation and expenditure. The forecast of expenditure should not provide for any further new expenditure on development. In determining the scale of Central assistance whether by way of a devolution of revenue or a general grant from revenue the Commission would doubtless take into account the needs of the State for development. If the State bases its claim for a grant on its requirements for developmental or other purposes this should be set out in a separate memorandum and the expenditure involved should not be included in the forecast just mentioned. I enclose a form in which this forecast may be prepared and have added a few explanatory foot-notes which may assist in its preparation. If on this or any other point you require further elucidation, will you kindly let me know?</w:t>
      </w:r>
    </w:p>
    <w:p w14:paraId="1C47D8BD" w14:textId="437498D9" w:rsidR="009B2CEC" w:rsidRPr="004B15CE" w:rsidRDefault="009B2CEC" w:rsidP="003A1F1D">
      <w:pPr>
        <w:spacing w:after="0" w:line="400" w:lineRule="exact"/>
        <w:ind w:firstLine="709"/>
        <w:jc w:val="both"/>
        <w:rPr>
          <w:rFonts w:ascii="Times New Roman" w:hAnsi="Times New Roman" w:cs="Times New Roman"/>
          <w:sz w:val="28"/>
          <w:szCs w:val="28"/>
        </w:rPr>
      </w:pPr>
      <w:r w:rsidRPr="004B15CE">
        <w:rPr>
          <w:rFonts w:ascii="Times New Roman" w:hAnsi="Times New Roman" w:cs="Times New Roman"/>
          <w:sz w:val="28"/>
          <w:szCs w:val="28"/>
        </w:rPr>
        <w:lastRenderedPageBreak/>
        <w:t>The Commission will be glad if the case for your State with seven spare copies is sent to reach them by the 1st of February at the latest.</w:t>
      </w:r>
    </w:p>
    <w:p w14:paraId="67F251B6" w14:textId="27A9E98F" w:rsidR="009B2CEC" w:rsidRPr="004B15CE" w:rsidRDefault="009B2CEC" w:rsidP="004B15CE">
      <w:pPr>
        <w:spacing w:after="0" w:line="400" w:lineRule="exact"/>
        <w:jc w:val="both"/>
        <w:rPr>
          <w:rFonts w:ascii="Times New Roman" w:hAnsi="Times New Roman" w:cs="Times New Roman"/>
          <w:sz w:val="28"/>
          <w:szCs w:val="28"/>
        </w:rPr>
      </w:pPr>
    </w:p>
    <w:p w14:paraId="4C7BBA31" w14:textId="77777777" w:rsidR="009B2CEC" w:rsidRPr="004B15CE" w:rsidRDefault="009B2CEC" w:rsidP="003A1F1D">
      <w:pPr>
        <w:spacing w:after="0" w:line="400" w:lineRule="exact"/>
        <w:ind w:left="720"/>
        <w:jc w:val="center"/>
        <w:rPr>
          <w:rFonts w:ascii="Times New Roman" w:hAnsi="Times New Roman" w:cs="Times New Roman"/>
          <w:sz w:val="28"/>
          <w:szCs w:val="28"/>
        </w:rPr>
      </w:pPr>
      <w:r w:rsidRPr="004B15CE">
        <w:rPr>
          <w:rFonts w:ascii="Times New Roman" w:hAnsi="Times New Roman" w:cs="Times New Roman"/>
          <w:sz w:val="28"/>
          <w:szCs w:val="28"/>
        </w:rPr>
        <w:t>Forecast of Revenue and Expenditure</w:t>
      </w:r>
      <w:r w:rsidRPr="004B15CE">
        <w:rPr>
          <w:rFonts w:ascii="Times New Roman" w:hAnsi="Times New Roman" w:cs="Times New Roman"/>
          <w:sz w:val="28"/>
          <w:szCs w:val="28"/>
        </w:rPr>
        <w:br/>
        <w:t>_________________ State.</w:t>
      </w:r>
    </w:p>
    <w:p w14:paraId="2D47E915" w14:textId="4B4C00E1" w:rsidR="00504F6F" w:rsidRPr="00241C00" w:rsidRDefault="00504F6F" w:rsidP="003A1F1D">
      <w:pPr>
        <w:tabs>
          <w:tab w:val="right" w:pos="9332"/>
        </w:tabs>
        <w:spacing w:after="0" w:line="400" w:lineRule="exact"/>
        <w:ind w:left="720"/>
        <w:jc w:val="right"/>
        <w:rPr>
          <w:rFonts w:ascii="Times New Roman" w:hAnsi="Times New Roman" w:cs="Times New Roman"/>
          <w:i/>
          <w:iCs/>
          <w:sz w:val="28"/>
          <w:szCs w:val="28"/>
        </w:rPr>
      </w:pPr>
      <w:r w:rsidRPr="00241C00">
        <w:rPr>
          <w:rFonts w:ascii="Times New Roman" w:hAnsi="Times New Roman" w:cs="Times New Roman"/>
          <w:i/>
          <w:iCs/>
          <w:sz w:val="28"/>
          <w:szCs w:val="28"/>
        </w:rPr>
        <w:t>(In lakhs of rupees)</w:t>
      </w:r>
    </w:p>
    <w:tbl>
      <w:tblPr>
        <w:tblStyle w:val="TableGrid"/>
        <w:tblW w:w="0" w:type="auto"/>
        <w:jc w:val="center"/>
        <w:tblLook w:val="04A0" w:firstRow="1" w:lastRow="0" w:firstColumn="1" w:lastColumn="0" w:noHBand="0" w:noVBand="1"/>
      </w:tblPr>
      <w:tblGrid>
        <w:gridCol w:w="2145"/>
        <w:gridCol w:w="1184"/>
        <w:gridCol w:w="1111"/>
        <w:gridCol w:w="1111"/>
        <w:gridCol w:w="1111"/>
        <w:gridCol w:w="1111"/>
        <w:gridCol w:w="1111"/>
      </w:tblGrid>
      <w:tr w:rsidR="00504F6F" w:rsidRPr="004B15CE" w14:paraId="461079E0" w14:textId="77777777" w:rsidTr="003A1F1D">
        <w:trPr>
          <w:trHeight w:val="20"/>
          <w:jc w:val="center"/>
        </w:trPr>
        <w:tc>
          <w:tcPr>
            <w:tcW w:w="1863" w:type="dxa"/>
            <w:vAlign w:val="center"/>
          </w:tcPr>
          <w:p w14:paraId="3EBDF669" w14:textId="0390B7EB" w:rsidR="00504F6F" w:rsidRPr="00241C00" w:rsidRDefault="00504F6F" w:rsidP="003A1F1D">
            <w:pPr>
              <w:pStyle w:val="Tables"/>
              <w:rPr>
                <w:b/>
                <w:bCs/>
              </w:rPr>
            </w:pPr>
            <w:r w:rsidRPr="00241C00">
              <w:rPr>
                <w:b/>
                <w:bCs/>
              </w:rPr>
              <w:t>Heads</w:t>
            </w:r>
          </w:p>
        </w:tc>
        <w:tc>
          <w:tcPr>
            <w:tcW w:w="1184" w:type="dxa"/>
            <w:vAlign w:val="center"/>
          </w:tcPr>
          <w:p w14:paraId="18A2E381" w14:textId="29F05F92" w:rsidR="00504F6F" w:rsidRPr="00241C00" w:rsidRDefault="00504F6F" w:rsidP="003A1F1D">
            <w:pPr>
              <w:pStyle w:val="Tables"/>
              <w:rPr>
                <w:b/>
                <w:bCs/>
              </w:rPr>
            </w:pPr>
            <w:r w:rsidRPr="00241C00">
              <w:rPr>
                <w:b/>
                <w:bCs/>
              </w:rPr>
              <w:t>1951-52 Budget</w:t>
            </w:r>
          </w:p>
        </w:tc>
        <w:tc>
          <w:tcPr>
            <w:tcW w:w="1111" w:type="dxa"/>
            <w:vAlign w:val="center"/>
          </w:tcPr>
          <w:p w14:paraId="3BFE78AC" w14:textId="7856598C" w:rsidR="00504F6F" w:rsidRPr="00241C00" w:rsidRDefault="00504F6F" w:rsidP="003A1F1D">
            <w:pPr>
              <w:pStyle w:val="Tables"/>
              <w:rPr>
                <w:b/>
                <w:bCs/>
              </w:rPr>
            </w:pPr>
            <w:r w:rsidRPr="00241C00">
              <w:rPr>
                <w:b/>
                <w:bCs/>
              </w:rPr>
              <w:t>1952-53</w:t>
            </w:r>
          </w:p>
        </w:tc>
        <w:tc>
          <w:tcPr>
            <w:tcW w:w="1111" w:type="dxa"/>
            <w:vAlign w:val="center"/>
          </w:tcPr>
          <w:p w14:paraId="2C6829CA" w14:textId="1A41BC13" w:rsidR="00504F6F" w:rsidRPr="00241C00" w:rsidRDefault="00504F6F" w:rsidP="003A1F1D">
            <w:pPr>
              <w:pStyle w:val="Tables"/>
              <w:rPr>
                <w:b/>
                <w:bCs/>
              </w:rPr>
            </w:pPr>
            <w:r w:rsidRPr="00241C00">
              <w:rPr>
                <w:b/>
                <w:bCs/>
              </w:rPr>
              <w:t>1953-54</w:t>
            </w:r>
          </w:p>
        </w:tc>
        <w:tc>
          <w:tcPr>
            <w:tcW w:w="1111" w:type="dxa"/>
            <w:vAlign w:val="center"/>
          </w:tcPr>
          <w:p w14:paraId="3317F2EA" w14:textId="7B67E601" w:rsidR="00504F6F" w:rsidRPr="00241C00" w:rsidRDefault="00504F6F" w:rsidP="003A1F1D">
            <w:pPr>
              <w:pStyle w:val="Tables"/>
              <w:rPr>
                <w:b/>
                <w:bCs/>
              </w:rPr>
            </w:pPr>
            <w:r w:rsidRPr="00241C00">
              <w:rPr>
                <w:b/>
                <w:bCs/>
              </w:rPr>
              <w:t>1954-55</w:t>
            </w:r>
          </w:p>
        </w:tc>
        <w:tc>
          <w:tcPr>
            <w:tcW w:w="1111" w:type="dxa"/>
            <w:vAlign w:val="center"/>
          </w:tcPr>
          <w:p w14:paraId="38CECE41" w14:textId="3438A8DA" w:rsidR="00504F6F" w:rsidRPr="00241C00" w:rsidRDefault="00504F6F" w:rsidP="003A1F1D">
            <w:pPr>
              <w:pStyle w:val="Tables"/>
              <w:rPr>
                <w:b/>
                <w:bCs/>
              </w:rPr>
            </w:pPr>
            <w:r w:rsidRPr="00241C00">
              <w:rPr>
                <w:b/>
                <w:bCs/>
              </w:rPr>
              <w:t>1955-56</w:t>
            </w:r>
          </w:p>
        </w:tc>
        <w:tc>
          <w:tcPr>
            <w:tcW w:w="1111" w:type="dxa"/>
            <w:vAlign w:val="center"/>
          </w:tcPr>
          <w:p w14:paraId="70CB65E2" w14:textId="20FA87B3" w:rsidR="00504F6F" w:rsidRPr="00241C00" w:rsidRDefault="00504F6F" w:rsidP="003A1F1D">
            <w:pPr>
              <w:pStyle w:val="Tables"/>
              <w:rPr>
                <w:b/>
                <w:bCs/>
              </w:rPr>
            </w:pPr>
            <w:r w:rsidRPr="00241C00">
              <w:rPr>
                <w:b/>
                <w:bCs/>
              </w:rPr>
              <w:t>1956-57</w:t>
            </w:r>
          </w:p>
        </w:tc>
      </w:tr>
      <w:tr w:rsidR="00504F6F" w:rsidRPr="004B15CE" w14:paraId="21713277" w14:textId="77777777" w:rsidTr="003A1F1D">
        <w:trPr>
          <w:trHeight w:val="20"/>
          <w:jc w:val="center"/>
        </w:trPr>
        <w:tc>
          <w:tcPr>
            <w:tcW w:w="1863" w:type="dxa"/>
            <w:vAlign w:val="center"/>
          </w:tcPr>
          <w:p w14:paraId="01205A13" w14:textId="6D5CA67C" w:rsidR="00504F6F" w:rsidRPr="004B15CE" w:rsidRDefault="00504F6F" w:rsidP="003A1F1D">
            <w:pPr>
              <w:pStyle w:val="Tables"/>
            </w:pPr>
            <w:r w:rsidRPr="004B15CE">
              <w:t>REVENUE</w:t>
            </w:r>
          </w:p>
        </w:tc>
        <w:tc>
          <w:tcPr>
            <w:tcW w:w="1184" w:type="dxa"/>
            <w:vAlign w:val="center"/>
          </w:tcPr>
          <w:p w14:paraId="512C3A42" w14:textId="77777777" w:rsidR="00504F6F" w:rsidRPr="004B15CE" w:rsidRDefault="00504F6F" w:rsidP="003A1F1D">
            <w:pPr>
              <w:pStyle w:val="Tables"/>
            </w:pPr>
          </w:p>
        </w:tc>
        <w:tc>
          <w:tcPr>
            <w:tcW w:w="1111" w:type="dxa"/>
            <w:vAlign w:val="center"/>
          </w:tcPr>
          <w:p w14:paraId="28C3C807" w14:textId="77777777" w:rsidR="00504F6F" w:rsidRPr="004B15CE" w:rsidRDefault="00504F6F" w:rsidP="003A1F1D">
            <w:pPr>
              <w:pStyle w:val="Tables"/>
            </w:pPr>
          </w:p>
        </w:tc>
        <w:tc>
          <w:tcPr>
            <w:tcW w:w="1111" w:type="dxa"/>
            <w:vAlign w:val="center"/>
          </w:tcPr>
          <w:p w14:paraId="79DD6F82" w14:textId="77777777" w:rsidR="00504F6F" w:rsidRPr="004B15CE" w:rsidRDefault="00504F6F" w:rsidP="003A1F1D">
            <w:pPr>
              <w:pStyle w:val="Tables"/>
            </w:pPr>
          </w:p>
        </w:tc>
        <w:tc>
          <w:tcPr>
            <w:tcW w:w="1111" w:type="dxa"/>
            <w:vAlign w:val="center"/>
          </w:tcPr>
          <w:p w14:paraId="3F0BCC8E" w14:textId="77777777" w:rsidR="00504F6F" w:rsidRPr="004B15CE" w:rsidRDefault="00504F6F" w:rsidP="003A1F1D">
            <w:pPr>
              <w:pStyle w:val="Tables"/>
            </w:pPr>
          </w:p>
        </w:tc>
        <w:tc>
          <w:tcPr>
            <w:tcW w:w="1111" w:type="dxa"/>
            <w:vAlign w:val="center"/>
          </w:tcPr>
          <w:p w14:paraId="42B34704" w14:textId="77777777" w:rsidR="00504F6F" w:rsidRPr="004B15CE" w:rsidRDefault="00504F6F" w:rsidP="003A1F1D">
            <w:pPr>
              <w:pStyle w:val="Tables"/>
            </w:pPr>
          </w:p>
        </w:tc>
        <w:tc>
          <w:tcPr>
            <w:tcW w:w="1111" w:type="dxa"/>
            <w:vAlign w:val="center"/>
          </w:tcPr>
          <w:p w14:paraId="72B83FB7" w14:textId="77777777" w:rsidR="00504F6F" w:rsidRPr="004B15CE" w:rsidRDefault="00504F6F" w:rsidP="003A1F1D">
            <w:pPr>
              <w:pStyle w:val="Tables"/>
            </w:pPr>
          </w:p>
        </w:tc>
      </w:tr>
      <w:tr w:rsidR="00504F6F" w:rsidRPr="004B15CE" w14:paraId="23EA2141" w14:textId="77777777" w:rsidTr="003A1F1D">
        <w:trPr>
          <w:trHeight w:val="20"/>
          <w:jc w:val="center"/>
        </w:trPr>
        <w:tc>
          <w:tcPr>
            <w:tcW w:w="1863" w:type="dxa"/>
            <w:vAlign w:val="center"/>
          </w:tcPr>
          <w:p w14:paraId="0EA9B0C3" w14:textId="04C6F516" w:rsidR="00504F6F" w:rsidRPr="004B15CE" w:rsidRDefault="00504F6F" w:rsidP="003A1F1D">
            <w:pPr>
              <w:pStyle w:val="Tables"/>
            </w:pPr>
            <w:r w:rsidRPr="004B15CE">
              <w:t>........................</w:t>
            </w:r>
          </w:p>
        </w:tc>
        <w:tc>
          <w:tcPr>
            <w:tcW w:w="1184" w:type="dxa"/>
            <w:vAlign w:val="center"/>
          </w:tcPr>
          <w:p w14:paraId="1EEEDECA" w14:textId="77777777" w:rsidR="00504F6F" w:rsidRPr="004B15CE" w:rsidRDefault="00504F6F" w:rsidP="003A1F1D">
            <w:pPr>
              <w:pStyle w:val="Tables"/>
            </w:pPr>
          </w:p>
        </w:tc>
        <w:tc>
          <w:tcPr>
            <w:tcW w:w="1111" w:type="dxa"/>
            <w:vAlign w:val="center"/>
          </w:tcPr>
          <w:p w14:paraId="4CE5BCD4" w14:textId="77777777" w:rsidR="00504F6F" w:rsidRPr="004B15CE" w:rsidRDefault="00504F6F" w:rsidP="003A1F1D">
            <w:pPr>
              <w:pStyle w:val="Tables"/>
            </w:pPr>
          </w:p>
        </w:tc>
        <w:tc>
          <w:tcPr>
            <w:tcW w:w="1111" w:type="dxa"/>
            <w:vAlign w:val="center"/>
          </w:tcPr>
          <w:p w14:paraId="2489FBDE" w14:textId="77777777" w:rsidR="00504F6F" w:rsidRPr="004B15CE" w:rsidRDefault="00504F6F" w:rsidP="003A1F1D">
            <w:pPr>
              <w:pStyle w:val="Tables"/>
            </w:pPr>
          </w:p>
        </w:tc>
        <w:tc>
          <w:tcPr>
            <w:tcW w:w="1111" w:type="dxa"/>
            <w:vAlign w:val="center"/>
          </w:tcPr>
          <w:p w14:paraId="5C9027DF" w14:textId="77777777" w:rsidR="00504F6F" w:rsidRPr="004B15CE" w:rsidRDefault="00504F6F" w:rsidP="003A1F1D">
            <w:pPr>
              <w:pStyle w:val="Tables"/>
            </w:pPr>
          </w:p>
        </w:tc>
        <w:tc>
          <w:tcPr>
            <w:tcW w:w="1111" w:type="dxa"/>
            <w:vAlign w:val="center"/>
          </w:tcPr>
          <w:p w14:paraId="21568701" w14:textId="77777777" w:rsidR="00504F6F" w:rsidRPr="004B15CE" w:rsidRDefault="00504F6F" w:rsidP="003A1F1D">
            <w:pPr>
              <w:pStyle w:val="Tables"/>
            </w:pPr>
          </w:p>
        </w:tc>
        <w:tc>
          <w:tcPr>
            <w:tcW w:w="1111" w:type="dxa"/>
            <w:vAlign w:val="center"/>
          </w:tcPr>
          <w:p w14:paraId="0F8607E9" w14:textId="77777777" w:rsidR="00504F6F" w:rsidRPr="004B15CE" w:rsidRDefault="00504F6F" w:rsidP="003A1F1D">
            <w:pPr>
              <w:pStyle w:val="Tables"/>
            </w:pPr>
          </w:p>
        </w:tc>
      </w:tr>
      <w:tr w:rsidR="00504F6F" w:rsidRPr="004B15CE" w14:paraId="2F9AAFCC" w14:textId="77777777" w:rsidTr="003A1F1D">
        <w:trPr>
          <w:trHeight w:val="20"/>
          <w:jc w:val="center"/>
        </w:trPr>
        <w:tc>
          <w:tcPr>
            <w:tcW w:w="1863" w:type="dxa"/>
            <w:vAlign w:val="center"/>
          </w:tcPr>
          <w:p w14:paraId="680A8983" w14:textId="049359D0" w:rsidR="00504F6F" w:rsidRPr="004B15CE" w:rsidRDefault="00504F6F" w:rsidP="003A1F1D">
            <w:pPr>
              <w:pStyle w:val="Tables"/>
            </w:pPr>
            <w:r w:rsidRPr="004B15CE">
              <w:t>........................</w:t>
            </w:r>
          </w:p>
        </w:tc>
        <w:tc>
          <w:tcPr>
            <w:tcW w:w="1184" w:type="dxa"/>
            <w:vAlign w:val="center"/>
          </w:tcPr>
          <w:p w14:paraId="774A4AB1" w14:textId="77777777" w:rsidR="00504F6F" w:rsidRPr="004B15CE" w:rsidRDefault="00504F6F" w:rsidP="003A1F1D">
            <w:pPr>
              <w:pStyle w:val="Tables"/>
            </w:pPr>
          </w:p>
        </w:tc>
        <w:tc>
          <w:tcPr>
            <w:tcW w:w="1111" w:type="dxa"/>
            <w:vAlign w:val="center"/>
          </w:tcPr>
          <w:p w14:paraId="78205BE9" w14:textId="77777777" w:rsidR="00504F6F" w:rsidRPr="004B15CE" w:rsidRDefault="00504F6F" w:rsidP="003A1F1D">
            <w:pPr>
              <w:pStyle w:val="Tables"/>
            </w:pPr>
          </w:p>
        </w:tc>
        <w:tc>
          <w:tcPr>
            <w:tcW w:w="1111" w:type="dxa"/>
            <w:vAlign w:val="center"/>
          </w:tcPr>
          <w:p w14:paraId="0C730457" w14:textId="77777777" w:rsidR="00504F6F" w:rsidRPr="004B15CE" w:rsidRDefault="00504F6F" w:rsidP="003A1F1D">
            <w:pPr>
              <w:pStyle w:val="Tables"/>
            </w:pPr>
          </w:p>
        </w:tc>
        <w:tc>
          <w:tcPr>
            <w:tcW w:w="1111" w:type="dxa"/>
            <w:vAlign w:val="center"/>
          </w:tcPr>
          <w:p w14:paraId="337A3979" w14:textId="77777777" w:rsidR="00504F6F" w:rsidRPr="004B15CE" w:rsidRDefault="00504F6F" w:rsidP="003A1F1D">
            <w:pPr>
              <w:pStyle w:val="Tables"/>
            </w:pPr>
          </w:p>
        </w:tc>
        <w:tc>
          <w:tcPr>
            <w:tcW w:w="1111" w:type="dxa"/>
            <w:vAlign w:val="center"/>
          </w:tcPr>
          <w:p w14:paraId="72FBB5D0" w14:textId="77777777" w:rsidR="00504F6F" w:rsidRPr="004B15CE" w:rsidRDefault="00504F6F" w:rsidP="003A1F1D">
            <w:pPr>
              <w:pStyle w:val="Tables"/>
            </w:pPr>
          </w:p>
        </w:tc>
        <w:tc>
          <w:tcPr>
            <w:tcW w:w="1111" w:type="dxa"/>
            <w:vAlign w:val="center"/>
          </w:tcPr>
          <w:p w14:paraId="3D7AEB1E" w14:textId="77777777" w:rsidR="00504F6F" w:rsidRPr="004B15CE" w:rsidRDefault="00504F6F" w:rsidP="003A1F1D">
            <w:pPr>
              <w:pStyle w:val="Tables"/>
            </w:pPr>
          </w:p>
        </w:tc>
      </w:tr>
      <w:tr w:rsidR="00504F6F" w:rsidRPr="004B15CE" w14:paraId="16A08397" w14:textId="77777777" w:rsidTr="003A1F1D">
        <w:trPr>
          <w:trHeight w:val="20"/>
          <w:jc w:val="center"/>
        </w:trPr>
        <w:tc>
          <w:tcPr>
            <w:tcW w:w="1863" w:type="dxa"/>
            <w:vAlign w:val="center"/>
          </w:tcPr>
          <w:p w14:paraId="5C56ED0A" w14:textId="13B04EE7" w:rsidR="00504F6F" w:rsidRPr="004B15CE" w:rsidRDefault="00504F6F" w:rsidP="003A1F1D">
            <w:pPr>
              <w:pStyle w:val="Tables"/>
            </w:pPr>
            <w:r w:rsidRPr="004B15CE">
              <w:t>.......................</w:t>
            </w:r>
          </w:p>
        </w:tc>
        <w:tc>
          <w:tcPr>
            <w:tcW w:w="1184" w:type="dxa"/>
            <w:vAlign w:val="center"/>
          </w:tcPr>
          <w:p w14:paraId="0DD080DD" w14:textId="77777777" w:rsidR="00504F6F" w:rsidRPr="004B15CE" w:rsidRDefault="00504F6F" w:rsidP="003A1F1D">
            <w:pPr>
              <w:pStyle w:val="Tables"/>
            </w:pPr>
          </w:p>
        </w:tc>
        <w:tc>
          <w:tcPr>
            <w:tcW w:w="1111" w:type="dxa"/>
            <w:vAlign w:val="center"/>
          </w:tcPr>
          <w:p w14:paraId="12EC44CD" w14:textId="77777777" w:rsidR="00504F6F" w:rsidRPr="004B15CE" w:rsidRDefault="00504F6F" w:rsidP="003A1F1D">
            <w:pPr>
              <w:pStyle w:val="Tables"/>
            </w:pPr>
          </w:p>
        </w:tc>
        <w:tc>
          <w:tcPr>
            <w:tcW w:w="1111" w:type="dxa"/>
            <w:vAlign w:val="center"/>
          </w:tcPr>
          <w:p w14:paraId="0D182DE3" w14:textId="77777777" w:rsidR="00504F6F" w:rsidRPr="004B15CE" w:rsidRDefault="00504F6F" w:rsidP="003A1F1D">
            <w:pPr>
              <w:pStyle w:val="Tables"/>
            </w:pPr>
          </w:p>
        </w:tc>
        <w:tc>
          <w:tcPr>
            <w:tcW w:w="1111" w:type="dxa"/>
            <w:vAlign w:val="center"/>
          </w:tcPr>
          <w:p w14:paraId="73A526E4" w14:textId="77777777" w:rsidR="00504F6F" w:rsidRPr="004B15CE" w:rsidRDefault="00504F6F" w:rsidP="003A1F1D">
            <w:pPr>
              <w:pStyle w:val="Tables"/>
            </w:pPr>
          </w:p>
        </w:tc>
        <w:tc>
          <w:tcPr>
            <w:tcW w:w="1111" w:type="dxa"/>
            <w:vAlign w:val="center"/>
          </w:tcPr>
          <w:p w14:paraId="21D1F955" w14:textId="77777777" w:rsidR="00504F6F" w:rsidRPr="004B15CE" w:rsidRDefault="00504F6F" w:rsidP="003A1F1D">
            <w:pPr>
              <w:pStyle w:val="Tables"/>
            </w:pPr>
          </w:p>
        </w:tc>
        <w:tc>
          <w:tcPr>
            <w:tcW w:w="1111" w:type="dxa"/>
            <w:vAlign w:val="center"/>
          </w:tcPr>
          <w:p w14:paraId="0F56F924" w14:textId="77777777" w:rsidR="00504F6F" w:rsidRPr="004B15CE" w:rsidRDefault="00504F6F" w:rsidP="003A1F1D">
            <w:pPr>
              <w:pStyle w:val="Tables"/>
            </w:pPr>
          </w:p>
        </w:tc>
      </w:tr>
      <w:tr w:rsidR="00504F6F" w:rsidRPr="004B15CE" w14:paraId="608E379E" w14:textId="77777777" w:rsidTr="003A1F1D">
        <w:trPr>
          <w:trHeight w:val="20"/>
          <w:jc w:val="center"/>
        </w:trPr>
        <w:tc>
          <w:tcPr>
            <w:tcW w:w="1863" w:type="dxa"/>
            <w:vAlign w:val="center"/>
          </w:tcPr>
          <w:p w14:paraId="26E50376" w14:textId="15E09CAA" w:rsidR="00504F6F" w:rsidRPr="004B15CE" w:rsidRDefault="00504F6F" w:rsidP="003A1F1D">
            <w:pPr>
              <w:pStyle w:val="Tables"/>
            </w:pPr>
            <w:r w:rsidRPr="004B15CE">
              <w:t>........................</w:t>
            </w:r>
          </w:p>
        </w:tc>
        <w:tc>
          <w:tcPr>
            <w:tcW w:w="1184" w:type="dxa"/>
            <w:vAlign w:val="center"/>
          </w:tcPr>
          <w:p w14:paraId="3AC283E9" w14:textId="77777777" w:rsidR="00504F6F" w:rsidRPr="004B15CE" w:rsidRDefault="00504F6F" w:rsidP="003A1F1D">
            <w:pPr>
              <w:pStyle w:val="Tables"/>
            </w:pPr>
          </w:p>
        </w:tc>
        <w:tc>
          <w:tcPr>
            <w:tcW w:w="1111" w:type="dxa"/>
            <w:vAlign w:val="center"/>
          </w:tcPr>
          <w:p w14:paraId="534B4468" w14:textId="77777777" w:rsidR="00504F6F" w:rsidRPr="004B15CE" w:rsidRDefault="00504F6F" w:rsidP="003A1F1D">
            <w:pPr>
              <w:pStyle w:val="Tables"/>
            </w:pPr>
          </w:p>
        </w:tc>
        <w:tc>
          <w:tcPr>
            <w:tcW w:w="1111" w:type="dxa"/>
            <w:vAlign w:val="center"/>
          </w:tcPr>
          <w:p w14:paraId="098C1D8E" w14:textId="77777777" w:rsidR="00504F6F" w:rsidRPr="004B15CE" w:rsidRDefault="00504F6F" w:rsidP="003A1F1D">
            <w:pPr>
              <w:pStyle w:val="Tables"/>
            </w:pPr>
          </w:p>
        </w:tc>
        <w:tc>
          <w:tcPr>
            <w:tcW w:w="1111" w:type="dxa"/>
            <w:vAlign w:val="center"/>
          </w:tcPr>
          <w:p w14:paraId="5F5686E8" w14:textId="77777777" w:rsidR="00504F6F" w:rsidRPr="004B15CE" w:rsidRDefault="00504F6F" w:rsidP="003A1F1D">
            <w:pPr>
              <w:pStyle w:val="Tables"/>
            </w:pPr>
          </w:p>
        </w:tc>
        <w:tc>
          <w:tcPr>
            <w:tcW w:w="1111" w:type="dxa"/>
            <w:vAlign w:val="center"/>
          </w:tcPr>
          <w:p w14:paraId="15826693" w14:textId="77777777" w:rsidR="00504F6F" w:rsidRPr="004B15CE" w:rsidRDefault="00504F6F" w:rsidP="003A1F1D">
            <w:pPr>
              <w:pStyle w:val="Tables"/>
            </w:pPr>
          </w:p>
        </w:tc>
        <w:tc>
          <w:tcPr>
            <w:tcW w:w="1111" w:type="dxa"/>
            <w:vAlign w:val="center"/>
          </w:tcPr>
          <w:p w14:paraId="46A5C548" w14:textId="77777777" w:rsidR="00504F6F" w:rsidRPr="004B15CE" w:rsidRDefault="00504F6F" w:rsidP="003A1F1D">
            <w:pPr>
              <w:pStyle w:val="Tables"/>
            </w:pPr>
          </w:p>
        </w:tc>
      </w:tr>
      <w:tr w:rsidR="00504F6F" w:rsidRPr="004B15CE" w14:paraId="5B01F350" w14:textId="77777777" w:rsidTr="003A1F1D">
        <w:trPr>
          <w:trHeight w:val="20"/>
          <w:jc w:val="center"/>
        </w:trPr>
        <w:tc>
          <w:tcPr>
            <w:tcW w:w="1863" w:type="dxa"/>
            <w:vAlign w:val="center"/>
          </w:tcPr>
          <w:p w14:paraId="479FDD67" w14:textId="4FC08EAA" w:rsidR="00504F6F" w:rsidRPr="004B15CE" w:rsidRDefault="00504F6F" w:rsidP="003A1F1D">
            <w:pPr>
              <w:pStyle w:val="Tables"/>
            </w:pPr>
            <w:r w:rsidRPr="004B15CE">
              <w:t>TOTAL REVENUE</w:t>
            </w:r>
          </w:p>
        </w:tc>
        <w:tc>
          <w:tcPr>
            <w:tcW w:w="1184" w:type="dxa"/>
            <w:vAlign w:val="center"/>
          </w:tcPr>
          <w:p w14:paraId="5AFD9374" w14:textId="77777777" w:rsidR="00504F6F" w:rsidRPr="004B15CE" w:rsidRDefault="00504F6F" w:rsidP="003A1F1D">
            <w:pPr>
              <w:pStyle w:val="Tables"/>
            </w:pPr>
          </w:p>
        </w:tc>
        <w:tc>
          <w:tcPr>
            <w:tcW w:w="1111" w:type="dxa"/>
            <w:vAlign w:val="center"/>
          </w:tcPr>
          <w:p w14:paraId="4D0EBD94" w14:textId="77777777" w:rsidR="00504F6F" w:rsidRPr="004B15CE" w:rsidRDefault="00504F6F" w:rsidP="003A1F1D">
            <w:pPr>
              <w:pStyle w:val="Tables"/>
            </w:pPr>
          </w:p>
        </w:tc>
        <w:tc>
          <w:tcPr>
            <w:tcW w:w="1111" w:type="dxa"/>
            <w:vAlign w:val="center"/>
          </w:tcPr>
          <w:p w14:paraId="498BBAF2" w14:textId="77777777" w:rsidR="00504F6F" w:rsidRPr="004B15CE" w:rsidRDefault="00504F6F" w:rsidP="003A1F1D">
            <w:pPr>
              <w:pStyle w:val="Tables"/>
            </w:pPr>
          </w:p>
        </w:tc>
        <w:tc>
          <w:tcPr>
            <w:tcW w:w="1111" w:type="dxa"/>
            <w:vAlign w:val="center"/>
          </w:tcPr>
          <w:p w14:paraId="108FAA23" w14:textId="77777777" w:rsidR="00504F6F" w:rsidRPr="004B15CE" w:rsidRDefault="00504F6F" w:rsidP="003A1F1D">
            <w:pPr>
              <w:pStyle w:val="Tables"/>
            </w:pPr>
          </w:p>
        </w:tc>
        <w:tc>
          <w:tcPr>
            <w:tcW w:w="1111" w:type="dxa"/>
            <w:vAlign w:val="center"/>
          </w:tcPr>
          <w:p w14:paraId="727EBA7B" w14:textId="77777777" w:rsidR="00504F6F" w:rsidRPr="004B15CE" w:rsidRDefault="00504F6F" w:rsidP="003A1F1D">
            <w:pPr>
              <w:pStyle w:val="Tables"/>
            </w:pPr>
          </w:p>
        </w:tc>
        <w:tc>
          <w:tcPr>
            <w:tcW w:w="1111" w:type="dxa"/>
            <w:vAlign w:val="center"/>
          </w:tcPr>
          <w:p w14:paraId="02C5029D" w14:textId="77777777" w:rsidR="00504F6F" w:rsidRPr="004B15CE" w:rsidRDefault="00504F6F" w:rsidP="003A1F1D">
            <w:pPr>
              <w:pStyle w:val="Tables"/>
            </w:pPr>
          </w:p>
        </w:tc>
      </w:tr>
      <w:tr w:rsidR="00504F6F" w:rsidRPr="004B15CE" w14:paraId="4DC33A40" w14:textId="77777777" w:rsidTr="003A1F1D">
        <w:trPr>
          <w:trHeight w:val="20"/>
          <w:jc w:val="center"/>
        </w:trPr>
        <w:tc>
          <w:tcPr>
            <w:tcW w:w="1863" w:type="dxa"/>
            <w:vAlign w:val="center"/>
          </w:tcPr>
          <w:p w14:paraId="43332577" w14:textId="348E0920" w:rsidR="00504F6F" w:rsidRPr="004B15CE" w:rsidRDefault="00504F6F" w:rsidP="003A1F1D">
            <w:pPr>
              <w:pStyle w:val="Tables"/>
            </w:pPr>
            <w:r w:rsidRPr="004B15CE">
              <w:t>EXPENDITURE MET</w:t>
            </w:r>
          </w:p>
        </w:tc>
        <w:tc>
          <w:tcPr>
            <w:tcW w:w="1184" w:type="dxa"/>
            <w:vAlign w:val="center"/>
          </w:tcPr>
          <w:p w14:paraId="1C31186E" w14:textId="77777777" w:rsidR="00504F6F" w:rsidRPr="004B15CE" w:rsidRDefault="00504F6F" w:rsidP="003A1F1D">
            <w:pPr>
              <w:pStyle w:val="Tables"/>
            </w:pPr>
          </w:p>
        </w:tc>
        <w:tc>
          <w:tcPr>
            <w:tcW w:w="1111" w:type="dxa"/>
            <w:vAlign w:val="center"/>
          </w:tcPr>
          <w:p w14:paraId="2282F167" w14:textId="77777777" w:rsidR="00504F6F" w:rsidRPr="004B15CE" w:rsidRDefault="00504F6F" w:rsidP="003A1F1D">
            <w:pPr>
              <w:pStyle w:val="Tables"/>
            </w:pPr>
          </w:p>
        </w:tc>
        <w:tc>
          <w:tcPr>
            <w:tcW w:w="1111" w:type="dxa"/>
            <w:vAlign w:val="center"/>
          </w:tcPr>
          <w:p w14:paraId="1473D429" w14:textId="77777777" w:rsidR="00504F6F" w:rsidRPr="004B15CE" w:rsidRDefault="00504F6F" w:rsidP="003A1F1D">
            <w:pPr>
              <w:pStyle w:val="Tables"/>
            </w:pPr>
          </w:p>
        </w:tc>
        <w:tc>
          <w:tcPr>
            <w:tcW w:w="1111" w:type="dxa"/>
            <w:vAlign w:val="center"/>
          </w:tcPr>
          <w:p w14:paraId="3A9EF745" w14:textId="77777777" w:rsidR="00504F6F" w:rsidRPr="004B15CE" w:rsidRDefault="00504F6F" w:rsidP="003A1F1D">
            <w:pPr>
              <w:pStyle w:val="Tables"/>
            </w:pPr>
          </w:p>
        </w:tc>
        <w:tc>
          <w:tcPr>
            <w:tcW w:w="1111" w:type="dxa"/>
            <w:vAlign w:val="center"/>
          </w:tcPr>
          <w:p w14:paraId="7F80EBC1" w14:textId="77777777" w:rsidR="00504F6F" w:rsidRPr="004B15CE" w:rsidRDefault="00504F6F" w:rsidP="003A1F1D">
            <w:pPr>
              <w:pStyle w:val="Tables"/>
            </w:pPr>
          </w:p>
        </w:tc>
        <w:tc>
          <w:tcPr>
            <w:tcW w:w="1111" w:type="dxa"/>
            <w:vAlign w:val="center"/>
          </w:tcPr>
          <w:p w14:paraId="0FE13537" w14:textId="77777777" w:rsidR="00504F6F" w:rsidRPr="004B15CE" w:rsidRDefault="00504F6F" w:rsidP="003A1F1D">
            <w:pPr>
              <w:pStyle w:val="Tables"/>
            </w:pPr>
          </w:p>
        </w:tc>
      </w:tr>
      <w:tr w:rsidR="00504F6F" w:rsidRPr="004B15CE" w14:paraId="4BFD3CFE" w14:textId="77777777" w:rsidTr="003A1F1D">
        <w:trPr>
          <w:trHeight w:val="20"/>
          <w:jc w:val="center"/>
        </w:trPr>
        <w:tc>
          <w:tcPr>
            <w:tcW w:w="1863" w:type="dxa"/>
            <w:vAlign w:val="center"/>
          </w:tcPr>
          <w:p w14:paraId="00D6FC14" w14:textId="51A2C0B0" w:rsidR="00504F6F" w:rsidRPr="004B15CE" w:rsidRDefault="00504F6F" w:rsidP="003A1F1D">
            <w:pPr>
              <w:pStyle w:val="Tables"/>
            </w:pPr>
            <w:r w:rsidRPr="004B15CE">
              <w:t>FROM REVENUE</w:t>
            </w:r>
          </w:p>
        </w:tc>
        <w:tc>
          <w:tcPr>
            <w:tcW w:w="1184" w:type="dxa"/>
            <w:vAlign w:val="center"/>
          </w:tcPr>
          <w:p w14:paraId="529147E2" w14:textId="77777777" w:rsidR="00504F6F" w:rsidRPr="004B15CE" w:rsidRDefault="00504F6F" w:rsidP="003A1F1D">
            <w:pPr>
              <w:pStyle w:val="Tables"/>
            </w:pPr>
          </w:p>
        </w:tc>
        <w:tc>
          <w:tcPr>
            <w:tcW w:w="1111" w:type="dxa"/>
            <w:vAlign w:val="center"/>
          </w:tcPr>
          <w:p w14:paraId="2A7F80EC" w14:textId="77777777" w:rsidR="00504F6F" w:rsidRPr="004B15CE" w:rsidRDefault="00504F6F" w:rsidP="003A1F1D">
            <w:pPr>
              <w:pStyle w:val="Tables"/>
            </w:pPr>
          </w:p>
        </w:tc>
        <w:tc>
          <w:tcPr>
            <w:tcW w:w="1111" w:type="dxa"/>
            <w:vAlign w:val="center"/>
          </w:tcPr>
          <w:p w14:paraId="7881982D" w14:textId="77777777" w:rsidR="00504F6F" w:rsidRPr="004B15CE" w:rsidRDefault="00504F6F" w:rsidP="003A1F1D">
            <w:pPr>
              <w:pStyle w:val="Tables"/>
            </w:pPr>
          </w:p>
        </w:tc>
        <w:tc>
          <w:tcPr>
            <w:tcW w:w="1111" w:type="dxa"/>
            <w:vAlign w:val="center"/>
          </w:tcPr>
          <w:p w14:paraId="1EB7EA44" w14:textId="77777777" w:rsidR="00504F6F" w:rsidRPr="004B15CE" w:rsidRDefault="00504F6F" w:rsidP="003A1F1D">
            <w:pPr>
              <w:pStyle w:val="Tables"/>
            </w:pPr>
          </w:p>
        </w:tc>
        <w:tc>
          <w:tcPr>
            <w:tcW w:w="1111" w:type="dxa"/>
            <w:vAlign w:val="center"/>
          </w:tcPr>
          <w:p w14:paraId="10A2E62F" w14:textId="77777777" w:rsidR="00504F6F" w:rsidRPr="004B15CE" w:rsidRDefault="00504F6F" w:rsidP="003A1F1D">
            <w:pPr>
              <w:pStyle w:val="Tables"/>
            </w:pPr>
          </w:p>
        </w:tc>
        <w:tc>
          <w:tcPr>
            <w:tcW w:w="1111" w:type="dxa"/>
            <w:vAlign w:val="center"/>
          </w:tcPr>
          <w:p w14:paraId="54654462" w14:textId="77777777" w:rsidR="00504F6F" w:rsidRPr="004B15CE" w:rsidRDefault="00504F6F" w:rsidP="003A1F1D">
            <w:pPr>
              <w:pStyle w:val="Tables"/>
            </w:pPr>
          </w:p>
        </w:tc>
      </w:tr>
      <w:tr w:rsidR="00504F6F" w:rsidRPr="004B15CE" w14:paraId="19630E56" w14:textId="77777777" w:rsidTr="003A1F1D">
        <w:trPr>
          <w:trHeight w:val="20"/>
          <w:jc w:val="center"/>
        </w:trPr>
        <w:tc>
          <w:tcPr>
            <w:tcW w:w="1863" w:type="dxa"/>
            <w:vAlign w:val="center"/>
          </w:tcPr>
          <w:p w14:paraId="6A85EC4F" w14:textId="191748C7" w:rsidR="00504F6F" w:rsidRPr="004B15CE" w:rsidRDefault="00504F6F" w:rsidP="003A1F1D">
            <w:pPr>
              <w:pStyle w:val="Tables"/>
            </w:pPr>
            <w:r w:rsidRPr="004B15CE">
              <w:t>........................</w:t>
            </w:r>
          </w:p>
        </w:tc>
        <w:tc>
          <w:tcPr>
            <w:tcW w:w="1184" w:type="dxa"/>
            <w:vAlign w:val="center"/>
          </w:tcPr>
          <w:p w14:paraId="2EC791B4" w14:textId="77777777" w:rsidR="00504F6F" w:rsidRPr="004B15CE" w:rsidRDefault="00504F6F" w:rsidP="003A1F1D">
            <w:pPr>
              <w:pStyle w:val="Tables"/>
            </w:pPr>
          </w:p>
        </w:tc>
        <w:tc>
          <w:tcPr>
            <w:tcW w:w="1111" w:type="dxa"/>
            <w:vAlign w:val="center"/>
          </w:tcPr>
          <w:p w14:paraId="392D7BA9" w14:textId="77777777" w:rsidR="00504F6F" w:rsidRPr="004B15CE" w:rsidRDefault="00504F6F" w:rsidP="003A1F1D">
            <w:pPr>
              <w:pStyle w:val="Tables"/>
            </w:pPr>
          </w:p>
        </w:tc>
        <w:tc>
          <w:tcPr>
            <w:tcW w:w="1111" w:type="dxa"/>
            <w:vAlign w:val="center"/>
          </w:tcPr>
          <w:p w14:paraId="20EDD0FF" w14:textId="77777777" w:rsidR="00504F6F" w:rsidRPr="004B15CE" w:rsidRDefault="00504F6F" w:rsidP="003A1F1D">
            <w:pPr>
              <w:pStyle w:val="Tables"/>
            </w:pPr>
          </w:p>
        </w:tc>
        <w:tc>
          <w:tcPr>
            <w:tcW w:w="1111" w:type="dxa"/>
            <w:vAlign w:val="center"/>
          </w:tcPr>
          <w:p w14:paraId="5E778EDE" w14:textId="77777777" w:rsidR="00504F6F" w:rsidRPr="004B15CE" w:rsidRDefault="00504F6F" w:rsidP="003A1F1D">
            <w:pPr>
              <w:pStyle w:val="Tables"/>
            </w:pPr>
          </w:p>
        </w:tc>
        <w:tc>
          <w:tcPr>
            <w:tcW w:w="1111" w:type="dxa"/>
            <w:vAlign w:val="center"/>
          </w:tcPr>
          <w:p w14:paraId="2BB0B863" w14:textId="77777777" w:rsidR="00504F6F" w:rsidRPr="004B15CE" w:rsidRDefault="00504F6F" w:rsidP="003A1F1D">
            <w:pPr>
              <w:pStyle w:val="Tables"/>
            </w:pPr>
          </w:p>
        </w:tc>
        <w:tc>
          <w:tcPr>
            <w:tcW w:w="1111" w:type="dxa"/>
            <w:vAlign w:val="center"/>
          </w:tcPr>
          <w:p w14:paraId="359E6A5C" w14:textId="77777777" w:rsidR="00504F6F" w:rsidRPr="004B15CE" w:rsidRDefault="00504F6F" w:rsidP="003A1F1D">
            <w:pPr>
              <w:pStyle w:val="Tables"/>
            </w:pPr>
          </w:p>
        </w:tc>
      </w:tr>
      <w:tr w:rsidR="00504F6F" w:rsidRPr="004B15CE" w14:paraId="76CE73FE" w14:textId="77777777" w:rsidTr="003A1F1D">
        <w:trPr>
          <w:trHeight w:val="20"/>
          <w:jc w:val="center"/>
        </w:trPr>
        <w:tc>
          <w:tcPr>
            <w:tcW w:w="1863" w:type="dxa"/>
            <w:vAlign w:val="center"/>
          </w:tcPr>
          <w:p w14:paraId="7F18ED4B" w14:textId="15973E80" w:rsidR="00504F6F" w:rsidRPr="004B15CE" w:rsidRDefault="00504F6F" w:rsidP="003A1F1D">
            <w:pPr>
              <w:pStyle w:val="Tables"/>
            </w:pPr>
            <w:r w:rsidRPr="004B15CE">
              <w:t>........................</w:t>
            </w:r>
          </w:p>
        </w:tc>
        <w:tc>
          <w:tcPr>
            <w:tcW w:w="1184" w:type="dxa"/>
            <w:vAlign w:val="center"/>
          </w:tcPr>
          <w:p w14:paraId="7A544ECD" w14:textId="77777777" w:rsidR="00504F6F" w:rsidRPr="004B15CE" w:rsidRDefault="00504F6F" w:rsidP="003A1F1D">
            <w:pPr>
              <w:pStyle w:val="Tables"/>
            </w:pPr>
          </w:p>
        </w:tc>
        <w:tc>
          <w:tcPr>
            <w:tcW w:w="1111" w:type="dxa"/>
            <w:vAlign w:val="center"/>
          </w:tcPr>
          <w:p w14:paraId="0F6018B8" w14:textId="77777777" w:rsidR="00504F6F" w:rsidRPr="004B15CE" w:rsidRDefault="00504F6F" w:rsidP="003A1F1D">
            <w:pPr>
              <w:pStyle w:val="Tables"/>
            </w:pPr>
          </w:p>
        </w:tc>
        <w:tc>
          <w:tcPr>
            <w:tcW w:w="1111" w:type="dxa"/>
            <w:vAlign w:val="center"/>
          </w:tcPr>
          <w:p w14:paraId="74A10343" w14:textId="77777777" w:rsidR="00504F6F" w:rsidRPr="004B15CE" w:rsidRDefault="00504F6F" w:rsidP="003A1F1D">
            <w:pPr>
              <w:pStyle w:val="Tables"/>
            </w:pPr>
          </w:p>
        </w:tc>
        <w:tc>
          <w:tcPr>
            <w:tcW w:w="1111" w:type="dxa"/>
            <w:vAlign w:val="center"/>
          </w:tcPr>
          <w:p w14:paraId="600718EC" w14:textId="77777777" w:rsidR="00504F6F" w:rsidRPr="004B15CE" w:rsidRDefault="00504F6F" w:rsidP="003A1F1D">
            <w:pPr>
              <w:pStyle w:val="Tables"/>
            </w:pPr>
          </w:p>
        </w:tc>
        <w:tc>
          <w:tcPr>
            <w:tcW w:w="1111" w:type="dxa"/>
            <w:vAlign w:val="center"/>
          </w:tcPr>
          <w:p w14:paraId="0B54120B" w14:textId="77777777" w:rsidR="00504F6F" w:rsidRPr="004B15CE" w:rsidRDefault="00504F6F" w:rsidP="003A1F1D">
            <w:pPr>
              <w:pStyle w:val="Tables"/>
            </w:pPr>
          </w:p>
        </w:tc>
        <w:tc>
          <w:tcPr>
            <w:tcW w:w="1111" w:type="dxa"/>
            <w:vAlign w:val="center"/>
          </w:tcPr>
          <w:p w14:paraId="3344F096" w14:textId="77777777" w:rsidR="00504F6F" w:rsidRPr="004B15CE" w:rsidRDefault="00504F6F" w:rsidP="003A1F1D">
            <w:pPr>
              <w:pStyle w:val="Tables"/>
            </w:pPr>
          </w:p>
        </w:tc>
      </w:tr>
      <w:tr w:rsidR="00504F6F" w:rsidRPr="004B15CE" w14:paraId="6F50A64D" w14:textId="77777777" w:rsidTr="003A1F1D">
        <w:trPr>
          <w:trHeight w:val="20"/>
          <w:jc w:val="center"/>
        </w:trPr>
        <w:tc>
          <w:tcPr>
            <w:tcW w:w="1863" w:type="dxa"/>
            <w:vAlign w:val="center"/>
          </w:tcPr>
          <w:p w14:paraId="730505F4" w14:textId="08BE3144" w:rsidR="00504F6F" w:rsidRPr="004B15CE" w:rsidRDefault="00504F6F" w:rsidP="003A1F1D">
            <w:pPr>
              <w:pStyle w:val="Tables"/>
            </w:pPr>
            <w:r w:rsidRPr="004B15CE">
              <w:t>........................</w:t>
            </w:r>
          </w:p>
        </w:tc>
        <w:tc>
          <w:tcPr>
            <w:tcW w:w="1184" w:type="dxa"/>
            <w:vAlign w:val="center"/>
          </w:tcPr>
          <w:p w14:paraId="22C24A8B" w14:textId="77777777" w:rsidR="00504F6F" w:rsidRPr="004B15CE" w:rsidRDefault="00504F6F" w:rsidP="003A1F1D">
            <w:pPr>
              <w:pStyle w:val="Tables"/>
            </w:pPr>
          </w:p>
        </w:tc>
        <w:tc>
          <w:tcPr>
            <w:tcW w:w="1111" w:type="dxa"/>
            <w:vAlign w:val="center"/>
          </w:tcPr>
          <w:p w14:paraId="12B2755D" w14:textId="77777777" w:rsidR="00504F6F" w:rsidRPr="004B15CE" w:rsidRDefault="00504F6F" w:rsidP="003A1F1D">
            <w:pPr>
              <w:pStyle w:val="Tables"/>
            </w:pPr>
          </w:p>
        </w:tc>
        <w:tc>
          <w:tcPr>
            <w:tcW w:w="1111" w:type="dxa"/>
            <w:vAlign w:val="center"/>
          </w:tcPr>
          <w:p w14:paraId="634D3378" w14:textId="77777777" w:rsidR="00504F6F" w:rsidRPr="004B15CE" w:rsidRDefault="00504F6F" w:rsidP="003A1F1D">
            <w:pPr>
              <w:pStyle w:val="Tables"/>
            </w:pPr>
          </w:p>
        </w:tc>
        <w:tc>
          <w:tcPr>
            <w:tcW w:w="1111" w:type="dxa"/>
            <w:vAlign w:val="center"/>
          </w:tcPr>
          <w:p w14:paraId="23BC75C3" w14:textId="77777777" w:rsidR="00504F6F" w:rsidRPr="004B15CE" w:rsidRDefault="00504F6F" w:rsidP="003A1F1D">
            <w:pPr>
              <w:pStyle w:val="Tables"/>
            </w:pPr>
          </w:p>
        </w:tc>
        <w:tc>
          <w:tcPr>
            <w:tcW w:w="1111" w:type="dxa"/>
            <w:vAlign w:val="center"/>
          </w:tcPr>
          <w:p w14:paraId="0FFE744A" w14:textId="77777777" w:rsidR="00504F6F" w:rsidRPr="004B15CE" w:rsidRDefault="00504F6F" w:rsidP="003A1F1D">
            <w:pPr>
              <w:pStyle w:val="Tables"/>
            </w:pPr>
          </w:p>
        </w:tc>
        <w:tc>
          <w:tcPr>
            <w:tcW w:w="1111" w:type="dxa"/>
            <w:vAlign w:val="center"/>
          </w:tcPr>
          <w:p w14:paraId="2FBFE212" w14:textId="77777777" w:rsidR="00504F6F" w:rsidRPr="004B15CE" w:rsidRDefault="00504F6F" w:rsidP="003A1F1D">
            <w:pPr>
              <w:pStyle w:val="Tables"/>
            </w:pPr>
          </w:p>
        </w:tc>
      </w:tr>
      <w:tr w:rsidR="00504F6F" w:rsidRPr="004B15CE" w14:paraId="739CF4BA" w14:textId="77777777" w:rsidTr="003A1F1D">
        <w:trPr>
          <w:trHeight w:val="20"/>
          <w:jc w:val="center"/>
        </w:trPr>
        <w:tc>
          <w:tcPr>
            <w:tcW w:w="1863" w:type="dxa"/>
            <w:vAlign w:val="center"/>
          </w:tcPr>
          <w:p w14:paraId="5222ED91" w14:textId="0BDE045D" w:rsidR="00504F6F" w:rsidRPr="004B15CE" w:rsidRDefault="00504F6F" w:rsidP="003A1F1D">
            <w:pPr>
              <w:pStyle w:val="Tables"/>
            </w:pPr>
            <w:r w:rsidRPr="004B15CE">
              <w:t>........................</w:t>
            </w:r>
          </w:p>
        </w:tc>
        <w:tc>
          <w:tcPr>
            <w:tcW w:w="1184" w:type="dxa"/>
            <w:vAlign w:val="center"/>
          </w:tcPr>
          <w:p w14:paraId="2100AAE5" w14:textId="77777777" w:rsidR="00504F6F" w:rsidRPr="004B15CE" w:rsidRDefault="00504F6F" w:rsidP="003A1F1D">
            <w:pPr>
              <w:pStyle w:val="Tables"/>
            </w:pPr>
          </w:p>
        </w:tc>
        <w:tc>
          <w:tcPr>
            <w:tcW w:w="1111" w:type="dxa"/>
            <w:vAlign w:val="center"/>
          </w:tcPr>
          <w:p w14:paraId="31A8D727" w14:textId="77777777" w:rsidR="00504F6F" w:rsidRPr="004B15CE" w:rsidRDefault="00504F6F" w:rsidP="003A1F1D">
            <w:pPr>
              <w:pStyle w:val="Tables"/>
            </w:pPr>
          </w:p>
        </w:tc>
        <w:tc>
          <w:tcPr>
            <w:tcW w:w="1111" w:type="dxa"/>
            <w:vAlign w:val="center"/>
          </w:tcPr>
          <w:p w14:paraId="3552C358" w14:textId="77777777" w:rsidR="00504F6F" w:rsidRPr="004B15CE" w:rsidRDefault="00504F6F" w:rsidP="003A1F1D">
            <w:pPr>
              <w:pStyle w:val="Tables"/>
            </w:pPr>
          </w:p>
        </w:tc>
        <w:tc>
          <w:tcPr>
            <w:tcW w:w="1111" w:type="dxa"/>
            <w:vAlign w:val="center"/>
          </w:tcPr>
          <w:p w14:paraId="431CC815" w14:textId="77777777" w:rsidR="00504F6F" w:rsidRPr="004B15CE" w:rsidRDefault="00504F6F" w:rsidP="003A1F1D">
            <w:pPr>
              <w:pStyle w:val="Tables"/>
            </w:pPr>
          </w:p>
        </w:tc>
        <w:tc>
          <w:tcPr>
            <w:tcW w:w="1111" w:type="dxa"/>
            <w:vAlign w:val="center"/>
          </w:tcPr>
          <w:p w14:paraId="4234A18C" w14:textId="77777777" w:rsidR="00504F6F" w:rsidRPr="004B15CE" w:rsidRDefault="00504F6F" w:rsidP="003A1F1D">
            <w:pPr>
              <w:pStyle w:val="Tables"/>
            </w:pPr>
          </w:p>
        </w:tc>
        <w:tc>
          <w:tcPr>
            <w:tcW w:w="1111" w:type="dxa"/>
            <w:vAlign w:val="center"/>
          </w:tcPr>
          <w:p w14:paraId="7826627B" w14:textId="77777777" w:rsidR="00504F6F" w:rsidRPr="004B15CE" w:rsidRDefault="00504F6F" w:rsidP="003A1F1D">
            <w:pPr>
              <w:pStyle w:val="Tables"/>
            </w:pPr>
          </w:p>
        </w:tc>
      </w:tr>
      <w:tr w:rsidR="00504F6F" w:rsidRPr="004B15CE" w14:paraId="3E2F5DF5" w14:textId="77777777" w:rsidTr="003A1F1D">
        <w:trPr>
          <w:trHeight w:val="20"/>
          <w:jc w:val="center"/>
        </w:trPr>
        <w:tc>
          <w:tcPr>
            <w:tcW w:w="1863" w:type="dxa"/>
            <w:vAlign w:val="center"/>
          </w:tcPr>
          <w:p w14:paraId="2ECE8592" w14:textId="57552802" w:rsidR="00504F6F" w:rsidRPr="004B15CE" w:rsidRDefault="00504F6F" w:rsidP="003A1F1D">
            <w:pPr>
              <w:pStyle w:val="Tables"/>
            </w:pPr>
            <w:r w:rsidRPr="004B15CE">
              <w:t>TOTAL EXPENDITURE</w:t>
            </w:r>
          </w:p>
        </w:tc>
        <w:tc>
          <w:tcPr>
            <w:tcW w:w="1184" w:type="dxa"/>
            <w:vAlign w:val="center"/>
          </w:tcPr>
          <w:p w14:paraId="43E71039" w14:textId="77777777" w:rsidR="00504F6F" w:rsidRPr="004B15CE" w:rsidRDefault="00504F6F" w:rsidP="003A1F1D">
            <w:pPr>
              <w:pStyle w:val="Tables"/>
            </w:pPr>
          </w:p>
        </w:tc>
        <w:tc>
          <w:tcPr>
            <w:tcW w:w="1111" w:type="dxa"/>
            <w:vAlign w:val="center"/>
          </w:tcPr>
          <w:p w14:paraId="126640EA" w14:textId="77777777" w:rsidR="00504F6F" w:rsidRPr="004B15CE" w:rsidRDefault="00504F6F" w:rsidP="003A1F1D">
            <w:pPr>
              <w:pStyle w:val="Tables"/>
            </w:pPr>
          </w:p>
        </w:tc>
        <w:tc>
          <w:tcPr>
            <w:tcW w:w="1111" w:type="dxa"/>
            <w:vAlign w:val="center"/>
          </w:tcPr>
          <w:p w14:paraId="77D4FB30" w14:textId="77777777" w:rsidR="00504F6F" w:rsidRPr="004B15CE" w:rsidRDefault="00504F6F" w:rsidP="003A1F1D">
            <w:pPr>
              <w:pStyle w:val="Tables"/>
            </w:pPr>
          </w:p>
        </w:tc>
        <w:tc>
          <w:tcPr>
            <w:tcW w:w="1111" w:type="dxa"/>
            <w:vAlign w:val="center"/>
          </w:tcPr>
          <w:p w14:paraId="40B56AC1" w14:textId="77777777" w:rsidR="00504F6F" w:rsidRPr="004B15CE" w:rsidRDefault="00504F6F" w:rsidP="003A1F1D">
            <w:pPr>
              <w:pStyle w:val="Tables"/>
            </w:pPr>
          </w:p>
        </w:tc>
        <w:tc>
          <w:tcPr>
            <w:tcW w:w="1111" w:type="dxa"/>
            <w:vAlign w:val="center"/>
          </w:tcPr>
          <w:p w14:paraId="0ACD53F2" w14:textId="77777777" w:rsidR="00504F6F" w:rsidRPr="004B15CE" w:rsidRDefault="00504F6F" w:rsidP="003A1F1D">
            <w:pPr>
              <w:pStyle w:val="Tables"/>
            </w:pPr>
          </w:p>
        </w:tc>
        <w:tc>
          <w:tcPr>
            <w:tcW w:w="1111" w:type="dxa"/>
            <w:vAlign w:val="center"/>
          </w:tcPr>
          <w:p w14:paraId="021A18A0" w14:textId="77777777" w:rsidR="00504F6F" w:rsidRPr="004B15CE" w:rsidRDefault="00504F6F" w:rsidP="003A1F1D">
            <w:pPr>
              <w:pStyle w:val="Tables"/>
            </w:pPr>
          </w:p>
        </w:tc>
      </w:tr>
      <w:tr w:rsidR="00504F6F" w:rsidRPr="004B15CE" w14:paraId="5226813F" w14:textId="77777777" w:rsidTr="003A1F1D">
        <w:trPr>
          <w:trHeight w:val="20"/>
          <w:jc w:val="center"/>
        </w:trPr>
        <w:tc>
          <w:tcPr>
            <w:tcW w:w="1863" w:type="dxa"/>
            <w:vAlign w:val="center"/>
          </w:tcPr>
          <w:p w14:paraId="4A2FB4E0" w14:textId="77777777" w:rsidR="00504F6F" w:rsidRPr="004B15CE" w:rsidRDefault="00504F6F" w:rsidP="003A1F1D">
            <w:pPr>
              <w:pStyle w:val="Tables"/>
            </w:pPr>
            <w:r w:rsidRPr="004B15CE">
              <w:t>Surplus</w:t>
            </w:r>
          </w:p>
          <w:p w14:paraId="435CFF38" w14:textId="77777777" w:rsidR="00504F6F" w:rsidRPr="004B15CE" w:rsidRDefault="00504F6F" w:rsidP="003A1F1D">
            <w:pPr>
              <w:pStyle w:val="Tables"/>
            </w:pPr>
            <w:r w:rsidRPr="004B15CE">
              <w:t>NET</w:t>
            </w:r>
          </w:p>
          <w:p w14:paraId="66B59F76" w14:textId="3E80EE16" w:rsidR="00504F6F" w:rsidRPr="004B15CE" w:rsidRDefault="00504F6F" w:rsidP="003A1F1D">
            <w:pPr>
              <w:pStyle w:val="Tables"/>
            </w:pPr>
            <w:r w:rsidRPr="004B15CE">
              <w:t>Deficit</w:t>
            </w:r>
          </w:p>
        </w:tc>
        <w:tc>
          <w:tcPr>
            <w:tcW w:w="1184" w:type="dxa"/>
            <w:vAlign w:val="center"/>
          </w:tcPr>
          <w:p w14:paraId="60B34DCD" w14:textId="77777777" w:rsidR="00504F6F" w:rsidRPr="004B15CE" w:rsidRDefault="00504F6F" w:rsidP="003A1F1D">
            <w:pPr>
              <w:pStyle w:val="Tables"/>
            </w:pPr>
          </w:p>
        </w:tc>
        <w:tc>
          <w:tcPr>
            <w:tcW w:w="1111" w:type="dxa"/>
            <w:vAlign w:val="center"/>
          </w:tcPr>
          <w:p w14:paraId="59BCACCE" w14:textId="77777777" w:rsidR="00504F6F" w:rsidRPr="004B15CE" w:rsidRDefault="00504F6F" w:rsidP="003A1F1D">
            <w:pPr>
              <w:pStyle w:val="Tables"/>
            </w:pPr>
          </w:p>
        </w:tc>
        <w:tc>
          <w:tcPr>
            <w:tcW w:w="1111" w:type="dxa"/>
            <w:vAlign w:val="center"/>
          </w:tcPr>
          <w:p w14:paraId="363E33ED" w14:textId="77777777" w:rsidR="00504F6F" w:rsidRPr="004B15CE" w:rsidRDefault="00504F6F" w:rsidP="003A1F1D">
            <w:pPr>
              <w:pStyle w:val="Tables"/>
            </w:pPr>
          </w:p>
        </w:tc>
        <w:tc>
          <w:tcPr>
            <w:tcW w:w="1111" w:type="dxa"/>
            <w:vAlign w:val="center"/>
          </w:tcPr>
          <w:p w14:paraId="0B5AE3D1" w14:textId="77777777" w:rsidR="00504F6F" w:rsidRPr="004B15CE" w:rsidRDefault="00504F6F" w:rsidP="003A1F1D">
            <w:pPr>
              <w:pStyle w:val="Tables"/>
            </w:pPr>
          </w:p>
        </w:tc>
        <w:tc>
          <w:tcPr>
            <w:tcW w:w="1111" w:type="dxa"/>
            <w:vAlign w:val="center"/>
          </w:tcPr>
          <w:p w14:paraId="38E27ECD" w14:textId="77777777" w:rsidR="00504F6F" w:rsidRPr="004B15CE" w:rsidRDefault="00504F6F" w:rsidP="003A1F1D">
            <w:pPr>
              <w:pStyle w:val="Tables"/>
            </w:pPr>
          </w:p>
        </w:tc>
        <w:tc>
          <w:tcPr>
            <w:tcW w:w="1111" w:type="dxa"/>
            <w:vAlign w:val="center"/>
          </w:tcPr>
          <w:p w14:paraId="642748F3" w14:textId="77777777" w:rsidR="00504F6F" w:rsidRPr="004B15CE" w:rsidRDefault="00504F6F" w:rsidP="003A1F1D">
            <w:pPr>
              <w:pStyle w:val="Tables"/>
            </w:pPr>
          </w:p>
        </w:tc>
      </w:tr>
    </w:tbl>
    <w:p w14:paraId="723662E5" w14:textId="33A22BD4" w:rsidR="009B2CEC" w:rsidRPr="004B15CE" w:rsidRDefault="00504F6F" w:rsidP="004B15CE">
      <w:pPr>
        <w:tabs>
          <w:tab w:val="right" w:pos="9332"/>
        </w:tabs>
        <w:spacing w:after="0" w:line="400" w:lineRule="exact"/>
        <w:ind w:left="720"/>
        <w:jc w:val="both"/>
        <w:rPr>
          <w:rFonts w:ascii="Times New Roman" w:hAnsi="Times New Roman" w:cs="Times New Roman"/>
          <w:sz w:val="28"/>
          <w:szCs w:val="28"/>
        </w:rPr>
      </w:pPr>
      <w:r w:rsidRPr="004B15CE">
        <w:rPr>
          <w:rFonts w:ascii="Times New Roman" w:hAnsi="Times New Roman" w:cs="Times New Roman"/>
          <w:sz w:val="28"/>
          <w:szCs w:val="28"/>
        </w:rPr>
        <w:tab/>
      </w:r>
    </w:p>
    <w:p w14:paraId="2B7CD105" w14:textId="77777777" w:rsidR="009B2CEC" w:rsidRDefault="009B2CEC" w:rsidP="003A1F1D">
      <w:pPr>
        <w:spacing w:after="0" w:line="400" w:lineRule="exact"/>
        <w:ind w:left="720"/>
        <w:jc w:val="center"/>
        <w:rPr>
          <w:rFonts w:ascii="Times New Roman" w:hAnsi="Times New Roman" w:cs="Times New Roman"/>
          <w:sz w:val="28"/>
          <w:szCs w:val="28"/>
        </w:rPr>
      </w:pPr>
      <w:r w:rsidRPr="004B15CE">
        <w:rPr>
          <w:rFonts w:ascii="Times New Roman" w:hAnsi="Times New Roman" w:cs="Times New Roman"/>
          <w:sz w:val="28"/>
          <w:szCs w:val="28"/>
        </w:rPr>
        <w:t>NOTES</w:t>
      </w:r>
    </w:p>
    <w:p w14:paraId="79D7EAC5" w14:textId="77777777" w:rsidR="003A1F1D" w:rsidRPr="004B15CE" w:rsidRDefault="003A1F1D" w:rsidP="003A1F1D">
      <w:pPr>
        <w:spacing w:after="0" w:line="400" w:lineRule="exact"/>
        <w:ind w:left="720"/>
        <w:jc w:val="center"/>
        <w:rPr>
          <w:rFonts w:ascii="Times New Roman" w:hAnsi="Times New Roman" w:cs="Times New Roman"/>
          <w:sz w:val="28"/>
          <w:szCs w:val="28"/>
        </w:rPr>
      </w:pPr>
    </w:p>
    <w:p w14:paraId="1BD67956" w14:textId="77777777" w:rsidR="003A1F1D" w:rsidRDefault="009B2CEC" w:rsidP="004B15CE">
      <w:pPr>
        <w:spacing w:after="0" w:line="400" w:lineRule="exact"/>
        <w:ind w:left="720"/>
        <w:jc w:val="both"/>
        <w:rPr>
          <w:rFonts w:ascii="Times New Roman" w:hAnsi="Times New Roman" w:cs="Times New Roman"/>
          <w:sz w:val="28"/>
          <w:szCs w:val="28"/>
        </w:rPr>
      </w:pPr>
      <w:r w:rsidRPr="004B15CE">
        <w:rPr>
          <w:rFonts w:ascii="Times New Roman" w:hAnsi="Times New Roman" w:cs="Times New Roman"/>
          <w:sz w:val="28"/>
          <w:szCs w:val="28"/>
        </w:rPr>
        <w:t>(1) Figures should be by Major Heads of accounts.</w:t>
      </w:r>
    </w:p>
    <w:p w14:paraId="453B5F46" w14:textId="77777777" w:rsidR="003A1F1D" w:rsidRDefault="009B2CEC" w:rsidP="004B15CE">
      <w:pPr>
        <w:spacing w:after="0" w:line="400" w:lineRule="exact"/>
        <w:ind w:left="720"/>
        <w:jc w:val="both"/>
        <w:rPr>
          <w:rFonts w:ascii="Times New Roman" w:hAnsi="Times New Roman" w:cs="Times New Roman"/>
          <w:sz w:val="28"/>
          <w:szCs w:val="28"/>
        </w:rPr>
      </w:pPr>
      <w:r w:rsidRPr="004B15CE">
        <w:rPr>
          <w:rFonts w:ascii="Times New Roman" w:hAnsi="Times New Roman" w:cs="Times New Roman"/>
          <w:sz w:val="28"/>
          <w:szCs w:val="28"/>
        </w:rPr>
        <w:t>(2) In the section dealing with revenue—</w:t>
      </w:r>
    </w:p>
    <w:p w14:paraId="1B05E21B" w14:textId="3374D239" w:rsidR="00E47AAD" w:rsidRPr="004B15CE" w:rsidRDefault="009B2CEC" w:rsidP="003A1F1D">
      <w:pPr>
        <w:spacing w:after="0" w:line="400" w:lineRule="exact"/>
        <w:ind w:left="720"/>
        <w:jc w:val="both"/>
        <w:rPr>
          <w:rFonts w:ascii="Times New Roman" w:hAnsi="Times New Roman" w:cs="Times New Roman"/>
          <w:sz w:val="28"/>
          <w:szCs w:val="28"/>
        </w:rPr>
      </w:pPr>
      <w:r w:rsidRPr="004B15CE">
        <w:rPr>
          <w:rFonts w:ascii="Times New Roman" w:hAnsi="Times New Roman" w:cs="Times New Roman"/>
          <w:sz w:val="28"/>
          <w:szCs w:val="28"/>
        </w:rPr>
        <w:t>    (a) the State's share of income-tax received from the Centre should be shown separately.</w:t>
      </w:r>
      <w:r w:rsidRPr="004B15CE">
        <w:rPr>
          <w:rFonts w:ascii="Times New Roman" w:hAnsi="Times New Roman" w:cs="Times New Roman"/>
          <w:sz w:val="28"/>
          <w:szCs w:val="28"/>
        </w:rPr>
        <w:br/>
        <w:t>    (b) Full details should be given of other grant from the Centre included in the estimate such as the grant to cover the revenue gap following federal financial integration, grants for rehabilitation of displaced persons, Grow More Food, etc.</w:t>
      </w:r>
      <w:r w:rsidRPr="004B15CE">
        <w:rPr>
          <w:rFonts w:ascii="Times New Roman" w:hAnsi="Times New Roman" w:cs="Times New Roman"/>
          <w:sz w:val="28"/>
          <w:szCs w:val="28"/>
        </w:rPr>
        <w:br/>
        <w:t xml:space="preserve">    (c) Any amount included for anticipated improvement in revenue or any allowance made for the abandonment of any existing sources of State revenue </w:t>
      </w:r>
      <w:r w:rsidRPr="004B15CE">
        <w:rPr>
          <w:rFonts w:ascii="Times New Roman" w:hAnsi="Times New Roman" w:cs="Times New Roman"/>
          <w:sz w:val="28"/>
          <w:szCs w:val="28"/>
        </w:rPr>
        <w:lastRenderedPageBreak/>
        <w:t>or the reduction in their yield should be explained in supplementary notes indicating the amount involved each year. In those States</w:t>
      </w:r>
      <w:r w:rsidR="003A1F1D">
        <w:rPr>
          <w:rFonts w:ascii="Times New Roman" w:hAnsi="Times New Roman" w:cs="Times New Roman"/>
          <w:sz w:val="28"/>
          <w:szCs w:val="28"/>
        </w:rPr>
        <w:t xml:space="preserve"> </w:t>
      </w:r>
      <w:r w:rsidR="00E47AAD" w:rsidRPr="004B15CE">
        <w:rPr>
          <w:rFonts w:ascii="Times New Roman" w:hAnsi="Times New Roman" w:cs="Times New Roman"/>
          <w:sz w:val="28"/>
          <w:szCs w:val="28"/>
        </w:rPr>
        <w:t>in which internal customs duties have to be replaced gradually by Sales taxes, the revenue from each of the sources should be shown separately for each year.</w:t>
      </w:r>
    </w:p>
    <w:p w14:paraId="4BBFD829" w14:textId="77777777" w:rsidR="00E47AAD" w:rsidRPr="004B15CE" w:rsidRDefault="00E47AAD" w:rsidP="004B15CE">
      <w:pPr>
        <w:spacing w:after="0" w:line="400" w:lineRule="exact"/>
        <w:ind w:left="720"/>
        <w:jc w:val="both"/>
        <w:rPr>
          <w:rFonts w:ascii="Times New Roman" w:hAnsi="Times New Roman" w:cs="Times New Roman"/>
          <w:sz w:val="28"/>
          <w:szCs w:val="28"/>
        </w:rPr>
      </w:pPr>
      <w:r w:rsidRPr="004B15CE">
        <w:rPr>
          <w:rFonts w:ascii="Times New Roman" w:hAnsi="Times New Roman" w:cs="Times New Roman"/>
          <w:sz w:val="28"/>
          <w:szCs w:val="28"/>
        </w:rPr>
        <w:t>(3) In the section dealing with expenditure—</w:t>
      </w:r>
    </w:p>
    <w:p w14:paraId="19D47922" w14:textId="77777777" w:rsidR="00E47AAD" w:rsidRPr="004B15CE" w:rsidRDefault="00E47AAD" w:rsidP="004B15CE">
      <w:pPr>
        <w:spacing w:after="0" w:line="400" w:lineRule="exact"/>
        <w:ind w:left="1440"/>
        <w:jc w:val="both"/>
        <w:rPr>
          <w:rFonts w:ascii="Times New Roman" w:hAnsi="Times New Roman" w:cs="Times New Roman"/>
          <w:sz w:val="28"/>
          <w:szCs w:val="28"/>
        </w:rPr>
      </w:pPr>
      <w:r w:rsidRPr="004B15CE">
        <w:rPr>
          <w:rFonts w:ascii="Times New Roman" w:hAnsi="Times New Roman" w:cs="Times New Roman"/>
          <w:sz w:val="28"/>
          <w:szCs w:val="28"/>
        </w:rPr>
        <w:t>    (a) No allowance should be made for fresh expenditure on developmental purposes.</w:t>
      </w:r>
    </w:p>
    <w:p w14:paraId="0737D7D6" w14:textId="77777777" w:rsidR="00E47AAD" w:rsidRPr="004B15CE" w:rsidRDefault="00E47AAD" w:rsidP="004B15CE">
      <w:pPr>
        <w:spacing w:after="0" w:line="400" w:lineRule="exact"/>
        <w:ind w:left="1440"/>
        <w:jc w:val="both"/>
        <w:rPr>
          <w:rFonts w:ascii="Times New Roman" w:hAnsi="Times New Roman" w:cs="Times New Roman"/>
          <w:sz w:val="28"/>
          <w:szCs w:val="28"/>
        </w:rPr>
      </w:pPr>
      <w:r w:rsidRPr="004B15CE">
        <w:rPr>
          <w:rFonts w:ascii="Times New Roman" w:hAnsi="Times New Roman" w:cs="Times New Roman"/>
          <w:sz w:val="28"/>
          <w:szCs w:val="28"/>
        </w:rPr>
        <w:t>    (b) If the estimates in any year include any special item of expenditure this should be indicated in explanatory notes.</w:t>
      </w:r>
    </w:p>
    <w:p w14:paraId="045FCEFD" w14:textId="77777777" w:rsidR="00E47AAD" w:rsidRPr="004B15CE" w:rsidRDefault="00E47AAD" w:rsidP="004B15CE">
      <w:pPr>
        <w:spacing w:after="0" w:line="400" w:lineRule="exact"/>
        <w:ind w:left="1440"/>
        <w:jc w:val="both"/>
        <w:rPr>
          <w:rFonts w:ascii="Times New Roman" w:hAnsi="Times New Roman" w:cs="Times New Roman"/>
          <w:sz w:val="28"/>
          <w:szCs w:val="28"/>
        </w:rPr>
      </w:pPr>
      <w:r w:rsidRPr="004B15CE">
        <w:rPr>
          <w:rFonts w:ascii="Times New Roman" w:hAnsi="Times New Roman" w:cs="Times New Roman"/>
          <w:sz w:val="28"/>
          <w:szCs w:val="28"/>
        </w:rPr>
        <w:t>    (c) The estimates should include provision for any additional expenditure that may have to be incurred on the reorganisation of administration in those Unions formed by the merger of a large number of Indian States, viz. Rajasthan, Saurashtra, Madhya Bharat and PEPSU. The amount so included should be indicated in a separate note.</w:t>
      </w:r>
    </w:p>
    <w:p w14:paraId="6A9473C2" w14:textId="77777777" w:rsidR="00E47AAD" w:rsidRPr="004B15CE" w:rsidRDefault="00E47AAD" w:rsidP="004B15CE">
      <w:pPr>
        <w:spacing w:after="0" w:line="400" w:lineRule="exact"/>
        <w:ind w:left="720"/>
        <w:jc w:val="both"/>
        <w:rPr>
          <w:rFonts w:ascii="Times New Roman" w:hAnsi="Times New Roman" w:cs="Times New Roman"/>
          <w:sz w:val="28"/>
          <w:szCs w:val="28"/>
        </w:rPr>
      </w:pPr>
      <w:r w:rsidRPr="004B15CE">
        <w:rPr>
          <w:rFonts w:ascii="Times New Roman" w:hAnsi="Times New Roman" w:cs="Times New Roman"/>
          <w:sz w:val="28"/>
          <w:szCs w:val="28"/>
        </w:rPr>
        <w:t>(4) All important variations in revenue or expenditure from year to year should be briefly explained in suitable foot-notes.</w:t>
      </w:r>
    </w:p>
    <w:p w14:paraId="6F6BD473" w14:textId="77777777" w:rsidR="009B2CEC" w:rsidRPr="004B15CE" w:rsidRDefault="009B2CEC" w:rsidP="004B15CE">
      <w:pPr>
        <w:spacing w:after="0" w:line="400" w:lineRule="exact"/>
        <w:ind w:left="720"/>
        <w:jc w:val="both"/>
        <w:rPr>
          <w:rFonts w:ascii="Times New Roman" w:hAnsi="Times New Roman" w:cs="Times New Roman"/>
          <w:sz w:val="28"/>
          <w:szCs w:val="28"/>
        </w:rPr>
      </w:pPr>
    </w:p>
    <w:p w14:paraId="44D5E1C6" w14:textId="08201A61" w:rsidR="00E47AAD" w:rsidRPr="004B15CE" w:rsidRDefault="00E47AAD" w:rsidP="004B15CE">
      <w:pPr>
        <w:spacing w:after="0" w:line="400" w:lineRule="exact"/>
        <w:jc w:val="both"/>
        <w:rPr>
          <w:rFonts w:ascii="Times New Roman" w:hAnsi="Times New Roman" w:cs="Times New Roman"/>
          <w:sz w:val="28"/>
          <w:szCs w:val="28"/>
        </w:rPr>
      </w:pPr>
      <w:r w:rsidRPr="004B15CE">
        <w:rPr>
          <w:rFonts w:ascii="Times New Roman" w:hAnsi="Times New Roman" w:cs="Times New Roman"/>
          <w:sz w:val="28"/>
          <w:szCs w:val="28"/>
        </w:rPr>
        <w:br w:type="page"/>
      </w:r>
    </w:p>
    <w:p w14:paraId="71B9EBFB" w14:textId="5FD1914A" w:rsidR="00E47AAD" w:rsidRPr="00A83592" w:rsidRDefault="00E47AAD" w:rsidP="00A83592">
      <w:pPr>
        <w:spacing w:after="0" w:line="400" w:lineRule="exact"/>
        <w:jc w:val="both"/>
        <w:rPr>
          <w:rFonts w:ascii="Times New Roman" w:hAnsi="Times New Roman" w:cs="Times New Roman"/>
          <w:i/>
          <w:iCs/>
          <w:sz w:val="28"/>
          <w:szCs w:val="28"/>
        </w:rPr>
      </w:pPr>
      <w:r w:rsidRPr="00A83592">
        <w:rPr>
          <w:rFonts w:ascii="Times New Roman" w:hAnsi="Times New Roman" w:cs="Times New Roman"/>
          <w:i/>
          <w:iCs/>
          <w:sz w:val="28"/>
          <w:szCs w:val="28"/>
        </w:rPr>
        <w:lastRenderedPageBreak/>
        <w:t>(3) D.O. letter No. F.C. II/(17)/52, dated the 19th September 1952, from Shri M. V. Rangachari, Member-Secretary, to the Finance Secretaries of all Part A and Part B States except Jammu and Kashmir.</w:t>
      </w:r>
    </w:p>
    <w:p w14:paraId="049F00F6" w14:textId="77777777" w:rsidR="00E47AAD" w:rsidRPr="004B15CE" w:rsidRDefault="00E47AAD" w:rsidP="00A83592">
      <w:pPr>
        <w:spacing w:after="0" w:line="400" w:lineRule="exact"/>
        <w:ind w:firstLine="709"/>
        <w:jc w:val="both"/>
        <w:rPr>
          <w:rFonts w:ascii="Times New Roman" w:hAnsi="Times New Roman" w:cs="Times New Roman"/>
          <w:sz w:val="28"/>
          <w:szCs w:val="28"/>
        </w:rPr>
      </w:pPr>
      <w:r w:rsidRPr="004B15CE">
        <w:rPr>
          <w:rFonts w:ascii="Times New Roman" w:hAnsi="Times New Roman" w:cs="Times New Roman"/>
          <w:sz w:val="28"/>
          <w:szCs w:val="28"/>
        </w:rPr>
        <w:t>The question was raised by more than one State during the Commission's recent visits to the States that one or more of the Union Excises should also be divided between the Centre and the States so as to increase the resources available to the latter. The Commission would be grateful if you would kindly send them a memorandum setting out the views of your Government on this subject. In particular the Commission would like to have the views of the State Government as to whether all the excises or only one or more of them should be divided, the relative share of the Centre and the States and the basis on which the States' share of any excise which your Government may wish to have divided should be allocated among the States.</w:t>
      </w:r>
    </w:p>
    <w:p w14:paraId="62F48BBF" w14:textId="77777777" w:rsidR="00E47AAD" w:rsidRPr="004B15CE" w:rsidRDefault="00E47AAD" w:rsidP="00A83592">
      <w:pPr>
        <w:spacing w:after="0" w:line="400" w:lineRule="exact"/>
        <w:ind w:firstLine="709"/>
        <w:jc w:val="both"/>
        <w:rPr>
          <w:rFonts w:ascii="Times New Roman" w:hAnsi="Times New Roman" w:cs="Times New Roman"/>
          <w:sz w:val="28"/>
          <w:szCs w:val="28"/>
        </w:rPr>
      </w:pPr>
      <w:r w:rsidRPr="004B15CE">
        <w:rPr>
          <w:rFonts w:ascii="Times New Roman" w:hAnsi="Times New Roman" w:cs="Times New Roman"/>
          <w:sz w:val="28"/>
          <w:szCs w:val="28"/>
        </w:rPr>
        <w:t>The State's memorandum may be sent as soon as possible with 6 spare copies and in any case by the 10th October 1952.</w:t>
      </w:r>
    </w:p>
    <w:p w14:paraId="52A0A114" w14:textId="05BFA5F8" w:rsidR="00E47AAD" w:rsidRPr="004B15CE" w:rsidRDefault="00E47AAD" w:rsidP="004B15CE">
      <w:pPr>
        <w:spacing w:after="0" w:line="400" w:lineRule="exact"/>
        <w:jc w:val="both"/>
        <w:rPr>
          <w:rFonts w:ascii="Times New Roman" w:hAnsi="Times New Roman" w:cs="Times New Roman"/>
          <w:sz w:val="28"/>
          <w:szCs w:val="28"/>
        </w:rPr>
      </w:pPr>
      <w:r w:rsidRPr="004B15CE">
        <w:rPr>
          <w:rFonts w:ascii="Times New Roman" w:hAnsi="Times New Roman" w:cs="Times New Roman"/>
          <w:sz w:val="28"/>
          <w:szCs w:val="28"/>
        </w:rPr>
        <w:br w:type="page"/>
      </w:r>
    </w:p>
    <w:p w14:paraId="26FA4C0D" w14:textId="77777777" w:rsidR="00E47AAD" w:rsidRPr="00A83592" w:rsidRDefault="00E47AAD" w:rsidP="00A83592">
      <w:pPr>
        <w:spacing w:after="0" w:line="400" w:lineRule="exact"/>
        <w:ind w:left="720"/>
        <w:jc w:val="center"/>
        <w:rPr>
          <w:rFonts w:ascii="Times New Roman" w:hAnsi="Times New Roman" w:cs="Times New Roman"/>
          <w:i/>
          <w:iCs/>
          <w:sz w:val="28"/>
          <w:szCs w:val="28"/>
        </w:rPr>
      </w:pPr>
      <w:r w:rsidRPr="00A83592">
        <w:rPr>
          <w:rFonts w:ascii="Times New Roman" w:hAnsi="Times New Roman" w:cs="Times New Roman"/>
          <w:i/>
          <w:iCs/>
          <w:sz w:val="28"/>
          <w:szCs w:val="28"/>
        </w:rPr>
        <w:lastRenderedPageBreak/>
        <w:t>(4) Press Note dated the 19th February 1952 issued by the Finance</w:t>
      </w:r>
    </w:p>
    <w:p w14:paraId="461708BC" w14:textId="6B44565A" w:rsidR="00E47AAD" w:rsidRPr="00A83592" w:rsidRDefault="00E47AAD" w:rsidP="00A83592">
      <w:pPr>
        <w:spacing w:after="0" w:line="400" w:lineRule="exact"/>
        <w:ind w:left="720"/>
        <w:jc w:val="center"/>
        <w:rPr>
          <w:rFonts w:ascii="Times New Roman" w:hAnsi="Times New Roman" w:cs="Times New Roman"/>
          <w:i/>
          <w:iCs/>
          <w:sz w:val="28"/>
          <w:szCs w:val="28"/>
        </w:rPr>
      </w:pPr>
      <w:r w:rsidRPr="00A83592">
        <w:rPr>
          <w:rFonts w:ascii="Times New Roman" w:hAnsi="Times New Roman" w:cs="Times New Roman"/>
          <w:i/>
          <w:iCs/>
          <w:sz w:val="28"/>
          <w:szCs w:val="28"/>
        </w:rPr>
        <w:t>Commission</w:t>
      </w:r>
    </w:p>
    <w:p w14:paraId="7CB6EE6F" w14:textId="77777777" w:rsidR="00E47AAD" w:rsidRPr="004B15CE" w:rsidRDefault="00E47AAD" w:rsidP="00A83592">
      <w:pPr>
        <w:spacing w:after="0" w:line="400" w:lineRule="exact"/>
        <w:ind w:firstLine="709"/>
        <w:jc w:val="both"/>
        <w:rPr>
          <w:rFonts w:ascii="Times New Roman" w:hAnsi="Times New Roman" w:cs="Times New Roman"/>
          <w:sz w:val="28"/>
          <w:szCs w:val="28"/>
        </w:rPr>
      </w:pPr>
      <w:r w:rsidRPr="004B15CE">
        <w:rPr>
          <w:rFonts w:ascii="Times New Roman" w:hAnsi="Times New Roman" w:cs="Times New Roman"/>
          <w:sz w:val="28"/>
          <w:szCs w:val="28"/>
        </w:rPr>
        <w:t>Among the questions on which the Finance Commission will have to make recommendations are:—</w:t>
      </w:r>
    </w:p>
    <w:p w14:paraId="10E605DF" w14:textId="77777777" w:rsidR="00E47AAD" w:rsidRPr="004B15CE" w:rsidRDefault="00E47AAD" w:rsidP="00A83592">
      <w:pPr>
        <w:spacing w:after="0" w:line="400" w:lineRule="exact"/>
        <w:ind w:left="720"/>
        <w:jc w:val="both"/>
        <w:rPr>
          <w:rFonts w:ascii="Times New Roman" w:hAnsi="Times New Roman" w:cs="Times New Roman"/>
          <w:sz w:val="28"/>
          <w:szCs w:val="28"/>
        </w:rPr>
      </w:pPr>
      <w:r w:rsidRPr="004B15CE">
        <w:rPr>
          <w:rFonts w:ascii="Times New Roman" w:hAnsi="Times New Roman" w:cs="Times New Roman"/>
          <w:sz w:val="28"/>
          <w:szCs w:val="28"/>
        </w:rPr>
        <w:t>    (i) the distribution of the net proceeds of income-tax between the Union and the States and the allocation of the States' share among the States [vide Articles 270 and 280(3)(a) of the Constitution] and</w:t>
      </w:r>
    </w:p>
    <w:p w14:paraId="637C0511" w14:textId="77777777" w:rsidR="00E47AAD" w:rsidRPr="004B15CE" w:rsidRDefault="00E47AAD" w:rsidP="00A83592">
      <w:pPr>
        <w:spacing w:after="0" w:line="400" w:lineRule="exact"/>
        <w:ind w:left="720"/>
        <w:jc w:val="both"/>
        <w:rPr>
          <w:rFonts w:ascii="Times New Roman" w:hAnsi="Times New Roman" w:cs="Times New Roman"/>
          <w:sz w:val="28"/>
          <w:szCs w:val="28"/>
        </w:rPr>
      </w:pPr>
      <w:r w:rsidRPr="004B15CE">
        <w:rPr>
          <w:rFonts w:ascii="Times New Roman" w:hAnsi="Times New Roman" w:cs="Times New Roman"/>
          <w:sz w:val="28"/>
          <w:szCs w:val="28"/>
        </w:rPr>
        <w:t>    (ii) the principles which should govern the grants-in-aid of the revenues of the States out of the Consolidated Fund of India [vide Article 280(3)(b) read with Article 275 of Constitution].</w:t>
      </w:r>
    </w:p>
    <w:p w14:paraId="27DB3AD7" w14:textId="77777777" w:rsidR="00E47AAD" w:rsidRPr="004B15CE" w:rsidRDefault="00E47AAD" w:rsidP="00A83592">
      <w:pPr>
        <w:spacing w:after="0" w:line="400" w:lineRule="exact"/>
        <w:ind w:firstLine="709"/>
        <w:jc w:val="both"/>
        <w:rPr>
          <w:rFonts w:ascii="Times New Roman" w:hAnsi="Times New Roman" w:cs="Times New Roman"/>
          <w:sz w:val="28"/>
          <w:szCs w:val="28"/>
        </w:rPr>
      </w:pPr>
      <w:r w:rsidRPr="004B15CE">
        <w:rPr>
          <w:rFonts w:ascii="Times New Roman" w:hAnsi="Times New Roman" w:cs="Times New Roman"/>
          <w:sz w:val="28"/>
          <w:szCs w:val="28"/>
        </w:rPr>
        <w:t>At present, 50 per cent of the divisible net proceeds of income-tax (other than Corporation Tax) is assigned to the States and distributed among them in the following percentage ratios: Assam—3; Bihar—12.5; Bombay—21; Madhya Pradesh—6; Madras—17.5; Orissa—3; Punjab—5.5; Uttar Pradesh—18; and West Bengal—13.5.</w:t>
      </w:r>
    </w:p>
    <w:p w14:paraId="206CFF88" w14:textId="77777777" w:rsidR="00E47AAD" w:rsidRPr="004B15CE" w:rsidRDefault="00E47AAD" w:rsidP="00A83592">
      <w:pPr>
        <w:spacing w:after="0" w:line="400" w:lineRule="exact"/>
        <w:ind w:firstLine="709"/>
        <w:jc w:val="both"/>
        <w:rPr>
          <w:rFonts w:ascii="Times New Roman" w:hAnsi="Times New Roman" w:cs="Times New Roman"/>
          <w:sz w:val="28"/>
          <w:szCs w:val="28"/>
        </w:rPr>
      </w:pPr>
      <w:r w:rsidRPr="004B15CE">
        <w:rPr>
          <w:rFonts w:ascii="Times New Roman" w:hAnsi="Times New Roman" w:cs="Times New Roman"/>
          <w:sz w:val="28"/>
          <w:szCs w:val="28"/>
        </w:rPr>
        <w:t>Seven out of the eight Part B States are also now entitled to share in the proceeds of the income-tax along with the nine Part A States.</w:t>
      </w:r>
    </w:p>
    <w:p w14:paraId="1093CB71" w14:textId="77777777" w:rsidR="00E47AAD" w:rsidRPr="004B15CE" w:rsidRDefault="00E47AAD" w:rsidP="00A83592">
      <w:pPr>
        <w:spacing w:after="0" w:line="400" w:lineRule="exact"/>
        <w:ind w:firstLine="709"/>
        <w:jc w:val="both"/>
        <w:rPr>
          <w:rFonts w:ascii="Times New Roman" w:hAnsi="Times New Roman" w:cs="Times New Roman"/>
          <w:sz w:val="28"/>
          <w:szCs w:val="28"/>
        </w:rPr>
      </w:pPr>
      <w:r w:rsidRPr="004B15CE">
        <w:rPr>
          <w:rFonts w:ascii="Times New Roman" w:hAnsi="Times New Roman" w:cs="Times New Roman"/>
          <w:sz w:val="28"/>
          <w:szCs w:val="28"/>
        </w:rPr>
        <w:t>Various bases have been suggested for allocating income-tax:—</w:t>
      </w:r>
    </w:p>
    <w:p w14:paraId="10F06906" w14:textId="37B1AD69" w:rsidR="00E47AAD" w:rsidRPr="004B15CE" w:rsidRDefault="00E47AAD" w:rsidP="004B15CE">
      <w:pPr>
        <w:spacing w:after="0" w:line="400" w:lineRule="exact"/>
        <w:ind w:left="1440"/>
        <w:jc w:val="both"/>
        <w:rPr>
          <w:rFonts w:ascii="Times New Roman" w:hAnsi="Times New Roman" w:cs="Times New Roman"/>
          <w:sz w:val="28"/>
          <w:szCs w:val="28"/>
        </w:rPr>
      </w:pPr>
      <w:r w:rsidRPr="004B15CE">
        <w:rPr>
          <w:rFonts w:ascii="Times New Roman" w:hAnsi="Times New Roman" w:cs="Times New Roman"/>
          <w:sz w:val="28"/>
          <w:szCs w:val="28"/>
        </w:rPr>
        <w:t>(i) the collection of income-tax in the various States;</w:t>
      </w:r>
    </w:p>
    <w:p w14:paraId="71F9BCC8" w14:textId="36567295" w:rsidR="00E47AAD" w:rsidRPr="004B15CE" w:rsidRDefault="00E47AAD" w:rsidP="004B15CE">
      <w:pPr>
        <w:spacing w:after="0" w:line="400" w:lineRule="exact"/>
        <w:ind w:left="1440"/>
        <w:jc w:val="both"/>
        <w:rPr>
          <w:rFonts w:ascii="Times New Roman" w:hAnsi="Times New Roman" w:cs="Times New Roman"/>
          <w:sz w:val="28"/>
          <w:szCs w:val="28"/>
        </w:rPr>
      </w:pPr>
      <w:r w:rsidRPr="004B15CE">
        <w:rPr>
          <w:rFonts w:ascii="Times New Roman" w:hAnsi="Times New Roman" w:cs="Times New Roman"/>
          <w:sz w:val="28"/>
          <w:szCs w:val="28"/>
        </w:rPr>
        <w:t>(ii) the amount of income-tax realised in respect of incomes, wherever earned, of individuals resident in the different States;</w:t>
      </w:r>
    </w:p>
    <w:p w14:paraId="14CC27F0" w14:textId="5E6736E7" w:rsidR="00E47AAD" w:rsidRPr="004B15CE" w:rsidRDefault="00E47AAD" w:rsidP="004B15CE">
      <w:pPr>
        <w:spacing w:after="0" w:line="400" w:lineRule="exact"/>
        <w:ind w:left="1440"/>
        <w:jc w:val="both"/>
        <w:rPr>
          <w:rFonts w:ascii="Times New Roman" w:hAnsi="Times New Roman" w:cs="Times New Roman"/>
          <w:sz w:val="28"/>
          <w:szCs w:val="28"/>
        </w:rPr>
      </w:pPr>
      <w:r w:rsidRPr="004B15CE">
        <w:rPr>
          <w:rFonts w:ascii="Times New Roman" w:hAnsi="Times New Roman" w:cs="Times New Roman"/>
          <w:sz w:val="28"/>
          <w:szCs w:val="28"/>
        </w:rPr>
        <w:t>(iii) the collection of income-tax in the various States adjusted with reference to the origin of the income;</w:t>
      </w:r>
    </w:p>
    <w:p w14:paraId="7724EF96" w14:textId="7BAA1929" w:rsidR="00E47AAD" w:rsidRPr="004B15CE" w:rsidRDefault="00E47AAD" w:rsidP="004B15CE">
      <w:pPr>
        <w:spacing w:after="0" w:line="400" w:lineRule="exact"/>
        <w:ind w:left="1440"/>
        <w:jc w:val="both"/>
        <w:rPr>
          <w:rFonts w:ascii="Times New Roman" w:hAnsi="Times New Roman" w:cs="Times New Roman"/>
          <w:sz w:val="28"/>
          <w:szCs w:val="28"/>
        </w:rPr>
      </w:pPr>
      <w:r w:rsidRPr="004B15CE">
        <w:rPr>
          <w:rFonts w:ascii="Times New Roman" w:hAnsi="Times New Roman" w:cs="Times New Roman"/>
          <w:sz w:val="28"/>
          <w:szCs w:val="28"/>
        </w:rPr>
        <w:t>(iv) the relative population of each State;</w:t>
      </w:r>
    </w:p>
    <w:p w14:paraId="5F083FAE" w14:textId="3F3413FF" w:rsidR="00E47AAD" w:rsidRPr="004B15CE" w:rsidRDefault="00E47AAD" w:rsidP="004B15CE">
      <w:pPr>
        <w:spacing w:after="0" w:line="400" w:lineRule="exact"/>
        <w:ind w:left="1440"/>
        <w:jc w:val="both"/>
        <w:rPr>
          <w:rFonts w:ascii="Times New Roman" w:hAnsi="Times New Roman" w:cs="Times New Roman"/>
          <w:sz w:val="28"/>
          <w:szCs w:val="28"/>
        </w:rPr>
      </w:pPr>
      <w:r w:rsidRPr="004B15CE">
        <w:rPr>
          <w:rFonts w:ascii="Times New Roman" w:hAnsi="Times New Roman" w:cs="Times New Roman"/>
          <w:sz w:val="28"/>
          <w:szCs w:val="28"/>
        </w:rPr>
        <w:t>(v) the relative volume of industrial labour in each State;</w:t>
      </w:r>
    </w:p>
    <w:p w14:paraId="5A7FEF85" w14:textId="0928313A" w:rsidR="00E47AAD" w:rsidRPr="004B15CE" w:rsidRDefault="00E47AAD" w:rsidP="004B15CE">
      <w:pPr>
        <w:spacing w:after="0" w:line="400" w:lineRule="exact"/>
        <w:ind w:left="1440"/>
        <w:jc w:val="both"/>
        <w:rPr>
          <w:rFonts w:ascii="Times New Roman" w:hAnsi="Times New Roman" w:cs="Times New Roman"/>
          <w:sz w:val="28"/>
          <w:szCs w:val="28"/>
        </w:rPr>
      </w:pPr>
      <w:r w:rsidRPr="004B15CE">
        <w:rPr>
          <w:rFonts w:ascii="Times New Roman" w:hAnsi="Times New Roman" w:cs="Times New Roman"/>
          <w:sz w:val="28"/>
          <w:szCs w:val="28"/>
        </w:rPr>
        <w:t>(vi) the needs of the different States according to various criteria; and</w:t>
      </w:r>
    </w:p>
    <w:p w14:paraId="79149E13" w14:textId="07BA8731" w:rsidR="00E47AAD" w:rsidRPr="004B15CE" w:rsidRDefault="00E47AAD" w:rsidP="004B15CE">
      <w:pPr>
        <w:spacing w:after="0" w:line="400" w:lineRule="exact"/>
        <w:ind w:left="1440"/>
        <w:jc w:val="both"/>
        <w:rPr>
          <w:rFonts w:ascii="Times New Roman" w:hAnsi="Times New Roman" w:cs="Times New Roman"/>
          <w:sz w:val="28"/>
          <w:szCs w:val="28"/>
        </w:rPr>
      </w:pPr>
      <w:r w:rsidRPr="004B15CE">
        <w:rPr>
          <w:rFonts w:ascii="Times New Roman" w:hAnsi="Times New Roman" w:cs="Times New Roman"/>
          <w:sz w:val="28"/>
          <w:szCs w:val="28"/>
        </w:rPr>
        <w:t>(vii) different combinations of the above factors.</w:t>
      </w:r>
    </w:p>
    <w:p w14:paraId="27013A29" w14:textId="77777777" w:rsidR="00E47AAD" w:rsidRPr="004B15CE" w:rsidRDefault="00E47AAD" w:rsidP="00AA76E8">
      <w:pPr>
        <w:spacing w:after="0" w:line="400" w:lineRule="exact"/>
        <w:ind w:firstLine="709"/>
        <w:jc w:val="both"/>
        <w:rPr>
          <w:rFonts w:ascii="Times New Roman" w:hAnsi="Times New Roman" w:cs="Times New Roman"/>
          <w:sz w:val="28"/>
          <w:szCs w:val="28"/>
        </w:rPr>
      </w:pPr>
      <w:r w:rsidRPr="004B15CE">
        <w:rPr>
          <w:rFonts w:ascii="Times New Roman" w:hAnsi="Times New Roman" w:cs="Times New Roman"/>
          <w:sz w:val="28"/>
          <w:szCs w:val="28"/>
        </w:rPr>
        <w:t>Claims are advanced for grants-in-aid on the basis of needs for balancing the budget, for bringing up the level of administration and raising the standard of social services in certain States and backward regions, for implementing some of the Directive Principles of the Constitution, for economic development, for bearing special additional burdens or dealing with disabilities consequent upon partition, etc., etc.</w:t>
      </w:r>
    </w:p>
    <w:p w14:paraId="00ED1ECA" w14:textId="77777777" w:rsidR="00E47AAD" w:rsidRPr="004B15CE" w:rsidRDefault="00E47AAD" w:rsidP="00AA76E8">
      <w:pPr>
        <w:spacing w:after="0" w:line="400" w:lineRule="exact"/>
        <w:ind w:firstLine="709"/>
        <w:jc w:val="both"/>
        <w:rPr>
          <w:rFonts w:ascii="Times New Roman" w:hAnsi="Times New Roman" w:cs="Times New Roman"/>
          <w:sz w:val="28"/>
          <w:szCs w:val="28"/>
        </w:rPr>
      </w:pPr>
      <w:r w:rsidRPr="004B15CE">
        <w:rPr>
          <w:rFonts w:ascii="Times New Roman" w:hAnsi="Times New Roman" w:cs="Times New Roman"/>
          <w:sz w:val="28"/>
          <w:szCs w:val="28"/>
        </w:rPr>
        <w:t>Further points which arise with respect to grants-in-aid are whether the grants should be general or specific, conditional or unconditional.</w:t>
      </w:r>
    </w:p>
    <w:p w14:paraId="23C2E7DA" w14:textId="77777777" w:rsidR="00E47AAD" w:rsidRPr="004B15CE" w:rsidRDefault="00E47AAD" w:rsidP="00AA76E8">
      <w:pPr>
        <w:spacing w:after="0" w:line="400" w:lineRule="exact"/>
        <w:ind w:firstLine="709"/>
        <w:jc w:val="both"/>
        <w:rPr>
          <w:rFonts w:ascii="Times New Roman" w:hAnsi="Times New Roman" w:cs="Times New Roman"/>
          <w:sz w:val="28"/>
          <w:szCs w:val="28"/>
        </w:rPr>
      </w:pPr>
      <w:r w:rsidRPr="004B15CE">
        <w:rPr>
          <w:rFonts w:ascii="Times New Roman" w:hAnsi="Times New Roman" w:cs="Times New Roman"/>
          <w:sz w:val="28"/>
          <w:szCs w:val="28"/>
        </w:rPr>
        <w:lastRenderedPageBreak/>
        <w:t>Before making their recommendations, the Finance Commission would welcome the views of all who may have made a study of these questions. The views may be set forth in a written memorandum and sent to the Secretary, Finance Commission, Faridkot House, Lytton Road, New Delhi, on or before April 15, 1952.</w:t>
      </w:r>
    </w:p>
    <w:p w14:paraId="244EC5A8" w14:textId="6B76D82C" w:rsidR="003804C0" w:rsidRPr="004B15CE" w:rsidRDefault="003804C0" w:rsidP="004B15CE">
      <w:pPr>
        <w:spacing w:after="0" w:line="400" w:lineRule="exact"/>
        <w:jc w:val="both"/>
        <w:rPr>
          <w:rFonts w:ascii="Times New Roman" w:hAnsi="Times New Roman" w:cs="Times New Roman"/>
          <w:sz w:val="28"/>
          <w:szCs w:val="28"/>
        </w:rPr>
      </w:pPr>
      <w:r w:rsidRPr="004B15CE">
        <w:rPr>
          <w:rFonts w:ascii="Times New Roman" w:hAnsi="Times New Roman" w:cs="Times New Roman"/>
          <w:sz w:val="28"/>
          <w:szCs w:val="28"/>
        </w:rPr>
        <w:br w:type="page"/>
      </w:r>
    </w:p>
    <w:p w14:paraId="6F188CC3" w14:textId="3FD73ABB" w:rsidR="003804C0" w:rsidRPr="004B15CE" w:rsidRDefault="003804C0" w:rsidP="00AA76E8">
      <w:pPr>
        <w:pStyle w:val="Heading2"/>
      </w:pPr>
      <w:bookmarkStart w:id="18" w:name="_Toc221007127"/>
      <w:r w:rsidRPr="004B15CE">
        <w:lastRenderedPageBreak/>
        <w:t>APPENDIX V</w:t>
      </w:r>
      <w:r w:rsidR="00AA76E8">
        <w:t xml:space="preserve"> </w:t>
      </w:r>
      <w:r w:rsidR="00AA76E8">
        <w:br/>
      </w:r>
      <w:r w:rsidRPr="004B15CE">
        <w:t>SUPPLEMENTARY POINTS ON WHICH STATE GOVERNMENTS WERE ASKED FOR INFORMATION</w:t>
      </w:r>
      <w:bookmarkEnd w:id="18"/>
    </w:p>
    <w:p w14:paraId="1BDD1904" w14:textId="77777777" w:rsidR="003804C0" w:rsidRPr="004B15CE" w:rsidRDefault="003804C0" w:rsidP="00AA76E8">
      <w:pPr>
        <w:numPr>
          <w:ilvl w:val="0"/>
          <w:numId w:val="24"/>
        </w:numPr>
        <w:spacing w:after="0" w:line="480" w:lineRule="exact"/>
        <w:jc w:val="both"/>
        <w:rPr>
          <w:rFonts w:ascii="Times New Roman" w:hAnsi="Times New Roman" w:cs="Times New Roman"/>
          <w:sz w:val="28"/>
          <w:szCs w:val="28"/>
        </w:rPr>
      </w:pPr>
      <w:r w:rsidRPr="004B15CE">
        <w:rPr>
          <w:rFonts w:ascii="Times New Roman" w:hAnsi="Times New Roman" w:cs="Times New Roman"/>
          <w:sz w:val="28"/>
          <w:szCs w:val="28"/>
        </w:rPr>
        <w:t>Changes in rates of the principal heads of revenue (agricultural income-tax, stamps, motor vehicles, entertainment tax, electricity duty, general sales tax and other taxes and duties) from 1946-47 to 1951-52.</w:t>
      </w:r>
    </w:p>
    <w:p w14:paraId="0C1571D1" w14:textId="77777777" w:rsidR="003804C0" w:rsidRPr="004B15CE" w:rsidRDefault="003804C0" w:rsidP="00AA76E8">
      <w:pPr>
        <w:numPr>
          <w:ilvl w:val="0"/>
          <w:numId w:val="24"/>
        </w:numPr>
        <w:spacing w:after="0" w:line="480" w:lineRule="exact"/>
        <w:jc w:val="both"/>
        <w:rPr>
          <w:rFonts w:ascii="Times New Roman" w:hAnsi="Times New Roman" w:cs="Times New Roman"/>
          <w:sz w:val="28"/>
          <w:szCs w:val="28"/>
        </w:rPr>
      </w:pPr>
      <w:r w:rsidRPr="004B15CE">
        <w:rPr>
          <w:rFonts w:ascii="Times New Roman" w:hAnsi="Times New Roman" w:cs="Times New Roman"/>
          <w:sz w:val="28"/>
          <w:szCs w:val="28"/>
        </w:rPr>
        <w:t>Changes in land revenue and excise revenue.</w:t>
      </w:r>
    </w:p>
    <w:p w14:paraId="2DBC1DB8" w14:textId="77777777" w:rsidR="003804C0" w:rsidRPr="004B15CE" w:rsidRDefault="003804C0" w:rsidP="00AA76E8">
      <w:pPr>
        <w:numPr>
          <w:ilvl w:val="0"/>
          <w:numId w:val="24"/>
        </w:numPr>
        <w:spacing w:after="0" w:line="480" w:lineRule="exact"/>
        <w:jc w:val="both"/>
        <w:rPr>
          <w:rFonts w:ascii="Times New Roman" w:hAnsi="Times New Roman" w:cs="Times New Roman"/>
          <w:sz w:val="28"/>
          <w:szCs w:val="28"/>
        </w:rPr>
      </w:pPr>
      <w:r w:rsidRPr="004B15CE">
        <w:rPr>
          <w:rFonts w:ascii="Times New Roman" w:hAnsi="Times New Roman" w:cs="Times New Roman"/>
          <w:sz w:val="28"/>
          <w:szCs w:val="28"/>
        </w:rPr>
        <w:t>Incidence of food subsidies on States revenues.</w:t>
      </w:r>
    </w:p>
    <w:p w14:paraId="24CCD790" w14:textId="77777777" w:rsidR="003804C0" w:rsidRPr="004B15CE" w:rsidRDefault="003804C0" w:rsidP="00AA76E8">
      <w:pPr>
        <w:numPr>
          <w:ilvl w:val="0"/>
          <w:numId w:val="24"/>
        </w:numPr>
        <w:spacing w:after="0" w:line="480" w:lineRule="exact"/>
        <w:jc w:val="both"/>
        <w:rPr>
          <w:rFonts w:ascii="Times New Roman" w:hAnsi="Times New Roman" w:cs="Times New Roman"/>
          <w:sz w:val="28"/>
          <w:szCs w:val="28"/>
        </w:rPr>
      </w:pPr>
      <w:r w:rsidRPr="004B15CE">
        <w:rPr>
          <w:rFonts w:ascii="Times New Roman" w:hAnsi="Times New Roman" w:cs="Times New Roman"/>
          <w:sz w:val="28"/>
          <w:szCs w:val="28"/>
        </w:rPr>
        <w:t>Changes in the balances in the Famine Relief Fund and Road Fund.</w:t>
      </w:r>
    </w:p>
    <w:p w14:paraId="6176803C" w14:textId="77777777" w:rsidR="003804C0" w:rsidRPr="004B15CE" w:rsidRDefault="003804C0" w:rsidP="00AA76E8">
      <w:pPr>
        <w:numPr>
          <w:ilvl w:val="0"/>
          <w:numId w:val="24"/>
        </w:numPr>
        <w:spacing w:after="0" w:line="480" w:lineRule="exact"/>
        <w:jc w:val="both"/>
        <w:rPr>
          <w:rFonts w:ascii="Times New Roman" w:hAnsi="Times New Roman" w:cs="Times New Roman"/>
          <w:sz w:val="28"/>
          <w:szCs w:val="28"/>
        </w:rPr>
      </w:pPr>
      <w:r w:rsidRPr="004B15CE">
        <w:rPr>
          <w:rFonts w:ascii="Times New Roman" w:hAnsi="Times New Roman" w:cs="Times New Roman"/>
          <w:sz w:val="28"/>
          <w:szCs w:val="28"/>
        </w:rPr>
        <w:t>Burden on the State Revenue on account of the relief and rehabilitation of displaced persons.</w:t>
      </w:r>
    </w:p>
    <w:p w14:paraId="1A225E3B" w14:textId="77777777" w:rsidR="003804C0" w:rsidRPr="004B15CE" w:rsidRDefault="003804C0" w:rsidP="00AA76E8">
      <w:pPr>
        <w:numPr>
          <w:ilvl w:val="0"/>
          <w:numId w:val="24"/>
        </w:numPr>
        <w:spacing w:after="0" w:line="480" w:lineRule="exact"/>
        <w:jc w:val="both"/>
        <w:rPr>
          <w:rFonts w:ascii="Times New Roman" w:hAnsi="Times New Roman" w:cs="Times New Roman"/>
          <w:sz w:val="28"/>
          <w:szCs w:val="28"/>
        </w:rPr>
      </w:pPr>
      <w:r w:rsidRPr="004B15CE">
        <w:rPr>
          <w:rFonts w:ascii="Times New Roman" w:hAnsi="Times New Roman" w:cs="Times New Roman"/>
          <w:sz w:val="28"/>
          <w:szCs w:val="28"/>
        </w:rPr>
        <w:t>Revenue of local bodies and expenditure incurred by them on education and health services.</w:t>
      </w:r>
    </w:p>
    <w:p w14:paraId="3385CE82" w14:textId="77777777" w:rsidR="003804C0" w:rsidRPr="004B15CE" w:rsidRDefault="003804C0" w:rsidP="00AA76E8">
      <w:pPr>
        <w:numPr>
          <w:ilvl w:val="0"/>
          <w:numId w:val="24"/>
        </w:numPr>
        <w:spacing w:after="0" w:line="480" w:lineRule="exact"/>
        <w:jc w:val="both"/>
        <w:rPr>
          <w:rFonts w:ascii="Times New Roman" w:hAnsi="Times New Roman" w:cs="Times New Roman"/>
          <w:sz w:val="28"/>
          <w:szCs w:val="28"/>
        </w:rPr>
      </w:pPr>
      <w:r w:rsidRPr="004B15CE">
        <w:rPr>
          <w:rFonts w:ascii="Times New Roman" w:hAnsi="Times New Roman" w:cs="Times New Roman"/>
          <w:sz w:val="28"/>
          <w:szCs w:val="28"/>
        </w:rPr>
        <w:t>Mileage of national highways and (A), (B) and (C) Class Roads.</w:t>
      </w:r>
    </w:p>
    <w:p w14:paraId="2F50193C" w14:textId="77777777" w:rsidR="003804C0" w:rsidRPr="004B15CE" w:rsidRDefault="003804C0" w:rsidP="00AA76E8">
      <w:pPr>
        <w:numPr>
          <w:ilvl w:val="0"/>
          <w:numId w:val="24"/>
        </w:numPr>
        <w:spacing w:after="0" w:line="480" w:lineRule="exact"/>
        <w:jc w:val="both"/>
        <w:rPr>
          <w:rFonts w:ascii="Times New Roman" w:hAnsi="Times New Roman" w:cs="Times New Roman"/>
          <w:sz w:val="28"/>
          <w:szCs w:val="28"/>
        </w:rPr>
      </w:pPr>
      <w:r w:rsidRPr="004B15CE">
        <w:rPr>
          <w:rFonts w:ascii="Times New Roman" w:hAnsi="Times New Roman" w:cs="Times New Roman"/>
          <w:sz w:val="28"/>
          <w:szCs w:val="28"/>
        </w:rPr>
        <w:t>Strength of establishment under Police and general administration during 1946-47 and 1951-52.</w:t>
      </w:r>
    </w:p>
    <w:p w14:paraId="2EE4DBA1" w14:textId="77777777" w:rsidR="003804C0" w:rsidRPr="004B15CE" w:rsidRDefault="003804C0" w:rsidP="00AA76E8">
      <w:pPr>
        <w:numPr>
          <w:ilvl w:val="0"/>
          <w:numId w:val="24"/>
        </w:numPr>
        <w:spacing w:after="0" w:line="480" w:lineRule="exact"/>
        <w:jc w:val="both"/>
        <w:rPr>
          <w:rFonts w:ascii="Times New Roman" w:hAnsi="Times New Roman" w:cs="Times New Roman"/>
          <w:sz w:val="28"/>
          <w:szCs w:val="28"/>
        </w:rPr>
      </w:pPr>
      <w:r w:rsidRPr="004B15CE">
        <w:rPr>
          <w:rFonts w:ascii="Times New Roman" w:hAnsi="Times New Roman" w:cs="Times New Roman"/>
          <w:sz w:val="28"/>
          <w:szCs w:val="28"/>
        </w:rPr>
        <w:t>Number of primary schools, attendance at schools and number of teachers in them.</w:t>
      </w:r>
    </w:p>
    <w:p w14:paraId="1CCA783F" w14:textId="77777777" w:rsidR="003804C0" w:rsidRPr="004B15CE" w:rsidRDefault="003804C0" w:rsidP="00AA76E8">
      <w:pPr>
        <w:numPr>
          <w:ilvl w:val="0"/>
          <w:numId w:val="24"/>
        </w:numPr>
        <w:spacing w:after="0" w:line="480" w:lineRule="exact"/>
        <w:jc w:val="both"/>
        <w:rPr>
          <w:rFonts w:ascii="Times New Roman" w:hAnsi="Times New Roman" w:cs="Times New Roman"/>
          <w:sz w:val="28"/>
          <w:szCs w:val="28"/>
        </w:rPr>
      </w:pPr>
      <w:r w:rsidRPr="004B15CE">
        <w:rPr>
          <w:rFonts w:ascii="Times New Roman" w:hAnsi="Times New Roman" w:cs="Times New Roman"/>
          <w:sz w:val="28"/>
          <w:szCs w:val="28"/>
        </w:rPr>
        <w:t>Number of hospitals and dispensaries, rural and urban.</w:t>
      </w:r>
    </w:p>
    <w:p w14:paraId="1E73CAAD" w14:textId="77777777" w:rsidR="003804C0" w:rsidRPr="004B15CE" w:rsidRDefault="003804C0" w:rsidP="00AA76E8">
      <w:pPr>
        <w:numPr>
          <w:ilvl w:val="0"/>
          <w:numId w:val="24"/>
        </w:numPr>
        <w:spacing w:after="0" w:line="480" w:lineRule="exact"/>
        <w:jc w:val="both"/>
        <w:rPr>
          <w:rFonts w:ascii="Times New Roman" w:hAnsi="Times New Roman" w:cs="Times New Roman"/>
          <w:sz w:val="28"/>
          <w:szCs w:val="28"/>
        </w:rPr>
      </w:pPr>
      <w:r w:rsidRPr="004B15CE">
        <w:rPr>
          <w:rFonts w:ascii="Times New Roman" w:hAnsi="Times New Roman" w:cs="Times New Roman"/>
          <w:sz w:val="28"/>
          <w:szCs w:val="28"/>
        </w:rPr>
        <w:t>Taxes levied by the State on professions, callings and employment.</w:t>
      </w:r>
    </w:p>
    <w:p w14:paraId="5B3314C1" w14:textId="77777777" w:rsidR="003804C0" w:rsidRPr="004B15CE" w:rsidRDefault="003804C0" w:rsidP="00AA76E8">
      <w:pPr>
        <w:numPr>
          <w:ilvl w:val="0"/>
          <w:numId w:val="24"/>
        </w:numPr>
        <w:spacing w:after="0" w:line="480" w:lineRule="exact"/>
        <w:jc w:val="both"/>
        <w:rPr>
          <w:rFonts w:ascii="Times New Roman" w:hAnsi="Times New Roman" w:cs="Times New Roman"/>
          <w:sz w:val="28"/>
          <w:szCs w:val="28"/>
        </w:rPr>
      </w:pPr>
      <w:r w:rsidRPr="004B15CE">
        <w:rPr>
          <w:rFonts w:ascii="Times New Roman" w:hAnsi="Times New Roman" w:cs="Times New Roman"/>
          <w:sz w:val="28"/>
          <w:szCs w:val="28"/>
        </w:rPr>
        <w:t>Economy campaign carried out by State Governments in the three years ending 1951-52.</w:t>
      </w:r>
    </w:p>
    <w:p w14:paraId="51B01C02" w14:textId="77777777" w:rsidR="003804C0" w:rsidRPr="004B15CE" w:rsidRDefault="003804C0" w:rsidP="00AA76E8">
      <w:pPr>
        <w:numPr>
          <w:ilvl w:val="0"/>
          <w:numId w:val="24"/>
        </w:numPr>
        <w:spacing w:after="0" w:line="480" w:lineRule="exact"/>
        <w:jc w:val="both"/>
        <w:rPr>
          <w:rFonts w:ascii="Times New Roman" w:hAnsi="Times New Roman" w:cs="Times New Roman"/>
          <w:sz w:val="28"/>
          <w:szCs w:val="28"/>
        </w:rPr>
      </w:pPr>
      <w:r w:rsidRPr="004B15CE">
        <w:rPr>
          <w:rFonts w:ascii="Times New Roman" w:hAnsi="Times New Roman" w:cs="Times New Roman"/>
          <w:sz w:val="28"/>
          <w:szCs w:val="28"/>
        </w:rPr>
        <w:t>Programmes of agrarian reforms in the States.</w:t>
      </w:r>
    </w:p>
    <w:p w14:paraId="6C2F6824" w14:textId="77777777" w:rsidR="003804C0" w:rsidRPr="004B15CE" w:rsidRDefault="003804C0" w:rsidP="00AA76E8">
      <w:pPr>
        <w:numPr>
          <w:ilvl w:val="0"/>
          <w:numId w:val="24"/>
        </w:numPr>
        <w:spacing w:after="0" w:line="480" w:lineRule="exact"/>
        <w:jc w:val="both"/>
        <w:rPr>
          <w:rFonts w:ascii="Times New Roman" w:hAnsi="Times New Roman" w:cs="Times New Roman"/>
          <w:sz w:val="28"/>
          <w:szCs w:val="28"/>
        </w:rPr>
      </w:pPr>
      <w:r w:rsidRPr="004B15CE">
        <w:rPr>
          <w:rFonts w:ascii="Times New Roman" w:hAnsi="Times New Roman" w:cs="Times New Roman"/>
          <w:sz w:val="28"/>
          <w:szCs w:val="28"/>
        </w:rPr>
        <w:t>Expenditure incurred in 1950-51 and 1951-52 on the administration of controls and rationing.</w:t>
      </w:r>
    </w:p>
    <w:p w14:paraId="71BB3119" w14:textId="77777777" w:rsidR="003804C0" w:rsidRPr="004B15CE" w:rsidRDefault="003804C0" w:rsidP="00AA76E8">
      <w:pPr>
        <w:numPr>
          <w:ilvl w:val="0"/>
          <w:numId w:val="24"/>
        </w:numPr>
        <w:spacing w:after="0" w:line="480" w:lineRule="exact"/>
        <w:jc w:val="both"/>
        <w:rPr>
          <w:rFonts w:ascii="Times New Roman" w:hAnsi="Times New Roman" w:cs="Times New Roman"/>
          <w:sz w:val="28"/>
          <w:szCs w:val="28"/>
        </w:rPr>
      </w:pPr>
      <w:r w:rsidRPr="004B15CE">
        <w:rPr>
          <w:rFonts w:ascii="Times New Roman" w:hAnsi="Times New Roman" w:cs="Times New Roman"/>
          <w:sz w:val="28"/>
          <w:szCs w:val="28"/>
        </w:rPr>
        <w:t>Expenditure incurred on development schemes.</w:t>
      </w:r>
    </w:p>
    <w:p w14:paraId="35578E62" w14:textId="77777777" w:rsidR="003804C0" w:rsidRPr="004B15CE" w:rsidRDefault="003804C0" w:rsidP="00AA76E8">
      <w:pPr>
        <w:numPr>
          <w:ilvl w:val="0"/>
          <w:numId w:val="24"/>
        </w:numPr>
        <w:spacing w:after="0" w:line="480" w:lineRule="exact"/>
        <w:jc w:val="both"/>
        <w:rPr>
          <w:rFonts w:ascii="Times New Roman" w:hAnsi="Times New Roman" w:cs="Times New Roman"/>
          <w:sz w:val="28"/>
          <w:szCs w:val="28"/>
        </w:rPr>
      </w:pPr>
      <w:r w:rsidRPr="004B15CE">
        <w:rPr>
          <w:rFonts w:ascii="Times New Roman" w:hAnsi="Times New Roman" w:cs="Times New Roman"/>
          <w:sz w:val="28"/>
          <w:szCs w:val="28"/>
        </w:rPr>
        <w:t>Working of commercial undertakings of the States like road transport, electricity schemes, etc.</w:t>
      </w:r>
    </w:p>
    <w:p w14:paraId="69A63533" w14:textId="77777777" w:rsidR="00AA76E8" w:rsidRDefault="003804C0" w:rsidP="00AA76E8">
      <w:pPr>
        <w:numPr>
          <w:ilvl w:val="0"/>
          <w:numId w:val="24"/>
        </w:numPr>
        <w:spacing w:after="0" w:line="480" w:lineRule="exact"/>
        <w:jc w:val="both"/>
        <w:rPr>
          <w:rFonts w:ascii="Times New Roman" w:hAnsi="Times New Roman" w:cs="Times New Roman"/>
          <w:sz w:val="28"/>
          <w:szCs w:val="28"/>
        </w:rPr>
      </w:pPr>
      <w:r w:rsidRPr="004B15CE">
        <w:rPr>
          <w:rFonts w:ascii="Times New Roman" w:hAnsi="Times New Roman" w:cs="Times New Roman"/>
          <w:sz w:val="28"/>
          <w:szCs w:val="28"/>
        </w:rPr>
        <w:t>Assets and liabilities of the States in recent years.</w:t>
      </w:r>
    </w:p>
    <w:p w14:paraId="416A04BE" w14:textId="27C71F8E" w:rsidR="00F41110" w:rsidRPr="00AA76E8" w:rsidRDefault="00F41110" w:rsidP="00AA76E8">
      <w:pPr>
        <w:numPr>
          <w:ilvl w:val="0"/>
          <w:numId w:val="24"/>
        </w:numPr>
        <w:spacing w:after="0" w:line="480" w:lineRule="exact"/>
        <w:jc w:val="both"/>
        <w:rPr>
          <w:rFonts w:ascii="Times New Roman" w:hAnsi="Times New Roman" w:cs="Times New Roman"/>
          <w:sz w:val="28"/>
          <w:szCs w:val="28"/>
        </w:rPr>
      </w:pPr>
      <w:r w:rsidRPr="00AA76E8">
        <w:rPr>
          <w:rFonts w:ascii="Times New Roman" w:hAnsi="Times New Roman" w:cs="Times New Roman"/>
          <w:sz w:val="28"/>
          <w:szCs w:val="28"/>
        </w:rPr>
        <w:lastRenderedPageBreak/>
        <w:t>Regional distribution of population.</w:t>
      </w:r>
    </w:p>
    <w:p w14:paraId="1B44C2F8" w14:textId="0C0B09B9" w:rsidR="00F41110" w:rsidRPr="004B15CE" w:rsidRDefault="00F41110" w:rsidP="00AA76E8">
      <w:pPr>
        <w:numPr>
          <w:ilvl w:val="0"/>
          <w:numId w:val="24"/>
        </w:numPr>
        <w:spacing w:after="0" w:line="480" w:lineRule="exact"/>
        <w:jc w:val="both"/>
        <w:rPr>
          <w:rFonts w:ascii="Times New Roman" w:hAnsi="Times New Roman" w:cs="Times New Roman"/>
          <w:sz w:val="28"/>
          <w:szCs w:val="28"/>
        </w:rPr>
      </w:pPr>
      <w:r w:rsidRPr="004B15CE">
        <w:rPr>
          <w:rFonts w:ascii="Times New Roman" w:hAnsi="Times New Roman" w:cs="Times New Roman"/>
          <w:sz w:val="28"/>
          <w:szCs w:val="28"/>
        </w:rPr>
        <w:t>Cash and securities taken over from merged States.</w:t>
      </w:r>
    </w:p>
    <w:p w14:paraId="37F864AF" w14:textId="6A36C500" w:rsidR="00F41110" w:rsidRPr="004B15CE" w:rsidRDefault="00F41110" w:rsidP="00AA76E8">
      <w:pPr>
        <w:numPr>
          <w:ilvl w:val="0"/>
          <w:numId w:val="24"/>
        </w:numPr>
        <w:spacing w:after="0" w:line="480" w:lineRule="exact"/>
        <w:jc w:val="both"/>
        <w:rPr>
          <w:rFonts w:ascii="Times New Roman" w:hAnsi="Times New Roman" w:cs="Times New Roman"/>
          <w:sz w:val="28"/>
          <w:szCs w:val="28"/>
        </w:rPr>
      </w:pPr>
      <w:r w:rsidRPr="004B15CE">
        <w:rPr>
          <w:rFonts w:ascii="Times New Roman" w:hAnsi="Times New Roman" w:cs="Times New Roman"/>
          <w:sz w:val="28"/>
          <w:szCs w:val="28"/>
        </w:rPr>
        <w:t>Results of Grow More Food Schemes.</w:t>
      </w:r>
    </w:p>
    <w:p w14:paraId="4F3B5714" w14:textId="207DD528" w:rsidR="00F41110" w:rsidRPr="004B15CE" w:rsidRDefault="00F41110" w:rsidP="00AA76E8">
      <w:pPr>
        <w:numPr>
          <w:ilvl w:val="0"/>
          <w:numId w:val="24"/>
        </w:numPr>
        <w:spacing w:after="0" w:line="480" w:lineRule="exact"/>
        <w:jc w:val="both"/>
        <w:rPr>
          <w:rFonts w:ascii="Times New Roman" w:hAnsi="Times New Roman" w:cs="Times New Roman"/>
          <w:sz w:val="28"/>
          <w:szCs w:val="28"/>
        </w:rPr>
      </w:pPr>
      <w:r w:rsidRPr="004B15CE">
        <w:rPr>
          <w:rFonts w:ascii="Times New Roman" w:hAnsi="Times New Roman" w:cs="Times New Roman"/>
          <w:sz w:val="28"/>
          <w:szCs w:val="28"/>
        </w:rPr>
        <w:t>Position of taccavi loans in recent years.</w:t>
      </w:r>
    </w:p>
    <w:p w14:paraId="32887B60" w14:textId="4ECF1DBC" w:rsidR="00F41110" w:rsidRPr="004B15CE" w:rsidRDefault="00F41110" w:rsidP="00AA76E8">
      <w:pPr>
        <w:numPr>
          <w:ilvl w:val="0"/>
          <w:numId w:val="24"/>
        </w:numPr>
        <w:spacing w:after="0" w:line="480" w:lineRule="exact"/>
        <w:jc w:val="both"/>
        <w:rPr>
          <w:rFonts w:ascii="Times New Roman" w:hAnsi="Times New Roman" w:cs="Times New Roman"/>
          <w:sz w:val="28"/>
          <w:szCs w:val="28"/>
        </w:rPr>
      </w:pPr>
      <w:r w:rsidRPr="004B15CE">
        <w:rPr>
          <w:rFonts w:ascii="Times New Roman" w:hAnsi="Times New Roman" w:cs="Times New Roman"/>
          <w:sz w:val="28"/>
          <w:szCs w:val="28"/>
        </w:rPr>
        <w:t>Revenue from royalties on minerals.</w:t>
      </w:r>
    </w:p>
    <w:p w14:paraId="555DD095" w14:textId="77777777" w:rsidR="00F41110" w:rsidRPr="004B15CE" w:rsidRDefault="00F41110" w:rsidP="00AA76E8">
      <w:pPr>
        <w:spacing w:after="0" w:line="480" w:lineRule="exact"/>
        <w:ind w:left="1440"/>
        <w:jc w:val="both"/>
        <w:rPr>
          <w:rFonts w:ascii="Times New Roman" w:hAnsi="Times New Roman" w:cs="Times New Roman"/>
          <w:sz w:val="28"/>
          <w:szCs w:val="28"/>
        </w:rPr>
      </w:pPr>
    </w:p>
    <w:p w14:paraId="38F1D4F0" w14:textId="77777777" w:rsidR="00F41110" w:rsidRPr="004B15CE" w:rsidRDefault="00F41110" w:rsidP="00241C00">
      <w:pPr>
        <w:spacing w:after="0" w:line="480" w:lineRule="exact"/>
        <w:ind w:firstLine="709"/>
        <w:jc w:val="both"/>
        <w:rPr>
          <w:rFonts w:ascii="Times New Roman" w:hAnsi="Times New Roman" w:cs="Times New Roman"/>
          <w:sz w:val="28"/>
          <w:szCs w:val="28"/>
        </w:rPr>
      </w:pPr>
      <w:proofErr w:type="gramStart"/>
      <w:r w:rsidRPr="004B15CE">
        <w:rPr>
          <w:rFonts w:ascii="Times New Roman" w:hAnsi="Times New Roman" w:cs="Times New Roman"/>
          <w:sz w:val="28"/>
          <w:szCs w:val="28"/>
        </w:rPr>
        <w:t>NOTE.—</w:t>
      </w:r>
      <w:proofErr w:type="gramEnd"/>
      <w:r w:rsidRPr="004B15CE">
        <w:rPr>
          <w:rFonts w:ascii="Times New Roman" w:hAnsi="Times New Roman" w:cs="Times New Roman"/>
          <w:sz w:val="28"/>
          <w:szCs w:val="28"/>
        </w:rPr>
        <w:t xml:space="preserve">The information </w:t>
      </w:r>
      <w:proofErr w:type="gramStart"/>
      <w:r w:rsidRPr="004B15CE">
        <w:rPr>
          <w:rFonts w:ascii="Times New Roman" w:hAnsi="Times New Roman" w:cs="Times New Roman"/>
          <w:sz w:val="28"/>
          <w:szCs w:val="28"/>
        </w:rPr>
        <w:t>in regard to</w:t>
      </w:r>
      <w:proofErr w:type="gramEnd"/>
      <w:r w:rsidRPr="004B15CE">
        <w:rPr>
          <w:rFonts w:ascii="Times New Roman" w:hAnsi="Times New Roman" w:cs="Times New Roman"/>
          <w:sz w:val="28"/>
          <w:szCs w:val="28"/>
        </w:rPr>
        <w:t xml:space="preserve"> items 2 to 6 inclusive was asked for the five years ending 1951-52 from Part A States and the two years ending 1951-52 from Part B States.</w:t>
      </w:r>
    </w:p>
    <w:p w14:paraId="0540E100" w14:textId="36E72435" w:rsidR="00173B1E" w:rsidRPr="004B15CE" w:rsidRDefault="00173B1E" w:rsidP="004B15CE">
      <w:pPr>
        <w:spacing w:after="0" w:line="400" w:lineRule="exact"/>
        <w:jc w:val="both"/>
        <w:rPr>
          <w:rFonts w:ascii="Times New Roman" w:hAnsi="Times New Roman" w:cs="Times New Roman"/>
          <w:sz w:val="28"/>
          <w:szCs w:val="28"/>
        </w:rPr>
      </w:pPr>
      <w:r w:rsidRPr="004B15CE">
        <w:rPr>
          <w:rFonts w:ascii="Times New Roman" w:hAnsi="Times New Roman" w:cs="Times New Roman"/>
          <w:sz w:val="28"/>
          <w:szCs w:val="28"/>
        </w:rPr>
        <w:br w:type="page"/>
      </w:r>
    </w:p>
    <w:p w14:paraId="3148330C" w14:textId="6A0EB8BE" w:rsidR="00173B1E" w:rsidRDefault="00173B1E" w:rsidP="00AA76E8">
      <w:pPr>
        <w:pStyle w:val="Heading2"/>
      </w:pPr>
      <w:bookmarkStart w:id="19" w:name="_Toc221007128"/>
      <w:r w:rsidRPr="004B15CE">
        <w:lastRenderedPageBreak/>
        <w:t>APPENDIX VI</w:t>
      </w:r>
      <w:r w:rsidR="00AA76E8">
        <w:t xml:space="preserve"> </w:t>
      </w:r>
      <w:r w:rsidR="00AA76E8">
        <w:br/>
      </w:r>
      <w:r w:rsidRPr="00241C00">
        <w:t>DATES OF DISCUSSIONS WITH STATE GOVERNMENTS</w:t>
      </w:r>
      <w:bookmarkEnd w:id="19"/>
    </w:p>
    <w:p w14:paraId="07C02694" w14:textId="77777777" w:rsidR="00AA76E8" w:rsidRPr="00AA76E8" w:rsidRDefault="00AA76E8" w:rsidP="00AA76E8"/>
    <w:tbl>
      <w:tblPr>
        <w:tblStyle w:val="TableGrid"/>
        <w:tblW w:w="0" w:type="auto"/>
        <w:jc w:val="center"/>
        <w:tblLook w:val="04A0" w:firstRow="1" w:lastRow="0" w:firstColumn="1" w:lastColumn="0" w:noHBand="0" w:noVBand="1"/>
      </w:tblPr>
      <w:tblGrid>
        <w:gridCol w:w="3962"/>
        <w:gridCol w:w="5526"/>
      </w:tblGrid>
      <w:tr w:rsidR="00173B1E" w:rsidRPr="004B15CE" w14:paraId="06D3B0FA" w14:textId="77777777" w:rsidTr="00AA76E8">
        <w:trPr>
          <w:trHeight w:val="57"/>
          <w:jc w:val="center"/>
        </w:trPr>
        <w:tc>
          <w:tcPr>
            <w:tcW w:w="0" w:type="auto"/>
            <w:vAlign w:val="center"/>
            <w:hideMark/>
          </w:tcPr>
          <w:p w14:paraId="39DB1CB7" w14:textId="77777777" w:rsidR="00173B1E" w:rsidRPr="00241C00" w:rsidRDefault="00173B1E" w:rsidP="00AA76E8">
            <w:pPr>
              <w:pStyle w:val="Tables"/>
              <w:rPr>
                <w:b/>
                <w:bCs/>
              </w:rPr>
            </w:pPr>
            <w:r w:rsidRPr="00241C00">
              <w:rPr>
                <w:b/>
                <w:bCs/>
              </w:rPr>
              <w:t>Government</w:t>
            </w:r>
          </w:p>
        </w:tc>
        <w:tc>
          <w:tcPr>
            <w:tcW w:w="0" w:type="auto"/>
            <w:vAlign w:val="center"/>
            <w:hideMark/>
          </w:tcPr>
          <w:p w14:paraId="25E96BA7" w14:textId="77777777" w:rsidR="00173B1E" w:rsidRPr="00241C00" w:rsidRDefault="00173B1E" w:rsidP="00AA76E8">
            <w:pPr>
              <w:pStyle w:val="Tables"/>
              <w:rPr>
                <w:b/>
                <w:bCs/>
              </w:rPr>
            </w:pPr>
            <w:r w:rsidRPr="00241C00">
              <w:rPr>
                <w:b/>
                <w:bCs/>
              </w:rPr>
              <w:t>Dates</w:t>
            </w:r>
          </w:p>
        </w:tc>
      </w:tr>
      <w:tr w:rsidR="00173B1E" w:rsidRPr="004B15CE" w14:paraId="563EC1CE" w14:textId="77777777" w:rsidTr="00AA76E8">
        <w:trPr>
          <w:trHeight w:val="57"/>
          <w:jc w:val="center"/>
        </w:trPr>
        <w:tc>
          <w:tcPr>
            <w:tcW w:w="0" w:type="auto"/>
            <w:vAlign w:val="center"/>
            <w:hideMark/>
          </w:tcPr>
          <w:p w14:paraId="023908FE" w14:textId="77777777" w:rsidR="00173B1E" w:rsidRPr="004B15CE" w:rsidRDefault="00173B1E" w:rsidP="00AA76E8">
            <w:pPr>
              <w:pStyle w:val="Tables"/>
            </w:pPr>
            <w:r w:rsidRPr="004B15CE">
              <w:t>Madhya Pradesh</w:t>
            </w:r>
          </w:p>
        </w:tc>
        <w:tc>
          <w:tcPr>
            <w:tcW w:w="0" w:type="auto"/>
            <w:vAlign w:val="center"/>
            <w:hideMark/>
          </w:tcPr>
          <w:p w14:paraId="611AA527" w14:textId="77777777" w:rsidR="00173B1E" w:rsidRPr="004B15CE" w:rsidRDefault="00173B1E" w:rsidP="00AA76E8">
            <w:pPr>
              <w:pStyle w:val="Tables"/>
            </w:pPr>
            <w:r w:rsidRPr="004B15CE">
              <w:t>7th to 10th April 1952</w:t>
            </w:r>
          </w:p>
        </w:tc>
      </w:tr>
      <w:tr w:rsidR="00173B1E" w:rsidRPr="004B15CE" w14:paraId="715BBA68" w14:textId="77777777" w:rsidTr="00AA76E8">
        <w:trPr>
          <w:trHeight w:val="57"/>
          <w:jc w:val="center"/>
        </w:trPr>
        <w:tc>
          <w:tcPr>
            <w:tcW w:w="0" w:type="auto"/>
            <w:vAlign w:val="center"/>
            <w:hideMark/>
          </w:tcPr>
          <w:p w14:paraId="409DD740" w14:textId="77777777" w:rsidR="00173B1E" w:rsidRPr="004B15CE" w:rsidRDefault="00173B1E" w:rsidP="00AA76E8">
            <w:pPr>
              <w:pStyle w:val="Tables"/>
            </w:pPr>
            <w:r w:rsidRPr="004B15CE">
              <w:t>West Bengal</w:t>
            </w:r>
          </w:p>
        </w:tc>
        <w:tc>
          <w:tcPr>
            <w:tcW w:w="0" w:type="auto"/>
            <w:vAlign w:val="center"/>
            <w:hideMark/>
          </w:tcPr>
          <w:p w14:paraId="02577CCF" w14:textId="77777777" w:rsidR="00173B1E" w:rsidRPr="004B15CE" w:rsidRDefault="00173B1E" w:rsidP="00AA76E8">
            <w:pPr>
              <w:pStyle w:val="Tables"/>
            </w:pPr>
            <w:r w:rsidRPr="004B15CE">
              <w:t>17th to 31st April 1952</w:t>
            </w:r>
          </w:p>
        </w:tc>
      </w:tr>
      <w:tr w:rsidR="00173B1E" w:rsidRPr="004B15CE" w14:paraId="34D1C77F" w14:textId="77777777" w:rsidTr="00AA76E8">
        <w:trPr>
          <w:trHeight w:val="57"/>
          <w:jc w:val="center"/>
        </w:trPr>
        <w:tc>
          <w:tcPr>
            <w:tcW w:w="0" w:type="auto"/>
            <w:vAlign w:val="center"/>
            <w:hideMark/>
          </w:tcPr>
          <w:p w14:paraId="670B243D" w14:textId="77777777" w:rsidR="00173B1E" w:rsidRPr="004B15CE" w:rsidRDefault="00173B1E" w:rsidP="00AA76E8">
            <w:pPr>
              <w:pStyle w:val="Tables"/>
            </w:pPr>
            <w:r w:rsidRPr="004B15CE">
              <w:t>Orissa</w:t>
            </w:r>
          </w:p>
        </w:tc>
        <w:tc>
          <w:tcPr>
            <w:tcW w:w="0" w:type="auto"/>
            <w:vAlign w:val="center"/>
            <w:hideMark/>
          </w:tcPr>
          <w:p w14:paraId="317A1DB0" w14:textId="77777777" w:rsidR="00173B1E" w:rsidRPr="004B15CE" w:rsidRDefault="00173B1E" w:rsidP="00AA76E8">
            <w:pPr>
              <w:pStyle w:val="Tables"/>
            </w:pPr>
            <w:r w:rsidRPr="004B15CE">
              <w:t>23rd to 25th April 1952</w:t>
            </w:r>
          </w:p>
        </w:tc>
      </w:tr>
      <w:tr w:rsidR="00173B1E" w:rsidRPr="004B15CE" w14:paraId="6C3E3E42" w14:textId="77777777" w:rsidTr="00AA76E8">
        <w:trPr>
          <w:trHeight w:val="57"/>
          <w:jc w:val="center"/>
        </w:trPr>
        <w:tc>
          <w:tcPr>
            <w:tcW w:w="0" w:type="auto"/>
            <w:vAlign w:val="center"/>
            <w:hideMark/>
          </w:tcPr>
          <w:p w14:paraId="6EDF35D1" w14:textId="77777777" w:rsidR="00173B1E" w:rsidRPr="004B15CE" w:rsidRDefault="00173B1E" w:rsidP="00AA76E8">
            <w:pPr>
              <w:pStyle w:val="Tables"/>
            </w:pPr>
            <w:r w:rsidRPr="004B15CE">
              <w:t>Assam</w:t>
            </w:r>
          </w:p>
        </w:tc>
        <w:tc>
          <w:tcPr>
            <w:tcW w:w="0" w:type="auto"/>
            <w:vAlign w:val="center"/>
            <w:hideMark/>
          </w:tcPr>
          <w:p w14:paraId="0420753C" w14:textId="77777777" w:rsidR="00173B1E" w:rsidRPr="004B15CE" w:rsidRDefault="00173B1E" w:rsidP="00AA76E8">
            <w:pPr>
              <w:pStyle w:val="Tables"/>
            </w:pPr>
            <w:r w:rsidRPr="004B15CE">
              <w:t>3rd to 7th May 1952</w:t>
            </w:r>
          </w:p>
        </w:tc>
      </w:tr>
      <w:tr w:rsidR="00173B1E" w:rsidRPr="004B15CE" w14:paraId="5214C727" w14:textId="77777777" w:rsidTr="00AA76E8">
        <w:trPr>
          <w:trHeight w:val="57"/>
          <w:jc w:val="center"/>
        </w:trPr>
        <w:tc>
          <w:tcPr>
            <w:tcW w:w="0" w:type="auto"/>
            <w:vAlign w:val="center"/>
            <w:hideMark/>
          </w:tcPr>
          <w:p w14:paraId="2AE76469" w14:textId="77777777" w:rsidR="00173B1E" w:rsidRPr="004B15CE" w:rsidRDefault="00173B1E" w:rsidP="00AA76E8">
            <w:pPr>
              <w:pStyle w:val="Tables"/>
            </w:pPr>
            <w:r w:rsidRPr="004B15CE">
              <w:t>Madhya Bharat</w:t>
            </w:r>
          </w:p>
        </w:tc>
        <w:tc>
          <w:tcPr>
            <w:tcW w:w="0" w:type="auto"/>
            <w:vAlign w:val="center"/>
            <w:hideMark/>
          </w:tcPr>
          <w:p w14:paraId="0A03E27F" w14:textId="77777777" w:rsidR="00173B1E" w:rsidRPr="004B15CE" w:rsidRDefault="00173B1E" w:rsidP="00AA76E8">
            <w:pPr>
              <w:pStyle w:val="Tables"/>
            </w:pPr>
            <w:r w:rsidRPr="004B15CE">
              <w:t>27th to 30th May 1952</w:t>
            </w:r>
          </w:p>
        </w:tc>
      </w:tr>
      <w:tr w:rsidR="00173B1E" w:rsidRPr="004B15CE" w14:paraId="27569889" w14:textId="77777777" w:rsidTr="00AA76E8">
        <w:trPr>
          <w:trHeight w:val="57"/>
          <w:jc w:val="center"/>
        </w:trPr>
        <w:tc>
          <w:tcPr>
            <w:tcW w:w="0" w:type="auto"/>
            <w:vAlign w:val="center"/>
            <w:hideMark/>
          </w:tcPr>
          <w:p w14:paraId="0228F2AC" w14:textId="77777777" w:rsidR="00173B1E" w:rsidRPr="004B15CE" w:rsidRDefault="00173B1E" w:rsidP="00AA76E8">
            <w:pPr>
              <w:pStyle w:val="Tables"/>
            </w:pPr>
            <w:r w:rsidRPr="004B15CE">
              <w:t>Bombay</w:t>
            </w:r>
          </w:p>
        </w:tc>
        <w:tc>
          <w:tcPr>
            <w:tcW w:w="0" w:type="auto"/>
            <w:vAlign w:val="center"/>
            <w:hideMark/>
          </w:tcPr>
          <w:p w14:paraId="77F2593E" w14:textId="77777777" w:rsidR="00173B1E" w:rsidRPr="004B15CE" w:rsidRDefault="00173B1E" w:rsidP="00AA76E8">
            <w:pPr>
              <w:pStyle w:val="Tables"/>
            </w:pPr>
            <w:r w:rsidRPr="004B15CE">
              <w:t>2nd to 5th June 1952</w:t>
            </w:r>
          </w:p>
        </w:tc>
      </w:tr>
      <w:tr w:rsidR="00173B1E" w:rsidRPr="004B15CE" w14:paraId="27C89334" w14:textId="77777777" w:rsidTr="00AA76E8">
        <w:trPr>
          <w:trHeight w:val="57"/>
          <w:jc w:val="center"/>
        </w:trPr>
        <w:tc>
          <w:tcPr>
            <w:tcW w:w="0" w:type="auto"/>
            <w:vAlign w:val="center"/>
            <w:hideMark/>
          </w:tcPr>
          <w:p w14:paraId="402697A9" w14:textId="77777777" w:rsidR="00173B1E" w:rsidRPr="004B15CE" w:rsidRDefault="00173B1E" w:rsidP="00AA76E8">
            <w:pPr>
              <w:pStyle w:val="Tables"/>
            </w:pPr>
            <w:r w:rsidRPr="004B15CE">
              <w:t>Travancore-Cochin</w:t>
            </w:r>
          </w:p>
        </w:tc>
        <w:tc>
          <w:tcPr>
            <w:tcW w:w="0" w:type="auto"/>
            <w:vAlign w:val="center"/>
            <w:hideMark/>
          </w:tcPr>
          <w:p w14:paraId="23950AB5" w14:textId="77777777" w:rsidR="00173B1E" w:rsidRPr="004B15CE" w:rsidRDefault="00173B1E" w:rsidP="00AA76E8">
            <w:pPr>
              <w:pStyle w:val="Tables"/>
            </w:pPr>
            <w:r w:rsidRPr="004B15CE">
              <w:t>10th to 12th June 1952</w:t>
            </w:r>
          </w:p>
        </w:tc>
      </w:tr>
      <w:tr w:rsidR="00173B1E" w:rsidRPr="004B15CE" w14:paraId="438BEEDC" w14:textId="77777777" w:rsidTr="00AA76E8">
        <w:trPr>
          <w:trHeight w:val="57"/>
          <w:jc w:val="center"/>
        </w:trPr>
        <w:tc>
          <w:tcPr>
            <w:tcW w:w="0" w:type="auto"/>
            <w:vAlign w:val="center"/>
            <w:hideMark/>
          </w:tcPr>
          <w:p w14:paraId="54C3F660" w14:textId="77777777" w:rsidR="00173B1E" w:rsidRPr="004B15CE" w:rsidRDefault="00173B1E" w:rsidP="00AA76E8">
            <w:pPr>
              <w:pStyle w:val="Tables"/>
            </w:pPr>
            <w:r w:rsidRPr="004B15CE">
              <w:t>Mysore</w:t>
            </w:r>
          </w:p>
        </w:tc>
        <w:tc>
          <w:tcPr>
            <w:tcW w:w="0" w:type="auto"/>
            <w:vAlign w:val="center"/>
            <w:hideMark/>
          </w:tcPr>
          <w:p w14:paraId="7CCF9B76" w14:textId="77777777" w:rsidR="00173B1E" w:rsidRPr="004B15CE" w:rsidRDefault="00173B1E" w:rsidP="00AA76E8">
            <w:pPr>
              <w:pStyle w:val="Tables"/>
            </w:pPr>
            <w:r w:rsidRPr="004B15CE">
              <w:t>2nd to 5th July 1952</w:t>
            </w:r>
          </w:p>
        </w:tc>
      </w:tr>
      <w:tr w:rsidR="00173B1E" w:rsidRPr="004B15CE" w14:paraId="29B9A8CB" w14:textId="77777777" w:rsidTr="00AA76E8">
        <w:trPr>
          <w:trHeight w:val="57"/>
          <w:jc w:val="center"/>
        </w:trPr>
        <w:tc>
          <w:tcPr>
            <w:tcW w:w="0" w:type="auto"/>
            <w:vAlign w:val="center"/>
            <w:hideMark/>
          </w:tcPr>
          <w:p w14:paraId="6A574476" w14:textId="77777777" w:rsidR="00173B1E" w:rsidRPr="004B15CE" w:rsidRDefault="00173B1E" w:rsidP="00AA76E8">
            <w:pPr>
              <w:pStyle w:val="Tables"/>
            </w:pPr>
            <w:r w:rsidRPr="004B15CE">
              <w:t>Madras</w:t>
            </w:r>
          </w:p>
        </w:tc>
        <w:tc>
          <w:tcPr>
            <w:tcW w:w="0" w:type="auto"/>
            <w:vAlign w:val="center"/>
            <w:hideMark/>
          </w:tcPr>
          <w:p w14:paraId="30EA5B34" w14:textId="77777777" w:rsidR="00173B1E" w:rsidRPr="004B15CE" w:rsidRDefault="00173B1E" w:rsidP="00AA76E8">
            <w:pPr>
              <w:pStyle w:val="Tables"/>
            </w:pPr>
            <w:r w:rsidRPr="004B15CE">
              <w:t>9th to 12th July 1952</w:t>
            </w:r>
          </w:p>
        </w:tc>
      </w:tr>
      <w:tr w:rsidR="00173B1E" w:rsidRPr="004B15CE" w14:paraId="40D318A6" w14:textId="77777777" w:rsidTr="00AA76E8">
        <w:trPr>
          <w:trHeight w:val="57"/>
          <w:jc w:val="center"/>
        </w:trPr>
        <w:tc>
          <w:tcPr>
            <w:tcW w:w="0" w:type="auto"/>
            <w:vAlign w:val="center"/>
            <w:hideMark/>
          </w:tcPr>
          <w:p w14:paraId="528D317C" w14:textId="77777777" w:rsidR="00173B1E" w:rsidRPr="004B15CE" w:rsidRDefault="00173B1E" w:rsidP="00AA76E8">
            <w:pPr>
              <w:pStyle w:val="Tables"/>
            </w:pPr>
            <w:r w:rsidRPr="004B15CE">
              <w:t>Hyderabad</w:t>
            </w:r>
          </w:p>
        </w:tc>
        <w:tc>
          <w:tcPr>
            <w:tcW w:w="0" w:type="auto"/>
            <w:vAlign w:val="center"/>
            <w:hideMark/>
          </w:tcPr>
          <w:p w14:paraId="0DB055AA" w14:textId="77777777" w:rsidR="00173B1E" w:rsidRPr="004B15CE" w:rsidRDefault="00173B1E" w:rsidP="00AA76E8">
            <w:pPr>
              <w:pStyle w:val="Tables"/>
            </w:pPr>
            <w:r w:rsidRPr="004B15CE">
              <w:t>16th to 18th July 1952</w:t>
            </w:r>
          </w:p>
        </w:tc>
      </w:tr>
      <w:tr w:rsidR="00173B1E" w:rsidRPr="004B15CE" w14:paraId="534EEEF5" w14:textId="77777777" w:rsidTr="00AA76E8">
        <w:trPr>
          <w:trHeight w:val="57"/>
          <w:jc w:val="center"/>
        </w:trPr>
        <w:tc>
          <w:tcPr>
            <w:tcW w:w="0" w:type="auto"/>
            <w:vAlign w:val="center"/>
            <w:hideMark/>
          </w:tcPr>
          <w:p w14:paraId="7D65737D" w14:textId="77777777" w:rsidR="00173B1E" w:rsidRPr="004B15CE" w:rsidRDefault="00173B1E" w:rsidP="00AA76E8">
            <w:pPr>
              <w:pStyle w:val="Tables"/>
            </w:pPr>
            <w:r w:rsidRPr="004B15CE">
              <w:t>Saurashtra</w:t>
            </w:r>
          </w:p>
        </w:tc>
        <w:tc>
          <w:tcPr>
            <w:tcW w:w="0" w:type="auto"/>
            <w:vAlign w:val="center"/>
            <w:hideMark/>
          </w:tcPr>
          <w:p w14:paraId="380C84C9" w14:textId="77777777" w:rsidR="00173B1E" w:rsidRPr="004B15CE" w:rsidRDefault="00173B1E" w:rsidP="00AA76E8">
            <w:pPr>
              <w:pStyle w:val="Tables"/>
            </w:pPr>
            <w:r w:rsidRPr="004B15CE">
              <w:t>1st to 3rd August 1952</w:t>
            </w:r>
          </w:p>
        </w:tc>
      </w:tr>
      <w:tr w:rsidR="00173B1E" w:rsidRPr="004B15CE" w14:paraId="05708194" w14:textId="77777777" w:rsidTr="00AA76E8">
        <w:trPr>
          <w:trHeight w:val="57"/>
          <w:jc w:val="center"/>
        </w:trPr>
        <w:tc>
          <w:tcPr>
            <w:tcW w:w="0" w:type="auto"/>
            <w:vAlign w:val="center"/>
            <w:hideMark/>
          </w:tcPr>
          <w:p w14:paraId="163201FA" w14:textId="77777777" w:rsidR="00173B1E" w:rsidRPr="004B15CE" w:rsidRDefault="00173B1E" w:rsidP="00AA76E8">
            <w:pPr>
              <w:pStyle w:val="Tables"/>
            </w:pPr>
            <w:r w:rsidRPr="004B15CE">
              <w:t>Punjab</w:t>
            </w:r>
          </w:p>
        </w:tc>
        <w:tc>
          <w:tcPr>
            <w:tcW w:w="0" w:type="auto"/>
            <w:vAlign w:val="center"/>
            <w:hideMark/>
          </w:tcPr>
          <w:p w14:paraId="1782868D" w14:textId="77777777" w:rsidR="00173B1E" w:rsidRPr="004B15CE" w:rsidRDefault="00173B1E" w:rsidP="00AA76E8">
            <w:pPr>
              <w:pStyle w:val="Tables"/>
            </w:pPr>
            <w:r w:rsidRPr="004B15CE">
              <w:t>9th to 13th August 1952</w:t>
            </w:r>
          </w:p>
        </w:tc>
      </w:tr>
      <w:tr w:rsidR="00173B1E" w:rsidRPr="004B15CE" w14:paraId="438BEE0E" w14:textId="77777777" w:rsidTr="00AA76E8">
        <w:trPr>
          <w:trHeight w:val="57"/>
          <w:jc w:val="center"/>
        </w:trPr>
        <w:tc>
          <w:tcPr>
            <w:tcW w:w="0" w:type="auto"/>
            <w:vAlign w:val="center"/>
            <w:hideMark/>
          </w:tcPr>
          <w:p w14:paraId="4827C0A4" w14:textId="77777777" w:rsidR="00173B1E" w:rsidRPr="004B15CE" w:rsidRDefault="00173B1E" w:rsidP="00AA76E8">
            <w:pPr>
              <w:pStyle w:val="Tables"/>
            </w:pPr>
            <w:r w:rsidRPr="004B15CE">
              <w:t>Patiala and East Punjab States Union</w:t>
            </w:r>
          </w:p>
        </w:tc>
        <w:tc>
          <w:tcPr>
            <w:tcW w:w="0" w:type="auto"/>
            <w:vAlign w:val="center"/>
            <w:hideMark/>
          </w:tcPr>
          <w:p w14:paraId="38161E0F" w14:textId="77777777" w:rsidR="00173B1E" w:rsidRPr="004B15CE" w:rsidRDefault="00173B1E" w:rsidP="00AA76E8">
            <w:pPr>
              <w:pStyle w:val="Tables"/>
            </w:pPr>
            <w:r w:rsidRPr="004B15CE">
              <w:t>16th to 18th August 1952</w:t>
            </w:r>
          </w:p>
        </w:tc>
      </w:tr>
      <w:tr w:rsidR="00173B1E" w:rsidRPr="004B15CE" w14:paraId="72C8F968" w14:textId="77777777" w:rsidTr="00AA76E8">
        <w:trPr>
          <w:trHeight w:val="57"/>
          <w:jc w:val="center"/>
        </w:trPr>
        <w:tc>
          <w:tcPr>
            <w:tcW w:w="0" w:type="auto"/>
            <w:vAlign w:val="center"/>
            <w:hideMark/>
          </w:tcPr>
          <w:p w14:paraId="6A38694C" w14:textId="77777777" w:rsidR="00173B1E" w:rsidRPr="004B15CE" w:rsidRDefault="00173B1E" w:rsidP="00AA76E8">
            <w:pPr>
              <w:pStyle w:val="Tables"/>
            </w:pPr>
            <w:r w:rsidRPr="004B15CE">
              <w:t>Rajasthan</w:t>
            </w:r>
          </w:p>
        </w:tc>
        <w:tc>
          <w:tcPr>
            <w:tcW w:w="0" w:type="auto"/>
            <w:vAlign w:val="center"/>
            <w:hideMark/>
          </w:tcPr>
          <w:p w14:paraId="112C7D20" w14:textId="77777777" w:rsidR="00173B1E" w:rsidRPr="004B15CE" w:rsidRDefault="00173B1E" w:rsidP="00AA76E8">
            <w:pPr>
              <w:pStyle w:val="Tables"/>
            </w:pPr>
            <w:r w:rsidRPr="004B15CE">
              <w:t>22nd to 25th August 1952</w:t>
            </w:r>
          </w:p>
        </w:tc>
      </w:tr>
      <w:tr w:rsidR="00173B1E" w:rsidRPr="004B15CE" w14:paraId="08BB52D2" w14:textId="77777777" w:rsidTr="00AA76E8">
        <w:trPr>
          <w:trHeight w:val="57"/>
          <w:jc w:val="center"/>
        </w:trPr>
        <w:tc>
          <w:tcPr>
            <w:tcW w:w="0" w:type="auto"/>
            <w:vAlign w:val="center"/>
            <w:hideMark/>
          </w:tcPr>
          <w:p w14:paraId="2315013F" w14:textId="77777777" w:rsidR="00173B1E" w:rsidRPr="004B15CE" w:rsidRDefault="00173B1E" w:rsidP="00AA76E8">
            <w:pPr>
              <w:pStyle w:val="Tables"/>
            </w:pPr>
            <w:r w:rsidRPr="004B15CE">
              <w:t>Uttar Pradesh</w:t>
            </w:r>
          </w:p>
        </w:tc>
        <w:tc>
          <w:tcPr>
            <w:tcW w:w="0" w:type="auto"/>
            <w:vAlign w:val="center"/>
            <w:hideMark/>
          </w:tcPr>
          <w:p w14:paraId="77DD881A" w14:textId="77777777" w:rsidR="00173B1E" w:rsidRPr="004B15CE" w:rsidRDefault="00173B1E" w:rsidP="00AA76E8">
            <w:pPr>
              <w:pStyle w:val="Tables"/>
            </w:pPr>
            <w:r w:rsidRPr="004B15CE">
              <w:t>27th to 30th August 1952</w:t>
            </w:r>
          </w:p>
        </w:tc>
      </w:tr>
      <w:tr w:rsidR="00173B1E" w:rsidRPr="004B15CE" w14:paraId="01E30DD6" w14:textId="77777777" w:rsidTr="00AA76E8">
        <w:trPr>
          <w:trHeight w:val="57"/>
          <w:jc w:val="center"/>
        </w:trPr>
        <w:tc>
          <w:tcPr>
            <w:tcW w:w="0" w:type="auto"/>
            <w:vAlign w:val="center"/>
            <w:hideMark/>
          </w:tcPr>
          <w:p w14:paraId="1565020E" w14:textId="77777777" w:rsidR="00173B1E" w:rsidRPr="004B15CE" w:rsidRDefault="00173B1E" w:rsidP="00AA76E8">
            <w:pPr>
              <w:pStyle w:val="Tables"/>
            </w:pPr>
            <w:r w:rsidRPr="004B15CE">
              <w:t>Bihar</w:t>
            </w:r>
          </w:p>
        </w:tc>
        <w:tc>
          <w:tcPr>
            <w:tcW w:w="0" w:type="auto"/>
            <w:vAlign w:val="center"/>
            <w:hideMark/>
          </w:tcPr>
          <w:p w14:paraId="5F0C9CAA" w14:textId="77777777" w:rsidR="00173B1E" w:rsidRPr="004B15CE" w:rsidRDefault="00173B1E" w:rsidP="00AA76E8">
            <w:pPr>
              <w:pStyle w:val="Tables"/>
            </w:pPr>
            <w:r w:rsidRPr="004B15CE">
              <w:t>6th to 8th September 1952 and 22nd September 1952.</w:t>
            </w:r>
          </w:p>
        </w:tc>
      </w:tr>
    </w:tbl>
    <w:p w14:paraId="5C64E28A" w14:textId="2F3C3216" w:rsidR="009219B3" w:rsidRPr="004B15CE" w:rsidRDefault="009219B3" w:rsidP="004B15CE">
      <w:pPr>
        <w:spacing w:after="0" w:line="400" w:lineRule="exact"/>
        <w:ind w:left="720"/>
        <w:jc w:val="both"/>
        <w:rPr>
          <w:rFonts w:ascii="Times New Roman" w:hAnsi="Times New Roman" w:cs="Times New Roman"/>
          <w:sz w:val="28"/>
          <w:szCs w:val="28"/>
        </w:rPr>
      </w:pPr>
    </w:p>
    <w:p w14:paraId="335A3229" w14:textId="77777777" w:rsidR="009219B3" w:rsidRPr="004B15CE" w:rsidRDefault="009219B3" w:rsidP="004B15CE">
      <w:pPr>
        <w:spacing w:after="0" w:line="400" w:lineRule="exact"/>
        <w:jc w:val="both"/>
        <w:rPr>
          <w:rFonts w:ascii="Times New Roman" w:hAnsi="Times New Roman" w:cs="Times New Roman"/>
          <w:sz w:val="28"/>
          <w:szCs w:val="28"/>
        </w:rPr>
      </w:pPr>
      <w:r w:rsidRPr="004B15CE">
        <w:rPr>
          <w:rFonts w:ascii="Times New Roman" w:hAnsi="Times New Roman" w:cs="Times New Roman"/>
          <w:sz w:val="28"/>
          <w:szCs w:val="28"/>
        </w:rPr>
        <w:br w:type="page"/>
      </w:r>
    </w:p>
    <w:p w14:paraId="46D93176" w14:textId="16BAE02F" w:rsidR="009219B3" w:rsidRPr="004B15CE" w:rsidRDefault="009219B3" w:rsidP="00AA76E8">
      <w:pPr>
        <w:pStyle w:val="Heading2"/>
      </w:pPr>
      <w:bookmarkStart w:id="20" w:name="_Toc221007129"/>
      <w:r w:rsidRPr="004B15CE">
        <w:lastRenderedPageBreak/>
        <w:t>APPENDIX VII</w:t>
      </w:r>
      <w:r w:rsidR="00AA76E8">
        <w:t xml:space="preserve"> </w:t>
      </w:r>
      <w:r w:rsidR="00AA76E8">
        <w:br/>
      </w:r>
      <w:r w:rsidRPr="004B15CE">
        <w:t>LETTER FROM THE CHIEF MINISTER OF SAURASHTRA DATED THE 1ST AUGUST, 1952, TO THE CHAIRMAN, FINANCE COMMISSION</w:t>
      </w:r>
      <w:bookmarkEnd w:id="20"/>
    </w:p>
    <w:p w14:paraId="154B697D" w14:textId="77777777" w:rsidR="009219B3" w:rsidRPr="004B15CE" w:rsidRDefault="009219B3" w:rsidP="00AA76E8">
      <w:pPr>
        <w:spacing w:after="0" w:line="480" w:lineRule="exact"/>
        <w:ind w:firstLine="709"/>
        <w:jc w:val="both"/>
        <w:rPr>
          <w:rFonts w:ascii="Times New Roman" w:hAnsi="Times New Roman" w:cs="Times New Roman"/>
          <w:sz w:val="28"/>
          <w:szCs w:val="28"/>
        </w:rPr>
      </w:pPr>
      <w:r w:rsidRPr="004B15CE">
        <w:rPr>
          <w:rFonts w:ascii="Times New Roman" w:hAnsi="Times New Roman" w:cs="Times New Roman"/>
          <w:sz w:val="28"/>
          <w:szCs w:val="28"/>
        </w:rPr>
        <w:t>This morning we discussed the question about the powers of the Finance Commission vis-a-vis clause (I) of the Federal Financial Agreement entered into between the Government of India and the Government of Saurashtra. As we had anticipated the provisions of Article 280 will not cover an inquiry under clause (I) of the said Agreement. We appreciate the difficulty of the Finance Commission. The Constitution gives them certain powers and it is just and proper that the investigations by the Finance Commission should be confined to the provisions and the terms of the Constitution. On our side, however, you will appreciate the difficulty that for the period for which the Commission is to report there is also another body contemplated by the provisions of the F.F.I. Agreement to report practically on the same matter, although the background and the approach will be different.</w:t>
      </w:r>
    </w:p>
    <w:p w14:paraId="091AB04A" w14:textId="1AF96A5D" w:rsidR="009219B3" w:rsidRPr="004B15CE" w:rsidRDefault="009219B3" w:rsidP="00AA76E8">
      <w:pPr>
        <w:numPr>
          <w:ilvl w:val="0"/>
          <w:numId w:val="45"/>
        </w:numPr>
        <w:tabs>
          <w:tab w:val="clear" w:pos="720"/>
        </w:tabs>
        <w:spacing w:after="0" w:line="480" w:lineRule="exact"/>
        <w:ind w:left="0" w:firstLine="556"/>
        <w:jc w:val="both"/>
        <w:rPr>
          <w:rFonts w:ascii="Times New Roman" w:hAnsi="Times New Roman" w:cs="Times New Roman"/>
          <w:sz w:val="28"/>
          <w:szCs w:val="28"/>
        </w:rPr>
      </w:pPr>
      <w:r w:rsidRPr="004B15CE">
        <w:rPr>
          <w:rFonts w:ascii="Times New Roman" w:hAnsi="Times New Roman" w:cs="Times New Roman"/>
          <w:sz w:val="28"/>
          <w:szCs w:val="28"/>
        </w:rPr>
        <w:t>We have carefully considered whether we should proceed further with an inquiry under Article 280 or should insist upon an inquiry under the provisions of the F.F.I. Agreement. After careful consideration, we have come to the conclusion that in the light of what has happened it would be against the interests of the State to enter into a discussion of the question unless the discussion covers an inquiry contemplated by the aforesaid Agreement.</w:t>
      </w:r>
    </w:p>
    <w:p w14:paraId="5FE9AC1F" w14:textId="37E44041" w:rsidR="009219B3" w:rsidRPr="004B15CE" w:rsidRDefault="009219B3" w:rsidP="00AA76E8">
      <w:pPr>
        <w:numPr>
          <w:ilvl w:val="0"/>
          <w:numId w:val="45"/>
        </w:numPr>
        <w:tabs>
          <w:tab w:val="clear" w:pos="720"/>
        </w:tabs>
        <w:spacing w:after="0" w:line="480" w:lineRule="exact"/>
        <w:ind w:left="0" w:firstLine="556"/>
        <w:jc w:val="both"/>
        <w:rPr>
          <w:rFonts w:ascii="Times New Roman" w:hAnsi="Times New Roman" w:cs="Times New Roman"/>
          <w:sz w:val="28"/>
          <w:szCs w:val="28"/>
        </w:rPr>
      </w:pPr>
      <w:r w:rsidRPr="004B15CE">
        <w:rPr>
          <w:rFonts w:ascii="Times New Roman" w:hAnsi="Times New Roman" w:cs="Times New Roman"/>
          <w:sz w:val="28"/>
          <w:szCs w:val="28"/>
        </w:rPr>
        <w:t>Apart from the question that we feel that an inquiry limited to the terms of Article 280 will prejudice an inquiry under clause (I) of the Agreement, we feel that two Inquiry Bodies inquiring into the needs of Saurashtra for the same period will lead to all sorts of complications all of which cannot be appreciated at the present moment. At least there will be much over-lapping and duplication.</w:t>
      </w:r>
    </w:p>
    <w:p w14:paraId="15E05511" w14:textId="77777777" w:rsidR="00AA76E8" w:rsidRDefault="009219B3" w:rsidP="00AA76E8">
      <w:pPr>
        <w:numPr>
          <w:ilvl w:val="0"/>
          <w:numId w:val="45"/>
        </w:numPr>
        <w:tabs>
          <w:tab w:val="clear" w:pos="720"/>
        </w:tabs>
        <w:spacing w:after="0" w:line="480" w:lineRule="exact"/>
        <w:ind w:left="0" w:firstLine="556"/>
        <w:jc w:val="both"/>
        <w:rPr>
          <w:rFonts w:ascii="Times New Roman" w:hAnsi="Times New Roman" w:cs="Times New Roman"/>
          <w:sz w:val="28"/>
          <w:szCs w:val="28"/>
        </w:rPr>
      </w:pPr>
      <w:r w:rsidRPr="004B15CE">
        <w:rPr>
          <w:rFonts w:ascii="Times New Roman" w:hAnsi="Times New Roman" w:cs="Times New Roman"/>
          <w:sz w:val="28"/>
          <w:szCs w:val="28"/>
        </w:rPr>
        <w:t>Under the circumstances, we have decided to move the Government of India to institute an inquiry under clause (I) of F.F.I. Agreement. I may explain that this is not in a spirit of huff or non-co-operation. We will be glad if this Commission itself is vested with the power to undertake an inquiry suggested above.</w:t>
      </w:r>
    </w:p>
    <w:p w14:paraId="502C652F" w14:textId="319E02DB" w:rsidR="00A1780E" w:rsidRPr="00AA76E8" w:rsidRDefault="00A1780E" w:rsidP="00AA76E8">
      <w:pPr>
        <w:numPr>
          <w:ilvl w:val="0"/>
          <w:numId w:val="45"/>
        </w:numPr>
        <w:tabs>
          <w:tab w:val="clear" w:pos="720"/>
        </w:tabs>
        <w:spacing w:after="0" w:line="480" w:lineRule="exact"/>
        <w:ind w:left="0" w:firstLine="556"/>
        <w:jc w:val="both"/>
        <w:rPr>
          <w:rFonts w:ascii="Times New Roman" w:hAnsi="Times New Roman" w:cs="Times New Roman"/>
          <w:sz w:val="28"/>
          <w:szCs w:val="28"/>
        </w:rPr>
      </w:pPr>
      <w:r w:rsidRPr="00AA76E8">
        <w:rPr>
          <w:rFonts w:ascii="Times New Roman" w:hAnsi="Times New Roman" w:cs="Times New Roman"/>
          <w:sz w:val="28"/>
          <w:szCs w:val="28"/>
        </w:rPr>
        <w:lastRenderedPageBreak/>
        <w:t>Subject to what I have said above, we shall have no objection to discuss other aspects of the problem, namely, Article 280(3) (a) i.e., the divisibility of taxes. We shall similarly have no objection to give you a general idea of our backwardness and needs from our angle under clause (I) of the Agreement, should it prove useful to the Commission for the examination of the case of Part B States. I may once again state that I am very sorry that I did not get this point clarified from the proper quarters earlier.</w:t>
      </w:r>
    </w:p>
    <w:p w14:paraId="52328BF2" w14:textId="77777777" w:rsidR="00A1780E" w:rsidRPr="004B15CE" w:rsidRDefault="00A1780E" w:rsidP="00AA76E8">
      <w:pPr>
        <w:spacing w:after="0" w:line="480" w:lineRule="exact"/>
        <w:ind w:left="720"/>
        <w:jc w:val="both"/>
        <w:rPr>
          <w:rFonts w:ascii="Times New Roman" w:hAnsi="Times New Roman" w:cs="Times New Roman"/>
          <w:sz w:val="28"/>
          <w:szCs w:val="28"/>
        </w:rPr>
      </w:pPr>
      <w:r w:rsidRPr="004B15CE">
        <w:rPr>
          <w:rFonts w:ascii="Times New Roman" w:hAnsi="Times New Roman" w:cs="Times New Roman"/>
          <w:sz w:val="28"/>
          <w:szCs w:val="28"/>
        </w:rPr>
        <w:t>Thanking you.</w:t>
      </w:r>
    </w:p>
    <w:p w14:paraId="346B0918" w14:textId="77777777" w:rsidR="009219B3" w:rsidRPr="0003452E" w:rsidRDefault="009219B3" w:rsidP="009219B3">
      <w:pPr>
        <w:ind w:left="720"/>
        <w:rPr>
          <w:rFonts w:ascii="Times New Roman" w:hAnsi="Times New Roman" w:cs="Times New Roman"/>
          <w:szCs w:val="24"/>
        </w:rPr>
      </w:pPr>
    </w:p>
    <w:p w14:paraId="40D7BB60" w14:textId="469B25F6" w:rsidR="00A1780E" w:rsidRPr="0003452E" w:rsidRDefault="00A1780E">
      <w:pPr>
        <w:rPr>
          <w:rFonts w:ascii="Times New Roman" w:hAnsi="Times New Roman" w:cs="Times New Roman"/>
          <w:szCs w:val="24"/>
        </w:rPr>
      </w:pPr>
      <w:r w:rsidRPr="0003452E">
        <w:rPr>
          <w:rFonts w:ascii="Times New Roman" w:hAnsi="Times New Roman" w:cs="Times New Roman"/>
          <w:szCs w:val="24"/>
        </w:rPr>
        <w:br w:type="page"/>
      </w:r>
    </w:p>
    <w:p w14:paraId="498260D3" w14:textId="77777777" w:rsidR="00AA76E8" w:rsidRDefault="00A1780E" w:rsidP="00AA76E8">
      <w:pPr>
        <w:ind w:left="720"/>
        <w:jc w:val="center"/>
        <w:rPr>
          <w:rStyle w:val="Heading2Char"/>
        </w:rPr>
      </w:pPr>
      <w:bookmarkStart w:id="21" w:name="_Toc221007130"/>
      <w:r w:rsidRPr="00AA76E8">
        <w:rPr>
          <w:rStyle w:val="Heading2Char"/>
        </w:rPr>
        <w:lastRenderedPageBreak/>
        <w:t>APPENDIX VIII</w:t>
      </w:r>
      <w:r w:rsidR="00AA76E8" w:rsidRPr="00AA76E8">
        <w:rPr>
          <w:rStyle w:val="Heading2Char"/>
        </w:rPr>
        <w:t xml:space="preserve"> </w:t>
      </w:r>
      <w:r w:rsidR="00AA76E8">
        <w:rPr>
          <w:rStyle w:val="Heading2Char"/>
        </w:rPr>
        <w:br/>
      </w:r>
      <w:r w:rsidRPr="00AA76E8">
        <w:rPr>
          <w:rStyle w:val="Heading2Char"/>
        </w:rPr>
        <w:t>SUMMARY OF THE BUDGETARY POSITION OF PART A AND PART B STATES</w:t>
      </w:r>
      <w:bookmarkEnd w:id="21"/>
    </w:p>
    <w:p w14:paraId="2D3F7509" w14:textId="29C9496F" w:rsidR="00A1780E" w:rsidRPr="00241C00" w:rsidRDefault="00A1780E" w:rsidP="00AA76E8">
      <w:pPr>
        <w:ind w:left="720"/>
        <w:jc w:val="right"/>
        <w:rPr>
          <w:rFonts w:ascii="Times New Roman" w:hAnsi="Times New Roman" w:cs="Times New Roman"/>
          <w:i/>
          <w:iCs/>
          <w:szCs w:val="24"/>
        </w:rPr>
      </w:pPr>
      <w:r w:rsidRPr="00241C00">
        <w:rPr>
          <w:rFonts w:ascii="Times New Roman" w:hAnsi="Times New Roman" w:cs="Times New Roman"/>
          <w:i/>
          <w:iCs/>
          <w:szCs w:val="24"/>
        </w:rPr>
        <w:t>(In lakhs of rupees)</w:t>
      </w:r>
    </w:p>
    <w:tbl>
      <w:tblPr>
        <w:tblStyle w:val="TableGrid"/>
        <w:tblW w:w="0" w:type="auto"/>
        <w:jc w:val="center"/>
        <w:tblLook w:val="04A0" w:firstRow="1" w:lastRow="0" w:firstColumn="1" w:lastColumn="0" w:noHBand="0" w:noVBand="1"/>
      </w:tblPr>
      <w:tblGrid>
        <w:gridCol w:w="3234"/>
        <w:gridCol w:w="1463"/>
        <w:gridCol w:w="1276"/>
        <w:gridCol w:w="1701"/>
        <w:gridCol w:w="1814"/>
      </w:tblGrid>
      <w:tr w:rsidR="00A1780E" w:rsidRPr="0003452E" w14:paraId="68EBEB9D" w14:textId="77777777" w:rsidTr="00AA76E8">
        <w:trPr>
          <w:trHeight w:val="20"/>
          <w:jc w:val="center"/>
        </w:trPr>
        <w:tc>
          <w:tcPr>
            <w:tcW w:w="0" w:type="auto"/>
            <w:vAlign w:val="center"/>
            <w:hideMark/>
          </w:tcPr>
          <w:p w14:paraId="7679B528" w14:textId="77777777" w:rsidR="00A1780E" w:rsidRPr="00241C00" w:rsidRDefault="00A1780E" w:rsidP="00AA76E8">
            <w:pPr>
              <w:pStyle w:val="Tables"/>
              <w:rPr>
                <w:b/>
                <w:bCs/>
              </w:rPr>
            </w:pPr>
          </w:p>
        </w:tc>
        <w:tc>
          <w:tcPr>
            <w:tcW w:w="1463" w:type="dxa"/>
            <w:vAlign w:val="center"/>
            <w:hideMark/>
          </w:tcPr>
          <w:p w14:paraId="3627A609" w14:textId="77777777" w:rsidR="00A1780E" w:rsidRPr="00241C00" w:rsidRDefault="00A1780E" w:rsidP="00AA76E8">
            <w:pPr>
              <w:pStyle w:val="Tables"/>
              <w:rPr>
                <w:b/>
                <w:bCs/>
              </w:rPr>
            </w:pPr>
            <w:r w:rsidRPr="00241C00">
              <w:rPr>
                <w:b/>
                <w:bCs/>
              </w:rPr>
              <w:t>1949-50</w:t>
            </w:r>
          </w:p>
        </w:tc>
        <w:tc>
          <w:tcPr>
            <w:tcW w:w="1276" w:type="dxa"/>
            <w:vAlign w:val="center"/>
            <w:hideMark/>
          </w:tcPr>
          <w:p w14:paraId="2A196D54" w14:textId="77777777" w:rsidR="00A1780E" w:rsidRPr="00241C00" w:rsidRDefault="00A1780E" w:rsidP="00AA76E8">
            <w:pPr>
              <w:pStyle w:val="Tables"/>
              <w:rPr>
                <w:b/>
                <w:bCs/>
              </w:rPr>
            </w:pPr>
            <w:r w:rsidRPr="00241C00">
              <w:rPr>
                <w:b/>
                <w:bCs/>
              </w:rPr>
              <w:t>1950-51</w:t>
            </w:r>
          </w:p>
        </w:tc>
        <w:tc>
          <w:tcPr>
            <w:tcW w:w="1701" w:type="dxa"/>
            <w:vAlign w:val="center"/>
            <w:hideMark/>
          </w:tcPr>
          <w:p w14:paraId="033B27AD" w14:textId="77777777" w:rsidR="00A1780E" w:rsidRPr="00241C00" w:rsidRDefault="00A1780E" w:rsidP="00AA76E8">
            <w:pPr>
              <w:pStyle w:val="Tables"/>
              <w:rPr>
                <w:b/>
                <w:bCs/>
              </w:rPr>
            </w:pPr>
            <w:r w:rsidRPr="00241C00">
              <w:rPr>
                <w:b/>
                <w:bCs/>
              </w:rPr>
              <w:t>1951-52</w:t>
            </w:r>
          </w:p>
          <w:p w14:paraId="2C8402FD" w14:textId="24CDB8E6" w:rsidR="00A1780E" w:rsidRPr="00241C00" w:rsidRDefault="00A1780E" w:rsidP="00AA76E8">
            <w:pPr>
              <w:pStyle w:val="Tables"/>
              <w:rPr>
                <w:b/>
                <w:bCs/>
              </w:rPr>
            </w:pPr>
            <w:r w:rsidRPr="00241C00">
              <w:rPr>
                <w:b/>
                <w:bCs/>
              </w:rPr>
              <w:t>(Provisional Figures)</w:t>
            </w:r>
          </w:p>
        </w:tc>
        <w:tc>
          <w:tcPr>
            <w:tcW w:w="1814" w:type="dxa"/>
            <w:vAlign w:val="center"/>
            <w:hideMark/>
          </w:tcPr>
          <w:p w14:paraId="7FDF1AB0" w14:textId="77777777" w:rsidR="00A1780E" w:rsidRPr="00241C00" w:rsidRDefault="00A1780E" w:rsidP="00AA76E8">
            <w:pPr>
              <w:pStyle w:val="Tables"/>
              <w:rPr>
                <w:b/>
                <w:bCs/>
              </w:rPr>
            </w:pPr>
            <w:r w:rsidRPr="00241C00">
              <w:rPr>
                <w:b/>
                <w:bCs/>
              </w:rPr>
              <w:t>1952-53</w:t>
            </w:r>
          </w:p>
          <w:p w14:paraId="5F7364B9" w14:textId="0F6DBC57" w:rsidR="00A1780E" w:rsidRPr="00241C00" w:rsidRDefault="00A1780E" w:rsidP="00AA76E8">
            <w:pPr>
              <w:pStyle w:val="Tables"/>
              <w:rPr>
                <w:b/>
                <w:bCs/>
              </w:rPr>
            </w:pPr>
            <w:r w:rsidRPr="00241C00">
              <w:rPr>
                <w:b/>
                <w:bCs/>
              </w:rPr>
              <w:t>(Budget Estimates)</w:t>
            </w:r>
          </w:p>
        </w:tc>
      </w:tr>
      <w:tr w:rsidR="00481DB7" w:rsidRPr="0003452E" w14:paraId="03C421D8" w14:textId="77777777" w:rsidTr="00AA76E8">
        <w:trPr>
          <w:trHeight w:val="20"/>
          <w:jc w:val="center"/>
        </w:trPr>
        <w:tc>
          <w:tcPr>
            <w:tcW w:w="9322" w:type="dxa"/>
            <w:gridSpan w:val="5"/>
            <w:vAlign w:val="center"/>
            <w:hideMark/>
          </w:tcPr>
          <w:p w14:paraId="03B56138" w14:textId="77777777" w:rsidR="00481DB7" w:rsidRPr="00241C00" w:rsidRDefault="00481DB7" w:rsidP="00AA76E8">
            <w:pPr>
              <w:pStyle w:val="Tables"/>
              <w:rPr>
                <w:b/>
                <w:bCs/>
              </w:rPr>
            </w:pPr>
            <w:r w:rsidRPr="00241C00">
              <w:rPr>
                <w:b/>
                <w:bCs/>
              </w:rPr>
              <w:t>ASSAM</w:t>
            </w:r>
          </w:p>
          <w:p w14:paraId="72269012" w14:textId="77777777" w:rsidR="00704B99" w:rsidRPr="00241C00" w:rsidRDefault="00704B99" w:rsidP="00AA76E8">
            <w:pPr>
              <w:pStyle w:val="Tables"/>
              <w:rPr>
                <w:b/>
                <w:bCs/>
              </w:rPr>
            </w:pPr>
          </w:p>
          <w:p w14:paraId="13F39C69" w14:textId="7C0EA9C9" w:rsidR="00704B99" w:rsidRPr="00241C00" w:rsidRDefault="00704B99" w:rsidP="00AA76E8">
            <w:pPr>
              <w:pStyle w:val="Tables"/>
              <w:rPr>
                <w:b/>
                <w:bCs/>
              </w:rPr>
            </w:pPr>
          </w:p>
        </w:tc>
      </w:tr>
      <w:tr w:rsidR="00A1780E" w:rsidRPr="0003452E" w14:paraId="55C037AB" w14:textId="77777777" w:rsidTr="00AA76E8">
        <w:trPr>
          <w:trHeight w:val="20"/>
          <w:jc w:val="center"/>
        </w:trPr>
        <w:tc>
          <w:tcPr>
            <w:tcW w:w="0" w:type="auto"/>
            <w:vAlign w:val="center"/>
            <w:hideMark/>
          </w:tcPr>
          <w:p w14:paraId="165309B4" w14:textId="77777777" w:rsidR="00A1780E" w:rsidRPr="0003452E" w:rsidRDefault="00A1780E" w:rsidP="00AA76E8">
            <w:pPr>
              <w:pStyle w:val="Tables"/>
            </w:pPr>
            <w:r w:rsidRPr="0003452E">
              <w:t>TOTAL REVENUE</w:t>
            </w:r>
          </w:p>
        </w:tc>
        <w:tc>
          <w:tcPr>
            <w:tcW w:w="1463" w:type="dxa"/>
            <w:vAlign w:val="center"/>
            <w:hideMark/>
          </w:tcPr>
          <w:p w14:paraId="0AA7F4A4" w14:textId="77777777" w:rsidR="00A1780E" w:rsidRPr="0003452E" w:rsidRDefault="00A1780E" w:rsidP="00AA76E8">
            <w:pPr>
              <w:pStyle w:val="Tables"/>
            </w:pPr>
            <w:r w:rsidRPr="0003452E">
              <w:t>1030</w:t>
            </w:r>
          </w:p>
        </w:tc>
        <w:tc>
          <w:tcPr>
            <w:tcW w:w="1276" w:type="dxa"/>
            <w:vAlign w:val="center"/>
            <w:hideMark/>
          </w:tcPr>
          <w:p w14:paraId="6860FE88" w14:textId="77777777" w:rsidR="00A1780E" w:rsidRPr="0003452E" w:rsidRDefault="00A1780E" w:rsidP="00AA76E8">
            <w:pPr>
              <w:pStyle w:val="Tables"/>
            </w:pPr>
            <w:r w:rsidRPr="0003452E">
              <w:t>992</w:t>
            </w:r>
          </w:p>
        </w:tc>
        <w:tc>
          <w:tcPr>
            <w:tcW w:w="1701" w:type="dxa"/>
            <w:vAlign w:val="center"/>
            <w:hideMark/>
          </w:tcPr>
          <w:p w14:paraId="6C11A821" w14:textId="77777777" w:rsidR="00A1780E" w:rsidRPr="0003452E" w:rsidRDefault="00A1780E" w:rsidP="00AA76E8">
            <w:pPr>
              <w:pStyle w:val="Tables"/>
            </w:pPr>
            <w:r w:rsidRPr="0003452E">
              <w:t>1129</w:t>
            </w:r>
          </w:p>
        </w:tc>
        <w:tc>
          <w:tcPr>
            <w:tcW w:w="1814" w:type="dxa"/>
            <w:vAlign w:val="center"/>
            <w:hideMark/>
          </w:tcPr>
          <w:p w14:paraId="7C6BFC6F" w14:textId="77777777" w:rsidR="00A1780E" w:rsidRPr="0003452E" w:rsidRDefault="00A1780E" w:rsidP="00AA76E8">
            <w:pPr>
              <w:pStyle w:val="Tables"/>
            </w:pPr>
            <w:r w:rsidRPr="0003452E">
              <w:t>1005</w:t>
            </w:r>
          </w:p>
        </w:tc>
      </w:tr>
      <w:tr w:rsidR="00A1780E" w:rsidRPr="0003452E" w14:paraId="50188312" w14:textId="77777777" w:rsidTr="00AA76E8">
        <w:trPr>
          <w:trHeight w:val="20"/>
          <w:jc w:val="center"/>
        </w:trPr>
        <w:tc>
          <w:tcPr>
            <w:tcW w:w="0" w:type="auto"/>
            <w:vAlign w:val="center"/>
            <w:hideMark/>
          </w:tcPr>
          <w:p w14:paraId="4A247303" w14:textId="77777777" w:rsidR="00A1780E" w:rsidRPr="0003452E" w:rsidRDefault="00A1780E" w:rsidP="00AA76E8">
            <w:pPr>
              <w:pStyle w:val="Tables"/>
            </w:pPr>
            <w:r w:rsidRPr="0003452E">
              <w:rPr>
                <w:i/>
                <w:iCs/>
              </w:rPr>
              <w:t>Deduct—</w:t>
            </w:r>
          </w:p>
        </w:tc>
        <w:tc>
          <w:tcPr>
            <w:tcW w:w="1463" w:type="dxa"/>
            <w:vAlign w:val="center"/>
            <w:hideMark/>
          </w:tcPr>
          <w:p w14:paraId="735D1666" w14:textId="77777777" w:rsidR="00A1780E" w:rsidRPr="0003452E" w:rsidRDefault="00A1780E" w:rsidP="00AA76E8">
            <w:pPr>
              <w:pStyle w:val="Tables"/>
            </w:pPr>
          </w:p>
        </w:tc>
        <w:tc>
          <w:tcPr>
            <w:tcW w:w="1276" w:type="dxa"/>
            <w:vAlign w:val="center"/>
            <w:hideMark/>
          </w:tcPr>
          <w:p w14:paraId="55313EDD" w14:textId="77777777" w:rsidR="00A1780E" w:rsidRPr="0003452E" w:rsidRDefault="00A1780E" w:rsidP="00AA76E8">
            <w:pPr>
              <w:pStyle w:val="Tables"/>
            </w:pPr>
          </w:p>
        </w:tc>
        <w:tc>
          <w:tcPr>
            <w:tcW w:w="1701" w:type="dxa"/>
            <w:vAlign w:val="center"/>
            <w:hideMark/>
          </w:tcPr>
          <w:p w14:paraId="5D458F35" w14:textId="77777777" w:rsidR="00A1780E" w:rsidRPr="0003452E" w:rsidRDefault="00A1780E" w:rsidP="00AA76E8">
            <w:pPr>
              <w:pStyle w:val="Tables"/>
            </w:pPr>
          </w:p>
        </w:tc>
        <w:tc>
          <w:tcPr>
            <w:tcW w:w="1814" w:type="dxa"/>
            <w:vAlign w:val="center"/>
            <w:hideMark/>
          </w:tcPr>
          <w:p w14:paraId="5093C5CF" w14:textId="77777777" w:rsidR="00A1780E" w:rsidRPr="0003452E" w:rsidRDefault="00A1780E" w:rsidP="00AA76E8">
            <w:pPr>
              <w:pStyle w:val="Tables"/>
            </w:pPr>
          </w:p>
        </w:tc>
      </w:tr>
      <w:tr w:rsidR="00A1780E" w:rsidRPr="0003452E" w14:paraId="0193943D" w14:textId="77777777" w:rsidTr="00AA76E8">
        <w:trPr>
          <w:trHeight w:val="20"/>
          <w:jc w:val="center"/>
        </w:trPr>
        <w:tc>
          <w:tcPr>
            <w:tcW w:w="0" w:type="auto"/>
            <w:vAlign w:val="center"/>
            <w:hideMark/>
          </w:tcPr>
          <w:p w14:paraId="57692074" w14:textId="77777777" w:rsidR="00A1780E" w:rsidRPr="0003452E" w:rsidRDefault="00A1780E" w:rsidP="00AA76E8">
            <w:pPr>
              <w:pStyle w:val="Tables"/>
            </w:pPr>
            <w:r w:rsidRPr="0003452E">
              <w:t>(i) Share of Central Income Tax</w:t>
            </w:r>
          </w:p>
        </w:tc>
        <w:tc>
          <w:tcPr>
            <w:tcW w:w="1463" w:type="dxa"/>
            <w:vAlign w:val="center"/>
            <w:hideMark/>
          </w:tcPr>
          <w:p w14:paraId="770EF6F3" w14:textId="77777777" w:rsidR="00A1780E" w:rsidRPr="0003452E" w:rsidRDefault="00A1780E" w:rsidP="00AA76E8">
            <w:pPr>
              <w:pStyle w:val="Tables"/>
            </w:pPr>
            <w:r w:rsidRPr="0003452E">
              <w:t>139</w:t>
            </w:r>
          </w:p>
        </w:tc>
        <w:tc>
          <w:tcPr>
            <w:tcW w:w="1276" w:type="dxa"/>
            <w:vAlign w:val="center"/>
            <w:hideMark/>
          </w:tcPr>
          <w:p w14:paraId="1424CF4D" w14:textId="77777777" w:rsidR="00A1780E" w:rsidRPr="0003452E" w:rsidRDefault="00A1780E" w:rsidP="00AA76E8">
            <w:pPr>
              <w:pStyle w:val="Tables"/>
            </w:pPr>
            <w:r w:rsidRPr="0003452E">
              <w:t>142</w:t>
            </w:r>
          </w:p>
        </w:tc>
        <w:tc>
          <w:tcPr>
            <w:tcW w:w="1701" w:type="dxa"/>
            <w:vAlign w:val="center"/>
            <w:hideMark/>
          </w:tcPr>
          <w:p w14:paraId="63317CBC" w14:textId="77777777" w:rsidR="00A1780E" w:rsidRPr="0003452E" w:rsidRDefault="00A1780E" w:rsidP="00AA76E8">
            <w:pPr>
              <w:pStyle w:val="Tables"/>
            </w:pPr>
            <w:r w:rsidRPr="0003452E">
              <w:t>154</w:t>
            </w:r>
          </w:p>
        </w:tc>
        <w:tc>
          <w:tcPr>
            <w:tcW w:w="1814" w:type="dxa"/>
            <w:vAlign w:val="center"/>
            <w:hideMark/>
          </w:tcPr>
          <w:p w14:paraId="7C8B283D" w14:textId="77777777" w:rsidR="00A1780E" w:rsidRPr="0003452E" w:rsidRDefault="00A1780E" w:rsidP="00AA76E8">
            <w:pPr>
              <w:pStyle w:val="Tables"/>
            </w:pPr>
            <w:r w:rsidRPr="0003452E">
              <w:t>151</w:t>
            </w:r>
          </w:p>
        </w:tc>
      </w:tr>
      <w:tr w:rsidR="00A1780E" w:rsidRPr="0003452E" w14:paraId="61530A62" w14:textId="77777777" w:rsidTr="00AA76E8">
        <w:trPr>
          <w:trHeight w:val="20"/>
          <w:jc w:val="center"/>
        </w:trPr>
        <w:tc>
          <w:tcPr>
            <w:tcW w:w="0" w:type="auto"/>
            <w:vAlign w:val="center"/>
            <w:hideMark/>
          </w:tcPr>
          <w:p w14:paraId="15AAA72E" w14:textId="77777777" w:rsidR="00A1780E" w:rsidRPr="0003452E" w:rsidRDefault="00A1780E" w:rsidP="00AA76E8">
            <w:pPr>
              <w:pStyle w:val="Tables"/>
            </w:pPr>
            <w:r w:rsidRPr="0003452E">
              <w:t>(ii) Grants-in-aid</w:t>
            </w:r>
          </w:p>
        </w:tc>
        <w:tc>
          <w:tcPr>
            <w:tcW w:w="1463" w:type="dxa"/>
            <w:vAlign w:val="center"/>
            <w:hideMark/>
          </w:tcPr>
          <w:p w14:paraId="4EDC39F9" w14:textId="77777777" w:rsidR="00A1780E" w:rsidRPr="0003452E" w:rsidRDefault="00A1780E" w:rsidP="00AA76E8">
            <w:pPr>
              <w:pStyle w:val="Tables"/>
            </w:pPr>
            <w:r w:rsidRPr="0003452E">
              <w:t>88</w:t>
            </w:r>
          </w:p>
        </w:tc>
        <w:tc>
          <w:tcPr>
            <w:tcW w:w="1276" w:type="dxa"/>
            <w:vAlign w:val="center"/>
            <w:hideMark/>
          </w:tcPr>
          <w:p w14:paraId="71A8D584" w14:textId="77777777" w:rsidR="00A1780E" w:rsidRPr="0003452E" w:rsidRDefault="00A1780E" w:rsidP="00AA76E8">
            <w:pPr>
              <w:pStyle w:val="Tables"/>
            </w:pPr>
            <w:r w:rsidRPr="0003452E">
              <w:t>70</w:t>
            </w:r>
          </w:p>
        </w:tc>
        <w:tc>
          <w:tcPr>
            <w:tcW w:w="1701" w:type="dxa"/>
            <w:vAlign w:val="center"/>
            <w:hideMark/>
          </w:tcPr>
          <w:p w14:paraId="75141931" w14:textId="77777777" w:rsidR="00A1780E" w:rsidRPr="0003452E" w:rsidRDefault="00A1780E" w:rsidP="00AA76E8">
            <w:pPr>
              <w:pStyle w:val="Tables"/>
            </w:pPr>
            <w:r w:rsidRPr="0003452E">
              <w:t>70</w:t>
            </w:r>
          </w:p>
        </w:tc>
        <w:tc>
          <w:tcPr>
            <w:tcW w:w="1814" w:type="dxa"/>
            <w:vAlign w:val="center"/>
            <w:hideMark/>
          </w:tcPr>
          <w:p w14:paraId="1F1770E7" w14:textId="77777777" w:rsidR="00A1780E" w:rsidRPr="0003452E" w:rsidRDefault="00A1780E" w:rsidP="00AA76E8">
            <w:pPr>
              <w:pStyle w:val="Tables"/>
            </w:pPr>
            <w:r w:rsidRPr="0003452E">
              <w:t>70</w:t>
            </w:r>
          </w:p>
        </w:tc>
      </w:tr>
      <w:tr w:rsidR="00A1780E" w:rsidRPr="0003452E" w14:paraId="05434DCC" w14:textId="77777777" w:rsidTr="00AA76E8">
        <w:trPr>
          <w:trHeight w:val="20"/>
          <w:jc w:val="center"/>
        </w:trPr>
        <w:tc>
          <w:tcPr>
            <w:tcW w:w="0" w:type="auto"/>
            <w:vAlign w:val="center"/>
            <w:hideMark/>
          </w:tcPr>
          <w:p w14:paraId="49C241D8" w14:textId="77777777" w:rsidR="00A1780E" w:rsidRPr="0003452E" w:rsidRDefault="00A1780E" w:rsidP="00AA76E8">
            <w:pPr>
              <w:pStyle w:val="Tables"/>
            </w:pPr>
            <w:r w:rsidRPr="0003452E">
              <w:t>NET REVENUE</w:t>
            </w:r>
          </w:p>
        </w:tc>
        <w:tc>
          <w:tcPr>
            <w:tcW w:w="1463" w:type="dxa"/>
            <w:vAlign w:val="center"/>
            <w:hideMark/>
          </w:tcPr>
          <w:p w14:paraId="3C64D90E" w14:textId="77777777" w:rsidR="00A1780E" w:rsidRPr="0003452E" w:rsidRDefault="00A1780E" w:rsidP="00AA76E8">
            <w:pPr>
              <w:pStyle w:val="Tables"/>
            </w:pPr>
            <w:r w:rsidRPr="0003452E">
              <w:t>803</w:t>
            </w:r>
          </w:p>
        </w:tc>
        <w:tc>
          <w:tcPr>
            <w:tcW w:w="1276" w:type="dxa"/>
            <w:vAlign w:val="center"/>
            <w:hideMark/>
          </w:tcPr>
          <w:p w14:paraId="03E7C2E9" w14:textId="77777777" w:rsidR="00A1780E" w:rsidRPr="0003452E" w:rsidRDefault="00A1780E" w:rsidP="00AA76E8">
            <w:pPr>
              <w:pStyle w:val="Tables"/>
            </w:pPr>
            <w:r w:rsidRPr="0003452E">
              <w:t>780</w:t>
            </w:r>
          </w:p>
        </w:tc>
        <w:tc>
          <w:tcPr>
            <w:tcW w:w="1701" w:type="dxa"/>
            <w:vAlign w:val="center"/>
            <w:hideMark/>
          </w:tcPr>
          <w:p w14:paraId="6D2D096F" w14:textId="77777777" w:rsidR="00A1780E" w:rsidRPr="0003452E" w:rsidRDefault="00A1780E" w:rsidP="00AA76E8">
            <w:pPr>
              <w:pStyle w:val="Tables"/>
            </w:pPr>
            <w:r w:rsidRPr="0003452E">
              <w:t>905</w:t>
            </w:r>
          </w:p>
        </w:tc>
        <w:tc>
          <w:tcPr>
            <w:tcW w:w="1814" w:type="dxa"/>
            <w:vAlign w:val="center"/>
            <w:hideMark/>
          </w:tcPr>
          <w:p w14:paraId="73CFC847" w14:textId="77777777" w:rsidR="00A1780E" w:rsidRPr="0003452E" w:rsidRDefault="00A1780E" w:rsidP="00AA76E8">
            <w:pPr>
              <w:pStyle w:val="Tables"/>
            </w:pPr>
            <w:r w:rsidRPr="0003452E">
              <w:t>784</w:t>
            </w:r>
          </w:p>
        </w:tc>
      </w:tr>
      <w:tr w:rsidR="00A1780E" w:rsidRPr="0003452E" w14:paraId="1D68E733" w14:textId="77777777" w:rsidTr="00AA76E8">
        <w:trPr>
          <w:trHeight w:val="20"/>
          <w:jc w:val="center"/>
        </w:trPr>
        <w:tc>
          <w:tcPr>
            <w:tcW w:w="0" w:type="auto"/>
            <w:vAlign w:val="center"/>
            <w:hideMark/>
          </w:tcPr>
          <w:p w14:paraId="020C4449" w14:textId="77777777" w:rsidR="00A1780E" w:rsidRPr="0003452E" w:rsidRDefault="00A1780E" w:rsidP="00AA76E8">
            <w:pPr>
              <w:pStyle w:val="Tables"/>
            </w:pPr>
            <w:r w:rsidRPr="0003452E">
              <w:t>TOTAL EXPENDITURE</w:t>
            </w:r>
          </w:p>
        </w:tc>
        <w:tc>
          <w:tcPr>
            <w:tcW w:w="1463" w:type="dxa"/>
            <w:vAlign w:val="center"/>
            <w:hideMark/>
          </w:tcPr>
          <w:p w14:paraId="2BA44856" w14:textId="77777777" w:rsidR="00A1780E" w:rsidRPr="0003452E" w:rsidRDefault="00A1780E" w:rsidP="00AA76E8">
            <w:pPr>
              <w:pStyle w:val="Tables"/>
            </w:pPr>
            <w:r w:rsidRPr="0003452E">
              <w:t>994</w:t>
            </w:r>
          </w:p>
        </w:tc>
        <w:tc>
          <w:tcPr>
            <w:tcW w:w="1276" w:type="dxa"/>
            <w:vAlign w:val="center"/>
            <w:hideMark/>
          </w:tcPr>
          <w:p w14:paraId="5877DE57" w14:textId="77777777" w:rsidR="00A1780E" w:rsidRPr="0003452E" w:rsidRDefault="00A1780E" w:rsidP="00AA76E8">
            <w:pPr>
              <w:pStyle w:val="Tables"/>
            </w:pPr>
            <w:r w:rsidRPr="0003452E">
              <w:t>928</w:t>
            </w:r>
          </w:p>
        </w:tc>
        <w:tc>
          <w:tcPr>
            <w:tcW w:w="1701" w:type="dxa"/>
            <w:vAlign w:val="center"/>
            <w:hideMark/>
          </w:tcPr>
          <w:p w14:paraId="09998AF2" w14:textId="77777777" w:rsidR="00A1780E" w:rsidRPr="0003452E" w:rsidRDefault="00A1780E" w:rsidP="00AA76E8">
            <w:pPr>
              <w:pStyle w:val="Tables"/>
            </w:pPr>
            <w:r w:rsidRPr="0003452E">
              <w:t>1090</w:t>
            </w:r>
          </w:p>
        </w:tc>
        <w:tc>
          <w:tcPr>
            <w:tcW w:w="1814" w:type="dxa"/>
            <w:vAlign w:val="center"/>
            <w:hideMark/>
          </w:tcPr>
          <w:p w14:paraId="6274297F" w14:textId="77777777" w:rsidR="00A1780E" w:rsidRPr="0003452E" w:rsidRDefault="00A1780E" w:rsidP="00AA76E8">
            <w:pPr>
              <w:pStyle w:val="Tables"/>
            </w:pPr>
            <w:r w:rsidRPr="0003452E">
              <w:t>1260</w:t>
            </w:r>
          </w:p>
        </w:tc>
      </w:tr>
      <w:tr w:rsidR="00A1780E" w:rsidRPr="0003452E" w14:paraId="01765915" w14:textId="77777777" w:rsidTr="00AA76E8">
        <w:trPr>
          <w:trHeight w:val="20"/>
          <w:jc w:val="center"/>
        </w:trPr>
        <w:tc>
          <w:tcPr>
            <w:tcW w:w="0" w:type="auto"/>
            <w:vAlign w:val="center"/>
            <w:hideMark/>
          </w:tcPr>
          <w:p w14:paraId="5C7A3EE1" w14:textId="77777777" w:rsidR="00A1780E" w:rsidRPr="0003452E" w:rsidRDefault="00A1780E" w:rsidP="00AA76E8">
            <w:pPr>
              <w:pStyle w:val="Tables"/>
            </w:pPr>
            <w:r w:rsidRPr="0003452E">
              <w:t>Surplus (+) or Deficit (—)</w:t>
            </w:r>
          </w:p>
        </w:tc>
        <w:tc>
          <w:tcPr>
            <w:tcW w:w="1463" w:type="dxa"/>
            <w:vAlign w:val="center"/>
            <w:hideMark/>
          </w:tcPr>
          <w:p w14:paraId="58CB3626" w14:textId="77777777" w:rsidR="00A1780E" w:rsidRPr="0003452E" w:rsidRDefault="00A1780E" w:rsidP="00AA76E8">
            <w:pPr>
              <w:pStyle w:val="Tables"/>
            </w:pPr>
            <w:r w:rsidRPr="0003452E">
              <w:t>—191</w:t>
            </w:r>
          </w:p>
        </w:tc>
        <w:tc>
          <w:tcPr>
            <w:tcW w:w="1276" w:type="dxa"/>
            <w:vAlign w:val="center"/>
            <w:hideMark/>
          </w:tcPr>
          <w:p w14:paraId="06E925AD" w14:textId="77777777" w:rsidR="00A1780E" w:rsidRPr="0003452E" w:rsidRDefault="00A1780E" w:rsidP="00AA76E8">
            <w:pPr>
              <w:pStyle w:val="Tables"/>
            </w:pPr>
            <w:r w:rsidRPr="0003452E">
              <w:t>—148</w:t>
            </w:r>
          </w:p>
        </w:tc>
        <w:tc>
          <w:tcPr>
            <w:tcW w:w="1701" w:type="dxa"/>
            <w:vAlign w:val="center"/>
            <w:hideMark/>
          </w:tcPr>
          <w:p w14:paraId="39571778" w14:textId="77777777" w:rsidR="00A1780E" w:rsidRPr="0003452E" w:rsidRDefault="00A1780E" w:rsidP="00AA76E8">
            <w:pPr>
              <w:pStyle w:val="Tables"/>
            </w:pPr>
            <w:r w:rsidRPr="0003452E">
              <w:t>—185</w:t>
            </w:r>
          </w:p>
        </w:tc>
        <w:tc>
          <w:tcPr>
            <w:tcW w:w="1814" w:type="dxa"/>
            <w:vAlign w:val="center"/>
            <w:hideMark/>
          </w:tcPr>
          <w:p w14:paraId="5D2C2438" w14:textId="77777777" w:rsidR="00A1780E" w:rsidRPr="0003452E" w:rsidRDefault="00A1780E" w:rsidP="00AA76E8">
            <w:pPr>
              <w:pStyle w:val="Tables"/>
            </w:pPr>
            <w:r w:rsidRPr="0003452E">
              <w:t>—476</w:t>
            </w:r>
          </w:p>
        </w:tc>
      </w:tr>
      <w:tr w:rsidR="00704B99" w:rsidRPr="0003452E" w14:paraId="0F4DB3FB" w14:textId="77777777" w:rsidTr="00AA76E8">
        <w:trPr>
          <w:trHeight w:val="20"/>
          <w:jc w:val="center"/>
        </w:trPr>
        <w:tc>
          <w:tcPr>
            <w:tcW w:w="9322" w:type="dxa"/>
            <w:gridSpan w:val="5"/>
            <w:vAlign w:val="center"/>
            <w:hideMark/>
          </w:tcPr>
          <w:p w14:paraId="08E7D775" w14:textId="77777777" w:rsidR="00704B99" w:rsidRPr="00241C00" w:rsidRDefault="00704B99" w:rsidP="00AA76E8">
            <w:pPr>
              <w:pStyle w:val="Tables"/>
              <w:rPr>
                <w:b/>
                <w:bCs/>
              </w:rPr>
            </w:pPr>
            <w:r w:rsidRPr="00241C00">
              <w:rPr>
                <w:b/>
                <w:bCs/>
              </w:rPr>
              <w:t>BIHAR</w:t>
            </w:r>
          </w:p>
          <w:p w14:paraId="0B2B183E" w14:textId="632D121B" w:rsidR="00704B99" w:rsidRPr="0003452E" w:rsidRDefault="00704B99" w:rsidP="00AA76E8">
            <w:pPr>
              <w:pStyle w:val="Tables"/>
            </w:pPr>
          </w:p>
        </w:tc>
      </w:tr>
      <w:tr w:rsidR="00A1780E" w:rsidRPr="0003452E" w14:paraId="6119A114" w14:textId="77777777" w:rsidTr="00AA76E8">
        <w:trPr>
          <w:trHeight w:val="20"/>
          <w:jc w:val="center"/>
        </w:trPr>
        <w:tc>
          <w:tcPr>
            <w:tcW w:w="0" w:type="auto"/>
            <w:vAlign w:val="center"/>
            <w:hideMark/>
          </w:tcPr>
          <w:p w14:paraId="32FE532A" w14:textId="77777777" w:rsidR="00A1780E" w:rsidRPr="0003452E" w:rsidRDefault="00A1780E" w:rsidP="00AA76E8">
            <w:pPr>
              <w:pStyle w:val="Tables"/>
            </w:pPr>
            <w:r w:rsidRPr="0003452E">
              <w:t>TOTAL REVENUE</w:t>
            </w:r>
          </w:p>
        </w:tc>
        <w:tc>
          <w:tcPr>
            <w:tcW w:w="1463" w:type="dxa"/>
            <w:vAlign w:val="center"/>
            <w:hideMark/>
          </w:tcPr>
          <w:p w14:paraId="61C947D3" w14:textId="77777777" w:rsidR="00A1780E" w:rsidRPr="0003452E" w:rsidRDefault="00A1780E" w:rsidP="00AA76E8">
            <w:pPr>
              <w:pStyle w:val="Tables"/>
            </w:pPr>
            <w:r w:rsidRPr="0003452E">
              <w:t>2595</w:t>
            </w:r>
          </w:p>
        </w:tc>
        <w:tc>
          <w:tcPr>
            <w:tcW w:w="1276" w:type="dxa"/>
            <w:vAlign w:val="center"/>
            <w:hideMark/>
          </w:tcPr>
          <w:p w14:paraId="01D55421" w14:textId="77777777" w:rsidR="00A1780E" w:rsidRPr="0003452E" w:rsidRDefault="00A1780E" w:rsidP="00AA76E8">
            <w:pPr>
              <w:pStyle w:val="Tables"/>
            </w:pPr>
            <w:r w:rsidRPr="0003452E">
              <w:t>2897</w:t>
            </w:r>
          </w:p>
        </w:tc>
        <w:tc>
          <w:tcPr>
            <w:tcW w:w="1701" w:type="dxa"/>
            <w:vAlign w:val="center"/>
            <w:hideMark/>
          </w:tcPr>
          <w:p w14:paraId="70092DBB" w14:textId="77777777" w:rsidR="00A1780E" w:rsidRPr="0003452E" w:rsidRDefault="00A1780E" w:rsidP="00AA76E8">
            <w:pPr>
              <w:pStyle w:val="Tables"/>
            </w:pPr>
            <w:r w:rsidRPr="0003452E">
              <w:t>2823</w:t>
            </w:r>
          </w:p>
        </w:tc>
        <w:tc>
          <w:tcPr>
            <w:tcW w:w="1814" w:type="dxa"/>
            <w:vAlign w:val="center"/>
            <w:hideMark/>
          </w:tcPr>
          <w:p w14:paraId="2B2C6489" w14:textId="77777777" w:rsidR="00A1780E" w:rsidRPr="0003452E" w:rsidRDefault="00A1780E" w:rsidP="00AA76E8">
            <w:pPr>
              <w:pStyle w:val="Tables"/>
            </w:pPr>
            <w:r w:rsidRPr="0003452E">
              <w:t>2829</w:t>
            </w:r>
          </w:p>
        </w:tc>
      </w:tr>
      <w:tr w:rsidR="00A1780E" w:rsidRPr="0003452E" w14:paraId="78BADA28" w14:textId="77777777" w:rsidTr="00AA76E8">
        <w:trPr>
          <w:trHeight w:val="20"/>
          <w:jc w:val="center"/>
        </w:trPr>
        <w:tc>
          <w:tcPr>
            <w:tcW w:w="0" w:type="auto"/>
            <w:vAlign w:val="center"/>
            <w:hideMark/>
          </w:tcPr>
          <w:p w14:paraId="2F4556C8" w14:textId="77777777" w:rsidR="00A1780E" w:rsidRPr="0003452E" w:rsidRDefault="00A1780E" w:rsidP="00AA76E8">
            <w:pPr>
              <w:pStyle w:val="Tables"/>
            </w:pPr>
            <w:r w:rsidRPr="0003452E">
              <w:rPr>
                <w:i/>
                <w:iCs/>
              </w:rPr>
              <w:t>Deduct—</w:t>
            </w:r>
          </w:p>
        </w:tc>
        <w:tc>
          <w:tcPr>
            <w:tcW w:w="1463" w:type="dxa"/>
            <w:vAlign w:val="center"/>
            <w:hideMark/>
          </w:tcPr>
          <w:p w14:paraId="121EFA52" w14:textId="77777777" w:rsidR="00A1780E" w:rsidRPr="0003452E" w:rsidRDefault="00A1780E" w:rsidP="00AA76E8">
            <w:pPr>
              <w:pStyle w:val="Tables"/>
            </w:pPr>
          </w:p>
        </w:tc>
        <w:tc>
          <w:tcPr>
            <w:tcW w:w="1276" w:type="dxa"/>
            <w:vAlign w:val="center"/>
            <w:hideMark/>
          </w:tcPr>
          <w:p w14:paraId="4975D017" w14:textId="77777777" w:rsidR="00A1780E" w:rsidRPr="0003452E" w:rsidRDefault="00A1780E" w:rsidP="00AA76E8">
            <w:pPr>
              <w:pStyle w:val="Tables"/>
            </w:pPr>
          </w:p>
        </w:tc>
        <w:tc>
          <w:tcPr>
            <w:tcW w:w="1701" w:type="dxa"/>
            <w:vAlign w:val="center"/>
            <w:hideMark/>
          </w:tcPr>
          <w:p w14:paraId="47BCD3F4" w14:textId="77777777" w:rsidR="00A1780E" w:rsidRPr="0003452E" w:rsidRDefault="00A1780E" w:rsidP="00AA76E8">
            <w:pPr>
              <w:pStyle w:val="Tables"/>
            </w:pPr>
          </w:p>
        </w:tc>
        <w:tc>
          <w:tcPr>
            <w:tcW w:w="1814" w:type="dxa"/>
            <w:vAlign w:val="center"/>
            <w:hideMark/>
          </w:tcPr>
          <w:p w14:paraId="321C0A10" w14:textId="77777777" w:rsidR="00A1780E" w:rsidRPr="0003452E" w:rsidRDefault="00A1780E" w:rsidP="00AA76E8">
            <w:pPr>
              <w:pStyle w:val="Tables"/>
            </w:pPr>
          </w:p>
        </w:tc>
      </w:tr>
      <w:tr w:rsidR="00A1780E" w:rsidRPr="0003452E" w14:paraId="165460D9" w14:textId="77777777" w:rsidTr="00AA76E8">
        <w:trPr>
          <w:trHeight w:val="20"/>
          <w:jc w:val="center"/>
        </w:trPr>
        <w:tc>
          <w:tcPr>
            <w:tcW w:w="0" w:type="auto"/>
            <w:vAlign w:val="center"/>
            <w:hideMark/>
          </w:tcPr>
          <w:p w14:paraId="33502246" w14:textId="77777777" w:rsidR="00A1780E" w:rsidRPr="0003452E" w:rsidRDefault="00A1780E" w:rsidP="00AA76E8">
            <w:pPr>
              <w:pStyle w:val="Tables"/>
            </w:pPr>
            <w:r w:rsidRPr="0003452E">
              <w:t>(i) Share of Central Income Tax</w:t>
            </w:r>
          </w:p>
        </w:tc>
        <w:tc>
          <w:tcPr>
            <w:tcW w:w="1463" w:type="dxa"/>
            <w:vAlign w:val="center"/>
            <w:hideMark/>
          </w:tcPr>
          <w:p w14:paraId="243FA715" w14:textId="77777777" w:rsidR="00A1780E" w:rsidRPr="0003452E" w:rsidRDefault="00A1780E" w:rsidP="00AA76E8">
            <w:pPr>
              <w:pStyle w:val="Tables"/>
            </w:pPr>
            <w:r w:rsidRPr="0003452E">
              <w:t>595</w:t>
            </w:r>
          </w:p>
        </w:tc>
        <w:tc>
          <w:tcPr>
            <w:tcW w:w="1276" w:type="dxa"/>
            <w:vAlign w:val="center"/>
            <w:hideMark/>
          </w:tcPr>
          <w:p w14:paraId="38F98754" w14:textId="77777777" w:rsidR="00A1780E" w:rsidRPr="0003452E" w:rsidRDefault="00A1780E" w:rsidP="00AA76E8">
            <w:pPr>
              <w:pStyle w:val="Tables"/>
            </w:pPr>
            <w:r w:rsidRPr="0003452E">
              <w:t>592</w:t>
            </w:r>
          </w:p>
        </w:tc>
        <w:tc>
          <w:tcPr>
            <w:tcW w:w="1701" w:type="dxa"/>
            <w:vAlign w:val="center"/>
            <w:hideMark/>
          </w:tcPr>
          <w:p w14:paraId="57C96BEB" w14:textId="77777777" w:rsidR="00A1780E" w:rsidRPr="0003452E" w:rsidRDefault="00A1780E" w:rsidP="00AA76E8">
            <w:pPr>
              <w:pStyle w:val="Tables"/>
            </w:pPr>
            <w:r w:rsidRPr="0003452E">
              <w:t>654</w:t>
            </w:r>
          </w:p>
        </w:tc>
        <w:tc>
          <w:tcPr>
            <w:tcW w:w="1814" w:type="dxa"/>
            <w:vAlign w:val="center"/>
            <w:hideMark/>
          </w:tcPr>
          <w:p w14:paraId="653DFE5F" w14:textId="77777777" w:rsidR="00A1780E" w:rsidRPr="0003452E" w:rsidRDefault="00A1780E" w:rsidP="00AA76E8">
            <w:pPr>
              <w:pStyle w:val="Tables"/>
            </w:pPr>
            <w:r w:rsidRPr="0003452E">
              <w:t>631</w:t>
            </w:r>
          </w:p>
        </w:tc>
      </w:tr>
      <w:tr w:rsidR="00A1780E" w:rsidRPr="0003452E" w14:paraId="70B8364D" w14:textId="77777777" w:rsidTr="00AA76E8">
        <w:trPr>
          <w:trHeight w:val="20"/>
          <w:jc w:val="center"/>
        </w:trPr>
        <w:tc>
          <w:tcPr>
            <w:tcW w:w="0" w:type="auto"/>
            <w:vAlign w:val="center"/>
            <w:hideMark/>
          </w:tcPr>
          <w:p w14:paraId="3E14329C" w14:textId="77777777" w:rsidR="00A1780E" w:rsidRPr="0003452E" w:rsidRDefault="00A1780E" w:rsidP="00AA76E8">
            <w:pPr>
              <w:pStyle w:val="Tables"/>
            </w:pPr>
            <w:r w:rsidRPr="0003452E">
              <w:t>(ii) Grants-in-aid</w:t>
            </w:r>
          </w:p>
        </w:tc>
        <w:tc>
          <w:tcPr>
            <w:tcW w:w="1463" w:type="dxa"/>
            <w:vAlign w:val="center"/>
            <w:hideMark/>
          </w:tcPr>
          <w:p w14:paraId="27E652FB" w14:textId="77777777" w:rsidR="00A1780E" w:rsidRPr="0003452E" w:rsidRDefault="00A1780E" w:rsidP="00AA76E8">
            <w:pPr>
              <w:pStyle w:val="Tables"/>
            </w:pPr>
            <w:r w:rsidRPr="0003452E">
              <w:t>46</w:t>
            </w:r>
          </w:p>
        </w:tc>
        <w:tc>
          <w:tcPr>
            <w:tcW w:w="1276" w:type="dxa"/>
            <w:vAlign w:val="center"/>
            <w:hideMark/>
          </w:tcPr>
          <w:p w14:paraId="4A0A2586" w14:textId="77777777" w:rsidR="00A1780E" w:rsidRPr="0003452E" w:rsidRDefault="00A1780E" w:rsidP="00AA76E8">
            <w:pPr>
              <w:pStyle w:val="Tables"/>
            </w:pPr>
            <w:r w:rsidRPr="0003452E">
              <w:t>39</w:t>
            </w:r>
          </w:p>
        </w:tc>
        <w:tc>
          <w:tcPr>
            <w:tcW w:w="1701" w:type="dxa"/>
            <w:vAlign w:val="center"/>
            <w:hideMark/>
          </w:tcPr>
          <w:p w14:paraId="024E6451" w14:textId="77777777" w:rsidR="00A1780E" w:rsidRPr="0003452E" w:rsidRDefault="00A1780E" w:rsidP="00AA76E8">
            <w:pPr>
              <w:pStyle w:val="Tables"/>
            </w:pPr>
            <w:r w:rsidRPr="0003452E">
              <w:t>39</w:t>
            </w:r>
          </w:p>
        </w:tc>
        <w:tc>
          <w:tcPr>
            <w:tcW w:w="1814" w:type="dxa"/>
            <w:vAlign w:val="center"/>
            <w:hideMark/>
          </w:tcPr>
          <w:p w14:paraId="146B3AB7" w14:textId="77777777" w:rsidR="00A1780E" w:rsidRPr="0003452E" w:rsidRDefault="00A1780E" w:rsidP="00AA76E8">
            <w:pPr>
              <w:pStyle w:val="Tables"/>
            </w:pPr>
            <w:r w:rsidRPr="0003452E">
              <w:t>37</w:t>
            </w:r>
          </w:p>
        </w:tc>
      </w:tr>
      <w:tr w:rsidR="00A1780E" w:rsidRPr="0003452E" w14:paraId="42A695C7" w14:textId="77777777" w:rsidTr="00AA76E8">
        <w:trPr>
          <w:trHeight w:val="20"/>
          <w:jc w:val="center"/>
        </w:trPr>
        <w:tc>
          <w:tcPr>
            <w:tcW w:w="0" w:type="auto"/>
            <w:vAlign w:val="center"/>
            <w:hideMark/>
          </w:tcPr>
          <w:p w14:paraId="6608252D" w14:textId="77777777" w:rsidR="00A1780E" w:rsidRPr="0003452E" w:rsidRDefault="00A1780E" w:rsidP="00AA76E8">
            <w:pPr>
              <w:pStyle w:val="Tables"/>
            </w:pPr>
            <w:r w:rsidRPr="0003452E">
              <w:t>NET REVENUE</w:t>
            </w:r>
          </w:p>
        </w:tc>
        <w:tc>
          <w:tcPr>
            <w:tcW w:w="1463" w:type="dxa"/>
            <w:vAlign w:val="center"/>
            <w:hideMark/>
          </w:tcPr>
          <w:p w14:paraId="61871D44" w14:textId="77777777" w:rsidR="00A1780E" w:rsidRPr="0003452E" w:rsidRDefault="00A1780E" w:rsidP="00AA76E8">
            <w:pPr>
              <w:pStyle w:val="Tables"/>
            </w:pPr>
            <w:r w:rsidRPr="0003452E">
              <w:t>1954</w:t>
            </w:r>
          </w:p>
        </w:tc>
        <w:tc>
          <w:tcPr>
            <w:tcW w:w="1276" w:type="dxa"/>
            <w:vAlign w:val="center"/>
            <w:hideMark/>
          </w:tcPr>
          <w:p w14:paraId="177AA574" w14:textId="77777777" w:rsidR="00A1780E" w:rsidRPr="0003452E" w:rsidRDefault="00A1780E" w:rsidP="00AA76E8">
            <w:pPr>
              <w:pStyle w:val="Tables"/>
            </w:pPr>
            <w:r w:rsidRPr="0003452E">
              <w:t>2266</w:t>
            </w:r>
          </w:p>
        </w:tc>
        <w:tc>
          <w:tcPr>
            <w:tcW w:w="1701" w:type="dxa"/>
            <w:vAlign w:val="center"/>
            <w:hideMark/>
          </w:tcPr>
          <w:p w14:paraId="572A0E42" w14:textId="77777777" w:rsidR="00A1780E" w:rsidRPr="0003452E" w:rsidRDefault="00A1780E" w:rsidP="00AA76E8">
            <w:pPr>
              <w:pStyle w:val="Tables"/>
            </w:pPr>
            <w:r w:rsidRPr="0003452E">
              <w:t>2130</w:t>
            </w:r>
          </w:p>
        </w:tc>
        <w:tc>
          <w:tcPr>
            <w:tcW w:w="1814" w:type="dxa"/>
            <w:vAlign w:val="center"/>
            <w:hideMark/>
          </w:tcPr>
          <w:p w14:paraId="0371DFE2" w14:textId="77777777" w:rsidR="00A1780E" w:rsidRPr="0003452E" w:rsidRDefault="00A1780E" w:rsidP="00AA76E8">
            <w:pPr>
              <w:pStyle w:val="Tables"/>
            </w:pPr>
            <w:r w:rsidRPr="0003452E">
              <w:t>2161</w:t>
            </w:r>
          </w:p>
        </w:tc>
      </w:tr>
      <w:tr w:rsidR="00A1780E" w:rsidRPr="0003452E" w14:paraId="58FFCD2B" w14:textId="77777777" w:rsidTr="00AA76E8">
        <w:trPr>
          <w:trHeight w:val="20"/>
          <w:jc w:val="center"/>
        </w:trPr>
        <w:tc>
          <w:tcPr>
            <w:tcW w:w="0" w:type="auto"/>
            <w:vAlign w:val="center"/>
            <w:hideMark/>
          </w:tcPr>
          <w:p w14:paraId="0BCCC15F" w14:textId="77777777" w:rsidR="00A1780E" w:rsidRPr="0003452E" w:rsidRDefault="00A1780E" w:rsidP="00AA76E8">
            <w:pPr>
              <w:pStyle w:val="Tables"/>
            </w:pPr>
            <w:r w:rsidRPr="0003452E">
              <w:t>TOTAL EXPENDITURE</w:t>
            </w:r>
          </w:p>
        </w:tc>
        <w:tc>
          <w:tcPr>
            <w:tcW w:w="1463" w:type="dxa"/>
            <w:vAlign w:val="center"/>
            <w:hideMark/>
          </w:tcPr>
          <w:p w14:paraId="49231754" w14:textId="77777777" w:rsidR="00A1780E" w:rsidRPr="0003452E" w:rsidRDefault="00A1780E" w:rsidP="00AA76E8">
            <w:pPr>
              <w:pStyle w:val="Tables"/>
            </w:pPr>
            <w:r w:rsidRPr="0003452E">
              <w:t>2375</w:t>
            </w:r>
          </w:p>
        </w:tc>
        <w:tc>
          <w:tcPr>
            <w:tcW w:w="1276" w:type="dxa"/>
            <w:vAlign w:val="center"/>
            <w:hideMark/>
          </w:tcPr>
          <w:p w14:paraId="6242C5BC" w14:textId="77777777" w:rsidR="00A1780E" w:rsidRPr="0003452E" w:rsidRDefault="00A1780E" w:rsidP="00AA76E8">
            <w:pPr>
              <w:pStyle w:val="Tables"/>
            </w:pPr>
            <w:r w:rsidRPr="0003452E">
              <w:t>2605</w:t>
            </w:r>
          </w:p>
        </w:tc>
        <w:tc>
          <w:tcPr>
            <w:tcW w:w="1701" w:type="dxa"/>
            <w:vAlign w:val="center"/>
            <w:hideMark/>
          </w:tcPr>
          <w:p w14:paraId="36A89D6E" w14:textId="77777777" w:rsidR="00A1780E" w:rsidRPr="0003452E" w:rsidRDefault="00A1780E" w:rsidP="00AA76E8">
            <w:pPr>
              <w:pStyle w:val="Tables"/>
            </w:pPr>
            <w:r w:rsidRPr="0003452E">
              <w:t>3273</w:t>
            </w:r>
          </w:p>
        </w:tc>
        <w:tc>
          <w:tcPr>
            <w:tcW w:w="1814" w:type="dxa"/>
            <w:vAlign w:val="center"/>
            <w:hideMark/>
          </w:tcPr>
          <w:p w14:paraId="7DAC6085" w14:textId="77777777" w:rsidR="00A1780E" w:rsidRPr="0003452E" w:rsidRDefault="00A1780E" w:rsidP="00AA76E8">
            <w:pPr>
              <w:pStyle w:val="Tables"/>
            </w:pPr>
            <w:r w:rsidRPr="0003452E">
              <w:t>2980</w:t>
            </w:r>
          </w:p>
        </w:tc>
      </w:tr>
      <w:tr w:rsidR="00A1780E" w:rsidRPr="0003452E" w14:paraId="0AEA6D41" w14:textId="77777777" w:rsidTr="00AA76E8">
        <w:trPr>
          <w:trHeight w:val="20"/>
          <w:jc w:val="center"/>
        </w:trPr>
        <w:tc>
          <w:tcPr>
            <w:tcW w:w="0" w:type="auto"/>
            <w:vAlign w:val="center"/>
            <w:hideMark/>
          </w:tcPr>
          <w:p w14:paraId="686ED864" w14:textId="77777777" w:rsidR="00A1780E" w:rsidRPr="0003452E" w:rsidRDefault="00A1780E" w:rsidP="00AA76E8">
            <w:pPr>
              <w:pStyle w:val="Tables"/>
            </w:pPr>
            <w:r w:rsidRPr="0003452E">
              <w:t>Surplus (+) or Deficit (—)</w:t>
            </w:r>
          </w:p>
        </w:tc>
        <w:tc>
          <w:tcPr>
            <w:tcW w:w="1463" w:type="dxa"/>
            <w:vAlign w:val="center"/>
            <w:hideMark/>
          </w:tcPr>
          <w:p w14:paraId="7F705223" w14:textId="77777777" w:rsidR="00A1780E" w:rsidRPr="0003452E" w:rsidRDefault="00A1780E" w:rsidP="00AA76E8">
            <w:pPr>
              <w:pStyle w:val="Tables"/>
            </w:pPr>
            <w:r w:rsidRPr="0003452E">
              <w:t>—421</w:t>
            </w:r>
          </w:p>
        </w:tc>
        <w:tc>
          <w:tcPr>
            <w:tcW w:w="1276" w:type="dxa"/>
            <w:vAlign w:val="center"/>
            <w:hideMark/>
          </w:tcPr>
          <w:p w14:paraId="130BF271" w14:textId="77777777" w:rsidR="00A1780E" w:rsidRPr="0003452E" w:rsidRDefault="00A1780E" w:rsidP="00AA76E8">
            <w:pPr>
              <w:pStyle w:val="Tables"/>
            </w:pPr>
            <w:r w:rsidRPr="0003452E">
              <w:t>—339</w:t>
            </w:r>
          </w:p>
        </w:tc>
        <w:tc>
          <w:tcPr>
            <w:tcW w:w="1701" w:type="dxa"/>
            <w:vAlign w:val="center"/>
            <w:hideMark/>
          </w:tcPr>
          <w:p w14:paraId="4C6097EA" w14:textId="77777777" w:rsidR="00A1780E" w:rsidRPr="0003452E" w:rsidRDefault="00A1780E" w:rsidP="00AA76E8">
            <w:pPr>
              <w:pStyle w:val="Tables"/>
            </w:pPr>
            <w:r w:rsidRPr="0003452E">
              <w:t>—1143</w:t>
            </w:r>
          </w:p>
        </w:tc>
        <w:tc>
          <w:tcPr>
            <w:tcW w:w="1814" w:type="dxa"/>
            <w:vAlign w:val="center"/>
            <w:hideMark/>
          </w:tcPr>
          <w:p w14:paraId="30B0D50F" w14:textId="77777777" w:rsidR="00A1780E" w:rsidRPr="0003452E" w:rsidRDefault="00A1780E" w:rsidP="00AA76E8">
            <w:pPr>
              <w:pStyle w:val="Tables"/>
            </w:pPr>
            <w:r w:rsidRPr="0003452E">
              <w:t>—819</w:t>
            </w:r>
          </w:p>
        </w:tc>
      </w:tr>
      <w:tr w:rsidR="00704B99" w:rsidRPr="0003452E" w14:paraId="186C7E99" w14:textId="77777777" w:rsidTr="00AA76E8">
        <w:trPr>
          <w:trHeight w:val="20"/>
          <w:jc w:val="center"/>
        </w:trPr>
        <w:tc>
          <w:tcPr>
            <w:tcW w:w="9322" w:type="dxa"/>
            <w:gridSpan w:val="5"/>
            <w:vAlign w:val="center"/>
            <w:hideMark/>
          </w:tcPr>
          <w:p w14:paraId="461D38C0" w14:textId="77777777" w:rsidR="00704B99" w:rsidRPr="00241C00" w:rsidRDefault="00704B99" w:rsidP="00AA76E8">
            <w:pPr>
              <w:pStyle w:val="Tables"/>
              <w:rPr>
                <w:b/>
                <w:bCs/>
              </w:rPr>
            </w:pPr>
            <w:r w:rsidRPr="00241C00">
              <w:rPr>
                <w:b/>
                <w:bCs/>
              </w:rPr>
              <w:t>BOMBAY</w:t>
            </w:r>
          </w:p>
          <w:p w14:paraId="104754F5" w14:textId="77777777" w:rsidR="00704B99" w:rsidRPr="0003452E" w:rsidRDefault="00704B99" w:rsidP="00AA76E8">
            <w:pPr>
              <w:pStyle w:val="Tables"/>
            </w:pPr>
          </w:p>
          <w:p w14:paraId="5D0809CA" w14:textId="2F5EBEFF" w:rsidR="00704B99" w:rsidRPr="0003452E" w:rsidRDefault="00704B99" w:rsidP="00AA76E8">
            <w:pPr>
              <w:pStyle w:val="Tables"/>
            </w:pPr>
          </w:p>
        </w:tc>
      </w:tr>
      <w:tr w:rsidR="00A1780E" w:rsidRPr="0003452E" w14:paraId="59FC582E" w14:textId="77777777" w:rsidTr="00AA76E8">
        <w:trPr>
          <w:trHeight w:val="20"/>
          <w:jc w:val="center"/>
        </w:trPr>
        <w:tc>
          <w:tcPr>
            <w:tcW w:w="0" w:type="auto"/>
            <w:vAlign w:val="center"/>
            <w:hideMark/>
          </w:tcPr>
          <w:p w14:paraId="154182DC" w14:textId="77777777" w:rsidR="00A1780E" w:rsidRPr="0003452E" w:rsidRDefault="00A1780E" w:rsidP="00AA76E8">
            <w:pPr>
              <w:pStyle w:val="Tables"/>
            </w:pPr>
            <w:r w:rsidRPr="0003452E">
              <w:t>TOTAL REVENUE</w:t>
            </w:r>
          </w:p>
        </w:tc>
        <w:tc>
          <w:tcPr>
            <w:tcW w:w="1463" w:type="dxa"/>
            <w:vAlign w:val="center"/>
            <w:hideMark/>
          </w:tcPr>
          <w:p w14:paraId="0D45EC25" w14:textId="77777777" w:rsidR="00A1780E" w:rsidRPr="0003452E" w:rsidRDefault="00A1780E" w:rsidP="00AA76E8">
            <w:pPr>
              <w:pStyle w:val="Tables"/>
            </w:pPr>
            <w:r w:rsidRPr="0003452E">
              <w:t>6153</w:t>
            </w:r>
          </w:p>
        </w:tc>
        <w:tc>
          <w:tcPr>
            <w:tcW w:w="1276" w:type="dxa"/>
            <w:vAlign w:val="center"/>
            <w:hideMark/>
          </w:tcPr>
          <w:p w14:paraId="4E810016" w14:textId="77777777" w:rsidR="00A1780E" w:rsidRPr="0003452E" w:rsidRDefault="00A1780E" w:rsidP="00AA76E8">
            <w:pPr>
              <w:pStyle w:val="Tables"/>
            </w:pPr>
            <w:r w:rsidRPr="0003452E">
              <w:t>6031</w:t>
            </w:r>
          </w:p>
        </w:tc>
        <w:tc>
          <w:tcPr>
            <w:tcW w:w="1701" w:type="dxa"/>
            <w:vAlign w:val="center"/>
            <w:hideMark/>
          </w:tcPr>
          <w:p w14:paraId="45ED321F" w14:textId="77777777" w:rsidR="00A1780E" w:rsidRPr="0003452E" w:rsidRDefault="00A1780E" w:rsidP="00AA76E8">
            <w:pPr>
              <w:pStyle w:val="Tables"/>
            </w:pPr>
            <w:r w:rsidRPr="0003452E">
              <w:t>6045</w:t>
            </w:r>
          </w:p>
        </w:tc>
        <w:tc>
          <w:tcPr>
            <w:tcW w:w="1814" w:type="dxa"/>
            <w:vAlign w:val="center"/>
            <w:hideMark/>
          </w:tcPr>
          <w:p w14:paraId="37A898D8" w14:textId="77777777" w:rsidR="00A1780E" w:rsidRPr="0003452E" w:rsidRDefault="00A1780E" w:rsidP="00AA76E8">
            <w:pPr>
              <w:pStyle w:val="Tables"/>
            </w:pPr>
            <w:r w:rsidRPr="0003452E">
              <w:t>6503</w:t>
            </w:r>
          </w:p>
        </w:tc>
      </w:tr>
      <w:tr w:rsidR="00A1780E" w:rsidRPr="0003452E" w14:paraId="6A3B31F3" w14:textId="77777777" w:rsidTr="00AA76E8">
        <w:trPr>
          <w:trHeight w:val="20"/>
          <w:jc w:val="center"/>
        </w:trPr>
        <w:tc>
          <w:tcPr>
            <w:tcW w:w="0" w:type="auto"/>
            <w:vAlign w:val="center"/>
            <w:hideMark/>
          </w:tcPr>
          <w:p w14:paraId="40CFC204" w14:textId="77777777" w:rsidR="00A1780E" w:rsidRPr="0003452E" w:rsidRDefault="00A1780E" w:rsidP="00AA76E8">
            <w:pPr>
              <w:pStyle w:val="Tables"/>
            </w:pPr>
            <w:r w:rsidRPr="0003452E">
              <w:rPr>
                <w:i/>
                <w:iCs/>
              </w:rPr>
              <w:t>Deduct—</w:t>
            </w:r>
          </w:p>
        </w:tc>
        <w:tc>
          <w:tcPr>
            <w:tcW w:w="1463" w:type="dxa"/>
            <w:vAlign w:val="center"/>
            <w:hideMark/>
          </w:tcPr>
          <w:p w14:paraId="7D52DD1B" w14:textId="77777777" w:rsidR="00A1780E" w:rsidRPr="0003452E" w:rsidRDefault="00A1780E" w:rsidP="00AA76E8">
            <w:pPr>
              <w:pStyle w:val="Tables"/>
            </w:pPr>
          </w:p>
        </w:tc>
        <w:tc>
          <w:tcPr>
            <w:tcW w:w="1276" w:type="dxa"/>
            <w:vAlign w:val="center"/>
            <w:hideMark/>
          </w:tcPr>
          <w:p w14:paraId="6EF943DA" w14:textId="77777777" w:rsidR="00A1780E" w:rsidRPr="0003452E" w:rsidRDefault="00A1780E" w:rsidP="00AA76E8">
            <w:pPr>
              <w:pStyle w:val="Tables"/>
            </w:pPr>
          </w:p>
        </w:tc>
        <w:tc>
          <w:tcPr>
            <w:tcW w:w="1701" w:type="dxa"/>
            <w:vAlign w:val="center"/>
            <w:hideMark/>
          </w:tcPr>
          <w:p w14:paraId="6BACE386" w14:textId="77777777" w:rsidR="00A1780E" w:rsidRPr="0003452E" w:rsidRDefault="00A1780E" w:rsidP="00AA76E8">
            <w:pPr>
              <w:pStyle w:val="Tables"/>
            </w:pPr>
          </w:p>
        </w:tc>
        <w:tc>
          <w:tcPr>
            <w:tcW w:w="1814" w:type="dxa"/>
            <w:vAlign w:val="center"/>
            <w:hideMark/>
          </w:tcPr>
          <w:p w14:paraId="62A18A15" w14:textId="77777777" w:rsidR="00A1780E" w:rsidRPr="0003452E" w:rsidRDefault="00A1780E" w:rsidP="00AA76E8">
            <w:pPr>
              <w:pStyle w:val="Tables"/>
            </w:pPr>
          </w:p>
        </w:tc>
      </w:tr>
      <w:tr w:rsidR="00A1780E" w:rsidRPr="0003452E" w14:paraId="518AA90A" w14:textId="77777777" w:rsidTr="00AA76E8">
        <w:trPr>
          <w:trHeight w:val="20"/>
          <w:jc w:val="center"/>
        </w:trPr>
        <w:tc>
          <w:tcPr>
            <w:tcW w:w="0" w:type="auto"/>
            <w:vAlign w:val="center"/>
            <w:hideMark/>
          </w:tcPr>
          <w:p w14:paraId="7BF82DD0" w14:textId="77777777" w:rsidR="00A1780E" w:rsidRPr="0003452E" w:rsidRDefault="00A1780E" w:rsidP="00AA76E8">
            <w:pPr>
              <w:pStyle w:val="Tables"/>
            </w:pPr>
            <w:r w:rsidRPr="0003452E">
              <w:t>(i) Share of Central Income Tax</w:t>
            </w:r>
          </w:p>
        </w:tc>
        <w:tc>
          <w:tcPr>
            <w:tcW w:w="1463" w:type="dxa"/>
            <w:vAlign w:val="center"/>
            <w:hideMark/>
          </w:tcPr>
          <w:p w14:paraId="7B026C09" w14:textId="77777777" w:rsidR="00A1780E" w:rsidRPr="0003452E" w:rsidRDefault="00A1780E" w:rsidP="00AA76E8">
            <w:pPr>
              <w:pStyle w:val="Tables"/>
            </w:pPr>
            <w:r w:rsidRPr="0003452E">
              <w:t>961</w:t>
            </w:r>
          </w:p>
        </w:tc>
        <w:tc>
          <w:tcPr>
            <w:tcW w:w="1276" w:type="dxa"/>
            <w:vAlign w:val="center"/>
            <w:hideMark/>
          </w:tcPr>
          <w:p w14:paraId="26F78FA1" w14:textId="77777777" w:rsidR="00A1780E" w:rsidRPr="0003452E" w:rsidRDefault="00A1780E" w:rsidP="00AA76E8">
            <w:pPr>
              <w:pStyle w:val="Tables"/>
            </w:pPr>
            <w:r w:rsidRPr="0003452E">
              <w:t>995</w:t>
            </w:r>
          </w:p>
        </w:tc>
        <w:tc>
          <w:tcPr>
            <w:tcW w:w="1701" w:type="dxa"/>
            <w:vAlign w:val="center"/>
            <w:hideMark/>
          </w:tcPr>
          <w:p w14:paraId="024DDECC" w14:textId="77777777" w:rsidR="00A1780E" w:rsidRPr="0003452E" w:rsidRDefault="00A1780E" w:rsidP="00AA76E8">
            <w:pPr>
              <w:pStyle w:val="Tables"/>
            </w:pPr>
            <w:r w:rsidRPr="0003452E">
              <w:t>1099</w:t>
            </w:r>
          </w:p>
        </w:tc>
        <w:tc>
          <w:tcPr>
            <w:tcW w:w="1814" w:type="dxa"/>
            <w:vAlign w:val="center"/>
            <w:hideMark/>
          </w:tcPr>
          <w:p w14:paraId="0068DA48" w14:textId="77777777" w:rsidR="00A1780E" w:rsidRPr="0003452E" w:rsidRDefault="00A1780E" w:rsidP="00AA76E8">
            <w:pPr>
              <w:pStyle w:val="Tables"/>
            </w:pPr>
            <w:r w:rsidRPr="0003452E">
              <w:t>1060</w:t>
            </w:r>
          </w:p>
        </w:tc>
      </w:tr>
      <w:tr w:rsidR="00A1780E" w:rsidRPr="0003452E" w14:paraId="4BB6B1C1" w14:textId="77777777" w:rsidTr="00AA76E8">
        <w:trPr>
          <w:trHeight w:val="20"/>
          <w:jc w:val="center"/>
        </w:trPr>
        <w:tc>
          <w:tcPr>
            <w:tcW w:w="0" w:type="auto"/>
            <w:vAlign w:val="center"/>
            <w:hideMark/>
          </w:tcPr>
          <w:p w14:paraId="4F83CDE7" w14:textId="77777777" w:rsidR="00A1780E" w:rsidRPr="0003452E" w:rsidRDefault="00A1780E" w:rsidP="00AA76E8">
            <w:pPr>
              <w:pStyle w:val="Tables"/>
            </w:pPr>
            <w:r w:rsidRPr="0003452E">
              <w:t>(ii) Grants-in-aid</w:t>
            </w:r>
          </w:p>
        </w:tc>
        <w:tc>
          <w:tcPr>
            <w:tcW w:w="1463" w:type="dxa"/>
            <w:vAlign w:val="center"/>
            <w:hideMark/>
          </w:tcPr>
          <w:p w14:paraId="0E7EE85E" w14:textId="77777777" w:rsidR="00A1780E" w:rsidRPr="0003452E" w:rsidRDefault="00A1780E" w:rsidP="00AA76E8">
            <w:pPr>
              <w:pStyle w:val="Tables"/>
            </w:pPr>
            <w:r w:rsidRPr="0003452E">
              <w:t>135</w:t>
            </w:r>
          </w:p>
        </w:tc>
        <w:tc>
          <w:tcPr>
            <w:tcW w:w="1276" w:type="dxa"/>
            <w:vAlign w:val="center"/>
            <w:hideMark/>
          </w:tcPr>
          <w:p w14:paraId="35A522A2" w14:textId="77777777" w:rsidR="00A1780E" w:rsidRPr="0003452E" w:rsidRDefault="00A1780E" w:rsidP="00AA76E8">
            <w:pPr>
              <w:pStyle w:val="Tables"/>
            </w:pPr>
            <w:r w:rsidRPr="0003452E">
              <w:t>145</w:t>
            </w:r>
          </w:p>
        </w:tc>
        <w:tc>
          <w:tcPr>
            <w:tcW w:w="1701" w:type="dxa"/>
            <w:vAlign w:val="center"/>
            <w:hideMark/>
          </w:tcPr>
          <w:p w14:paraId="1B2E7B71" w14:textId="77777777" w:rsidR="00A1780E" w:rsidRPr="0003452E" w:rsidRDefault="00A1780E" w:rsidP="00AA76E8">
            <w:pPr>
              <w:pStyle w:val="Tables"/>
            </w:pPr>
            <w:r w:rsidRPr="0003452E">
              <w:t>145</w:t>
            </w:r>
          </w:p>
        </w:tc>
        <w:tc>
          <w:tcPr>
            <w:tcW w:w="1814" w:type="dxa"/>
            <w:vAlign w:val="center"/>
            <w:hideMark/>
          </w:tcPr>
          <w:p w14:paraId="614268AD" w14:textId="77777777" w:rsidR="00A1780E" w:rsidRPr="0003452E" w:rsidRDefault="00A1780E" w:rsidP="00AA76E8">
            <w:pPr>
              <w:pStyle w:val="Tables"/>
            </w:pPr>
            <w:r w:rsidRPr="0003452E">
              <w:t>116</w:t>
            </w:r>
          </w:p>
        </w:tc>
      </w:tr>
      <w:tr w:rsidR="00A1780E" w:rsidRPr="0003452E" w14:paraId="47F53FB8" w14:textId="77777777" w:rsidTr="00AA76E8">
        <w:trPr>
          <w:trHeight w:val="20"/>
          <w:jc w:val="center"/>
        </w:trPr>
        <w:tc>
          <w:tcPr>
            <w:tcW w:w="0" w:type="auto"/>
            <w:vAlign w:val="center"/>
            <w:hideMark/>
          </w:tcPr>
          <w:p w14:paraId="3ACE0B16" w14:textId="77777777" w:rsidR="00A1780E" w:rsidRPr="0003452E" w:rsidRDefault="00A1780E" w:rsidP="00AA76E8">
            <w:pPr>
              <w:pStyle w:val="Tables"/>
            </w:pPr>
            <w:r w:rsidRPr="0003452E">
              <w:t>NET REVENUE</w:t>
            </w:r>
          </w:p>
        </w:tc>
        <w:tc>
          <w:tcPr>
            <w:tcW w:w="1463" w:type="dxa"/>
            <w:vAlign w:val="center"/>
            <w:hideMark/>
          </w:tcPr>
          <w:p w14:paraId="0D8C19E5" w14:textId="77777777" w:rsidR="00A1780E" w:rsidRPr="0003452E" w:rsidRDefault="00A1780E" w:rsidP="00AA76E8">
            <w:pPr>
              <w:pStyle w:val="Tables"/>
            </w:pPr>
            <w:r w:rsidRPr="0003452E">
              <w:t>5057</w:t>
            </w:r>
          </w:p>
        </w:tc>
        <w:tc>
          <w:tcPr>
            <w:tcW w:w="1276" w:type="dxa"/>
            <w:vAlign w:val="center"/>
            <w:hideMark/>
          </w:tcPr>
          <w:p w14:paraId="52CA23EE" w14:textId="77777777" w:rsidR="00A1780E" w:rsidRPr="0003452E" w:rsidRDefault="00A1780E" w:rsidP="00AA76E8">
            <w:pPr>
              <w:pStyle w:val="Tables"/>
            </w:pPr>
            <w:r w:rsidRPr="0003452E">
              <w:t>4891</w:t>
            </w:r>
          </w:p>
        </w:tc>
        <w:tc>
          <w:tcPr>
            <w:tcW w:w="1701" w:type="dxa"/>
            <w:vAlign w:val="center"/>
            <w:hideMark/>
          </w:tcPr>
          <w:p w14:paraId="2FD15514" w14:textId="77777777" w:rsidR="00A1780E" w:rsidRPr="0003452E" w:rsidRDefault="00A1780E" w:rsidP="00AA76E8">
            <w:pPr>
              <w:pStyle w:val="Tables"/>
            </w:pPr>
            <w:r w:rsidRPr="0003452E">
              <w:t>4801</w:t>
            </w:r>
          </w:p>
        </w:tc>
        <w:tc>
          <w:tcPr>
            <w:tcW w:w="1814" w:type="dxa"/>
            <w:vAlign w:val="center"/>
            <w:hideMark/>
          </w:tcPr>
          <w:p w14:paraId="0CB99E29" w14:textId="77777777" w:rsidR="00A1780E" w:rsidRPr="0003452E" w:rsidRDefault="00A1780E" w:rsidP="00AA76E8">
            <w:pPr>
              <w:pStyle w:val="Tables"/>
            </w:pPr>
            <w:r w:rsidRPr="0003452E">
              <w:t>5327</w:t>
            </w:r>
          </w:p>
        </w:tc>
      </w:tr>
      <w:tr w:rsidR="00A1780E" w:rsidRPr="0003452E" w14:paraId="3846B22D" w14:textId="77777777" w:rsidTr="00AA76E8">
        <w:trPr>
          <w:trHeight w:val="20"/>
          <w:jc w:val="center"/>
        </w:trPr>
        <w:tc>
          <w:tcPr>
            <w:tcW w:w="0" w:type="auto"/>
            <w:vAlign w:val="center"/>
            <w:hideMark/>
          </w:tcPr>
          <w:p w14:paraId="269A51DC" w14:textId="77777777" w:rsidR="00A1780E" w:rsidRPr="0003452E" w:rsidRDefault="00A1780E" w:rsidP="00AA76E8">
            <w:pPr>
              <w:pStyle w:val="Tables"/>
            </w:pPr>
            <w:r w:rsidRPr="0003452E">
              <w:t>TOTAL EXPENDITURE</w:t>
            </w:r>
          </w:p>
        </w:tc>
        <w:tc>
          <w:tcPr>
            <w:tcW w:w="1463" w:type="dxa"/>
            <w:vAlign w:val="center"/>
            <w:hideMark/>
          </w:tcPr>
          <w:p w14:paraId="09431A80" w14:textId="77777777" w:rsidR="00A1780E" w:rsidRPr="0003452E" w:rsidRDefault="00A1780E" w:rsidP="00AA76E8">
            <w:pPr>
              <w:pStyle w:val="Tables"/>
            </w:pPr>
            <w:r w:rsidRPr="0003452E">
              <w:t>6150</w:t>
            </w:r>
          </w:p>
        </w:tc>
        <w:tc>
          <w:tcPr>
            <w:tcW w:w="1276" w:type="dxa"/>
            <w:vAlign w:val="center"/>
            <w:hideMark/>
          </w:tcPr>
          <w:p w14:paraId="6E5C4F1A" w14:textId="77777777" w:rsidR="00A1780E" w:rsidRPr="0003452E" w:rsidRDefault="00A1780E" w:rsidP="00AA76E8">
            <w:pPr>
              <w:pStyle w:val="Tables"/>
            </w:pPr>
            <w:r w:rsidRPr="0003452E">
              <w:t>6037(a)</w:t>
            </w:r>
          </w:p>
        </w:tc>
        <w:tc>
          <w:tcPr>
            <w:tcW w:w="1701" w:type="dxa"/>
            <w:vAlign w:val="center"/>
            <w:hideMark/>
          </w:tcPr>
          <w:p w14:paraId="665397E5" w14:textId="77777777" w:rsidR="00A1780E" w:rsidRPr="0003452E" w:rsidRDefault="00A1780E" w:rsidP="00AA76E8">
            <w:pPr>
              <w:pStyle w:val="Tables"/>
            </w:pPr>
            <w:r w:rsidRPr="0003452E">
              <w:t>6274</w:t>
            </w:r>
          </w:p>
        </w:tc>
        <w:tc>
          <w:tcPr>
            <w:tcW w:w="1814" w:type="dxa"/>
            <w:vAlign w:val="center"/>
            <w:hideMark/>
          </w:tcPr>
          <w:p w14:paraId="2FF72B59" w14:textId="77777777" w:rsidR="00A1780E" w:rsidRPr="0003452E" w:rsidRDefault="00A1780E" w:rsidP="00AA76E8">
            <w:pPr>
              <w:pStyle w:val="Tables"/>
            </w:pPr>
            <w:r w:rsidRPr="0003452E">
              <w:t>6501(b)</w:t>
            </w:r>
          </w:p>
        </w:tc>
      </w:tr>
      <w:tr w:rsidR="00A1780E" w:rsidRPr="0003452E" w14:paraId="548E87C4" w14:textId="77777777" w:rsidTr="00AA76E8">
        <w:trPr>
          <w:trHeight w:val="20"/>
          <w:jc w:val="center"/>
        </w:trPr>
        <w:tc>
          <w:tcPr>
            <w:tcW w:w="0" w:type="auto"/>
            <w:vAlign w:val="center"/>
            <w:hideMark/>
          </w:tcPr>
          <w:p w14:paraId="0B2E2EB5" w14:textId="77777777" w:rsidR="00A1780E" w:rsidRPr="0003452E" w:rsidRDefault="00A1780E" w:rsidP="00AA76E8">
            <w:pPr>
              <w:pStyle w:val="Tables"/>
            </w:pPr>
            <w:r w:rsidRPr="0003452E">
              <w:t>Surplus (+) or Deficit (—)</w:t>
            </w:r>
          </w:p>
        </w:tc>
        <w:tc>
          <w:tcPr>
            <w:tcW w:w="1463" w:type="dxa"/>
            <w:vAlign w:val="center"/>
            <w:hideMark/>
          </w:tcPr>
          <w:p w14:paraId="05C29EBD" w14:textId="77777777" w:rsidR="00A1780E" w:rsidRPr="0003452E" w:rsidRDefault="00A1780E" w:rsidP="00AA76E8">
            <w:pPr>
              <w:pStyle w:val="Tables"/>
            </w:pPr>
            <w:r w:rsidRPr="0003452E">
              <w:t>—1093</w:t>
            </w:r>
          </w:p>
        </w:tc>
        <w:tc>
          <w:tcPr>
            <w:tcW w:w="1276" w:type="dxa"/>
            <w:vAlign w:val="center"/>
            <w:hideMark/>
          </w:tcPr>
          <w:p w14:paraId="165068FE" w14:textId="77777777" w:rsidR="00A1780E" w:rsidRPr="0003452E" w:rsidRDefault="00A1780E" w:rsidP="00AA76E8">
            <w:pPr>
              <w:pStyle w:val="Tables"/>
            </w:pPr>
            <w:r w:rsidRPr="0003452E">
              <w:t>—1146</w:t>
            </w:r>
          </w:p>
        </w:tc>
        <w:tc>
          <w:tcPr>
            <w:tcW w:w="1701" w:type="dxa"/>
            <w:vAlign w:val="center"/>
            <w:hideMark/>
          </w:tcPr>
          <w:p w14:paraId="25D891D2" w14:textId="77777777" w:rsidR="00A1780E" w:rsidRPr="0003452E" w:rsidRDefault="00A1780E" w:rsidP="00AA76E8">
            <w:pPr>
              <w:pStyle w:val="Tables"/>
            </w:pPr>
            <w:r w:rsidRPr="0003452E">
              <w:t>—1473</w:t>
            </w:r>
          </w:p>
        </w:tc>
        <w:tc>
          <w:tcPr>
            <w:tcW w:w="1814" w:type="dxa"/>
            <w:vAlign w:val="center"/>
            <w:hideMark/>
          </w:tcPr>
          <w:p w14:paraId="005EEBF3" w14:textId="77777777" w:rsidR="00A1780E" w:rsidRPr="0003452E" w:rsidRDefault="00A1780E" w:rsidP="00AA76E8">
            <w:pPr>
              <w:pStyle w:val="Tables"/>
            </w:pPr>
            <w:r w:rsidRPr="0003452E">
              <w:t>—1174</w:t>
            </w:r>
          </w:p>
        </w:tc>
      </w:tr>
    </w:tbl>
    <w:p w14:paraId="7AFB56C6" w14:textId="15618CFF" w:rsidR="00481DB7" w:rsidRPr="0003452E" w:rsidRDefault="00A1780E" w:rsidP="00AA76E8">
      <w:pPr>
        <w:pStyle w:val="Sources"/>
      </w:pPr>
      <w:r w:rsidRPr="0003452E">
        <w:t xml:space="preserve">(a) Rs. 400 lakhs transferred to meet capital expenditure, corresponding to transfer </w:t>
      </w:r>
      <w:r w:rsidR="00481DB7" w:rsidRPr="0003452E">
        <w:t xml:space="preserve">       </w:t>
      </w:r>
      <w:r w:rsidRPr="0003452E">
        <w:t>to Revenue of an equivalent amount from the Revenue Reserve Fund, excluded.</w:t>
      </w:r>
      <w:r w:rsidRPr="0003452E">
        <w:br/>
        <w:t>(b) Rs. 250 lakhs transferred to meet capital expenditure, corresponding to transfer to Revenue of an equivalent amount from the Revenue Reserve Fund, excluded.</w:t>
      </w:r>
    </w:p>
    <w:p w14:paraId="5A6ADDDD" w14:textId="77777777" w:rsidR="00481DB7" w:rsidRPr="0003452E" w:rsidRDefault="00481DB7">
      <w:pPr>
        <w:rPr>
          <w:rFonts w:ascii="Times New Roman" w:hAnsi="Times New Roman" w:cs="Times New Roman"/>
          <w:szCs w:val="24"/>
        </w:rPr>
      </w:pPr>
      <w:r w:rsidRPr="0003452E">
        <w:rPr>
          <w:rFonts w:ascii="Times New Roman" w:hAnsi="Times New Roman" w:cs="Times New Roman"/>
          <w:szCs w:val="24"/>
        </w:rPr>
        <w:br w:type="page"/>
      </w:r>
    </w:p>
    <w:p w14:paraId="426DE121" w14:textId="77777777" w:rsidR="00481DB7" w:rsidRPr="0003452E" w:rsidRDefault="00481DB7" w:rsidP="00481DB7">
      <w:pPr>
        <w:ind w:left="720"/>
        <w:jc w:val="center"/>
        <w:rPr>
          <w:rFonts w:ascii="Times New Roman" w:hAnsi="Times New Roman" w:cs="Times New Roman"/>
          <w:b/>
          <w:bCs/>
          <w:szCs w:val="24"/>
        </w:rPr>
      </w:pPr>
      <w:r w:rsidRPr="0003452E">
        <w:rPr>
          <w:rFonts w:ascii="Times New Roman" w:hAnsi="Times New Roman" w:cs="Times New Roman"/>
          <w:b/>
          <w:bCs/>
          <w:szCs w:val="24"/>
        </w:rPr>
        <w:lastRenderedPageBreak/>
        <w:t>SUMMARY OF THE BUDGETARY POSITION OF PART A AND PART B</w:t>
      </w:r>
    </w:p>
    <w:p w14:paraId="79756AC1" w14:textId="7336E2EE" w:rsidR="00481DB7" w:rsidRPr="0003452E" w:rsidRDefault="00481DB7" w:rsidP="00481DB7">
      <w:pPr>
        <w:ind w:left="720"/>
        <w:jc w:val="center"/>
        <w:rPr>
          <w:rFonts w:ascii="Times New Roman" w:hAnsi="Times New Roman" w:cs="Times New Roman"/>
          <w:b/>
          <w:bCs/>
          <w:szCs w:val="24"/>
        </w:rPr>
      </w:pPr>
      <w:r w:rsidRPr="0003452E">
        <w:rPr>
          <w:rFonts w:ascii="Times New Roman" w:hAnsi="Times New Roman" w:cs="Times New Roman"/>
          <w:b/>
          <w:bCs/>
          <w:szCs w:val="24"/>
        </w:rPr>
        <w:t>STATES—contd.</w:t>
      </w:r>
    </w:p>
    <w:p w14:paraId="0197E6EE" w14:textId="3B8F80F9" w:rsidR="00481DB7" w:rsidRPr="0003452E" w:rsidRDefault="00481DB7" w:rsidP="00481DB7">
      <w:pPr>
        <w:ind w:left="720"/>
        <w:jc w:val="right"/>
        <w:rPr>
          <w:rFonts w:ascii="Times New Roman" w:hAnsi="Times New Roman" w:cs="Times New Roman"/>
          <w:szCs w:val="24"/>
        </w:rPr>
      </w:pPr>
      <w:r w:rsidRPr="0003452E">
        <w:rPr>
          <w:rFonts w:ascii="Times New Roman" w:hAnsi="Times New Roman" w:cs="Times New Roman"/>
          <w:i/>
          <w:iCs/>
          <w:szCs w:val="24"/>
        </w:rPr>
        <w:t>(In lakhs of rupees)</w:t>
      </w:r>
    </w:p>
    <w:tbl>
      <w:tblPr>
        <w:tblStyle w:val="TableGrid"/>
        <w:tblW w:w="0" w:type="auto"/>
        <w:jc w:val="center"/>
        <w:tblLook w:val="04A0" w:firstRow="1" w:lastRow="0" w:firstColumn="1" w:lastColumn="0" w:noHBand="0" w:noVBand="1"/>
      </w:tblPr>
      <w:tblGrid>
        <w:gridCol w:w="3247"/>
        <w:gridCol w:w="1309"/>
        <w:gridCol w:w="1417"/>
        <w:gridCol w:w="1701"/>
        <w:gridCol w:w="1814"/>
      </w:tblGrid>
      <w:tr w:rsidR="00704B99" w:rsidRPr="0003452E" w14:paraId="0250BC1D" w14:textId="77777777" w:rsidTr="00AA76E8">
        <w:trPr>
          <w:trHeight w:val="20"/>
          <w:jc w:val="center"/>
        </w:trPr>
        <w:tc>
          <w:tcPr>
            <w:tcW w:w="0" w:type="auto"/>
            <w:vAlign w:val="center"/>
            <w:hideMark/>
          </w:tcPr>
          <w:p w14:paraId="456542BB" w14:textId="77777777" w:rsidR="00481DB7" w:rsidRPr="0003452E" w:rsidRDefault="00481DB7" w:rsidP="00AA76E8">
            <w:pPr>
              <w:pStyle w:val="Tables"/>
            </w:pPr>
          </w:p>
        </w:tc>
        <w:tc>
          <w:tcPr>
            <w:tcW w:w="1309" w:type="dxa"/>
            <w:vAlign w:val="center"/>
            <w:hideMark/>
          </w:tcPr>
          <w:p w14:paraId="58BDEAC8" w14:textId="77777777" w:rsidR="00481DB7" w:rsidRPr="00241C00" w:rsidRDefault="00481DB7" w:rsidP="00AA76E8">
            <w:pPr>
              <w:pStyle w:val="Tables"/>
              <w:rPr>
                <w:b/>
                <w:bCs/>
              </w:rPr>
            </w:pPr>
            <w:r w:rsidRPr="00241C00">
              <w:rPr>
                <w:b/>
                <w:bCs/>
              </w:rPr>
              <w:t>1949-50</w:t>
            </w:r>
          </w:p>
        </w:tc>
        <w:tc>
          <w:tcPr>
            <w:tcW w:w="1417" w:type="dxa"/>
            <w:vAlign w:val="center"/>
            <w:hideMark/>
          </w:tcPr>
          <w:p w14:paraId="08E4D540" w14:textId="77777777" w:rsidR="00481DB7" w:rsidRPr="00241C00" w:rsidRDefault="00481DB7" w:rsidP="00AA76E8">
            <w:pPr>
              <w:pStyle w:val="Tables"/>
              <w:rPr>
                <w:b/>
                <w:bCs/>
              </w:rPr>
            </w:pPr>
            <w:r w:rsidRPr="00241C00">
              <w:rPr>
                <w:b/>
                <w:bCs/>
              </w:rPr>
              <w:t>1950-51</w:t>
            </w:r>
          </w:p>
        </w:tc>
        <w:tc>
          <w:tcPr>
            <w:tcW w:w="1701" w:type="dxa"/>
            <w:vAlign w:val="center"/>
            <w:hideMark/>
          </w:tcPr>
          <w:p w14:paraId="143865B0" w14:textId="77777777" w:rsidR="00704B99" w:rsidRPr="00241C00" w:rsidRDefault="00481DB7" w:rsidP="00AA76E8">
            <w:pPr>
              <w:pStyle w:val="Tables"/>
              <w:rPr>
                <w:b/>
                <w:bCs/>
              </w:rPr>
            </w:pPr>
            <w:r w:rsidRPr="00241C00">
              <w:rPr>
                <w:b/>
                <w:bCs/>
              </w:rPr>
              <w:t>1951-52</w:t>
            </w:r>
          </w:p>
          <w:p w14:paraId="4DD59C84" w14:textId="31DD5CA8" w:rsidR="00481DB7" w:rsidRPr="00241C00" w:rsidRDefault="00481DB7" w:rsidP="00AA76E8">
            <w:pPr>
              <w:pStyle w:val="Tables"/>
              <w:rPr>
                <w:b/>
                <w:bCs/>
              </w:rPr>
            </w:pPr>
            <w:r w:rsidRPr="00241C00">
              <w:rPr>
                <w:b/>
                <w:bCs/>
              </w:rPr>
              <w:t>(Provisional Figures)</w:t>
            </w:r>
          </w:p>
        </w:tc>
        <w:tc>
          <w:tcPr>
            <w:tcW w:w="1814" w:type="dxa"/>
            <w:vAlign w:val="center"/>
            <w:hideMark/>
          </w:tcPr>
          <w:p w14:paraId="21ED9436" w14:textId="77777777" w:rsidR="00704B99" w:rsidRPr="00241C00" w:rsidRDefault="00481DB7" w:rsidP="00AA76E8">
            <w:pPr>
              <w:pStyle w:val="Tables"/>
              <w:rPr>
                <w:b/>
                <w:bCs/>
              </w:rPr>
            </w:pPr>
            <w:r w:rsidRPr="00241C00">
              <w:rPr>
                <w:b/>
                <w:bCs/>
              </w:rPr>
              <w:t>1952-53</w:t>
            </w:r>
          </w:p>
          <w:p w14:paraId="16E24A80" w14:textId="52A1BD72" w:rsidR="00481DB7" w:rsidRPr="00241C00" w:rsidRDefault="00481DB7" w:rsidP="00AA76E8">
            <w:pPr>
              <w:pStyle w:val="Tables"/>
              <w:rPr>
                <w:b/>
                <w:bCs/>
              </w:rPr>
            </w:pPr>
            <w:r w:rsidRPr="00241C00">
              <w:rPr>
                <w:b/>
                <w:bCs/>
              </w:rPr>
              <w:t>(Budget Estimates)</w:t>
            </w:r>
          </w:p>
        </w:tc>
      </w:tr>
      <w:tr w:rsidR="00704B99" w:rsidRPr="0003452E" w14:paraId="0A20F9E6" w14:textId="77777777" w:rsidTr="00AA76E8">
        <w:trPr>
          <w:trHeight w:val="20"/>
          <w:jc w:val="center"/>
        </w:trPr>
        <w:tc>
          <w:tcPr>
            <w:tcW w:w="9488" w:type="dxa"/>
            <w:gridSpan w:val="5"/>
            <w:vAlign w:val="center"/>
            <w:hideMark/>
          </w:tcPr>
          <w:p w14:paraId="4DF9B819" w14:textId="77777777" w:rsidR="00704B99" w:rsidRPr="00241C00" w:rsidRDefault="00704B99" w:rsidP="00AA76E8">
            <w:pPr>
              <w:pStyle w:val="Tables"/>
              <w:rPr>
                <w:b/>
                <w:bCs/>
              </w:rPr>
            </w:pPr>
            <w:r w:rsidRPr="00241C00">
              <w:rPr>
                <w:b/>
                <w:bCs/>
              </w:rPr>
              <w:t>MADHYA PRADESH</w:t>
            </w:r>
          </w:p>
          <w:p w14:paraId="7ABEF098" w14:textId="20B76E08" w:rsidR="00704B99" w:rsidRPr="00241C00" w:rsidRDefault="00704B99" w:rsidP="00AA76E8">
            <w:pPr>
              <w:pStyle w:val="Tables"/>
              <w:rPr>
                <w:b/>
                <w:bCs/>
              </w:rPr>
            </w:pPr>
          </w:p>
        </w:tc>
      </w:tr>
      <w:tr w:rsidR="00704B99" w:rsidRPr="0003452E" w14:paraId="6ADBB6E3" w14:textId="77777777" w:rsidTr="00AA76E8">
        <w:trPr>
          <w:trHeight w:val="20"/>
          <w:jc w:val="center"/>
        </w:trPr>
        <w:tc>
          <w:tcPr>
            <w:tcW w:w="0" w:type="auto"/>
            <w:vAlign w:val="center"/>
            <w:hideMark/>
          </w:tcPr>
          <w:p w14:paraId="2E1F97A4" w14:textId="77777777" w:rsidR="00481DB7" w:rsidRPr="0003452E" w:rsidRDefault="00481DB7" w:rsidP="00AA76E8">
            <w:pPr>
              <w:pStyle w:val="Tables"/>
            </w:pPr>
            <w:r w:rsidRPr="0003452E">
              <w:t>TOTAL REVENUE</w:t>
            </w:r>
          </w:p>
        </w:tc>
        <w:tc>
          <w:tcPr>
            <w:tcW w:w="1309" w:type="dxa"/>
            <w:vAlign w:val="center"/>
            <w:hideMark/>
          </w:tcPr>
          <w:p w14:paraId="0D093311" w14:textId="77777777" w:rsidR="00481DB7" w:rsidRPr="0003452E" w:rsidRDefault="00481DB7" w:rsidP="00AA76E8">
            <w:pPr>
              <w:pStyle w:val="Tables"/>
            </w:pPr>
            <w:r w:rsidRPr="0003452E">
              <w:t>1960</w:t>
            </w:r>
          </w:p>
        </w:tc>
        <w:tc>
          <w:tcPr>
            <w:tcW w:w="1417" w:type="dxa"/>
            <w:vAlign w:val="center"/>
            <w:hideMark/>
          </w:tcPr>
          <w:p w14:paraId="34F8C767" w14:textId="77777777" w:rsidR="00481DB7" w:rsidRPr="0003452E" w:rsidRDefault="00481DB7" w:rsidP="00AA76E8">
            <w:pPr>
              <w:pStyle w:val="Tables"/>
            </w:pPr>
            <w:r w:rsidRPr="0003452E">
              <w:t>1921</w:t>
            </w:r>
          </w:p>
        </w:tc>
        <w:tc>
          <w:tcPr>
            <w:tcW w:w="1701" w:type="dxa"/>
            <w:vAlign w:val="center"/>
            <w:hideMark/>
          </w:tcPr>
          <w:p w14:paraId="4706850C" w14:textId="77777777" w:rsidR="00481DB7" w:rsidRPr="0003452E" w:rsidRDefault="00481DB7" w:rsidP="00AA76E8">
            <w:pPr>
              <w:pStyle w:val="Tables"/>
            </w:pPr>
            <w:r w:rsidRPr="0003452E">
              <w:t>2280</w:t>
            </w:r>
          </w:p>
        </w:tc>
        <w:tc>
          <w:tcPr>
            <w:tcW w:w="1814" w:type="dxa"/>
            <w:vAlign w:val="center"/>
            <w:hideMark/>
          </w:tcPr>
          <w:p w14:paraId="602AF3E6" w14:textId="77777777" w:rsidR="00481DB7" w:rsidRPr="0003452E" w:rsidRDefault="00481DB7" w:rsidP="00AA76E8">
            <w:pPr>
              <w:pStyle w:val="Tables"/>
            </w:pPr>
            <w:r w:rsidRPr="0003452E">
              <w:t>2100</w:t>
            </w:r>
          </w:p>
        </w:tc>
      </w:tr>
      <w:tr w:rsidR="00704B99" w:rsidRPr="0003452E" w14:paraId="642E5057" w14:textId="77777777" w:rsidTr="00AA76E8">
        <w:trPr>
          <w:trHeight w:val="20"/>
          <w:jc w:val="center"/>
        </w:trPr>
        <w:tc>
          <w:tcPr>
            <w:tcW w:w="0" w:type="auto"/>
            <w:vAlign w:val="center"/>
            <w:hideMark/>
          </w:tcPr>
          <w:p w14:paraId="0A0417BB" w14:textId="77777777" w:rsidR="00481DB7" w:rsidRPr="0003452E" w:rsidRDefault="00481DB7" w:rsidP="00AA76E8">
            <w:pPr>
              <w:pStyle w:val="Tables"/>
            </w:pPr>
            <w:r w:rsidRPr="0003452E">
              <w:rPr>
                <w:i/>
                <w:iCs/>
              </w:rPr>
              <w:t>Deduct—</w:t>
            </w:r>
          </w:p>
        </w:tc>
        <w:tc>
          <w:tcPr>
            <w:tcW w:w="1309" w:type="dxa"/>
            <w:vAlign w:val="center"/>
            <w:hideMark/>
          </w:tcPr>
          <w:p w14:paraId="5A0F1EC0" w14:textId="77777777" w:rsidR="00481DB7" w:rsidRPr="0003452E" w:rsidRDefault="00481DB7" w:rsidP="00AA76E8">
            <w:pPr>
              <w:pStyle w:val="Tables"/>
            </w:pPr>
          </w:p>
        </w:tc>
        <w:tc>
          <w:tcPr>
            <w:tcW w:w="1417" w:type="dxa"/>
            <w:vAlign w:val="center"/>
            <w:hideMark/>
          </w:tcPr>
          <w:p w14:paraId="111B7FF9" w14:textId="77777777" w:rsidR="00481DB7" w:rsidRPr="0003452E" w:rsidRDefault="00481DB7" w:rsidP="00AA76E8">
            <w:pPr>
              <w:pStyle w:val="Tables"/>
            </w:pPr>
          </w:p>
        </w:tc>
        <w:tc>
          <w:tcPr>
            <w:tcW w:w="1701" w:type="dxa"/>
            <w:vAlign w:val="center"/>
            <w:hideMark/>
          </w:tcPr>
          <w:p w14:paraId="67092D3A" w14:textId="77777777" w:rsidR="00481DB7" w:rsidRPr="0003452E" w:rsidRDefault="00481DB7" w:rsidP="00AA76E8">
            <w:pPr>
              <w:pStyle w:val="Tables"/>
            </w:pPr>
          </w:p>
        </w:tc>
        <w:tc>
          <w:tcPr>
            <w:tcW w:w="1814" w:type="dxa"/>
            <w:vAlign w:val="center"/>
            <w:hideMark/>
          </w:tcPr>
          <w:p w14:paraId="6618E5A1" w14:textId="77777777" w:rsidR="00481DB7" w:rsidRPr="0003452E" w:rsidRDefault="00481DB7" w:rsidP="00AA76E8">
            <w:pPr>
              <w:pStyle w:val="Tables"/>
            </w:pPr>
          </w:p>
        </w:tc>
      </w:tr>
      <w:tr w:rsidR="00704B99" w:rsidRPr="0003452E" w14:paraId="6C384FC0" w14:textId="77777777" w:rsidTr="00AA76E8">
        <w:trPr>
          <w:trHeight w:val="20"/>
          <w:jc w:val="center"/>
        </w:trPr>
        <w:tc>
          <w:tcPr>
            <w:tcW w:w="0" w:type="auto"/>
            <w:vAlign w:val="center"/>
            <w:hideMark/>
          </w:tcPr>
          <w:p w14:paraId="5FCD074D" w14:textId="77777777" w:rsidR="00481DB7" w:rsidRPr="0003452E" w:rsidRDefault="00481DB7" w:rsidP="00AA76E8">
            <w:pPr>
              <w:pStyle w:val="Tables"/>
            </w:pPr>
            <w:r w:rsidRPr="0003452E">
              <w:t>(i) Share of Central Income Tax</w:t>
            </w:r>
          </w:p>
        </w:tc>
        <w:tc>
          <w:tcPr>
            <w:tcW w:w="1309" w:type="dxa"/>
            <w:vAlign w:val="center"/>
            <w:hideMark/>
          </w:tcPr>
          <w:p w14:paraId="579DEBD0" w14:textId="77777777" w:rsidR="00481DB7" w:rsidRPr="0003452E" w:rsidRDefault="00481DB7" w:rsidP="00AA76E8">
            <w:pPr>
              <w:pStyle w:val="Tables"/>
            </w:pPr>
            <w:r w:rsidRPr="0003452E">
              <w:t>274</w:t>
            </w:r>
          </w:p>
        </w:tc>
        <w:tc>
          <w:tcPr>
            <w:tcW w:w="1417" w:type="dxa"/>
            <w:vAlign w:val="center"/>
            <w:hideMark/>
          </w:tcPr>
          <w:p w14:paraId="606C7868" w14:textId="2A10A9CC" w:rsidR="00481DB7" w:rsidRPr="0003452E" w:rsidRDefault="00481DB7" w:rsidP="00AA76E8">
            <w:pPr>
              <w:pStyle w:val="Tables"/>
            </w:pPr>
            <w:r w:rsidRPr="0003452E">
              <w:t>2</w:t>
            </w:r>
            <w:r w:rsidR="002D59F3">
              <w:t>8</w:t>
            </w:r>
            <w:r w:rsidRPr="0003452E">
              <w:t>4</w:t>
            </w:r>
          </w:p>
        </w:tc>
        <w:tc>
          <w:tcPr>
            <w:tcW w:w="1701" w:type="dxa"/>
            <w:vAlign w:val="center"/>
            <w:hideMark/>
          </w:tcPr>
          <w:p w14:paraId="3C54128F" w14:textId="77777777" w:rsidR="00481DB7" w:rsidRPr="0003452E" w:rsidRDefault="00481DB7" w:rsidP="00AA76E8">
            <w:pPr>
              <w:pStyle w:val="Tables"/>
            </w:pPr>
            <w:r w:rsidRPr="0003452E">
              <w:t>314</w:t>
            </w:r>
          </w:p>
        </w:tc>
        <w:tc>
          <w:tcPr>
            <w:tcW w:w="1814" w:type="dxa"/>
            <w:vAlign w:val="center"/>
            <w:hideMark/>
          </w:tcPr>
          <w:p w14:paraId="0058DD8E" w14:textId="77777777" w:rsidR="00481DB7" w:rsidRPr="0003452E" w:rsidRDefault="00481DB7" w:rsidP="00AA76E8">
            <w:pPr>
              <w:pStyle w:val="Tables"/>
            </w:pPr>
            <w:r w:rsidRPr="0003452E">
              <w:t>303</w:t>
            </w:r>
          </w:p>
        </w:tc>
      </w:tr>
      <w:tr w:rsidR="00704B99" w:rsidRPr="0003452E" w14:paraId="0A354CC1" w14:textId="77777777" w:rsidTr="00AA76E8">
        <w:trPr>
          <w:trHeight w:val="20"/>
          <w:jc w:val="center"/>
        </w:trPr>
        <w:tc>
          <w:tcPr>
            <w:tcW w:w="0" w:type="auto"/>
            <w:vAlign w:val="center"/>
            <w:hideMark/>
          </w:tcPr>
          <w:p w14:paraId="47585750" w14:textId="77777777" w:rsidR="00481DB7" w:rsidRPr="0003452E" w:rsidRDefault="00481DB7" w:rsidP="00AA76E8">
            <w:pPr>
              <w:pStyle w:val="Tables"/>
            </w:pPr>
            <w:r w:rsidRPr="0003452E">
              <w:t>(ii) Grants-in-aid</w:t>
            </w:r>
          </w:p>
        </w:tc>
        <w:tc>
          <w:tcPr>
            <w:tcW w:w="1309" w:type="dxa"/>
            <w:vAlign w:val="center"/>
            <w:hideMark/>
          </w:tcPr>
          <w:p w14:paraId="231A62C5" w14:textId="7890CCC4" w:rsidR="00481DB7" w:rsidRPr="0003452E" w:rsidRDefault="00481DB7" w:rsidP="00AA76E8">
            <w:pPr>
              <w:pStyle w:val="Tables"/>
            </w:pPr>
            <w:r w:rsidRPr="0003452E">
              <w:t>5</w:t>
            </w:r>
            <w:r w:rsidR="00A61ACD">
              <w:t>8</w:t>
            </w:r>
          </w:p>
        </w:tc>
        <w:tc>
          <w:tcPr>
            <w:tcW w:w="1417" w:type="dxa"/>
            <w:vAlign w:val="center"/>
            <w:hideMark/>
          </w:tcPr>
          <w:p w14:paraId="464BD6B7" w14:textId="77777777" w:rsidR="00481DB7" w:rsidRPr="0003452E" w:rsidRDefault="00481DB7" w:rsidP="00AA76E8">
            <w:pPr>
              <w:pStyle w:val="Tables"/>
            </w:pPr>
            <w:r w:rsidRPr="0003452E">
              <w:t>19</w:t>
            </w:r>
          </w:p>
        </w:tc>
        <w:tc>
          <w:tcPr>
            <w:tcW w:w="1701" w:type="dxa"/>
            <w:vAlign w:val="center"/>
            <w:hideMark/>
          </w:tcPr>
          <w:p w14:paraId="6678F854" w14:textId="77777777" w:rsidR="00481DB7" w:rsidRPr="0003452E" w:rsidRDefault="00481DB7" w:rsidP="00AA76E8">
            <w:pPr>
              <w:pStyle w:val="Tables"/>
            </w:pPr>
            <w:r w:rsidRPr="0003452E">
              <w:t>55</w:t>
            </w:r>
          </w:p>
        </w:tc>
        <w:tc>
          <w:tcPr>
            <w:tcW w:w="1814" w:type="dxa"/>
            <w:vAlign w:val="center"/>
            <w:hideMark/>
          </w:tcPr>
          <w:p w14:paraId="49DBA427" w14:textId="77777777" w:rsidR="00481DB7" w:rsidRPr="0003452E" w:rsidRDefault="00481DB7" w:rsidP="00AA76E8">
            <w:pPr>
              <w:pStyle w:val="Tables"/>
            </w:pPr>
            <w:r w:rsidRPr="0003452E">
              <w:t>12</w:t>
            </w:r>
          </w:p>
        </w:tc>
      </w:tr>
      <w:tr w:rsidR="00704B99" w:rsidRPr="0003452E" w14:paraId="303E0C58" w14:textId="77777777" w:rsidTr="00AA76E8">
        <w:trPr>
          <w:trHeight w:val="20"/>
          <w:jc w:val="center"/>
        </w:trPr>
        <w:tc>
          <w:tcPr>
            <w:tcW w:w="0" w:type="auto"/>
            <w:vAlign w:val="center"/>
            <w:hideMark/>
          </w:tcPr>
          <w:p w14:paraId="39CE40C3" w14:textId="77777777" w:rsidR="00481DB7" w:rsidRPr="0003452E" w:rsidRDefault="00481DB7" w:rsidP="00AA76E8">
            <w:pPr>
              <w:pStyle w:val="Tables"/>
            </w:pPr>
            <w:r w:rsidRPr="0003452E">
              <w:t>NET REVENUE</w:t>
            </w:r>
          </w:p>
        </w:tc>
        <w:tc>
          <w:tcPr>
            <w:tcW w:w="1309" w:type="dxa"/>
            <w:vAlign w:val="center"/>
            <w:hideMark/>
          </w:tcPr>
          <w:p w14:paraId="3897389B" w14:textId="77777777" w:rsidR="00481DB7" w:rsidRPr="0003452E" w:rsidRDefault="00481DB7" w:rsidP="00AA76E8">
            <w:pPr>
              <w:pStyle w:val="Tables"/>
            </w:pPr>
            <w:r w:rsidRPr="0003452E">
              <w:t>1628</w:t>
            </w:r>
          </w:p>
        </w:tc>
        <w:tc>
          <w:tcPr>
            <w:tcW w:w="1417" w:type="dxa"/>
            <w:vAlign w:val="center"/>
            <w:hideMark/>
          </w:tcPr>
          <w:p w14:paraId="1C635BE4" w14:textId="77777777" w:rsidR="00481DB7" w:rsidRPr="0003452E" w:rsidRDefault="00481DB7" w:rsidP="00AA76E8">
            <w:pPr>
              <w:pStyle w:val="Tables"/>
            </w:pPr>
            <w:r w:rsidRPr="0003452E">
              <w:t>1618</w:t>
            </w:r>
          </w:p>
        </w:tc>
        <w:tc>
          <w:tcPr>
            <w:tcW w:w="1701" w:type="dxa"/>
            <w:vAlign w:val="center"/>
            <w:hideMark/>
          </w:tcPr>
          <w:p w14:paraId="2AC8FB8B" w14:textId="77777777" w:rsidR="00481DB7" w:rsidRPr="0003452E" w:rsidRDefault="00481DB7" w:rsidP="00AA76E8">
            <w:pPr>
              <w:pStyle w:val="Tables"/>
            </w:pPr>
            <w:r w:rsidRPr="0003452E">
              <w:t>1911</w:t>
            </w:r>
          </w:p>
        </w:tc>
        <w:tc>
          <w:tcPr>
            <w:tcW w:w="1814" w:type="dxa"/>
            <w:vAlign w:val="center"/>
            <w:hideMark/>
          </w:tcPr>
          <w:p w14:paraId="7B66C26F" w14:textId="77777777" w:rsidR="00481DB7" w:rsidRPr="0003452E" w:rsidRDefault="00481DB7" w:rsidP="00AA76E8">
            <w:pPr>
              <w:pStyle w:val="Tables"/>
            </w:pPr>
            <w:r w:rsidRPr="0003452E">
              <w:t>1785</w:t>
            </w:r>
          </w:p>
        </w:tc>
      </w:tr>
      <w:tr w:rsidR="00704B99" w:rsidRPr="0003452E" w14:paraId="1C5F0CDE" w14:textId="77777777" w:rsidTr="00AA76E8">
        <w:trPr>
          <w:trHeight w:val="20"/>
          <w:jc w:val="center"/>
        </w:trPr>
        <w:tc>
          <w:tcPr>
            <w:tcW w:w="0" w:type="auto"/>
            <w:vAlign w:val="center"/>
            <w:hideMark/>
          </w:tcPr>
          <w:p w14:paraId="576C54B9" w14:textId="77777777" w:rsidR="00481DB7" w:rsidRPr="0003452E" w:rsidRDefault="00481DB7" w:rsidP="00AA76E8">
            <w:pPr>
              <w:pStyle w:val="Tables"/>
            </w:pPr>
            <w:r w:rsidRPr="0003452E">
              <w:t>TOTAL EXPENDITURE</w:t>
            </w:r>
          </w:p>
        </w:tc>
        <w:tc>
          <w:tcPr>
            <w:tcW w:w="1309" w:type="dxa"/>
            <w:vAlign w:val="center"/>
            <w:hideMark/>
          </w:tcPr>
          <w:p w14:paraId="71FB255B" w14:textId="7960F9CE" w:rsidR="00481DB7" w:rsidRPr="0003452E" w:rsidRDefault="00481DB7" w:rsidP="00AA76E8">
            <w:pPr>
              <w:pStyle w:val="Tables"/>
            </w:pPr>
            <w:r w:rsidRPr="0003452E">
              <w:t>177</w:t>
            </w:r>
            <w:r w:rsidR="002D59F3">
              <w:t>8</w:t>
            </w:r>
          </w:p>
        </w:tc>
        <w:tc>
          <w:tcPr>
            <w:tcW w:w="1417" w:type="dxa"/>
            <w:vAlign w:val="center"/>
            <w:hideMark/>
          </w:tcPr>
          <w:p w14:paraId="4AD50054" w14:textId="77777777" w:rsidR="00481DB7" w:rsidRPr="0003452E" w:rsidRDefault="00481DB7" w:rsidP="00AA76E8">
            <w:pPr>
              <w:pStyle w:val="Tables"/>
            </w:pPr>
            <w:r w:rsidRPr="0003452E">
              <w:t>1674</w:t>
            </w:r>
          </w:p>
        </w:tc>
        <w:tc>
          <w:tcPr>
            <w:tcW w:w="1701" w:type="dxa"/>
            <w:vAlign w:val="center"/>
            <w:hideMark/>
          </w:tcPr>
          <w:p w14:paraId="687A827C" w14:textId="77777777" w:rsidR="00481DB7" w:rsidRPr="0003452E" w:rsidRDefault="00481DB7" w:rsidP="00AA76E8">
            <w:pPr>
              <w:pStyle w:val="Tables"/>
            </w:pPr>
            <w:r w:rsidRPr="0003452E">
              <w:t>1817</w:t>
            </w:r>
          </w:p>
        </w:tc>
        <w:tc>
          <w:tcPr>
            <w:tcW w:w="1814" w:type="dxa"/>
            <w:vAlign w:val="center"/>
            <w:hideMark/>
          </w:tcPr>
          <w:p w14:paraId="3EECC56F" w14:textId="77777777" w:rsidR="00481DB7" w:rsidRPr="0003452E" w:rsidRDefault="00481DB7" w:rsidP="00AA76E8">
            <w:pPr>
              <w:pStyle w:val="Tables"/>
            </w:pPr>
            <w:r w:rsidRPr="0003452E">
              <w:t>2082</w:t>
            </w:r>
          </w:p>
        </w:tc>
      </w:tr>
      <w:tr w:rsidR="00704B99" w:rsidRPr="0003452E" w14:paraId="0E4C70BC" w14:textId="77777777" w:rsidTr="00AA76E8">
        <w:trPr>
          <w:trHeight w:val="20"/>
          <w:jc w:val="center"/>
        </w:trPr>
        <w:tc>
          <w:tcPr>
            <w:tcW w:w="0" w:type="auto"/>
            <w:vAlign w:val="center"/>
            <w:hideMark/>
          </w:tcPr>
          <w:p w14:paraId="057D5673" w14:textId="77777777" w:rsidR="00481DB7" w:rsidRPr="0003452E" w:rsidRDefault="00481DB7" w:rsidP="00AA76E8">
            <w:pPr>
              <w:pStyle w:val="Tables"/>
            </w:pPr>
            <w:r w:rsidRPr="0003452E">
              <w:t>Surplus (+) or Deficit (—)</w:t>
            </w:r>
          </w:p>
        </w:tc>
        <w:tc>
          <w:tcPr>
            <w:tcW w:w="1309" w:type="dxa"/>
            <w:vAlign w:val="center"/>
            <w:hideMark/>
          </w:tcPr>
          <w:p w14:paraId="346A3D4A" w14:textId="77777777" w:rsidR="00481DB7" w:rsidRPr="0003452E" w:rsidRDefault="00481DB7" w:rsidP="00AA76E8">
            <w:pPr>
              <w:pStyle w:val="Tables"/>
            </w:pPr>
            <w:r w:rsidRPr="0003452E">
              <w:t>—150</w:t>
            </w:r>
          </w:p>
        </w:tc>
        <w:tc>
          <w:tcPr>
            <w:tcW w:w="1417" w:type="dxa"/>
            <w:vAlign w:val="center"/>
            <w:hideMark/>
          </w:tcPr>
          <w:p w14:paraId="6ABE0C9B" w14:textId="77777777" w:rsidR="00481DB7" w:rsidRPr="0003452E" w:rsidRDefault="00481DB7" w:rsidP="00AA76E8">
            <w:pPr>
              <w:pStyle w:val="Tables"/>
            </w:pPr>
            <w:r w:rsidRPr="0003452E">
              <w:t>—56</w:t>
            </w:r>
          </w:p>
        </w:tc>
        <w:tc>
          <w:tcPr>
            <w:tcW w:w="1701" w:type="dxa"/>
            <w:vAlign w:val="center"/>
            <w:hideMark/>
          </w:tcPr>
          <w:p w14:paraId="17F69683" w14:textId="77777777" w:rsidR="00481DB7" w:rsidRPr="0003452E" w:rsidRDefault="00481DB7" w:rsidP="00AA76E8">
            <w:pPr>
              <w:pStyle w:val="Tables"/>
            </w:pPr>
            <w:r w:rsidRPr="0003452E">
              <w:t>+94</w:t>
            </w:r>
          </w:p>
        </w:tc>
        <w:tc>
          <w:tcPr>
            <w:tcW w:w="1814" w:type="dxa"/>
            <w:vAlign w:val="center"/>
            <w:hideMark/>
          </w:tcPr>
          <w:p w14:paraId="69F8F142" w14:textId="77777777" w:rsidR="00481DB7" w:rsidRPr="0003452E" w:rsidRDefault="00481DB7" w:rsidP="00AA76E8">
            <w:pPr>
              <w:pStyle w:val="Tables"/>
            </w:pPr>
            <w:r w:rsidRPr="0003452E">
              <w:t>—297</w:t>
            </w:r>
          </w:p>
        </w:tc>
      </w:tr>
      <w:tr w:rsidR="00704B99" w:rsidRPr="0003452E" w14:paraId="3FA8F4D0" w14:textId="77777777" w:rsidTr="00AA76E8">
        <w:trPr>
          <w:trHeight w:val="20"/>
          <w:jc w:val="center"/>
        </w:trPr>
        <w:tc>
          <w:tcPr>
            <w:tcW w:w="9488" w:type="dxa"/>
            <w:gridSpan w:val="5"/>
            <w:vAlign w:val="center"/>
            <w:hideMark/>
          </w:tcPr>
          <w:p w14:paraId="42A2D713" w14:textId="77777777" w:rsidR="00704B99" w:rsidRPr="00241C00" w:rsidRDefault="00704B99" w:rsidP="00AA76E8">
            <w:pPr>
              <w:pStyle w:val="Tables"/>
              <w:rPr>
                <w:b/>
                <w:bCs/>
              </w:rPr>
            </w:pPr>
            <w:r w:rsidRPr="00241C00">
              <w:rPr>
                <w:b/>
                <w:bCs/>
              </w:rPr>
              <w:t>MADRAS</w:t>
            </w:r>
          </w:p>
          <w:p w14:paraId="261CF327" w14:textId="2C8F8507" w:rsidR="00704B99" w:rsidRPr="0003452E" w:rsidRDefault="00704B99" w:rsidP="00AA76E8">
            <w:pPr>
              <w:pStyle w:val="Tables"/>
            </w:pPr>
          </w:p>
        </w:tc>
      </w:tr>
      <w:tr w:rsidR="00704B99" w:rsidRPr="0003452E" w14:paraId="3724F0F1" w14:textId="77777777" w:rsidTr="00AA76E8">
        <w:trPr>
          <w:trHeight w:val="20"/>
          <w:jc w:val="center"/>
        </w:trPr>
        <w:tc>
          <w:tcPr>
            <w:tcW w:w="0" w:type="auto"/>
            <w:vAlign w:val="center"/>
            <w:hideMark/>
          </w:tcPr>
          <w:p w14:paraId="4FC49AA4" w14:textId="77777777" w:rsidR="00481DB7" w:rsidRPr="0003452E" w:rsidRDefault="00481DB7" w:rsidP="00AA76E8">
            <w:pPr>
              <w:pStyle w:val="Tables"/>
            </w:pPr>
            <w:r w:rsidRPr="0003452E">
              <w:t>TOTAL REVENUE</w:t>
            </w:r>
          </w:p>
        </w:tc>
        <w:tc>
          <w:tcPr>
            <w:tcW w:w="1309" w:type="dxa"/>
            <w:vAlign w:val="center"/>
            <w:hideMark/>
          </w:tcPr>
          <w:p w14:paraId="446D5F91" w14:textId="77777777" w:rsidR="00481DB7" w:rsidRPr="0003452E" w:rsidRDefault="00481DB7" w:rsidP="00AA76E8">
            <w:pPr>
              <w:pStyle w:val="Tables"/>
            </w:pPr>
            <w:r w:rsidRPr="0003452E">
              <w:t>5589</w:t>
            </w:r>
          </w:p>
        </w:tc>
        <w:tc>
          <w:tcPr>
            <w:tcW w:w="1417" w:type="dxa"/>
            <w:vAlign w:val="center"/>
            <w:hideMark/>
          </w:tcPr>
          <w:p w14:paraId="32F81D49" w14:textId="77777777" w:rsidR="00481DB7" w:rsidRPr="0003452E" w:rsidRDefault="00481DB7" w:rsidP="00AA76E8">
            <w:pPr>
              <w:pStyle w:val="Tables"/>
            </w:pPr>
            <w:r w:rsidRPr="0003452E">
              <w:t>5816</w:t>
            </w:r>
          </w:p>
        </w:tc>
        <w:tc>
          <w:tcPr>
            <w:tcW w:w="1701" w:type="dxa"/>
            <w:vAlign w:val="center"/>
            <w:hideMark/>
          </w:tcPr>
          <w:p w14:paraId="73884AAA" w14:textId="77777777" w:rsidR="00481DB7" w:rsidRPr="0003452E" w:rsidRDefault="00481DB7" w:rsidP="00AA76E8">
            <w:pPr>
              <w:pStyle w:val="Tables"/>
            </w:pPr>
            <w:r w:rsidRPr="0003452E">
              <w:t>5965</w:t>
            </w:r>
          </w:p>
        </w:tc>
        <w:tc>
          <w:tcPr>
            <w:tcW w:w="1814" w:type="dxa"/>
            <w:vAlign w:val="center"/>
            <w:hideMark/>
          </w:tcPr>
          <w:p w14:paraId="4EA55118" w14:textId="77777777" w:rsidR="00481DB7" w:rsidRPr="0003452E" w:rsidRDefault="00481DB7" w:rsidP="00AA76E8">
            <w:pPr>
              <w:pStyle w:val="Tables"/>
            </w:pPr>
            <w:r w:rsidRPr="0003452E">
              <w:t>6446</w:t>
            </w:r>
          </w:p>
        </w:tc>
      </w:tr>
      <w:tr w:rsidR="00704B99" w:rsidRPr="0003452E" w14:paraId="282A310C" w14:textId="77777777" w:rsidTr="00AA76E8">
        <w:trPr>
          <w:trHeight w:val="20"/>
          <w:jc w:val="center"/>
        </w:trPr>
        <w:tc>
          <w:tcPr>
            <w:tcW w:w="0" w:type="auto"/>
            <w:vAlign w:val="center"/>
            <w:hideMark/>
          </w:tcPr>
          <w:p w14:paraId="1F3C249F" w14:textId="77777777" w:rsidR="00481DB7" w:rsidRPr="0003452E" w:rsidRDefault="00481DB7" w:rsidP="00AA76E8">
            <w:pPr>
              <w:pStyle w:val="Tables"/>
            </w:pPr>
            <w:r w:rsidRPr="0003452E">
              <w:rPr>
                <w:i/>
                <w:iCs/>
              </w:rPr>
              <w:t>Deduct—</w:t>
            </w:r>
          </w:p>
        </w:tc>
        <w:tc>
          <w:tcPr>
            <w:tcW w:w="1309" w:type="dxa"/>
            <w:vAlign w:val="center"/>
            <w:hideMark/>
          </w:tcPr>
          <w:p w14:paraId="61559DC9" w14:textId="77777777" w:rsidR="00481DB7" w:rsidRPr="0003452E" w:rsidRDefault="00481DB7" w:rsidP="00AA76E8">
            <w:pPr>
              <w:pStyle w:val="Tables"/>
            </w:pPr>
          </w:p>
        </w:tc>
        <w:tc>
          <w:tcPr>
            <w:tcW w:w="1417" w:type="dxa"/>
            <w:vAlign w:val="center"/>
            <w:hideMark/>
          </w:tcPr>
          <w:p w14:paraId="2C930070" w14:textId="77777777" w:rsidR="00481DB7" w:rsidRPr="0003452E" w:rsidRDefault="00481DB7" w:rsidP="00AA76E8">
            <w:pPr>
              <w:pStyle w:val="Tables"/>
            </w:pPr>
          </w:p>
        </w:tc>
        <w:tc>
          <w:tcPr>
            <w:tcW w:w="1701" w:type="dxa"/>
            <w:vAlign w:val="center"/>
            <w:hideMark/>
          </w:tcPr>
          <w:p w14:paraId="1E84890E" w14:textId="77777777" w:rsidR="00481DB7" w:rsidRPr="0003452E" w:rsidRDefault="00481DB7" w:rsidP="00AA76E8">
            <w:pPr>
              <w:pStyle w:val="Tables"/>
            </w:pPr>
          </w:p>
        </w:tc>
        <w:tc>
          <w:tcPr>
            <w:tcW w:w="1814" w:type="dxa"/>
            <w:vAlign w:val="center"/>
            <w:hideMark/>
          </w:tcPr>
          <w:p w14:paraId="5D8A92AF" w14:textId="77777777" w:rsidR="00481DB7" w:rsidRPr="0003452E" w:rsidRDefault="00481DB7" w:rsidP="00AA76E8">
            <w:pPr>
              <w:pStyle w:val="Tables"/>
            </w:pPr>
          </w:p>
        </w:tc>
      </w:tr>
      <w:tr w:rsidR="00704B99" w:rsidRPr="0003452E" w14:paraId="0A710059" w14:textId="77777777" w:rsidTr="00AA76E8">
        <w:trPr>
          <w:trHeight w:val="20"/>
          <w:jc w:val="center"/>
        </w:trPr>
        <w:tc>
          <w:tcPr>
            <w:tcW w:w="0" w:type="auto"/>
            <w:vAlign w:val="center"/>
            <w:hideMark/>
          </w:tcPr>
          <w:p w14:paraId="75A85B4B" w14:textId="77777777" w:rsidR="00481DB7" w:rsidRPr="0003452E" w:rsidRDefault="00481DB7" w:rsidP="00AA76E8">
            <w:pPr>
              <w:pStyle w:val="Tables"/>
            </w:pPr>
            <w:r w:rsidRPr="0003452E">
              <w:t>(i) Share of Central Income Tax</w:t>
            </w:r>
          </w:p>
        </w:tc>
        <w:tc>
          <w:tcPr>
            <w:tcW w:w="1309" w:type="dxa"/>
            <w:vAlign w:val="center"/>
            <w:hideMark/>
          </w:tcPr>
          <w:p w14:paraId="56C34674" w14:textId="77777777" w:rsidR="00481DB7" w:rsidRPr="0003452E" w:rsidRDefault="00481DB7" w:rsidP="00AA76E8">
            <w:pPr>
              <w:pStyle w:val="Tables"/>
            </w:pPr>
            <w:r w:rsidRPr="0003452E">
              <w:t>823</w:t>
            </w:r>
          </w:p>
        </w:tc>
        <w:tc>
          <w:tcPr>
            <w:tcW w:w="1417" w:type="dxa"/>
            <w:vAlign w:val="center"/>
            <w:hideMark/>
          </w:tcPr>
          <w:p w14:paraId="1C72B3DF" w14:textId="7C7A38CA" w:rsidR="00481DB7" w:rsidRPr="0003452E" w:rsidRDefault="00481DB7" w:rsidP="00AA76E8">
            <w:pPr>
              <w:pStyle w:val="Tables"/>
            </w:pPr>
            <w:r w:rsidRPr="0003452E">
              <w:t xml:space="preserve">829 </w:t>
            </w:r>
          </w:p>
        </w:tc>
        <w:tc>
          <w:tcPr>
            <w:tcW w:w="1701" w:type="dxa"/>
            <w:vAlign w:val="center"/>
            <w:hideMark/>
          </w:tcPr>
          <w:p w14:paraId="776B42C8" w14:textId="77777777" w:rsidR="00481DB7" w:rsidRPr="0003452E" w:rsidRDefault="00481DB7" w:rsidP="00AA76E8">
            <w:pPr>
              <w:pStyle w:val="Tables"/>
            </w:pPr>
            <w:r w:rsidRPr="0003452E">
              <w:t>915</w:t>
            </w:r>
          </w:p>
        </w:tc>
        <w:tc>
          <w:tcPr>
            <w:tcW w:w="1814" w:type="dxa"/>
            <w:vAlign w:val="center"/>
            <w:hideMark/>
          </w:tcPr>
          <w:p w14:paraId="68EDEB83" w14:textId="77777777" w:rsidR="00481DB7" w:rsidRPr="0003452E" w:rsidRDefault="00481DB7" w:rsidP="00AA76E8">
            <w:pPr>
              <w:pStyle w:val="Tables"/>
            </w:pPr>
            <w:r w:rsidRPr="0003452E">
              <w:t>883</w:t>
            </w:r>
          </w:p>
        </w:tc>
      </w:tr>
      <w:tr w:rsidR="00704B99" w:rsidRPr="0003452E" w14:paraId="29085F13" w14:textId="77777777" w:rsidTr="00AA76E8">
        <w:trPr>
          <w:trHeight w:val="20"/>
          <w:jc w:val="center"/>
        </w:trPr>
        <w:tc>
          <w:tcPr>
            <w:tcW w:w="0" w:type="auto"/>
            <w:vAlign w:val="center"/>
            <w:hideMark/>
          </w:tcPr>
          <w:p w14:paraId="2C26FE32" w14:textId="77777777" w:rsidR="00481DB7" w:rsidRPr="0003452E" w:rsidRDefault="00481DB7" w:rsidP="00AA76E8">
            <w:pPr>
              <w:pStyle w:val="Tables"/>
            </w:pPr>
            <w:r w:rsidRPr="0003452E">
              <w:t>(ii) Grants-in-aid</w:t>
            </w:r>
          </w:p>
        </w:tc>
        <w:tc>
          <w:tcPr>
            <w:tcW w:w="1309" w:type="dxa"/>
            <w:vAlign w:val="center"/>
            <w:hideMark/>
          </w:tcPr>
          <w:p w14:paraId="6EF28FEA" w14:textId="77777777" w:rsidR="00481DB7" w:rsidRPr="0003452E" w:rsidRDefault="00481DB7" w:rsidP="00AA76E8">
            <w:pPr>
              <w:pStyle w:val="Tables"/>
            </w:pPr>
            <w:r w:rsidRPr="0003452E">
              <w:t>...</w:t>
            </w:r>
          </w:p>
        </w:tc>
        <w:tc>
          <w:tcPr>
            <w:tcW w:w="1417" w:type="dxa"/>
            <w:vAlign w:val="center"/>
            <w:hideMark/>
          </w:tcPr>
          <w:p w14:paraId="6A87F659" w14:textId="77777777" w:rsidR="00481DB7" w:rsidRPr="0003452E" w:rsidRDefault="00481DB7" w:rsidP="00AA76E8">
            <w:pPr>
              <w:pStyle w:val="Tables"/>
            </w:pPr>
            <w:r w:rsidRPr="0003452E">
              <w:t>...</w:t>
            </w:r>
          </w:p>
        </w:tc>
        <w:tc>
          <w:tcPr>
            <w:tcW w:w="1701" w:type="dxa"/>
            <w:vAlign w:val="center"/>
            <w:hideMark/>
          </w:tcPr>
          <w:p w14:paraId="7D02955C" w14:textId="77777777" w:rsidR="00481DB7" w:rsidRPr="0003452E" w:rsidRDefault="00481DB7" w:rsidP="00AA76E8">
            <w:pPr>
              <w:pStyle w:val="Tables"/>
            </w:pPr>
            <w:r w:rsidRPr="0003452E">
              <w:t>...</w:t>
            </w:r>
          </w:p>
        </w:tc>
        <w:tc>
          <w:tcPr>
            <w:tcW w:w="1814" w:type="dxa"/>
            <w:vAlign w:val="center"/>
            <w:hideMark/>
          </w:tcPr>
          <w:p w14:paraId="6728F33D" w14:textId="77777777" w:rsidR="00481DB7" w:rsidRPr="0003452E" w:rsidRDefault="00481DB7" w:rsidP="00AA76E8">
            <w:pPr>
              <w:pStyle w:val="Tables"/>
            </w:pPr>
            <w:r w:rsidRPr="0003452E">
              <w:t>...</w:t>
            </w:r>
          </w:p>
        </w:tc>
      </w:tr>
      <w:tr w:rsidR="00704B99" w:rsidRPr="0003452E" w14:paraId="0EE9DADF" w14:textId="77777777" w:rsidTr="00AA76E8">
        <w:trPr>
          <w:trHeight w:val="20"/>
          <w:jc w:val="center"/>
        </w:trPr>
        <w:tc>
          <w:tcPr>
            <w:tcW w:w="0" w:type="auto"/>
            <w:vAlign w:val="center"/>
            <w:hideMark/>
          </w:tcPr>
          <w:p w14:paraId="413435AB" w14:textId="77777777" w:rsidR="00481DB7" w:rsidRPr="0003452E" w:rsidRDefault="00481DB7" w:rsidP="00AA76E8">
            <w:pPr>
              <w:pStyle w:val="Tables"/>
            </w:pPr>
            <w:r w:rsidRPr="0003452E">
              <w:t>NET REVENUE</w:t>
            </w:r>
          </w:p>
        </w:tc>
        <w:tc>
          <w:tcPr>
            <w:tcW w:w="1309" w:type="dxa"/>
            <w:vAlign w:val="center"/>
            <w:hideMark/>
          </w:tcPr>
          <w:p w14:paraId="0AFBABD4" w14:textId="77777777" w:rsidR="00481DB7" w:rsidRPr="0003452E" w:rsidRDefault="00481DB7" w:rsidP="00AA76E8">
            <w:pPr>
              <w:pStyle w:val="Tables"/>
            </w:pPr>
            <w:r w:rsidRPr="0003452E">
              <w:t>4766</w:t>
            </w:r>
          </w:p>
        </w:tc>
        <w:tc>
          <w:tcPr>
            <w:tcW w:w="1417" w:type="dxa"/>
            <w:vAlign w:val="center"/>
            <w:hideMark/>
          </w:tcPr>
          <w:p w14:paraId="73FB9B29" w14:textId="77777777" w:rsidR="00481DB7" w:rsidRPr="0003452E" w:rsidRDefault="00481DB7" w:rsidP="00AA76E8">
            <w:pPr>
              <w:pStyle w:val="Tables"/>
            </w:pPr>
            <w:r w:rsidRPr="0003452E">
              <w:t>4987</w:t>
            </w:r>
          </w:p>
        </w:tc>
        <w:tc>
          <w:tcPr>
            <w:tcW w:w="1701" w:type="dxa"/>
            <w:vAlign w:val="center"/>
            <w:hideMark/>
          </w:tcPr>
          <w:p w14:paraId="167C681C" w14:textId="77777777" w:rsidR="00481DB7" w:rsidRPr="0003452E" w:rsidRDefault="00481DB7" w:rsidP="00AA76E8">
            <w:pPr>
              <w:pStyle w:val="Tables"/>
            </w:pPr>
            <w:r w:rsidRPr="0003452E">
              <w:t>5050</w:t>
            </w:r>
          </w:p>
        </w:tc>
        <w:tc>
          <w:tcPr>
            <w:tcW w:w="1814" w:type="dxa"/>
            <w:vAlign w:val="center"/>
            <w:hideMark/>
          </w:tcPr>
          <w:p w14:paraId="3DB2C985" w14:textId="77777777" w:rsidR="00481DB7" w:rsidRPr="0003452E" w:rsidRDefault="00481DB7" w:rsidP="00AA76E8">
            <w:pPr>
              <w:pStyle w:val="Tables"/>
            </w:pPr>
            <w:r w:rsidRPr="0003452E">
              <w:t>5563</w:t>
            </w:r>
          </w:p>
        </w:tc>
      </w:tr>
      <w:tr w:rsidR="00704B99" w:rsidRPr="0003452E" w14:paraId="08F5ED6C" w14:textId="77777777" w:rsidTr="00AA76E8">
        <w:trPr>
          <w:trHeight w:val="20"/>
          <w:jc w:val="center"/>
        </w:trPr>
        <w:tc>
          <w:tcPr>
            <w:tcW w:w="0" w:type="auto"/>
            <w:vAlign w:val="center"/>
            <w:hideMark/>
          </w:tcPr>
          <w:p w14:paraId="3C7E5189" w14:textId="77777777" w:rsidR="00481DB7" w:rsidRPr="0003452E" w:rsidRDefault="00481DB7" w:rsidP="00AA76E8">
            <w:pPr>
              <w:pStyle w:val="Tables"/>
            </w:pPr>
            <w:r w:rsidRPr="0003452E">
              <w:t>TOTAL EXPENDITURE</w:t>
            </w:r>
          </w:p>
        </w:tc>
        <w:tc>
          <w:tcPr>
            <w:tcW w:w="1309" w:type="dxa"/>
            <w:vAlign w:val="center"/>
            <w:hideMark/>
          </w:tcPr>
          <w:p w14:paraId="550ADB45" w14:textId="77777777" w:rsidR="00481DB7" w:rsidRPr="0003452E" w:rsidRDefault="00481DB7" w:rsidP="00AA76E8">
            <w:pPr>
              <w:pStyle w:val="Tables"/>
            </w:pPr>
            <w:r w:rsidRPr="0003452E">
              <w:t>5554</w:t>
            </w:r>
          </w:p>
        </w:tc>
        <w:tc>
          <w:tcPr>
            <w:tcW w:w="1417" w:type="dxa"/>
            <w:vAlign w:val="center"/>
            <w:hideMark/>
          </w:tcPr>
          <w:p w14:paraId="1C8AD27D" w14:textId="77777777" w:rsidR="00481DB7" w:rsidRPr="0003452E" w:rsidRDefault="00481DB7" w:rsidP="00AA76E8">
            <w:pPr>
              <w:pStyle w:val="Tables"/>
            </w:pPr>
            <w:r w:rsidRPr="0003452E">
              <w:t>5945</w:t>
            </w:r>
          </w:p>
        </w:tc>
        <w:tc>
          <w:tcPr>
            <w:tcW w:w="1701" w:type="dxa"/>
            <w:vAlign w:val="center"/>
            <w:hideMark/>
          </w:tcPr>
          <w:p w14:paraId="14B9D8E2" w14:textId="77777777" w:rsidR="00481DB7" w:rsidRPr="0003452E" w:rsidRDefault="00481DB7" w:rsidP="00AA76E8">
            <w:pPr>
              <w:pStyle w:val="Tables"/>
            </w:pPr>
            <w:r w:rsidRPr="0003452E">
              <w:t>6372</w:t>
            </w:r>
          </w:p>
        </w:tc>
        <w:tc>
          <w:tcPr>
            <w:tcW w:w="1814" w:type="dxa"/>
            <w:vAlign w:val="center"/>
            <w:hideMark/>
          </w:tcPr>
          <w:p w14:paraId="38C216EA" w14:textId="77777777" w:rsidR="00481DB7" w:rsidRPr="0003452E" w:rsidRDefault="00481DB7" w:rsidP="00AA76E8">
            <w:pPr>
              <w:pStyle w:val="Tables"/>
            </w:pPr>
            <w:r w:rsidRPr="0003452E">
              <w:t>6534</w:t>
            </w:r>
          </w:p>
        </w:tc>
      </w:tr>
      <w:tr w:rsidR="00704B99" w:rsidRPr="0003452E" w14:paraId="11B5EA53" w14:textId="77777777" w:rsidTr="00AA76E8">
        <w:trPr>
          <w:trHeight w:val="20"/>
          <w:jc w:val="center"/>
        </w:trPr>
        <w:tc>
          <w:tcPr>
            <w:tcW w:w="0" w:type="auto"/>
            <w:vAlign w:val="center"/>
            <w:hideMark/>
          </w:tcPr>
          <w:p w14:paraId="5DA1F69D" w14:textId="77777777" w:rsidR="00481DB7" w:rsidRPr="0003452E" w:rsidRDefault="00481DB7" w:rsidP="00AA76E8">
            <w:pPr>
              <w:pStyle w:val="Tables"/>
            </w:pPr>
            <w:r w:rsidRPr="0003452E">
              <w:t>Surplus (+) or Deficit (—)</w:t>
            </w:r>
          </w:p>
        </w:tc>
        <w:tc>
          <w:tcPr>
            <w:tcW w:w="1309" w:type="dxa"/>
            <w:vAlign w:val="center"/>
            <w:hideMark/>
          </w:tcPr>
          <w:p w14:paraId="297ECF96" w14:textId="77777777" w:rsidR="00481DB7" w:rsidRPr="0003452E" w:rsidRDefault="00481DB7" w:rsidP="00AA76E8">
            <w:pPr>
              <w:pStyle w:val="Tables"/>
            </w:pPr>
            <w:r w:rsidRPr="0003452E">
              <w:t>—788</w:t>
            </w:r>
          </w:p>
        </w:tc>
        <w:tc>
          <w:tcPr>
            <w:tcW w:w="1417" w:type="dxa"/>
            <w:vAlign w:val="center"/>
            <w:hideMark/>
          </w:tcPr>
          <w:p w14:paraId="00EE6C36" w14:textId="77777777" w:rsidR="00481DB7" w:rsidRPr="0003452E" w:rsidRDefault="00481DB7" w:rsidP="00AA76E8">
            <w:pPr>
              <w:pStyle w:val="Tables"/>
            </w:pPr>
            <w:r w:rsidRPr="0003452E">
              <w:t>—958</w:t>
            </w:r>
          </w:p>
        </w:tc>
        <w:tc>
          <w:tcPr>
            <w:tcW w:w="1701" w:type="dxa"/>
            <w:vAlign w:val="center"/>
            <w:hideMark/>
          </w:tcPr>
          <w:p w14:paraId="55BA085E" w14:textId="77777777" w:rsidR="00481DB7" w:rsidRPr="0003452E" w:rsidRDefault="00481DB7" w:rsidP="00AA76E8">
            <w:pPr>
              <w:pStyle w:val="Tables"/>
            </w:pPr>
            <w:r w:rsidRPr="0003452E">
              <w:t>—1322</w:t>
            </w:r>
          </w:p>
        </w:tc>
        <w:tc>
          <w:tcPr>
            <w:tcW w:w="1814" w:type="dxa"/>
            <w:vAlign w:val="center"/>
            <w:hideMark/>
          </w:tcPr>
          <w:p w14:paraId="5CDFD331" w14:textId="77777777" w:rsidR="00481DB7" w:rsidRPr="0003452E" w:rsidRDefault="00481DB7" w:rsidP="00AA76E8">
            <w:pPr>
              <w:pStyle w:val="Tables"/>
            </w:pPr>
            <w:r w:rsidRPr="0003452E">
              <w:t>—971</w:t>
            </w:r>
          </w:p>
        </w:tc>
      </w:tr>
      <w:tr w:rsidR="00704B99" w:rsidRPr="0003452E" w14:paraId="5AEF94B6" w14:textId="77777777" w:rsidTr="00AA76E8">
        <w:trPr>
          <w:trHeight w:val="20"/>
          <w:jc w:val="center"/>
        </w:trPr>
        <w:tc>
          <w:tcPr>
            <w:tcW w:w="9488" w:type="dxa"/>
            <w:gridSpan w:val="5"/>
            <w:vAlign w:val="center"/>
            <w:hideMark/>
          </w:tcPr>
          <w:p w14:paraId="35D688BE" w14:textId="5C4EBAFE" w:rsidR="00704B99" w:rsidRPr="00241C00" w:rsidRDefault="00704B99" w:rsidP="00AA76E8">
            <w:pPr>
              <w:pStyle w:val="Tables"/>
              <w:rPr>
                <w:b/>
                <w:bCs/>
              </w:rPr>
            </w:pPr>
            <w:r w:rsidRPr="00241C00">
              <w:rPr>
                <w:b/>
                <w:bCs/>
              </w:rPr>
              <w:t>ORISSA</w:t>
            </w:r>
          </w:p>
          <w:p w14:paraId="6F8BA2C0" w14:textId="504C5FCB" w:rsidR="00704B99" w:rsidRPr="0003452E" w:rsidRDefault="00704B99" w:rsidP="00AA76E8">
            <w:pPr>
              <w:pStyle w:val="Tables"/>
            </w:pPr>
          </w:p>
        </w:tc>
      </w:tr>
      <w:tr w:rsidR="00704B99" w:rsidRPr="0003452E" w14:paraId="733192CF" w14:textId="77777777" w:rsidTr="00AA76E8">
        <w:trPr>
          <w:trHeight w:val="20"/>
          <w:jc w:val="center"/>
        </w:trPr>
        <w:tc>
          <w:tcPr>
            <w:tcW w:w="0" w:type="auto"/>
            <w:vAlign w:val="center"/>
            <w:hideMark/>
          </w:tcPr>
          <w:p w14:paraId="3428F8CA" w14:textId="77777777" w:rsidR="00481DB7" w:rsidRPr="0003452E" w:rsidRDefault="00481DB7" w:rsidP="00AA76E8">
            <w:pPr>
              <w:pStyle w:val="Tables"/>
            </w:pPr>
            <w:r w:rsidRPr="0003452E">
              <w:t>TOTAL REVENUE</w:t>
            </w:r>
          </w:p>
        </w:tc>
        <w:tc>
          <w:tcPr>
            <w:tcW w:w="1309" w:type="dxa"/>
            <w:vAlign w:val="center"/>
            <w:hideMark/>
          </w:tcPr>
          <w:p w14:paraId="22DD1BBA" w14:textId="19C1B118" w:rsidR="00481DB7" w:rsidRPr="0003452E" w:rsidRDefault="00481DB7" w:rsidP="00AA76E8">
            <w:pPr>
              <w:pStyle w:val="Tables"/>
            </w:pPr>
            <w:r w:rsidRPr="0003452E">
              <w:t>108</w:t>
            </w:r>
            <w:r w:rsidR="0075551B">
              <w:t>2</w:t>
            </w:r>
          </w:p>
        </w:tc>
        <w:tc>
          <w:tcPr>
            <w:tcW w:w="1417" w:type="dxa"/>
            <w:vAlign w:val="center"/>
            <w:hideMark/>
          </w:tcPr>
          <w:p w14:paraId="177D66D8" w14:textId="77777777" w:rsidR="00481DB7" w:rsidRPr="0003452E" w:rsidRDefault="00481DB7" w:rsidP="00AA76E8">
            <w:pPr>
              <w:pStyle w:val="Tables"/>
            </w:pPr>
            <w:r w:rsidRPr="0003452E">
              <w:t>1031</w:t>
            </w:r>
          </w:p>
        </w:tc>
        <w:tc>
          <w:tcPr>
            <w:tcW w:w="1701" w:type="dxa"/>
            <w:vAlign w:val="center"/>
            <w:hideMark/>
          </w:tcPr>
          <w:p w14:paraId="40DF2FC1" w14:textId="77777777" w:rsidR="00481DB7" w:rsidRPr="0003452E" w:rsidRDefault="00481DB7" w:rsidP="00AA76E8">
            <w:pPr>
              <w:pStyle w:val="Tables"/>
            </w:pPr>
            <w:r w:rsidRPr="0003452E">
              <w:t>1160</w:t>
            </w:r>
          </w:p>
        </w:tc>
        <w:tc>
          <w:tcPr>
            <w:tcW w:w="1814" w:type="dxa"/>
            <w:vAlign w:val="center"/>
            <w:hideMark/>
          </w:tcPr>
          <w:p w14:paraId="4D37DD4C" w14:textId="77777777" w:rsidR="00481DB7" w:rsidRPr="0003452E" w:rsidRDefault="00481DB7" w:rsidP="00AA76E8">
            <w:pPr>
              <w:pStyle w:val="Tables"/>
            </w:pPr>
            <w:r w:rsidRPr="0003452E">
              <w:t>1178</w:t>
            </w:r>
          </w:p>
        </w:tc>
      </w:tr>
      <w:tr w:rsidR="00704B99" w:rsidRPr="0003452E" w14:paraId="5E331E1C" w14:textId="77777777" w:rsidTr="00AA76E8">
        <w:trPr>
          <w:trHeight w:val="20"/>
          <w:jc w:val="center"/>
        </w:trPr>
        <w:tc>
          <w:tcPr>
            <w:tcW w:w="0" w:type="auto"/>
            <w:vAlign w:val="center"/>
            <w:hideMark/>
          </w:tcPr>
          <w:p w14:paraId="4FDA061C" w14:textId="77777777" w:rsidR="00481DB7" w:rsidRPr="0003452E" w:rsidRDefault="00481DB7" w:rsidP="00AA76E8">
            <w:pPr>
              <w:pStyle w:val="Tables"/>
            </w:pPr>
            <w:r w:rsidRPr="0003452E">
              <w:rPr>
                <w:i/>
                <w:iCs/>
              </w:rPr>
              <w:t>Deduct—</w:t>
            </w:r>
          </w:p>
        </w:tc>
        <w:tc>
          <w:tcPr>
            <w:tcW w:w="1309" w:type="dxa"/>
            <w:vAlign w:val="center"/>
            <w:hideMark/>
          </w:tcPr>
          <w:p w14:paraId="7A294433" w14:textId="77777777" w:rsidR="00481DB7" w:rsidRPr="0003452E" w:rsidRDefault="00481DB7" w:rsidP="00AA76E8">
            <w:pPr>
              <w:pStyle w:val="Tables"/>
            </w:pPr>
          </w:p>
        </w:tc>
        <w:tc>
          <w:tcPr>
            <w:tcW w:w="1417" w:type="dxa"/>
            <w:vAlign w:val="center"/>
            <w:hideMark/>
          </w:tcPr>
          <w:p w14:paraId="1C2A452D" w14:textId="77777777" w:rsidR="00481DB7" w:rsidRPr="0003452E" w:rsidRDefault="00481DB7" w:rsidP="00AA76E8">
            <w:pPr>
              <w:pStyle w:val="Tables"/>
            </w:pPr>
          </w:p>
        </w:tc>
        <w:tc>
          <w:tcPr>
            <w:tcW w:w="1701" w:type="dxa"/>
            <w:vAlign w:val="center"/>
            <w:hideMark/>
          </w:tcPr>
          <w:p w14:paraId="1CAC9183" w14:textId="77777777" w:rsidR="00481DB7" w:rsidRPr="0003452E" w:rsidRDefault="00481DB7" w:rsidP="00AA76E8">
            <w:pPr>
              <w:pStyle w:val="Tables"/>
            </w:pPr>
          </w:p>
        </w:tc>
        <w:tc>
          <w:tcPr>
            <w:tcW w:w="1814" w:type="dxa"/>
            <w:vAlign w:val="center"/>
            <w:hideMark/>
          </w:tcPr>
          <w:p w14:paraId="235710FA" w14:textId="77777777" w:rsidR="00481DB7" w:rsidRPr="0003452E" w:rsidRDefault="00481DB7" w:rsidP="00AA76E8">
            <w:pPr>
              <w:pStyle w:val="Tables"/>
            </w:pPr>
          </w:p>
        </w:tc>
      </w:tr>
      <w:tr w:rsidR="00704B99" w:rsidRPr="0003452E" w14:paraId="34660380" w14:textId="77777777" w:rsidTr="00AA76E8">
        <w:trPr>
          <w:trHeight w:val="20"/>
          <w:jc w:val="center"/>
        </w:trPr>
        <w:tc>
          <w:tcPr>
            <w:tcW w:w="0" w:type="auto"/>
            <w:vAlign w:val="center"/>
            <w:hideMark/>
          </w:tcPr>
          <w:p w14:paraId="6A170976" w14:textId="77777777" w:rsidR="00481DB7" w:rsidRPr="0003452E" w:rsidRDefault="00481DB7" w:rsidP="00AA76E8">
            <w:pPr>
              <w:pStyle w:val="Tables"/>
            </w:pPr>
            <w:r w:rsidRPr="0003452E">
              <w:t>(i) Share of Central Income Tax</w:t>
            </w:r>
          </w:p>
        </w:tc>
        <w:tc>
          <w:tcPr>
            <w:tcW w:w="1309" w:type="dxa"/>
            <w:vAlign w:val="center"/>
            <w:hideMark/>
          </w:tcPr>
          <w:p w14:paraId="10D2E649" w14:textId="77777777" w:rsidR="00481DB7" w:rsidRPr="0003452E" w:rsidRDefault="00481DB7" w:rsidP="00AA76E8">
            <w:pPr>
              <w:pStyle w:val="Tables"/>
            </w:pPr>
            <w:r w:rsidRPr="0003452E">
              <w:t>137</w:t>
            </w:r>
          </w:p>
        </w:tc>
        <w:tc>
          <w:tcPr>
            <w:tcW w:w="1417" w:type="dxa"/>
            <w:vAlign w:val="center"/>
            <w:hideMark/>
          </w:tcPr>
          <w:p w14:paraId="05D94003" w14:textId="77777777" w:rsidR="00481DB7" w:rsidRPr="0003452E" w:rsidRDefault="00481DB7" w:rsidP="00AA76E8">
            <w:pPr>
              <w:pStyle w:val="Tables"/>
            </w:pPr>
            <w:r w:rsidRPr="0003452E">
              <w:t>142</w:t>
            </w:r>
          </w:p>
        </w:tc>
        <w:tc>
          <w:tcPr>
            <w:tcW w:w="1701" w:type="dxa"/>
            <w:vAlign w:val="center"/>
            <w:hideMark/>
          </w:tcPr>
          <w:p w14:paraId="7A795D1F" w14:textId="77777777" w:rsidR="00481DB7" w:rsidRPr="0003452E" w:rsidRDefault="00481DB7" w:rsidP="00AA76E8">
            <w:pPr>
              <w:pStyle w:val="Tables"/>
            </w:pPr>
            <w:r w:rsidRPr="0003452E">
              <w:t>154</w:t>
            </w:r>
          </w:p>
        </w:tc>
        <w:tc>
          <w:tcPr>
            <w:tcW w:w="1814" w:type="dxa"/>
            <w:vAlign w:val="center"/>
            <w:hideMark/>
          </w:tcPr>
          <w:p w14:paraId="1CF66AA5" w14:textId="77777777" w:rsidR="00481DB7" w:rsidRPr="0003452E" w:rsidRDefault="00481DB7" w:rsidP="00AA76E8">
            <w:pPr>
              <w:pStyle w:val="Tables"/>
            </w:pPr>
            <w:r w:rsidRPr="0003452E">
              <w:t>151</w:t>
            </w:r>
          </w:p>
        </w:tc>
      </w:tr>
      <w:tr w:rsidR="00704B99" w:rsidRPr="0003452E" w14:paraId="1C9E8317" w14:textId="77777777" w:rsidTr="00AA76E8">
        <w:trPr>
          <w:trHeight w:val="20"/>
          <w:jc w:val="center"/>
        </w:trPr>
        <w:tc>
          <w:tcPr>
            <w:tcW w:w="0" w:type="auto"/>
            <w:vAlign w:val="center"/>
            <w:hideMark/>
          </w:tcPr>
          <w:p w14:paraId="48A10AE2" w14:textId="77777777" w:rsidR="00481DB7" w:rsidRPr="0003452E" w:rsidRDefault="00481DB7" w:rsidP="00AA76E8">
            <w:pPr>
              <w:pStyle w:val="Tables"/>
            </w:pPr>
            <w:r w:rsidRPr="0003452E">
              <w:t>(ii) Grants-in-aid</w:t>
            </w:r>
          </w:p>
        </w:tc>
        <w:tc>
          <w:tcPr>
            <w:tcW w:w="1309" w:type="dxa"/>
            <w:vAlign w:val="center"/>
            <w:hideMark/>
          </w:tcPr>
          <w:p w14:paraId="652B6195" w14:textId="77777777" w:rsidR="00481DB7" w:rsidRPr="0003452E" w:rsidRDefault="00481DB7" w:rsidP="00AA76E8">
            <w:pPr>
              <w:pStyle w:val="Tables"/>
            </w:pPr>
            <w:r w:rsidRPr="0003452E">
              <w:t>47</w:t>
            </w:r>
          </w:p>
        </w:tc>
        <w:tc>
          <w:tcPr>
            <w:tcW w:w="1417" w:type="dxa"/>
            <w:vAlign w:val="center"/>
            <w:hideMark/>
          </w:tcPr>
          <w:p w14:paraId="4C4B7708" w14:textId="77777777" w:rsidR="00481DB7" w:rsidRPr="0003452E" w:rsidRDefault="00481DB7" w:rsidP="00AA76E8">
            <w:pPr>
              <w:pStyle w:val="Tables"/>
            </w:pPr>
            <w:r w:rsidRPr="0003452E">
              <w:t>61</w:t>
            </w:r>
          </w:p>
        </w:tc>
        <w:tc>
          <w:tcPr>
            <w:tcW w:w="1701" w:type="dxa"/>
            <w:vAlign w:val="center"/>
            <w:hideMark/>
          </w:tcPr>
          <w:p w14:paraId="062248F3" w14:textId="77777777" w:rsidR="00481DB7" w:rsidRPr="0003452E" w:rsidRDefault="00481DB7" w:rsidP="00AA76E8">
            <w:pPr>
              <w:pStyle w:val="Tables"/>
            </w:pPr>
            <w:r w:rsidRPr="0003452E">
              <w:t>61</w:t>
            </w:r>
          </w:p>
        </w:tc>
        <w:tc>
          <w:tcPr>
            <w:tcW w:w="1814" w:type="dxa"/>
            <w:vAlign w:val="center"/>
            <w:hideMark/>
          </w:tcPr>
          <w:p w14:paraId="6C5539FD" w14:textId="77777777" w:rsidR="00481DB7" w:rsidRPr="0003452E" w:rsidRDefault="00481DB7" w:rsidP="00AA76E8">
            <w:pPr>
              <w:pStyle w:val="Tables"/>
            </w:pPr>
            <w:r w:rsidRPr="0003452E">
              <w:t>61</w:t>
            </w:r>
          </w:p>
        </w:tc>
      </w:tr>
      <w:tr w:rsidR="00704B99" w:rsidRPr="0003452E" w14:paraId="16C46AF6" w14:textId="77777777" w:rsidTr="00AA76E8">
        <w:trPr>
          <w:trHeight w:val="20"/>
          <w:jc w:val="center"/>
        </w:trPr>
        <w:tc>
          <w:tcPr>
            <w:tcW w:w="0" w:type="auto"/>
            <w:vAlign w:val="center"/>
            <w:hideMark/>
          </w:tcPr>
          <w:p w14:paraId="0817DDA7" w14:textId="77777777" w:rsidR="00481DB7" w:rsidRPr="0003452E" w:rsidRDefault="00481DB7" w:rsidP="00AA76E8">
            <w:pPr>
              <w:pStyle w:val="Tables"/>
            </w:pPr>
            <w:r w:rsidRPr="0003452E">
              <w:t>NET REVENUE</w:t>
            </w:r>
          </w:p>
        </w:tc>
        <w:tc>
          <w:tcPr>
            <w:tcW w:w="1309" w:type="dxa"/>
            <w:vAlign w:val="center"/>
            <w:hideMark/>
          </w:tcPr>
          <w:p w14:paraId="169F1069" w14:textId="77777777" w:rsidR="00481DB7" w:rsidRPr="0003452E" w:rsidRDefault="00481DB7" w:rsidP="00AA76E8">
            <w:pPr>
              <w:pStyle w:val="Tables"/>
            </w:pPr>
            <w:r w:rsidRPr="0003452E">
              <w:t>898</w:t>
            </w:r>
          </w:p>
        </w:tc>
        <w:tc>
          <w:tcPr>
            <w:tcW w:w="1417" w:type="dxa"/>
            <w:vAlign w:val="center"/>
            <w:hideMark/>
          </w:tcPr>
          <w:p w14:paraId="6F453D38" w14:textId="77777777" w:rsidR="00481DB7" w:rsidRPr="0003452E" w:rsidRDefault="00481DB7" w:rsidP="00AA76E8">
            <w:pPr>
              <w:pStyle w:val="Tables"/>
            </w:pPr>
            <w:r w:rsidRPr="0003452E">
              <w:t>828</w:t>
            </w:r>
          </w:p>
        </w:tc>
        <w:tc>
          <w:tcPr>
            <w:tcW w:w="1701" w:type="dxa"/>
            <w:vAlign w:val="center"/>
            <w:hideMark/>
          </w:tcPr>
          <w:p w14:paraId="4E4A8C92" w14:textId="77777777" w:rsidR="00481DB7" w:rsidRPr="0003452E" w:rsidRDefault="00481DB7" w:rsidP="00AA76E8">
            <w:pPr>
              <w:pStyle w:val="Tables"/>
            </w:pPr>
            <w:r w:rsidRPr="0003452E">
              <w:t>945</w:t>
            </w:r>
          </w:p>
        </w:tc>
        <w:tc>
          <w:tcPr>
            <w:tcW w:w="1814" w:type="dxa"/>
            <w:vAlign w:val="center"/>
            <w:hideMark/>
          </w:tcPr>
          <w:p w14:paraId="1CFFA75D" w14:textId="77777777" w:rsidR="00481DB7" w:rsidRPr="0003452E" w:rsidRDefault="00481DB7" w:rsidP="00AA76E8">
            <w:pPr>
              <w:pStyle w:val="Tables"/>
            </w:pPr>
            <w:r w:rsidRPr="0003452E">
              <w:t>966</w:t>
            </w:r>
          </w:p>
        </w:tc>
      </w:tr>
      <w:tr w:rsidR="00704B99" w:rsidRPr="0003452E" w14:paraId="156F97F3" w14:textId="77777777" w:rsidTr="00AA76E8">
        <w:trPr>
          <w:trHeight w:val="20"/>
          <w:jc w:val="center"/>
        </w:trPr>
        <w:tc>
          <w:tcPr>
            <w:tcW w:w="0" w:type="auto"/>
            <w:vAlign w:val="center"/>
            <w:hideMark/>
          </w:tcPr>
          <w:p w14:paraId="0848207C" w14:textId="77777777" w:rsidR="00481DB7" w:rsidRPr="0003452E" w:rsidRDefault="00481DB7" w:rsidP="00AA76E8">
            <w:pPr>
              <w:pStyle w:val="Tables"/>
            </w:pPr>
            <w:r w:rsidRPr="0003452E">
              <w:t>TOTAL EXPENDITURE</w:t>
            </w:r>
          </w:p>
        </w:tc>
        <w:tc>
          <w:tcPr>
            <w:tcW w:w="1309" w:type="dxa"/>
            <w:vAlign w:val="center"/>
            <w:hideMark/>
          </w:tcPr>
          <w:p w14:paraId="5212E29A" w14:textId="77777777" w:rsidR="00481DB7" w:rsidRPr="0003452E" w:rsidRDefault="00481DB7" w:rsidP="00AA76E8">
            <w:pPr>
              <w:pStyle w:val="Tables"/>
            </w:pPr>
            <w:r w:rsidRPr="0003452E">
              <w:t>1147</w:t>
            </w:r>
          </w:p>
        </w:tc>
        <w:tc>
          <w:tcPr>
            <w:tcW w:w="1417" w:type="dxa"/>
            <w:vAlign w:val="center"/>
            <w:hideMark/>
          </w:tcPr>
          <w:p w14:paraId="398C1892" w14:textId="77777777" w:rsidR="00481DB7" w:rsidRPr="0003452E" w:rsidRDefault="00481DB7" w:rsidP="00AA76E8">
            <w:pPr>
              <w:pStyle w:val="Tables"/>
            </w:pPr>
            <w:r w:rsidRPr="0003452E">
              <w:t>1201</w:t>
            </w:r>
          </w:p>
        </w:tc>
        <w:tc>
          <w:tcPr>
            <w:tcW w:w="1701" w:type="dxa"/>
            <w:vAlign w:val="center"/>
            <w:hideMark/>
          </w:tcPr>
          <w:p w14:paraId="4E975EB9" w14:textId="77777777" w:rsidR="00481DB7" w:rsidRPr="0003452E" w:rsidRDefault="00481DB7" w:rsidP="00AA76E8">
            <w:pPr>
              <w:pStyle w:val="Tables"/>
            </w:pPr>
            <w:r w:rsidRPr="0003452E">
              <w:t>1085</w:t>
            </w:r>
          </w:p>
        </w:tc>
        <w:tc>
          <w:tcPr>
            <w:tcW w:w="1814" w:type="dxa"/>
            <w:vAlign w:val="center"/>
            <w:hideMark/>
          </w:tcPr>
          <w:p w14:paraId="2019B633" w14:textId="77777777" w:rsidR="00481DB7" w:rsidRPr="0003452E" w:rsidRDefault="00481DB7" w:rsidP="00AA76E8">
            <w:pPr>
              <w:pStyle w:val="Tables"/>
            </w:pPr>
            <w:r w:rsidRPr="0003452E">
              <w:t>1168</w:t>
            </w:r>
          </w:p>
        </w:tc>
      </w:tr>
      <w:tr w:rsidR="00704B99" w:rsidRPr="0003452E" w14:paraId="4071C476" w14:textId="77777777" w:rsidTr="00AA76E8">
        <w:trPr>
          <w:trHeight w:val="20"/>
          <w:jc w:val="center"/>
        </w:trPr>
        <w:tc>
          <w:tcPr>
            <w:tcW w:w="0" w:type="auto"/>
            <w:vAlign w:val="center"/>
            <w:hideMark/>
          </w:tcPr>
          <w:p w14:paraId="7524FB73" w14:textId="77777777" w:rsidR="00481DB7" w:rsidRPr="0003452E" w:rsidRDefault="00481DB7" w:rsidP="00AA76E8">
            <w:pPr>
              <w:pStyle w:val="Tables"/>
            </w:pPr>
            <w:r w:rsidRPr="0003452E">
              <w:t>Surplus (+) or Deficit (—)</w:t>
            </w:r>
          </w:p>
        </w:tc>
        <w:tc>
          <w:tcPr>
            <w:tcW w:w="1309" w:type="dxa"/>
            <w:vAlign w:val="center"/>
            <w:hideMark/>
          </w:tcPr>
          <w:p w14:paraId="26CF5122" w14:textId="77777777" w:rsidR="00481DB7" w:rsidRPr="0003452E" w:rsidRDefault="00481DB7" w:rsidP="00AA76E8">
            <w:pPr>
              <w:pStyle w:val="Tables"/>
            </w:pPr>
            <w:r w:rsidRPr="0003452E">
              <w:t>—249</w:t>
            </w:r>
          </w:p>
        </w:tc>
        <w:tc>
          <w:tcPr>
            <w:tcW w:w="1417" w:type="dxa"/>
            <w:vAlign w:val="center"/>
            <w:hideMark/>
          </w:tcPr>
          <w:p w14:paraId="7A683D9F" w14:textId="77777777" w:rsidR="00481DB7" w:rsidRPr="0003452E" w:rsidRDefault="00481DB7" w:rsidP="00AA76E8">
            <w:pPr>
              <w:pStyle w:val="Tables"/>
            </w:pPr>
            <w:r w:rsidRPr="0003452E">
              <w:t>—373</w:t>
            </w:r>
          </w:p>
        </w:tc>
        <w:tc>
          <w:tcPr>
            <w:tcW w:w="1701" w:type="dxa"/>
            <w:vAlign w:val="center"/>
            <w:hideMark/>
          </w:tcPr>
          <w:p w14:paraId="0C10E66A" w14:textId="77777777" w:rsidR="00481DB7" w:rsidRPr="0003452E" w:rsidRDefault="00481DB7" w:rsidP="00AA76E8">
            <w:pPr>
              <w:pStyle w:val="Tables"/>
            </w:pPr>
            <w:r w:rsidRPr="0003452E">
              <w:t>—140</w:t>
            </w:r>
          </w:p>
        </w:tc>
        <w:tc>
          <w:tcPr>
            <w:tcW w:w="1814" w:type="dxa"/>
            <w:vAlign w:val="center"/>
            <w:hideMark/>
          </w:tcPr>
          <w:p w14:paraId="7F64287A" w14:textId="77777777" w:rsidR="00481DB7" w:rsidRPr="0003452E" w:rsidRDefault="00481DB7" w:rsidP="00AA76E8">
            <w:pPr>
              <w:pStyle w:val="Tables"/>
            </w:pPr>
            <w:r w:rsidRPr="0003452E">
              <w:t>—202</w:t>
            </w:r>
          </w:p>
        </w:tc>
      </w:tr>
    </w:tbl>
    <w:p w14:paraId="4FCA0D00" w14:textId="77777777" w:rsidR="00A1780E" w:rsidRPr="0003452E" w:rsidRDefault="00A1780E" w:rsidP="00A1780E">
      <w:pPr>
        <w:ind w:left="720"/>
        <w:rPr>
          <w:rFonts w:ascii="Times New Roman" w:hAnsi="Times New Roman" w:cs="Times New Roman"/>
          <w:szCs w:val="24"/>
        </w:rPr>
      </w:pPr>
    </w:p>
    <w:p w14:paraId="490C1E04" w14:textId="0248A763" w:rsidR="00704B99" w:rsidRPr="0003452E" w:rsidRDefault="00704B99">
      <w:pPr>
        <w:rPr>
          <w:rFonts w:ascii="Times New Roman" w:hAnsi="Times New Roman" w:cs="Times New Roman"/>
          <w:szCs w:val="24"/>
        </w:rPr>
      </w:pPr>
      <w:r w:rsidRPr="0003452E">
        <w:rPr>
          <w:rFonts w:ascii="Times New Roman" w:hAnsi="Times New Roman" w:cs="Times New Roman"/>
          <w:szCs w:val="24"/>
        </w:rPr>
        <w:br w:type="page"/>
      </w:r>
    </w:p>
    <w:p w14:paraId="59D0C6F6" w14:textId="77777777" w:rsidR="00704B99" w:rsidRPr="0003452E" w:rsidRDefault="00704B99" w:rsidP="00704B99">
      <w:pPr>
        <w:ind w:left="720"/>
        <w:rPr>
          <w:rFonts w:ascii="Times New Roman" w:hAnsi="Times New Roman" w:cs="Times New Roman"/>
          <w:b/>
          <w:bCs/>
          <w:szCs w:val="24"/>
        </w:rPr>
      </w:pPr>
      <w:r w:rsidRPr="0003452E">
        <w:rPr>
          <w:rFonts w:ascii="Times New Roman" w:hAnsi="Times New Roman" w:cs="Times New Roman"/>
          <w:b/>
          <w:bCs/>
          <w:szCs w:val="24"/>
        </w:rPr>
        <w:lastRenderedPageBreak/>
        <w:t xml:space="preserve">SUMMARY OF THE BUDGETARY POSITION OF PART A AND PART B </w:t>
      </w:r>
    </w:p>
    <w:p w14:paraId="58D067FC" w14:textId="60F60954" w:rsidR="00704B99" w:rsidRPr="0003452E" w:rsidRDefault="00704B99" w:rsidP="00704B99">
      <w:pPr>
        <w:ind w:left="720"/>
        <w:jc w:val="center"/>
        <w:rPr>
          <w:rFonts w:ascii="Times New Roman" w:hAnsi="Times New Roman" w:cs="Times New Roman"/>
          <w:szCs w:val="24"/>
        </w:rPr>
      </w:pPr>
      <w:r w:rsidRPr="0003452E">
        <w:rPr>
          <w:rFonts w:ascii="Times New Roman" w:hAnsi="Times New Roman" w:cs="Times New Roman"/>
          <w:b/>
          <w:bCs/>
          <w:szCs w:val="24"/>
        </w:rPr>
        <w:t>STATES—contd.</w:t>
      </w:r>
    </w:p>
    <w:p w14:paraId="4E320F6E" w14:textId="77777777" w:rsidR="00704B99" w:rsidRPr="0003452E" w:rsidRDefault="00704B99" w:rsidP="00704B99">
      <w:pPr>
        <w:ind w:left="720"/>
        <w:jc w:val="right"/>
        <w:rPr>
          <w:rFonts w:ascii="Times New Roman" w:hAnsi="Times New Roman" w:cs="Times New Roman"/>
          <w:szCs w:val="24"/>
        </w:rPr>
      </w:pPr>
      <w:r w:rsidRPr="0003452E">
        <w:rPr>
          <w:rFonts w:ascii="Times New Roman" w:hAnsi="Times New Roman" w:cs="Times New Roman"/>
          <w:i/>
          <w:iCs/>
          <w:szCs w:val="24"/>
        </w:rPr>
        <w:t>(In lakhs of rupees)</w:t>
      </w:r>
    </w:p>
    <w:tbl>
      <w:tblPr>
        <w:tblStyle w:val="TableGrid"/>
        <w:tblW w:w="0" w:type="auto"/>
        <w:jc w:val="center"/>
        <w:tblLook w:val="04A0" w:firstRow="1" w:lastRow="0" w:firstColumn="1" w:lastColumn="0" w:noHBand="0" w:noVBand="1"/>
      </w:tblPr>
      <w:tblGrid>
        <w:gridCol w:w="3168"/>
        <w:gridCol w:w="1388"/>
        <w:gridCol w:w="1275"/>
        <w:gridCol w:w="1843"/>
        <w:gridCol w:w="1814"/>
      </w:tblGrid>
      <w:tr w:rsidR="00CF463A" w:rsidRPr="0003452E" w14:paraId="69E028A2" w14:textId="77777777" w:rsidTr="00AA76E8">
        <w:trPr>
          <w:trHeight w:val="227"/>
          <w:jc w:val="center"/>
        </w:trPr>
        <w:tc>
          <w:tcPr>
            <w:tcW w:w="0" w:type="auto"/>
            <w:vAlign w:val="center"/>
            <w:hideMark/>
          </w:tcPr>
          <w:p w14:paraId="7186C37A" w14:textId="77777777" w:rsidR="00704B99" w:rsidRPr="00241C00" w:rsidRDefault="00704B99" w:rsidP="00AA76E8">
            <w:pPr>
              <w:pStyle w:val="Tables"/>
              <w:rPr>
                <w:b/>
                <w:bCs/>
              </w:rPr>
            </w:pPr>
          </w:p>
        </w:tc>
        <w:tc>
          <w:tcPr>
            <w:tcW w:w="1388" w:type="dxa"/>
            <w:vAlign w:val="center"/>
            <w:hideMark/>
          </w:tcPr>
          <w:p w14:paraId="5A061B53" w14:textId="77777777" w:rsidR="00704B99" w:rsidRPr="00241C00" w:rsidRDefault="00704B99" w:rsidP="00AA76E8">
            <w:pPr>
              <w:pStyle w:val="Tables"/>
              <w:rPr>
                <w:b/>
                <w:bCs/>
              </w:rPr>
            </w:pPr>
            <w:r w:rsidRPr="00241C00">
              <w:rPr>
                <w:b/>
                <w:bCs/>
              </w:rPr>
              <w:t>1949-50</w:t>
            </w:r>
          </w:p>
        </w:tc>
        <w:tc>
          <w:tcPr>
            <w:tcW w:w="1275" w:type="dxa"/>
            <w:vAlign w:val="center"/>
            <w:hideMark/>
          </w:tcPr>
          <w:p w14:paraId="375330AB" w14:textId="77777777" w:rsidR="00704B99" w:rsidRPr="00241C00" w:rsidRDefault="00704B99" w:rsidP="00AA76E8">
            <w:pPr>
              <w:pStyle w:val="Tables"/>
              <w:rPr>
                <w:b/>
                <w:bCs/>
              </w:rPr>
            </w:pPr>
            <w:r w:rsidRPr="00241C00">
              <w:rPr>
                <w:b/>
                <w:bCs/>
              </w:rPr>
              <w:t>1950-51</w:t>
            </w:r>
          </w:p>
        </w:tc>
        <w:tc>
          <w:tcPr>
            <w:tcW w:w="1843" w:type="dxa"/>
            <w:vAlign w:val="center"/>
            <w:hideMark/>
          </w:tcPr>
          <w:p w14:paraId="5CCB9FB2" w14:textId="77777777" w:rsidR="00CF463A" w:rsidRPr="00241C00" w:rsidRDefault="00704B99" w:rsidP="00AA76E8">
            <w:pPr>
              <w:pStyle w:val="Tables"/>
              <w:rPr>
                <w:b/>
                <w:bCs/>
              </w:rPr>
            </w:pPr>
            <w:r w:rsidRPr="00241C00">
              <w:rPr>
                <w:b/>
                <w:bCs/>
              </w:rPr>
              <w:t>1951-52</w:t>
            </w:r>
          </w:p>
          <w:p w14:paraId="0D7EF115" w14:textId="403C1A59" w:rsidR="00704B99" w:rsidRPr="00241C00" w:rsidRDefault="00704B99" w:rsidP="00AA76E8">
            <w:pPr>
              <w:pStyle w:val="Tables"/>
              <w:rPr>
                <w:b/>
                <w:bCs/>
              </w:rPr>
            </w:pPr>
            <w:r w:rsidRPr="00241C00">
              <w:rPr>
                <w:b/>
                <w:bCs/>
              </w:rPr>
              <w:t>(Provisional Figures)</w:t>
            </w:r>
          </w:p>
        </w:tc>
        <w:tc>
          <w:tcPr>
            <w:tcW w:w="1814" w:type="dxa"/>
            <w:vAlign w:val="center"/>
            <w:hideMark/>
          </w:tcPr>
          <w:p w14:paraId="22A8D986" w14:textId="77777777" w:rsidR="00CF463A" w:rsidRPr="00241C00" w:rsidRDefault="00704B99" w:rsidP="00AA76E8">
            <w:pPr>
              <w:pStyle w:val="Tables"/>
              <w:rPr>
                <w:b/>
                <w:bCs/>
              </w:rPr>
            </w:pPr>
            <w:r w:rsidRPr="00241C00">
              <w:rPr>
                <w:b/>
                <w:bCs/>
              </w:rPr>
              <w:t>1952-53</w:t>
            </w:r>
          </w:p>
          <w:p w14:paraId="59F367C0" w14:textId="61B2C7D3" w:rsidR="00704B99" w:rsidRPr="00241C00" w:rsidRDefault="00704B99" w:rsidP="00AA76E8">
            <w:pPr>
              <w:pStyle w:val="Tables"/>
              <w:rPr>
                <w:b/>
                <w:bCs/>
              </w:rPr>
            </w:pPr>
            <w:r w:rsidRPr="00241C00">
              <w:rPr>
                <w:b/>
                <w:bCs/>
              </w:rPr>
              <w:t>(Budget Estimates)</w:t>
            </w:r>
          </w:p>
        </w:tc>
      </w:tr>
      <w:tr w:rsidR="00CF463A" w:rsidRPr="0003452E" w14:paraId="198928D3" w14:textId="77777777" w:rsidTr="00AA76E8">
        <w:trPr>
          <w:trHeight w:val="227"/>
          <w:jc w:val="center"/>
        </w:trPr>
        <w:tc>
          <w:tcPr>
            <w:tcW w:w="9322" w:type="dxa"/>
            <w:gridSpan w:val="5"/>
            <w:vAlign w:val="center"/>
            <w:hideMark/>
          </w:tcPr>
          <w:p w14:paraId="28DB64AE" w14:textId="77777777" w:rsidR="00CF463A" w:rsidRPr="00241C00" w:rsidRDefault="00CF463A" w:rsidP="00AA76E8">
            <w:pPr>
              <w:pStyle w:val="Tables"/>
              <w:rPr>
                <w:b/>
                <w:bCs/>
              </w:rPr>
            </w:pPr>
            <w:r w:rsidRPr="00241C00">
              <w:rPr>
                <w:b/>
                <w:bCs/>
              </w:rPr>
              <w:t>PUNJAB</w:t>
            </w:r>
          </w:p>
          <w:p w14:paraId="5B605426" w14:textId="32A81087" w:rsidR="00CF463A" w:rsidRPr="0003452E" w:rsidRDefault="00CF463A" w:rsidP="00AA76E8">
            <w:pPr>
              <w:pStyle w:val="Tables"/>
            </w:pPr>
          </w:p>
        </w:tc>
      </w:tr>
      <w:tr w:rsidR="00CF463A" w:rsidRPr="0003452E" w14:paraId="2EE0D342" w14:textId="77777777" w:rsidTr="00AA76E8">
        <w:trPr>
          <w:trHeight w:val="227"/>
          <w:jc w:val="center"/>
        </w:trPr>
        <w:tc>
          <w:tcPr>
            <w:tcW w:w="0" w:type="auto"/>
            <w:vAlign w:val="center"/>
            <w:hideMark/>
          </w:tcPr>
          <w:p w14:paraId="3DEFD329" w14:textId="77777777" w:rsidR="00704B99" w:rsidRPr="0003452E" w:rsidRDefault="00704B99" w:rsidP="00AA76E8">
            <w:pPr>
              <w:pStyle w:val="Tables"/>
            </w:pPr>
            <w:r w:rsidRPr="0003452E">
              <w:t>TOTAL REVENUE</w:t>
            </w:r>
          </w:p>
        </w:tc>
        <w:tc>
          <w:tcPr>
            <w:tcW w:w="1388" w:type="dxa"/>
            <w:vAlign w:val="center"/>
            <w:hideMark/>
          </w:tcPr>
          <w:p w14:paraId="3484A1B0" w14:textId="77777777" w:rsidR="00704B99" w:rsidRPr="0003452E" w:rsidRDefault="00704B99" w:rsidP="00AA76E8">
            <w:pPr>
              <w:pStyle w:val="Tables"/>
            </w:pPr>
            <w:r w:rsidRPr="0003452E">
              <w:t>1695</w:t>
            </w:r>
          </w:p>
        </w:tc>
        <w:tc>
          <w:tcPr>
            <w:tcW w:w="1275" w:type="dxa"/>
            <w:vAlign w:val="center"/>
            <w:hideMark/>
          </w:tcPr>
          <w:p w14:paraId="5F3BB5F3" w14:textId="77777777" w:rsidR="00704B99" w:rsidRPr="0003452E" w:rsidRDefault="00704B99" w:rsidP="00AA76E8">
            <w:pPr>
              <w:pStyle w:val="Tables"/>
            </w:pPr>
            <w:r w:rsidRPr="0003452E">
              <w:t>1687</w:t>
            </w:r>
          </w:p>
        </w:tc>
        <w:tc>
          <w:tcPr>
            <w:tcW w:w="1843" w:type="dxa"/>
            <w:vAlign w:val="center"/>
            <w:hideMark/>
          </w:tcPr>
          <w:p w14:paraId="10C02364" w14:textId="77777777" w:rsidR="00704B99" w:rsidRPr="0003452E" w:rsidRDefault="00704B99" w:rsidP="00AA76E8">
            <w:pPr>
              <w:pStyle w:val="Tables"/>
            </w:pPr>
            <w:r w:rsidRPr="0003452E">
              <w:t>1780</w:t>
            </w:r>
          </w:p>
        </w:tc>
        <w:tc>
          <w:tcPr>
            <w:tcW w:w="1814" w:type="dxa"/>
            <w:vAlign w:val="center"/>
            <w:hideMark/>
          </w:tcPr>
          <w:p w14:paraId="361A6D53" w14:textId="77777777" w:rsidR="00704B99" w:rsidRPr="0003452E" w:rsidRDefault="00704B99" w:rsidP="00AA76E8">
            <w:pPr>
              <w:pStyle w:val="Tables"/>
            </w:pPr>
            <w:r w:rsidRPr="0003452E">
              <w:t>1705</w:t>
            </w:r>
          </w:p>
        </w:tc>
      </w:tr>
      <w:tr w:rsidR="00CF463A" w:rsidRPr="0003452E" w14:paraId="07CF0DDD" w14:textId="77777777" w:rsidTr="00AA76E8">
        <w:trPr>
          <w:trHeight w:val="227"/>
          <w:jc w:val="center"/>
        </w:trPr>
        <w:tc>
          <w:tcPr>
            <w:tcW w:w="0" w:type="auto"/>
            <w:vAlign w:val="center"/>
            <w:hideMark/>
          </w:tcPr>
          <w:p w14:paraId="0215571C" w14:textId="77777777" w:rsidR="00704B99" w:rsidRPr="0003452E" w:rsidRDefault="00704B99" w:rsidP="00AA76E8">
            <w:pPr>
              <w:pStyle w:val="Tables"/>
            </w:pPr>
            <w:r w:rsidRPr="0003452E">
              <w:rPr>
                <w:i/>
                <w:iCs/>
              </w:rPr>
              <w:t>Deduct—</w:t>
            </w:r>
          </w:p>
        </w:tc>
        <w:tc>
          <w:tcPr>
            <w:tcW w:w="1388" w:type="dxa"/>
            <w:vAlign w:val="center"/>
            <w:hideMark/>
          </w:tcPr>
          <w:p w14:paraId="07BB6F45" w14:textId="77777777" w:rsidR="00704B99" w:rsidRPr="0003452E" w:rsidRDefault="00704B99" w:rsidP="00AA76E8">
            <w:pPr>
              <w:pStyle w:val="Tables"/>
            </w:pPr>
          </w:p>
        </w:tc>
        <w:tc>
          <w:tcPr>
            <w:tcW w:w="1275" w:type="dxa"/>
            <w:vAlign w:val="center"/>
            <w:hideMark/>
          </w:tcPr>
          <w:p w14:paraId="3CA84FFC" w14:textId="77777777" w:rsidR="00704B99" w:rsidRPr="0003452E" w:rsidRDefault="00704B99" w:rsidP="00AA76E8">
            <w:pPr>
              <w:pStyle w:val="Tables"/>
            </w:pPr>
          </w:p>
        </w:tc>
        <w:tc>
          <w:tcPr>
            <w:tcW w:w="1843" w:type="dxa"/>
            <w:vAlign w:val="center"/>
            <w:hideMark/>
          </w:tcPr>
          <w:p w14:paraId="20113D92" w14:textId="77777777" w:rsidR="00704B99" w:rsidRPr="0003452E" w:rsidRDefault="00704B99" w:rsidP="00AA76E8">
            <w:pPr>
              <w:pStyle w:val="Tables"/>
            </w:pPr>
          </w:p>
        </w:tc>
        <w:tc>
          <w:tcPr>
            <w:tcW w:w="1814" w:type="dxa"/>
            <w:vAlign w:val="center"/>
            <w:hideMark/>
          </w:tcPr>
          <w:p w14:paraId="5073DC16" w14:textId="77777777" w:rsidR="00704B99" w:rsidRPr="0003452E" w:rsidRDefault="00704B99" w:rsidP="00AA76E8">
            <w:pPr>
              <w:pStyle w:val="Tables"/>
            </w:pPr>
          </w:p>
        </w:tc>
      </w:tr>
      <w:tr w:rsidR="00CF463A" w:rsidRPr="0003452E" w14:paraId="202C77C1" w14:textId="77777777" w:rsidTr="00AA76E8">
        <w:trPr>
          <w:trHeight w:val="227"/>
          <w:jc w:val="center"/>
        </w:trPr>
        <w:tc>
          <w:tcPr>
            <w:tcW w:w="0" w:type="auto"/>
            <w:vAlign w:val="center"/>
            <w:hideMark/>
          </w:tcPr>
          <w:p w14:paraId="2D5390E8" w14:textId="77777777" w:rsidR="00704B99" w:rsidRPr="0003452E" w:rsidRDefault="00704B99" w:rsidP="00AA76E8">
            <w:pPr>
              <w:pStyle w:val="Tables"/>
            </w:pPr>
            <w:r w:rsidRPr="0003452E">
              <w:t>(i) Share of Central Income Tax</w:t>
            </w:r>
          </w:p>
        </w:tc>
        <w:tc>
          <w:tcPr>
            <w:tcW w:w="1388" w:type="dxa"/>
            <w:vAlign w:val="center"/>
            <w:hideMark/>
          </w:tcPr>
          <w:p w14:paraId="79EAE1E7" w14:textId="77777777" w:rsidR="00704B99" w:rsidRPr="0003452E" w:rsidRDefault="00704B99" w:rsidP="00AA76E8">
            <w:pPr>
              <w:pStyle w:val="Tables"/>
            </w:pPr>
            <w:r w:rsidRPr="0003452E">
              <w:t>229</w:t>
            </w:r>
          </w:p>
        </w:tc>
        <w:tc>
          <w:tcPr>
            <w:tcW w:w="1275" w:type="dxa"/>
            <w:vAlign w:val="center"/>
            <w:hideMark/>
          </w:tcPr>
          <w:p w14:paraId="42E96204" w14:textId="77777777" w:rsidR="00704B99" w:rsidRPr="0003452E" w:rsidRDefault="00704B99" w:rsidP="00AA76E8">
            <w:pPr>
              <w:pStyle w:val="Tables"/>
            </w:pPr>
            <w:r w:rsidRPr="0003452E">
              <w:t>261</w:t>
            </w:r>
          </w:p>
        </w:tc>
        <w:tc>
          <w:tcPr>
            <w:tcW w:w="1843" w:type="dxa"/>
            <w:vAlign w:val="center"/>
            <w:hideMark/>
          </w:tcPr>
          <w:p w14:paraId="0E61FA1D" w14:textId="77777777" w:rsidR="00704B99" w:rsidRPr="0003452E" w:rsidRDefault="00704B99" w:rsidP="00AA76E8">
            <w:pPr>
              <w:pStyle w:val="Tables"/>
            </w:pPr>
            <w:r w:rsidRPr="0003452E">
              <w:t>288</w:t>
            </w:r>
          </w:p>
        </w:tc>
        <w:tc>
          <w:tcPr>
            <w:tcW w:w="1814" w:type="dxa"/>
            <w:vAlign w:val="center"/>
            <w:hideMark/>
          </w:tcPr>
          <w:p w14:paraId="5FC4E906" w14:textId="77777777" w:rsidR="00704B99" w:rsidRPr="0003452E" w:rsidRDefault="00704B99" w:rsidP="00AA76E8">
            <w:pPr>
              <w:pStyle w:val="Tables"/>
            </w:pPr>
            <w:r w:rsidRPr="0003452E">
              <w:t>278</w:t>
            </w:r>
          </w:p>
        </w:tc>
      </w:tr>
      <w:tr w:rsidR="00CF463A" w:rsidRPr="0003452E" w14:paraId="0C199C5A" w14:textId="77777777" w:rsidTr="00AA76E8">
        <w:trPr>
          <w:trHeight w:val="227"/>
          <w:jc w:val="center"/>
        </w:trPr>
        <w:tc>
          <w:tcPr>
            <w:tcW w:w="0" w:type="auto"/>
            <w:vAlign w:val="center"/>
            <w:hideMark/>
          </w:tcPr>
          <w:p w14:paraId="64FAE228" w14:textId="77777777" w:rsidR="00704B99" w:rsidRPr="0003452E" w:rsidRDefault="00704B99" w:rsidP="00AA76E8">
            <w:pPr>
              <w:pStyle w:val="Tables"/>
            </w:pPr>
            <w:r w:rsidRPr="0003452E">
              <w:t>(ii) Grants-in-aid</w:t>
            </w:r>
          </w:p>
        </w:tc>
        <w:tc>
          <w:tcPr>
            <w:tcW w:w="1388" w:type="dxa"/>
            <w:vAlign w:val="center"/>
            <w:hideMark/>
          </w:tcPr>
          <w:p w14:paraId="07C2F778" w14:textId="77777777" w:rsidR="00704B99" w:rsidRPr="0003452E" w:rsidRDefault="00704B99" w:rsidP="00AA76E8">
            <w:pPr>
              <w:pStyle w:val="Tables"/>
            </w:pPr>
            <w:r w:rsidRPr="0003452E">
              <w:t>175</w:t>
            </w:r>
          </w:p>
        </w:tc>
        <w:tc>
          <w:tcPr>
            <w:tcW w:w="1275" w:type="dxa"/>
            <w:vAlign w:val="center"/>
            <w:hideMark/>
          </w:tcPr>
          <w:p w14:paraId="5D9C6F63" w14:textId="77777777" w:rsidR="00704B99" w:rsidRPr="0003452E" w:rsidRDefault="00704B99" w:rsidP="00AA76E8">
            <w:pPr>
              <w:pStyle w:val="Tables"/>
            </w:pPr>
            <w:r w:rsidRPr="0003452E">
              <w:t>75</w:t>
            </w:r>
          </w:p>
        </w:tc>
        <w:tc>
          <w:tcPr>
            <w:tcW w:w="1843" w:type="dxa"/>
            <w:vAlign w:val="center"/>
            <w:hideMark/>
          </w:tcPr>
          <w:p w14:paraId="556A1D07" w14:textId="77777777" w:rsidR="00704B99" w:rsidRPr="0003452E" w:rsidRDefault="00704B99" w:rsidP="00AA76E8">
            <w:pPr>
              <w:pStyle w:val="Tables"/>
            </w:pPr>
            <w:r w:rsidRPr="0003452E">
              <w:t>...</w:t>
            </w:r>
          </w:p>
        </w:tc>
        <w:tc>
          <w:tcPr>
            <w:tcW w:w="1814" w:type="dxa"/>
            <w:vAlign w:val="center"/>
            <w:hideMark/>
          </w:tcPr>
          <w:p w14:paraId="62E87D3E" w14:textId="77777777" w:rsidR="00704B99" w:rsidRPr="0003452E" w:rsidRDefault="00704B99" w:rsidP="00AA76E8">
            <w:pPr>
              <w:pStyle w:val="Tables"/>
            </w:pPr>
            <w:r w:rsidRPr="0003452E">
              <w:t>...</w:t>
            </w:r>
          </w:p>
        </w:tc>
      </w:tr>
      <w:tr w:rsidR="00CF463A" w:rsidRPr="0003452E" w14:paraId="52B76517" w14:textId="77777777" w:rsidTr="00AA76E8">
        <w:trPr>
          <w:trHeight w:val="227"/>
          <w:jc w:val="center"/>
        </w:trPr>
        <w:tc>
          <w:tcPr>
            <w:tcW w:w="0" w:type="auto"/>
            <w:vAlign w:val="center"/>
            <w:hideMark/>
          </w:tcPr>
          <w:p w14:paraId="4D8FE097" w14:textId="77777777" w:rsidR="00704B99" w:rsidRPr="0003452E" w:rsidRDefault="00704B99" w:rsidP="00AA76E8">
            <w:pPr>
              <w:pStyle w:val="Tables"/>
            </w:pPr>
            <w:r w:rsidRPr="0003452E">
              <w:t>NET REVENUE</w:t>
            </w:r>
          </w:p>
        </w:tc>
        <w:tc>
          <w:tcPr>
            <w:tcW w:w="1388" w:type="dxa"/>
            <w:vAlign w:val="center"/>
            <w:hideMark/>
          </w:tcPr>
          <w:p w14:paraId="23A7EE07" w14:textId="77777777" w:rsidR="00704B99" w:rsidRPr="0003452E" w:rsidRDefault="00704B99" w:rsidP="00AA76E8">
            <w:pPr>
              <w:pStyle w:val="Tables"/>
            </w:pPr>
            <w:r w:rsidRPr="0003452E">
              <w:t>1291</w:t>
            </w:r>
          </w:p>
        </w:tc>
        <w:tc>
          <w:tcPr>
            <w:tcW w:w="1275" w:type="dxa"/>
            <w:vAlign w:val="center"/>
            <w:hideMark/>
          </w:tcPr>
          <w:p w14:paraId="7C634EF7" w14:textId="77777777" w:rsidR="00704B99" w:rsidRPr="0003452E" w:rsidRDefault="00704B99" w:rsidP="00AA76E8">
            <w:pPr>
              <w:pStyle w:val="Tables"/>
            </w:pPr>
            <w:r w:rsidRPr="0003452E">
              <w:t>1351</w:t>
            </w:r>
          </w:p>
        </w:tc>
        <w:tc>
          <w:tcPr>
            <w:tcW w:w="1843" w:type="dxa"/>
            <w:vAlign w:val="center"/>
            <w:hideMark/>
          </w:tcPr>
          <w:p w14:paraId="08D9646D" w14:textId="77777777" w:rsidR="00704B99" w:rsidRPr="0003452E" w:rsidRDefault="00704B99" w:rsidP="00AA76E8">
            <w:pPr>
              <w:pStyle w:val="Tables"/>
            </w:pPr>
            <w:r w:rsidRPr="0003452E">
              <w:t>1492</w:t>
            </w:r>
          </w:p>
        </w:tc>
        <w:tc>
          <w:tcPr>
            <w:tcW w:w="1814" w:type="dxa"/>
            <w:vAlign w:val="center"/>
            <w:hideMark/>
          </w:tcPr>
          <w:p w14:paraId="16EE6578" w14:textId="77777777" w:rsidR="00704B99" w:rsidRPr="0003452E" w:rsidRDefault="00704B99" w:rsidP="00AA76E8">
            <w:pPr>
              <w:pStyle w:val="Tables"/>
            </w:pPr>
            <w:r w:rsidRPr="0003452E">
              <w:t>1427</w:t>
            </w:r>
          </w:p>
        </w:tc>
      </w:tr>
      <w:tr w:rsidR="00CF463A" w:rsidRPr="0003452E" w14:paraId="3592545A" w14:textId="77777777" w:rsidTr="00AA76E8">
        <w:trPr>
          <w:trHeight w:val="227"/>
          <w:jc w:val="center"/>
        </w:trPr>
        <w:tc>
          <w:tcPr>
            <w:tcW w:w="0" w:type="auto"/>
            <w:vAlign w:val="center"/>
            <w:hideMark/>
          </w:tcPr>
          <w:p w14:paraId="60ADFB8B" w14:textId="77777777" w:rsidR="00704B99" w:rsidRPr="0003452E" w:rsidRDefault="00704B99" w:rsidP="00AA76E8">
            <w:pPr>
              <w:pStyle w:val="Tables"/>
            </w:pPr>
            <w:r w:rsidRPr="0003452E">
              <w:t>TOTAL EXPENDITURE</w:t>
            </w:r>
          </w:p>
        </w:tc>
        <w:tc>
          <w:tcPr>
            <w:tcW w:w="1388" w:type="dxa"/>
            <w:vAlign w:val="center"/>
            <w:hideMark/>
          </w:tcPr>
          <w:p w14:paraId="0D97FBAF" w14:textId="77777777" w:rsidR="00704B99" w:rsidRPr="0003452E" w:rsidRDefault="00704B99" w:rsidP="00AA76E8">
            <w:pPr>
              <w:pStyle w:val="Tables"/>
            </w:pPr>
            <w:r w:rsidRPr="0003452E">
              <w:t>1612</w:t>
            </w:r>
          </w:p>
        </w:tc>
        <w:tc>
          <w:tcPr>
            <w:tcW w:w="1275" w:type="dxa"/>
            <w:vAlign w:val="center"/>
            <w:hideMark/>
          </w:tcPr>
          <w:p w14:paraId="1A9F298A" w14:textId="77777777" w:rsidR="00704B99" w:rsidRPr="0003452E" w:rsidRDefault="00704B99" w:rsidP="00AA76E8">
            <w:pPr>
              <w:pStyle w:val="Tables"/>
            </w:pPr>
            <w:r w:rsidRPr="0003452E">
              <w:t>1600</w:t>
            </w:r>
          </w:p>
        </w:tc>
        <w:tc>
          <w:tcPr>
            <w:tcW w:w="1843" w:type="dxa"/>
            <w:vAlign w:val="center"/>
            <w:hideMark/>
          </w:tcPr>
          <w:p w14:paraId="6709591D" w14:textId="77777777" w:rsidR="00704B99" w:rsidRPr="0003452E" w:rsidRDefault="00704B99" w:rsidP="00AA76E8">
            <w:pPr>
              <w:pStyle w:val="Tables"/>
            </w:pPr>
            <w:r w:rsidRPr="0003452E">
              <w:t>1649</w:t>
            </w:r>
          </w:p>
        </w:tc>
        <w:tc>
          <w:tcPr>
            <w:tcW w:w="1814" w:type="dxa"/>
            <w:vAlign w:val="center"/>
            <w:hideMark/>
          </w:tcPr>
          <w:p w14:paraId="6CACA066" w14:textId="77777777" w:rsidR="00704B99" w:rsidRPr="0003452E" w:rsidRDefault="00704B99" w:rsidP="00AA76E8">
            <w:pPr>
              <w:pStyle w:val="Tables"/>
            </w:pPr>
            <w:r w:rsidRPr="0003452E">
              <w:t>1748</w:t>
            </w:r>
          </w:p>
        </w:tc>
      </w:tr>
      <w:tr w:rsidR="00CF463A" w:rsidRPr="0003452E" w14:paraId="0051849A" w14:textId="77777777" w:rsidTr="00AA76E8">
        <w:trPr>
          <w:trHeight w:val="227"/>
          <w:jc w:val="center"/>
        </w:trPr>
        <w:tc>
          <w:tcPr>
            <w:tcW w:w="0" w:type="auto"/>
            <w:vAlign w:val="center"/>
            <w:hideMark/>
          </w:tcPr>
          <w:p w14:paraId="49BADEBB" w14:textId="77777777" w:rsidR="00704B99" w:rsidRPr="0003452E" w:rsidRDefault="00704B99" w:rsidP="00AA76E8">
            <w:pPr>
              <w:pStyle w:val="Tables"/>
            </w:pPr>
            <w:r w:rsidRPr="0003452E">
              <w:t>Surplus (+) or Deficit (—)</w:t>
            </w:r>
          </w:p>
        </w:tc>
        <w:tc>
          <w:tcPr>
            <w:tcW w:w="1388" w:type="dxa"/>
            <w:vAlign w:val="center"/>
            <w:hideMark/>
          </w:tcPr>
          <w:p w14:paraId="20FF8434" w14:textId="77777777" w:rsidR="00704B99" w:rsidRPr="0003452E" w:rsidRDefault="00704B99" w:rsidP="00AA76E8">
            <w:pPr>
              <w:pStyle w:val="Tables"/>
            </w:pPr>
            <w:r w:rsidRPr="0003452E">
              <w:t>—321</w:t>
            </w:r>
          </w:p>
        </w:tc>
        <w:tc>
          <w:tcPr>
            <w:tcW w:w="1275" w:type="dxa"/>
            <w:vAlign w:val="center"/>
            <w:hideMark/>
          </w:tcPr>
          <w:p w14:paraId="057F7152" w14:textId="77777777" w:rsidR="00704B99" w:rsidRPr="0003452E" w:rsidRDefault="00704B99" w:rsidP="00AA76E8">
            <w:pPr>
              <w:pStyle w:val="Tables"/>
            </w:pPr>
            <w:r w:rsidRPr="0003452E">
              <w:t>—249</w:t>
            </w:r>
          </w:p>
        </w:tc>
        <w:tc>
          <w:tcPr>
            <w:tcW w:w="1843" w:type="dxa"/>
            <w:vAlign w:val="center"/>
            <w:hideMark/>
          </w:tcPr>
          <w:p w14:paraId="052B13A2" w14:textId="77777777" w:rsidR="00704B99" w:rsidRPr="0003452E" w:rsidRDefault="00704B99" w:rsidP="00AA76E8">
            <w:pPr>
              <w:pStyle w:val="Tables"/>
            </w:pPr>
            <w:r w:rsidRPr="0003452E">
              <w:t>—157</w:t>
            </w:r>
          </w:p>
        </w:tc>
        <w:tc>
          <w:tcPr>
            <w:tcW w:w="1814" w:type="dxa"/>
            <w:vAlign w:val="center"/>
            <w:hideMark/>
          </w:tcPr>
          <w:p w14:paraId="609CF435" w14:textId="77777777" w:rsidR="00704B99" w:rsidRPr="0003452E" w:rsidRDefault="00704B99" w:rsidP="00AA76E8">
            <w:pPr>
              <w:pStyle w:val="Tables"/>
            </w:pPr>
            <w:r w:rsidRPr="0003452E">
              <w:t>—321</w:t>
            </w:r>
          </w:p>
        </w:tc>
      </w:tr>
      <w:tr w:rsidR="00CF463A" w:rsidRPr="0003452E" w14:paraId="2B01F4DA" w14:textId="77777777" w:rsidTr="00AA76E8">
        <w:trPr>
          <w:trHeight w:val="227"/>
          <w:jc w:val="center"/>
        </w:trPr>
        <w:tc>
          <w:tcPr>
            <w:tcW w:w="9322" w:type="dxa"/>
            <w:gridSpan w:val="5"/>
            <w:vAlign w:val="center"/>
            <w:hideMark/>
          </w:tcPr>
          <w:p w14:paraId="48BD6B5C" w14:textId="77777777" w:rsidR="00CF463A" w:rsidRPr="00241C00" w:rsidRDefault="00CF463A" w:rsidP="00AA76E8">
            <w:pPr>
              <w:pStyle w:val="Tables"/>
              <w:rPr>
                <w:b/>
                <w:bCs/>
              </w:rPr>
            </w:pPr>
            <w:r w:rsidRPr="00241C00">
              <w:rPr>
                <w:b/>
                <w:bCs/>
              </w:rPr>
              <w:t>UTTAR PRADESH</w:t>
            </w:r>
          </w:p>
          <w:p w14:paraId="7019DB60" w14:textId="48A72849" w:rsidR="00CF463A" w:rsidRPr="0003452E" w:rsidRDefault="00CF463A" w:rsidP="00AA76E8">
            <w:pPr>
              <w:pStyle w:val="Tables"/>
            </w:pPr>
          </w:p>
        </w:tc>
      </w:tr>
      <w:tr w:rsidR="00CF463A" w:rsidRPr="0003452E" w14:paraId="605E1BCD" w14:textId="77777777" w:rsidTr="00AA76E8">
        <w:trPr>
          <w:trHeight w:val="227"/>
          <w:jc w:val="center"/>
        </w:trPr>
        <w:tc>
          <w:tcPr>
            <w:tcW w:w="0" w:type="auto"/>
            <w:vAlign w:val="center"/>
            <w:hideMark/>
          </w:tcPr>
          <w:p w14:paraId="051B1628" w14:textId="77777777" w:rsidR="00704B99" w:rsidRPr="0003452E" w:rsidRDefault="00704B99" w:rsidP="00AA76E8">
            <w:pPr>
              <w:pStyle w:val="Tables"/>
            </w:pPr>
            <w:r w:rsidRPr="0003452E">
              <w:t>TOTAL REVENUE</w:t>
            </w:r>
          </w:p>
        </w:tc>
        <w:tc>
          <w:tcPr>
            <w:tcW w:w="1388" w:type="dxa"/>
            <w:vAlign w:val="center"/>
            <w:hideMark/>
          </w:tcPr>
          <w:p w14:paraId="7B2DB087" w14:textId="77777777" w:rsidR="00704B99" w:rsidRPr="0003452E" w:rsidRDefault="00704B99" w:rsidP="00AA76E8">
            <w:pPr>
              <w:pStyle w:val="Tables"/>
            </w:pPr>
            <w:r w:rsidRPr="0003452E">
              <w:t>5397</w:t>
            </w:r>
          </w:p>
        </w:tc>
        <w:tc>
          <w:tcPr>
            <w:tcW w:w="1275" w:type="dxa"/>
            <w:vAlign w:val="center"/>
            <w:hideMark/>
          </w:tcPr>
          <w:p w14:paraId="22DA2D7F" w14:textId="77777777" w:rsidR="00704B99" w:rsidRPr="0003452E" w:rsidRDefault="00704B99" w:rsidP="00AA76E8">
            <w:pPr>
              <w:pStyle w:val="Tables"/>
            </w:pPr>
            <w:r w:rsidRPr="0003452E">
              <w:t>5189</w:t>
            </w:r>
          </w:p>
        </w:tc>
        <w:tc>
          <w:tcPr>
            <w:tcW w:w="1843" w:type="dxa"/>
            <w:vAlign w:val="center"/>
            <w:hideMark/>
          </w:tcPr>
          <w:p w14:paraId="27101DC1" w14:textId="77777777" w:rsidR="00704B99" w:rsidRPr="0003452E" w:rsidRDefault="00704B99" w:rsidP="00AA76E8">
            <w:pPr>
              <w:pStyle w:val="Tables"/>
            </w:pPr>
            <w:r w:rsidRPr="0003452E">
              <w:t>5461</w:t>
            </w:r>
          </w:p>
        </w:tc>
        <w:tc>
          <w:tcPr>
            <w:tcW w:w="1814" w:type="dxa"/>
            <w:vAlign w:val="center"/>
            <w:hideMark/>
          </w:tcPr>
          <w:p w14:paraId="30524CEE" w14:textId="77777777" w:rsidR="00704B99" w:rsidRPr="0003452E" w:rsidRDefault="00704B99" w:rsidP="00AA76E8">
            <w:pPr>
              <w:pStyle w:val="Tables"/>
            </w:pPr>
            <w:r w:rsidRPr="0003452E">
              <w:t>6099</w:t>
            </w:r>
          </w:p>
        </w:tc>
      </w:tr>
      <w:tr w:rsidR="00CF463A" w:rsidRPr="0003452E" w14:paraId="5A66B67F" w14:textId="77777777" w:rsidTr="00AA76E8">
        <w:trPr>
          <w:trHeight w:val="227"/>
          <w:jc w:val="center"/>
        </w:trPr>
        <w:tc>
          <w:tcPr>
            <w:tcW w:w="0" w:type="auto"/>
            <w:vAlign w:val="center"/>
            <w:hideMark/>
          </w:tcPr>
          <w:p w14:paraId="155D8368" w14:textId="77777777" w:rsidR="00704B99" w:rsidRPr="0003452E" w:rsidRDefault="00704B99" w:rsidP="00AA76E8">
            <w:pPr>
              <w:pStyle w:val="Tables"/>
            </w:pPr>
            <w:r w:rsidRPr="0003452E">
              <w:rPr>
                <w:i/>
                <w:iCs/>
              </w:rPr>
              <w:t>Deduct—</w:t>
            </w:r>
          </w:p>
        </w:tc>
        <w:tc>
          <w:tcPr>
            <w:tcW w:w="1388" w:type="dxa"/>
            <w:vAlign w:val="center"/>
            <w:hideMark/>
          </w:tcPr>
          <w:p w14:paraId="3F86F0E4" w14:textId="77777777" w:rsidR="00704B99" w:rsidRPr="0003452E" w:rsidRDefault="00704B99" w:rsidP="00AA76E8">
            <w:pPr>
              <w:pStyle w:val="Tables"/>
            </w:pPr>
          </w:p>
        </w:tc>
        <w:tc>
          <w:tcPr>
            <w:tcW w:w="1275" w:type="dxa"/>
            <w:vAlign w:val="center"/>
            <w:hideMark/>
          </w:tcPr>
          <w:p w14:paraId="36D438F0" w14:textId="77777777" w:rsidR="00704B99" w:rsidRPr="0003452E" w:rsidRDefault="00704B99" w:rsidP="00AA76E8">
            <w:pPr>
              <w:pStyle w:val="Tables"/>
            </w:pPr>
          </w:p>
        </w:tc>
        <w:tc>
          <w:tcPr>
            <w:tcW w:w="1843" w:type="dxa"/>
            <w:vAlign w:val="center"/>
            <w:hideMark/>
          </w:tcPr>
          <w:p w14:paraId="06992E6D" w14:textId="77777777" w:rsidR="00704B99" w:rsidRPr="0003452E" w:rsidRDefault="00704B99" w:rsidP="00AA76E8">
            <w:pPr>
              <w:pStyle w:val="Tables"/>
            </w:pPr>
          </w:p>
        </w:tc>
        <w:tc>
          <w:tcPr>
            <w:tcW w:w="1814" w:type="dxa"/>
            <w:vAlign w:val="center"/>
            <w:hideMark/>
          </w:tcPr>
          <w:p w14:paraId="3D96B9E7" w14:textId="77777777" w:rsidR="00704B99" w:rsidRPr="0003452E" w:rsidRDefault="00704B99" w:rsidP="00AA76E8">
            <w:pPr>
              <w:pStyle w:val="Tables"/>
            </w:pPr>
          </w:p>
        </w:tc>
      </w:tr>
      <w:tr w:rsidR="00CF463A" w:rsidRPr="0003452E" w14:paraId="458DFB24" w14:textId="77777777" w:rsidTr="00AA76E8">
        <w:trPr>
          <w:trHeight w:val="227"/>
          <w:jc w:val="center"/>
        </w:trPr>
        <w:tc>
          <w:tcPr>
            <w:tcW w:w="0" w:type="auto"/>
            <w:vAlign w:val="center"/>
            <w:hideMark/>
          </w:tcPr>
          <w:p w14:paraId="31740F56" w14:textId="77777777" w:rsidR="00704B99" w:rsidRPr="0003452E" w:rsidRDefault="00704B99" w:rsidP="00AA76E8">
            <w:pPr>
              <w:pStyle w:val="Tables"/>
            </w:pPr>
            <w:r w:rsidRPr="0003452E">
              <w:t>(i) Share of Central Income Tax</w:t>
            </w:r>
          </w:p>
        </w:tc>
        <w:tc>
          <w:tcPr>
            <w:tcW w:w="1388" w:type="dxa"/>
            <w:vAlign w:val="center"/>
            <w:hideMark/>
          </w:tcPr>
          <w:p w14:paraId="4C7D30FB" w14:textId="77777777" w:rsidR="00704B99" w:rsidRPr="0003452E" w:rsidRDefault="00704B99" w:rsidP="00AA76E8">
            <w:pPr>
              <w:pStyle w:val="Tables"/>
            </w:pPr>
            <w:r w:rsidRPr="0003452E">
              <w:t>869</w:t>
            </w:r>
          </w:p>
        </w:tc>
        <w:tc>
          <w:tcPr>
            <w:tcW w:w="1275" w:type="dxa"/>
            <w:vAlign w:val="center"/>
            <w:hideMark/>
          </w:tcPr>
          <w:p w14:paraId="79CCE5BF" w14:textId="77777777" w:rsidR="00704B99" w:rsidRPr="0003452E" w:rsidRDefault="00704B99" w:rsidP="00AA76E8">
            <w:pPr>
              <w:pStyle w:val="Tables"/>
            </w:pPr>
            <w:r w:rsidRPr="0003452E">
              <w:t>853</w:t>
            </w:r>
          </w:p>
        </w:tc>
        <w:tc>
          <w:tcPr>
            <w:tcW w:w="1843" w:type="dxa"/>
            <w:vAlign w:val="center"/>
            <w:hideMark/>
          </w:tcPr>
          <w:p w14:paraId="4496C50D" w14:textId="77777777" w:rsidR="00704B99" w:rsidRPr="0003452E" w:rsidRDefault="00704B99" w:rsidP="00AA76E8">
            <w:pPr>
              <w:pStyle w:val="Tables"/>
            </w:pPr>
            <w:r w:rsidRPr="0003452E">
              <w:t>942</w:t>
            </w:r>
          </w:p>
        </w:tc>
        <w:tc>
          <w:tcPr>
            <w:tcW w:w="1814" w:type="dxa"/>
            <w:vAlign w:val="center"/>
            <w:hideMark/>
          </w:tcPr>
          <w:p w14:paraId="67125684" w14:textId="77777777" w:rsidR="00704B99" w:rsidRPr="0003452E" w:rsidRDefault="00704B99" w:rsidP="00AA76E8">
            <w:pPr>
              <w:pStyle w:val="Tables"/>
            </w:pPr>
            <w:r w:rsidRPr="0003452E">
              <w:t>909</w:t>
            </w:r>
          </w:p>
        </w:tc>
      </w:tr>
      <w:tr w:rsidR="00CF463A" w:rsidRPr="0003452E" w14:paraId="48286BDA" w14:textId="77777777" w:rsidTr="00AA76E8">
        <w:trPr>
          <w:trHeight w:val="227"/>
          <w:jc w:val="center"/>
        </w:trPr>
        <w:tc>
          <w:tcPr>
            <w:tcW w:w="0" w:type="auto"/>
            <w:vAlign w:val="center"/>
            <w:hideMark/>
          </w:tcPr>
          <w:p w14:paraId="72E87136" w14:textId="77777777" w:rsidR="00704B99" w:rsidRPr="0003452E" w:rsidRDefault="00704B99" w:rsidP="00AA76E8">
            <w:pPr>
              <w:pStyle w:val="Tables"/>
            </w:pPr>
            <w:r w:rsidRPr="0003452E">
              <w:t>(ii) Grants-in-aid</w:t>
            </w:r>
          </w:p>
        </w:tc>
        <w:tc>
          <w:tcPr>
            <w:tcW w:w="1388" w:type="dxa"/>
            <w:vAlign w:val="center"/>
            <w:hideMark/>
          </w:tcPr>
          <w:p w14:paraId="5A4C1C5A" w14:textId="77777777" w:rsidR="00704B99" w:rsidRPr="0003452E" w:rsidRDefault="00704B99" w:rsidP="00AA76E8">
            <w:pPr>
              <w:pStyle w:val="Tables"/>
            </w:pPr>
            <w:r w:rsidRPr="0003452E">
              <w:t>...</w:t>
            </w:r>
          </w:p>
        </w:tc>
        <w:tc>
          <w:tcPr>
            <w:tcW w:w="1275" w:type="dxa"/>
            <w:vAlign w:val="center"/>
            <w:hideMark/>
          </w:tcPr>
          <w:p w14:paraId="34E88CBA" w14:textId="77777777" w:rsidR="00704B99" w:rsidRPr="0003452E" w:rsidRDefault="00704B99" w:rsidP="00AA76E8">
            <w:pPr>
              <w:pStyle w:val="Tables"/>
            </w:pPr>
            <w:r w:rsidRPr="0003452E">
              <w:t>...</w:t>
            </w:r>
          </w:p>
        </w:tc>
        <w:tc>
          <w:tcPr>
            <w:tcW w:w="1843" w:type="dxa"/>
            <w:vAlign w:val="center"/>
            <w:hideMark/>
          </w:tcPr>
          <w:p w14:paraId="586B81DA" w14:textId="77777777" w:rsidR="00704B99" w:rsidRPr="0003452E" w:rsidRDefault="00704B99" w:rsidP="00AA76E8">
            <w:pPr>
              <w:pStyle w:val="Tables"/>
            </w:pPr>
            <w:r w:rsidRPr="0003452E">
              <w:t>...</w:t>
            </w:r>
          </w:p>
        </w:tc>
        <w:tc>
          <w:tcPr>
            <w:tcW w:w="1814" w:type="dxa"/>
            <w:vAlign w:val="center"/>
            <w:hideMark/>
          </w:tcPr>
          <w:p w14:paraId="2F617092" w14:textId="77777777" w:rsidR="00704B99" w:rsidRPr="0003452E" w:rsidRDefault="00704B99" w:rsidP="00AA76E8">
            <w:pPr>
              <w:pStyle w:val="Tables"/>
            </w:pPr>
            <w:r w:rsidRPr="0003452E">
              <w:t>...</w:t>
            </w:r>
          </w:p>
        </w:tc>
      </w:tr>
      <w:tr w:rsidR="00CF463A" w:rsidRPr="0003452E" w14:paraId="218F0A3A" w14:textId="77777777" w:rsidTr="00AA76E8">
        <w:trPr>
          <w:trHeight w:val="227"/>
          <w:jc w:val="center"/>
        </w:trPr>
        <w:tc>
          <w:tcPr>
            <w:tcW w:w="0" w:type="auto"/>
            <w:vAlign w:val="center"/>
            <w:hideMark/>
          </w:tcPr>
          <w:p w14:paraId="51BE69BA" w14:textId="77777777" w:rsidR="00704B99" w:rsidRPr="0003452E" w:rsidRDefault="00704B99" w:rsidP="00AA76E8">
            <w:pPr>
              <w:pStyle w:val="Tables"/>
            </w:pPr>
            <w:r w:rsidRPr="0003452E">
              <w:t>NET REVENUE</w:t>
            </w:r>
          </w:p>
        </w:tc>
        <w:tc>
          <w:tcPr>
            <w:tcW w:w="1388" w:type="dxa"/>
            <w:vAlign w:val="center"/>
            <w:hideMark/>
          </w:tcPr>
          <w:p w14:paraId="10EAF51E" w14:textId="77777777" w:rsidR="00704B99" w:rsidRPr="0003452E" w:rsidRDefault="00704B99" w:rsidP="00AA76E8">
            <w:pPr>
              <w:pStyle w:val="Tables"/>
            </w:pPr>
            <w:r w:rsidRPr="0003452E">
              <w:t>4528</w:t>
            </w:r>
          </w:p>
        </w:tc>
        <w:tc>
          <w:tcPr>
            <w:tcW w:w="1275" w:type="dxa"/>
            <w:vAlign w:val="center"/>
            <w:hideMark/>
          </w:tcPr>
          <w:p w14:paraId="20CA2CA2" w14:textId="77777777" w:rsidR="00704B99" w:rsidRPr="0003452E" w:rsidRDefault="00704B99" w:rsidP="00AA76E8">
            <w:pPr>
              <w:pStyle w:val="Tables"/>
            </w:pPr>
            <w:r w:rsidRPr="0003452E">
              <w:t>4336</w:t>
            </w:r>
          </w:p>
        </w:tc>
        <w:tc>
          <w:tcPr>
            <w:tcW w:w="1843" w:type="dxa"/>
            <w:vAlign w:val="center"/>
            <w:hideMark/>
          </w:tcPr>
          <w:p w14:paraId="071F0731" w14:textId="77777777" w:rsidR="00704B99" w:rsidRPr="0003452E" w:rsidRDefault="00704B99" w:rsidP="00AA76E8">
            <w:pPr>
              <w:pStyle w:val="Tables"/>
            </w:pPr>
            <w:r w:rsidRPr="0003452E">
              <w:t>4519</w:t>
            </w:r>
          </w:p>
        </w:tc>
        <w:tc>
          <w:tcPr>
            <w:tcW w:w="1814" w:type="dxa"/>
            <w:vAlign w:val="center"/>
            <w:hideMark/>
          </w:tcPr>
          <w:p w14:paraId="4C638917" w14:textId="77777777" w:rsidR="00704B99" w:rsidRPr="0003452E" w:rsidRDefault="00704B99" w:rsidP="00AA76E8">
            <w:pPr>
              <w:pStyle w:val="Tables"/>
            </w:pPr>
            <w:r w:rsidRPr="0003452E">
              <w:t>5190</w:t>
            </w:r>
          </w:p>
        </w:tc>
      </w:tr>
      <w:tr w:rsidR="00CF463A" w:rsidRPr="0003452E" w14:paraId="413487C4" w14:textId="77777777" w:rsidTr="00AA76E8">
        <w:trPr>
          <w:trHeight w:val="227"/>
          <w:jc w:val="center"/>
        </w:trPr>
        <w:tc>
          <w:tcPr>
            <w:tcW w:w="0" w:type="auto"/>
            <w:vAlign w:val="center"/>
            <w:hideMark/>
          </w:tcPr>
          <w:p w14:paraId="078828DE" w14:textId="77777777" w:rsidR="00704B99" w:rsidRPr="0003452E" w:rsidRDefault="00704B99" w:rsidP="00AA76E8">
            <w:pPr>
              <w:pStyle w:val="Tables"/>
            </w:pPr>
            <w:r w:rsidRPr="0003452E">
              <w:t>TOTAL EXPENDITURE</w:t>
            </w:r>
          </w:p>
        </w:tc>
        <w:tc>
          <w:tcPr>
            <w:tcW w:w="1388" w:type="dxa"/>
            <w:vAlign w:val="center"/>
            <w:hideMark/>
          </w:tcPr>
          <w:p w14:paraId="0D947F4E" w14:textId="77777777" w:rsidR="00704B99" w:rsidRPr="0003452E" w:rsidRDefault="00704B99" w:rsidP="00AA76E8">
            <w:pPr>
              <w:pStyle w:val="Tables"/>
            </w:pPr>
            <w:r w:rsidRPr="0003452E">
              <w:t>5626</w:t>
            </w:r>
          </w:p>
        </w:tc>
        <w:tc>
          <w:tcPr>
            <w:tcW w:w="1275" w:type="dxa"/>
            <w:vAlign w:val="center"/>
            <w:hideMark/>
          </w:tcPr>
          <w:p w14:paraId="14E47EB9" w14:textId="77777777" w:rsidR="00704B99" w:rsidRPr="0003452E" w:rsidRDefault="00704B99" w:rsidP="00AA76E8">
            <w:pPr>
              <w:pStyle w:val="Tables"/>
            </w:pPr>
            <w:r w:rsidRPr="0003452E">
              <w:t>5184</w:t>
            </w:r>
          </w:p>
        </w:tc>
        <w:tc>
          <w:tcPr>
            <w:tcW w:w="1843" w:type="dxa"/>
            <w:vAlign w:val="center"/>
            <w:hideMark/>
          </w:tcPr>
          <w:p w14:paraId="1CDE3934" w14:textId="77777777" w:rsidR="00704B99" w:rsidRPr="0003452E" w:rsidRDefault="00704B99" w:rsidP="00AA76E8">
            <w:pPr>
              <w:pStyle w:val="Tables"/>
            </w:pPr>
            <w:r w:rsidRPr="0003452E">
              <w:t>5442</w:t>
            </w:r>
          </w:p>
        </w:tc>
        <w:tc>
          <w:tcPr>
            <w:tcW w:w="1814" w:type="dxa"/>
            <w:vAlign w:val="center"/>
            <w:hideMark/>
          </w:tcPr>
          <w:p w14:paraId="144549FF" w14:textId="77777777" w:rsidR="00704B99" w:rsidRPr="0003452E" w:rsidRDefault="00704B99" w:rsidP="00AA76E8">
            <w:pPr>
              <w:pStyle w:val="Tables"/>
            </w:pPr>
            <w:r w:rsidRPr="0003452E">
              <w:t>6524</w:t>
            </w:r>
          </w:p>
        </w:tc>
      </w:tr>
      <w:tr w:rsidR="00CF463A" w:rsidRPr="0003452E" w14:paraId="163BCECA" w14:textId="77777777" w:rsidTr="00AA76E8">
        <w:trPr>
          <w:trHeight w:val="227"/>
          <w:jc w:val="center"/>
        </w:trPr>
        <w:tc>
          <w:tcPr>
            <w:tcW w:w="0" w:type="auto"/>
            <w:vAlign w:val="center"/>
            <w:hideMark/>
          </w:tcPr>
          <w:p w14:paraId="174932A9" w14:textId="77777777" w:rsidR="00704B99" w:rsidRPr="0003452E" w:rsidRDefault="00704B99" w:rsidP="00AA76E8">
            <w:pPr>
              <w:pStyle w:val="Tables"/>
            </w:pPr>
            <w:r w:rsidRPr="0003452E">
              <w:t>Surplus (+) or Deficit (—)</w:t>
            </w:r>
          </w:p>
        </w:tc>
        <w:tc>
          <w:tcPr>
            <w:tcW w:w="1388" w:type="dxa"/>
            <w:vAlign w:val="center"/>
            <w:hideMark/>
          </w:tcPr>
          <w:p w14:paraId="6E2949AB" w14:textId="77777777" w:rsidR="00704B99" w:rsidRPr="0003452E" w:rsidRDefault="00704B99" w:rsidP="00AA76E8">
            <w:pPr>
              <w:pStyle w:val="Tables"/>
            </w:pPr>
            <w:r w:rsidRPr="0003452E">
              <w:t>—1098</w:t>
            </w:r>
          </w:p>
        </w:tc>
        <w:tc>
          <w:tcPr>
            <w:tcW w:w="1275" w:type="dxa"/>
            <w:vAlign w:val="center"/>
            <w:hideMark/>
          </w:tcPr>
          <w:p w14:paraId="40FC21E1" w14:textId="77777777" w:rsidR="00704B99" w:rsidRPr="0003452E" w:rsidRDefault="00704B99" w:rsidP="00AA76E8">
            <w:pPr>
              <w:pStyle w:val="Tables"/>
            </w:pPr>
            <w:r w:rsidRPr="0003452E">
              <w:t>—848</w:t>
            </w:r>
          </w:p>
        </w:tc>
        <w:tc>
          <w:tcPr>
            <w:tcW w:w="1843" w:type="dxa"/>
            <w:vAlign w:val="center"/>
            <w:hideMark/>
          </w:tcPr>
          <w:p w14:paraId="23AC78DA" w14:textId="77777777" w:rsidR="00704B99" w:rsidRPr="0003452E" w:rsidRDefault="00704B99" w:rsidP="00AA76E8">
            <w:pPr>
              <w:pStyle w:val="Tables"/>
            </w:pPr>
            <w:r w:rsidRPr="0003452E">
              <w:t>—923</w:t>
            </w:r>
          </w:p>
        </w:tc>
        <w:tc>
          <w:tcPr>
            <w:tcW w:w="1814" w:type="dxa"/>
            <w:vAlign w:val="center"/>
            <w:hideMark/>
          </w:tcPr>
          <w:p w14:paraId="2AA4FAF2" w14:textId="77777777" w:rsidR="00704B99" w:rsidRPr="0003452E" w:rsidRDefault="00704B99" w:rsidP="00AA76E8">
            <w:pPr>
              <w:pStyle w:val="Tables"/>
            </w:pPr>
            <w:r w:rsidRPr="0003452E">
              <w:t>—1334</w:t>
            </w:r>
          </w:p>
        </w:tc>
      </w:tr>
      <w:tr w:rsidR="00CF463A" w:rsidRPr="0003452E" w14:paraId="5A14FE48" w14:textId="77777777" w:rsidTr="00AA76E8">
        <w:trPr>
          <w:trHeight w:val="227"/>
          <w:jc w:val="center"/>
        </w:trPr>
        <w:tc>
          <w:tcPr>
            <w:tcW w:w="9322" w:type="dxa"/>
            <w:gridSpan w:val="5"/>
            <w:vAlign w:val="center"/>
            <w:hideMark/>
          </w:tcPr>
          <w:p w14:paraId="41082118" w14:textId="77777777" w:rsidR="00CF463A" w:rsidRPr="00241C00" w:rsidRDefault="00CF463A" w:rsidP="00AA76E8">
            <w:pPr>
              <w:pStyle w:val="Tables"/>
              <w:rPr>
                <w:b/>
                <w:bCs/>
              </w:rPr>
            </w:pPr>
            <w:r w:rsidRPr="00241C00">
              <w:rPr>
                <w:b/>
                <w:bCs/>
              </w:rPr>
              <w:t>WEST BENGAL</w:t>
            </w:r>
          </w:p>
          <w:p w14:paraId="7D55A7D8" w14:textId="37A596CB" w:rsidR="00CF463A" w:rsidRPr="00241C00" w:rsidRDefault="00CF463A" w:rsidP="00AA76E8">
            <w:pPr>
              <w:pStyle w:val="Tables"/>
              <w:rPr>
                <w:b/>
                <w:bCs/>
              </w:rPr>
            </w:pPr>
          </w:p>
        </w:tc>
      </w:tr>
      <w:tr w:rsidR="00CF463A" w:rsidRPr="0003452E" w14:paraId="60C585E0" w14:textId="77777777" w:rsidTr="00AA76E8">
        <w:trPr>
          <w:trHeight w:val="227"/>
          <w:jc w:val="center"/>
        </w:trPr>
        <w:tc>
          <w:tcPr>
            <w:tcW w:w="0" w:type="auto"/>
            <w:vAlign w:val="center"/>
            <w:hideMark/>
          </w:tcPr>
          <w:p w14:paraId="726BF0E3" w14:textId="77777777" w:rsidR="00704B99" w:rsidRPr="0003452E" w:rsidRDefault="00704B99" w:rsidP="00AA76E8">
            <w:pPr>
              <w:pStyle w:val="Tables"/>
            </w:pPr>
            <w:r w:rsidRPr="0003452E">
              <w:t>TOTAL REVENUE</w:t>
            </w:r>
          </w:p>
        </w:tc>
        <w:tc>
          <w:tcPr>
            <w:tcW w:w="1388" w:type="dxa"/>
            <w:vAlign w:val="center"/>
            <w:hideMark/>
          </w:tcPr>
          <w:p w14:paraId="32052169" w14:textId="77777777" w:rsidR="00704B99" w:rsidRPr="0003452E" w:rsidRDefault="00704B99" w:rsidP="00AA76E8">
            <w:pPr>
              <w:pStyle w:val="Tables"/>
            </w:pPr>
            <w:r w:rsidRPr="0003452E">
              <w:t>3401</w:t>
            </w:r>
          </w:p>
        </w:tc>
        <w:tc>
          <w:tcPr>
            <w:tcW w:w="1275" w:type="dxa"/>
            <w:vAlign w:val="center"/>
            <w:hideMark/>
          </w:tcPr>
          <w:p w14:paraId="09DF972F" w14:textId="77777777" w:rsidR="00704B99" w:rsidRPr="0003452E" w:rsidRDefault="00704B99" w:rsidP="00AA76E8">
            <w:pPr>
              <w:pStyle w:val="Tables"/>
            </w:pPr>
            <w:r w:rsidRPr="0003452E">
              <w:t>3430</w:t>
            </w:r>
          </w:p>
        </w:tc>
        <w:tc>
          <w:tcPr>
            <w:tcW w:w="1843" w:type="dxa"/>
            <w:vAlign w:val="center"/>
            <w:hideMark/>
          </w:tcPr>
          <w:p w14:paraId="61B797FA" w14:textId="77777777" w:rsidR="00704B99" w:rsidRPr="0003452E" w:rsidRDefault="00704B99" w:rsidP="00AA76E8">
            <w:pPr>
              <w:pStyle w:val="Tables"/>
            </w:pPr>
            <w:r w:rsidRPr="0003452E">
              <w:t>3858</w:t>
            </w:r>
          </w:p>
        </w:tc>
        <w:tc>
          <w:tcPr>
            <w:tcW w:w="1814" w:type="dxa"/>
            <w:vAlign w:val="center"/>
            <w:hideMark/>
          </w:tcPr>
          <w:p w14:paraId="5B4E2A9C" w14:textId="77777777" w:rsidR="00704B99" w:rsidRPr="0003452E" w:rsidRDefault="00704B99" w:rsidP="00AA76E8">
            <w:pPr>
              <w:pStyle w:val="Tables"/>
            </w:pPr>
            <w:r w:rsidRPr="0003452E">
              <w:t>3637</w:t>
            </w:r>
          </w:p>
        </w:tc>
      </w:tr>
      <w:tr w:rsidR="00CF463A" w:rsidRPr="0003452E" w14:paraId="2FBDDE3D" w14:textId="77777777" w:rsidTr="00AA76E8">
        <w:trPr>
          <w:trHeight w:val="227"/>
          <w:jc w:val="center"/>
        </w:trPr>
        <w:tc>
          <w:tcPr>
            <w:tcW w:w="0" w:type="auto"/>
            <w:vAlign w:val="center"/>
            <w:hideMark/>
          </w:tcPr>
          <w:p w14:paraId="14ADCF19" w14:textId="77777777" w:rsidR="00704B99" w:rsidRPr="0003452E" w:rsidRDefault="00704B99" w:rsidP="00AA76E8">
            <w:pPr>
              <w:pStyle w:val="Tables"/>
            </w:pPr>
            <w:r w:rsidRPr="0003452E">
              <w:rPr>
                <w:i/>
                <w:iCs/>
              </w:rPr>
              <w:t>Deduct—</w:t>
            </w:r>
          </w:p>
        </w:tc>
        <w:tc>
          <w:tcPr>
            <w:tcW w:w="1388" w:type="dxa"/>
            <w:vAlign w:val="center"/>
            <w:hideMark/>
          </w:tcPr>
          <w:p w14:paraId="6AEEBB0F" w14:textId="77777777" w:rsidR="00704B99" w:rsidRPr="0003452E" w:rsidRDefault="00704B99" w:rsidP="00AA76E8">
            <w:pPr>
              <w:pStyle w:val="Tables"/>
            </w:pPr>
          </w:p>
        </w:tc>
        <w:tc>
          <w:tcPr>
            <w:tcW w:w="1275" w:type="dxa"/>
            <w:vAlign w:val="center"/>
            <w:hideMark/>
          </w:tcPr>
          <w:p w14:paraId="638B2B81" w14:textId="77777777" w:rsidR="00704B99" w:rsidRPr="0003452E" w:rsidRDefault="00704B99" w:rsidP="00AA76E8">
            <w:pPr>
              <w:pStyle w:val="Tables"/>
            </w:pPr>
          </w:p>
        </w:tc>
        <w:tc>
          <w:tcPr>
            <w:tcW w:w="1843" w:type="dxa"/>
            <w:vAlign w:val="center"/>
            <w:hideMark/>
          </w:tcPr>
          <w:p w14:paraId="6D10D3D8" w14:textId="77777777" w:rsidR="00704B99" w:rsidRPr="0003452E" w:rsidRDefault="00704B99" w:rsidP="00AA76E8">
            <w:pPr>
              <w:pStyle w:val="Tables"/>
            </w:pPr>
          </w:p>
        </w:tc>
        <w:tc>
          <w:tcPr>
            <w:tcW w:w="1814" w:type="dxa"/>
            <w:vAlign w:val="center"/>
            <w:hideMark/>
          </w:tcPr>
          <w:p w14:paraId="399BF975" w14:textId="77777777" w:rsidR="00704B99" w:rsidRPr="0003452E" w:rsidRDefault="00704B99" w:rsidP="00AA76E8">
            <w:pPr>
              <w:pStyle w:val="Tables"/>
            </w:pPr>
          </w:p>
        </w:tc>
      </w:tr>
      <w:tr w:rsidR="00CF463A" w:rsidRPr="0003452E" w14:paraId="50819E0C" w14:textId="77777777" w:rsidTr="00AA76E8">
        <w:trPr>
          <w:trHeight w:val="227"/>
          <w:jc w:val="center"/>
        </w:trPr>
        <w:tc>
          <w:tcPr>
            <w:tcW w:w="0" w:type="auto"/>
            <w:vAlign w:val="center"/>
            <w:hideMark/>
          </w:tcPr>
          <w:p w14:paraId="220390BF" w14:textId="77777777" w:rsidR="00704B99" w:rsidRPr="0003452E" w:rsidRDefault="00704B99" w:rsidP="00AA76E8">
            <w:pPr>
              <w:pStyle w:val="Tables"/>
            </w:pPr>
            <w:r w:rsidRPr="0003452E">
              <w:t>(i) Share of Central Income Tax</w:t>
            </w:r>
          </w:p>
        </w:tc>
        <w:tc>
          <w:tcPr>
            <w:tcW w:w="1388" w:type="dxa"/>
            <w:vAlign w:val="center"/>
            <w:hideMark/>
          </w:tcPr>
          <w:p w14:paraId="7DD4A6E8" w14:textId="77777777" w:rsidR="00704B99" w:rsidRPr="0003452E" w:rsidRDefault="00704B99" w:rsidP="00AA76E8">
            <w:pPr>
              <w:pStyle w:val="Tables"/>
            </w:pPr>
            <w:r w:rsidRPr="0003452E">
              <w:t>549</w:t>
            </w:r>
          </w:p>
        </w:tc>
        <w:tc>
          <w:tcPr>
            <w:tcW w:w="1275" w:type="dxa"/>
            <w:vAlign w:val="center"/>
            <w:hideMark/>
          </w:tcPr>
          <w:p w14:paraId="621402F9" w14:textId="77777777" w:rsidR="00704B99" w:rsidRPr="0003452E" w:rsidRDefault="00704B99" w:rsidP="00AA76E8">
            <w:pPr>
              <w:pStyle w:val="Tables"/>
            </w:pPr>
            <w:r w:rsidRPr="0003452E">
              <w:t>640</w:t>
            </w:r>
          </w:p>
        </w:tc>
        <w:tc>
          <w:tcPr>
            <w:tcW w:w="1843" w:type="dxa"/>
            <w:vAlign w:val="center"/>
            <w:hideMark/>
          </w:tcPr>
          <w:p w14:paraId="34C2EB7D" w14:textId="77777777" w:rsidR="00704B99" w:rsidRPr="0003452E" w:rsidRDefault="00704B99" w:rsidP="00AA76E8">
            <w:pPr>
              <w:pStyle w:val="Tables"/>
            </w:pPr>
            <w:r w:rsidRPr="0003452E">
              <w:t>706</w:t>
            </w:r>
          </w:p>
        </w:tc>
        <w:tc>
          <w:tcPr>
            <w:tcW w:w="1814" w:type="dxa"/>
            <w:vAlign w:val="center"/>
            <w:hideMark/>
          </w:tcPr>
          <w:p w14:paraId="34D0FCDE" w14:textId="77777777" w:rsidR="00704B99" w:rsidRPr="0003452E" w:rsidRDefault="00704B99" w:rsidP="00AA76E8">
            <w:pPr>
              <w:pStyle w:val="Tables"/>
            </w:pPr>
            <w:r w:rsidRPr="0003452E">
              <w:t>682</w:t>
            </w:r>
          </w:p>
        </w:tc>
      </w:tr>
      <w:tr w:rsidR="00CF463A" w:rsidRPr="0003452E" w14:paraId="428184C2" w14:textId="77777777" w:rsidTr="00AA76E8">
        <w:trPr>
          <w:trHeight w:val="227"/>
          <w:jc w:val="center"/>
        </w:trPr>
        <w:tc>
          <w:tcPr>
            <w:tcW w:w="0" w:type="auto"/>
            <w:vAlign w:val="center"/>
            <w:hideMark/>
          </w:tcPr>
          <w:p w14:paraId="1799248E" w14:textId="77777777" w:rsidR="00704B99" w:rsidRPr="0003452E" w:rsidRDefault="00704B99" w:rsidP="00AA76E8">
            <w:pPr>
              <w:pStyle w:val="Tables"/>
            </w:pPr>
            <w:r w:rsidRPr="0003452E">
              <w:t>(ii) Grants-in-aid</w:t>
            </w:r>
          </w:p>
        </w:tc>
        <w:tc>
          <w:tcPr>
            <w:tcW w:w="1388" w:type="dxa"/>
            <w:vAlign w:val="center"/>
            <w:hideMark/>
          </w:tcPr>
          <w:p w14:paraId="691C082B" w14:textId="77777777" w:rsidR="00704B99" w:rsidRPr="0003452E" w:rsidRDefault="00704B99" w:rsidP="00AA76E8">
            <w:pPr>
              <w:pStyle w:val="Tables"/>
            </w:pPr>
            <w:r w:rsidRPr="0003452E">
              <w:t>132</w:t>
            </w:r>
          </w:p>
        </w:tc>
        <w:tc>
          <w:tcPr>
            <w:tcW w:w="1275" w:type="dxa"/>
            <w:vAlign w:val="center"/>
            <w:hideMark/>
          </w:tcPr>
          <w:p w14:paraId="73723661" w14:textId="77777777" w:rsidR="00704B99" w:rsidRPr="0003452E" w:rsidRDefault="00704B99" w:rsidP="00AA76E8">
            <w:pPr>
              <w:pStyle w:val="Tables"/>
            </w:pPr>
            <w:r w:rsidRPr="0003452E">
              <w:t>117</w:t>
            </w:r>
          </w:p>
        </w:tc>
        <w:tc>
          <w:tcPr>
            <w:tcW w:w="1843" w:type="dxa"/>
            <w:vAlign w:val="center"/>
            <w:hideMark/>
          </w:tcPr>
          <w:p w14:paraId="7F9D227E" w14:textId="77777777" w:rsidR="00704B99" w:rsidRPr="0003452E" w:rsidRDefault="00704B99" w:rsidP="00AA76E8">
            <w:pPr>
              <w:pStyle w:val="Tables"/>
            </w:pPr>
            <w:r w:rsidRPr="0003452E">
              <w:t>117</w:t>
            </w:r>
          </w:p>
        </w:tc>
        <w:tc>
          <w:tcPr>
            <w:tcW w:w="1814" w:type="dxa"/>
            <w:vAlign w:val="center"/>
            <w:hideMark/>
          </w:tcPr>
          <w:p w14:paraId="4A413455" w14:textId="77777777" w:rsidR="00704B99" w:rsidRPr="0003452E" w:rsidRDefault="00704B99" w:rsidP="00AA76E8">
            <w:pPr>
              <w:pStyle w:val="Tables"/>
            </w:pPr>
            <w:r w:rsidRPr="0003452E">
              <w:t>117</w:t>
            </w:r>
          </w:p>
        </w:tc>
      </w:tr>
      <w:tr w:rsidR="00CF463A" w:rsidRPr="0003452E" w14:paraId="2FEE6931" w14:textId="77777777" w:rsidTr="00AA76E8">
        <w:trPr>
          <w:trHeight w:val="227"/>
          <w:jc w:val="center"/>
        </w:trPr>
        <w:tc>
          <w:tcPr>
            <w:tcW w:w="0" w:type="auto"/>
            <w:vAlign w:val="center"/>
            <w:hideMark/>
          </w:tcPr>
          <w:p w14:paraId="7DCEE52F" w14:textId="77777777" w:rsidR="00704B99" w:rsidRPr="0003452E" w:rsidRDefault="00704B99" w:rsidP="00AA76E8">
            <w:pPr>
              <w:pStyle w:val="Tables"/>
            </w:pPr>
            <w:r w:rsidRPr="0003452E">
              <w:t>NET REVENUE</w:t>
            </w:r>
          </w:p>
        </w:tc>
        <w:tc>
          <w:tcPr>
            <w:tcW w:w="1388" w:type="dxa"/>
            <w:vAlign w:val="center"/>
            <w:hideMark/>
          </w:tcPr>
          <w:p w14:paraId="053B2CB2" w14:textId="77777777" w:rsidR="00704B99" w:rsidRPr="0003452E" w:rsidRDefault="00704B99" w:rsidP="00AA76E8">
            <w:pPr>
              <w:pStyle w:val="Tables"/>
            </w:pPr>
            <w:r w:rsidRPr="0003452E">
              <w:t>2720</w:t>
            </w:r>
          </w:p>
        </w:tc>
        <w:tc>
          <w:tcPr>
            <w:tcW w:w="1275" w:type="dxa"/>
            <w:vAlign w:val="center"/>
            <w:hideMark/>
          </w:tcPr>
          <w:p w14:paraId="4A2E5C70" w14:textId="77777777" w:rsidR="00704B99" w:rsidRPr="0003452E" w:rsidRDefault="00704B99" w:rsidP="00AA76E8">
            <w:pPr>
              <w:pStyle w:val="Tables"/>
            </w:pPr>
            <w:r w:rsidRPr="0003452E">
              <w:t>2673</w:t>
            </w:r>
          </w:p>
        </w:tc>
        <w:tc>
          <w:tcPr>
            <w:tcW w:w="1843" w:type="dxa"/>
            <w:vAlign w:val="center"/>
            <w:hideMark/>
          </w:tcPr>
          <w:p w14:paraId="6F9D223B" w14:textId="77777777" w:rsidR="00704B99" w:rsidRPr="0003452E" w:rsidRDefault="00704B99" w:rsidP="00AA76E8">
            <w:pPr>
              <w:pStyle w:val="Tables"/>
            </w:pPr>
            <w:r w:rsidRPr="0003452E">
              <w:t>3035</w:t>
            </w:r>
          </w:p>
        </w:tc>
        <w:tc>
          <w:tcPr>
            <w:tcW w:w="1814" w:type="dxa"/>
            <w:vAlign w:val="center"/>
            <w:hideMark/>
          </w:tcPr>
          <w:p w14:paraId="7A3720B3" w14:textId="77777777" w:rsidR="00704B99" w:rsidRPr="0003452E" w:rsidRDefault="00704B99" w:rsidP="00AA76E8">
            <w:pPr>
              <w:pStyle w:val="Tables"/>
            </w:pPr>
            <w:r w:rsidRPr="0003452E">
              <w:t>2838</w:t>
            </w:r>
          </w:p>
        </w:tc>
      </w:tr>
      <w:tr w:rsidR="00CF463A" w:rsidRPr="0003452E" w14:paraId="54ECFE38" w14:textId="77777777" w:rsidTr="00AA76E8">
        <w:trPr>
          <w:trHeight w:val="227"/>
          <w:jc w:val="center"/>
        </w:trPr>
        <w:tc>
          <w:tcPr>
            <w:tcW w:w="0" w:type="auto"/>
            <w:vAlign w:val="center"/>
            <w:hideMark/>
          </w:tcPr>
          <w:p w14:paraId="68464182" w14:textId="77777777" w:rsidR="00704B99" w:rsidRPr="0003452E" w:rsidRDefault="00704B99" w:rsidP="00AA76E8">
            <w:pPr>
              <w:pStyle w:val="Tables"/>
            </w:pPr>
            <w:r w:rsidRPr="0003452E">
              <w:t>TOTAL EXPENDITURE</w:t>
            </w:r>
          </w:p>
        </w:tc>
        <w:tc>
          <w:tcPr>
            <w:tcW w:w="1388" w:type="dxa"/>
            <w:vAlign w:val="center"/>
            <w:hideMark/>
          </w:tcPr>
          <w:p w14:paraId="6A4C07B8" w14:textId="77777777" w:rsidR="00704B99" w:rsidRPr="0003452E" w:rsidRDefault="00704B99" w:rsidP="00AA76E8">
            <w:pPr>
              <w:pStyle w:val="Tables"/>
            </w:pPr>
            <w:r w:rsidRPr="0003452E">
              <w:t>3138</w:t>
            </w:r>
          </w:p>
        </w:tc>
        <w:tc>
          <w:tcPr>
            <w:tcW w:w="1275" w:type="dxa"/>
            <w:vAlign w:val="center"/>
            <w:hideMark/>
          </w:tcPr>
          <w:p w14:paraId="01D1027A" w14:textId="77777777" w:rsidR="00704B99" w:rsidRPr="0003452E" w:rsidRDefault="00704B99" w:rsidP="00AA76E8">
            <w:pPr>
              <w:pStyle w:val="Tables"/>
            </w:pPr>
            <w:r w:rsidRPr="0003452E">
              <w:t>3734</w:t>
            </w:r>
          </w:p>
        </w:tc>
        <w:tc>
          <w:tcPr>
            <w:tcW w:w="1843" w:type="dxa"/>
            <w:vAlign w:val="center"/>
            <w:hideMark/>
          </w:tcPr>
          <w:p w14:paraId="4A58B39F" w14:textId="77777777" w:rsidR="00704B99" w:rsidRPr="0003452E" w:rsidRDefault="00704B99" w:rsidP="00AA76E8">
            <w:pPr>
              <w:pStyle w:val="Tables"/>
            </w:pPr>
            <w:r w:rsidRPr="0003452E">
              <w:t>3739</w:t>
            </w:r>
          </w:p>
        </w:tc>
        <w:tc>
          <w:tcPr>
            <w:tcW w:w="1814" w:type="dxa"/>
            <w:vAlign w:val="center"/>
            <w:hideMark/>
          </w:tcPr>
          <w:p w14:paraId="47EFC889" w14:textId="77777777" w:rsidR="00704B99" w:rsidRPr="0003452E" w:rsidRDefault="00704B99" w:rsidP="00AA76E8">
            <w:pPr>
              <w:pStyle w:val="Tables"/>
            </w:pPr>
            <w:r w:rsidRPr="0003452E">
              <w:t>4204</w:t>
            </w:r>
          </w:p>
        </w:tc>
      </w:tr>
      <w:tr w:rsidR="00CF463A" w:rsidRPr="0003452E" w14:paraId="488480DF" w14:textId="77777777" w:rsidTr="00AA76E8">
        <w:trPr>
          <w:trHeight w:val="227"/>
          <w:jc w:val="center"/>
        </w:trPr>
        <w:tc>
          <w:tcPr>
            <w:tcW w:w="0" w:type="auto"/>
            <w:vAlign w:val="center"/>
            <w:hideMark/>
          </w:tcPr>
          <w:p w14:paraId="22E18B01" w14:textId="77777777" w:rsidR="00704B99" w:rsidRPr="0003452E" w:rsidRDefault="00704B99" w:rsidP="00AA76E8">
            <w:pPr>
              <w:pStyle w:val="Tables"/>
            </w:pPr>
            <w:r w:rsidRPr="0003452E">
              <w:t>Surplus (+) or Deficit (—)</w:t>
            </w:r>
          </w:p>
        </w:tc>
        <w:tc>
          <w:tcPr>
            <w:tcW w:w="1388" w:type="dxa"/>
            <w:vAlign w:val="center"/>
            <w:hideMark/>
          </w:tcPr>
          <w:p w14:paraId="419E64FA" w14:textId="77777777" w:rsidR="00704B99" w:rsidRPr="0003452E" w:rsidRDefault="00704B99" w:rsidP="00AA76E8">
            <w:pPr>
              <w:pStyle w:val="Tables"/>
            </w:pPr>
            <w:r w:rsidRPr="0003452E">
              <w:t>—418</w:t>
            </w:r>
          </w:p>
        </w:tc>
        <w:tc>
          <w:tcPr>
            <w:tcW w:w="1275" w:type="dxa"/>
            <w:vAlign w:val="center"/>
            <w:hideMark/>
          </w:tcPr>
          <w:p w14:paraId="7494ACD3" w14:textId="77777777" w:rsidR="00704B99" w:rsidRPr="0003452E" w:rsidRDefault="00704B99" w:rsidP="00AA76E8">
            <w:pPr>
              <w:pStyle w:val="Tables"/>
            </w:pPr>
            <w:r w:rsidRPr="0003452E">
              <w:t>—1061</w:t>
            </w:r>
          </w:p>
        </w:tc>
        <w:tc>
          <w:tcPr>
            <w:tcW w:w="1843" w:type="dxa"/>
            <w:vAlign w:val="center"/>
            <w:hideMark/>
          </w:tcPr>
          <w:p w14:paraId="06B70AF9" w14:textId="77777777" w:rsidR="00704B99" w:rsidRPr="0003452E" w:rsidRDefault="00704B99" w:rsidP="00AA76E8">
            <w:pPr>
              <w:pStyle w:val="Tables"/>
            </w:pPr>
            <w:r w:rsidRPr="0003452E">
              <w:t>—704</w:t>
            </w:r>
          </w:p>
        </w:tc>
        <w:tc>
          <w:tcPr>
            <w:tcW w:w="1814" w:type="dxa"/>
            <w:vAlign w:val="center"/>
            <w:hideMark/>
          </w:tcPr>
          <w:p w14:paraId="372CB0B9" w14:textId="77777777" w:rsidR="00704B99" w:rsidRPr="0003452E" w:rsidRDefault="00704B99" w:rsidP="00AA76E8">
            <w:pPr>
              <w:pStyle w:val="Tables"/>
            </w:pPr>
            <w:r w:rsidRPr="0003452E">
              <w:t>—1366</w:t>
            </w:r>
          </w:p>
        </w:tc>
      </w:tr>
    </w:tbl>
    <w:p w14:paraId="384A2395" w14:textId="41E8CC10" w:rsidR="00CF463A" w:rsidRPr="0003452E" w:rsidRDefault="00CF463A" w:rsidP="00B2502B">
      <w:pPr>
        <w:ind w:left="720"/>
        <w:rPr>
          <w:rFonts w:ascii="Times New Roman" w:hAnsi="Times New Roman" w:cs="Times New Roman"/>
          <w:szCs w:val="24"/>
        </w:rPr>
      </w:pPr>
    </w:p>
    <w:p w14:paraId="1AE95D61" w14:textId="77777777" w:rsidR="00CF463A" w:rsidRPr="0003452E" w:rsidRDefault="00CF463A">
      <w:pPr>
        <w:rPr>
          <w:rFonts w:ascii="Times New Roman" w:hAnsi="Times New Roman" w:cs="Times New Roman"/>
          <w:szCs w:val="24"/>
        </w:rPr>
      </w:pPr>
      <w:r w:rsidRPr="0003452E">
        <w:rPr>
          <w:rFonts w:ascii="Times New Roman" w:hAnsi="Times New Roman" w:cs="Times New Roman"/>
          <w:szCs w:val="24"/>
        </w:rPr>
        <w:br w:type="page"/>
      </w:r>
    </w:p>
    <w:p w14:paraId="6AF429C2" w14:textId="77777777" w:rsidR="00CF463A" w:rsidRPr="0003452E" w:rsidRDefault="00CF463A" w:rsidP="00CF463A">
      <w:pPr>
        <w:ind w:left="720"/>
        <w:rPr>
          <w:rFonts w:ascii="Times New Roman" w:hAnsi="Times New Roman" w:cs="Times New Roman"/>
          <w:b/>
          <w:bCs/>
          <w:szCs w:val="24"/>
        </w:rPr>
      </w:pPr>
      <w:r w:rsidRPr="0003452E">
        <w:rPr>
          <w:rFonts w:ascii="Times New Roman" w:hAnsi="Times New Roman" w:cs="Times New Roman"/>
          <w:b/>
          <w:bCs/>
          <w:szCs w:val="24"/>
        </w:rPr>
        <w:lastRenderedPageBreak/>
        <w:t xml:space="preserve">SUMMARY OF THE BUDGETARY POSITION OF PART A AND PART B </w:t>
      </w:r>
    </w:p>
    <w:p w14:paraId="351D9143" w14:textId="5F94CFC9" w:rsidR="00CF463A" w:rsidRPr="0003452E" w:rsidRDefault="00CF463A" w:rsidP="00CF463A">
      <w:pPr>
        <w:ind w:left="720"/>
        <w:jc w:val="center"/>
        <w:rPr>
          <w:rFonts w:ascii="Times New Roman" w:hAnsi="Times New Roman" w:cs="Times New Roman"/>
          <w:szCs w:val="24"/>
        </w:rPr>
      </w:pPr>
      <w:r w:rsidRPr="0003452E">
        <w:rPr>
          <w:rFonts w:ascii="Times New Roman" w:hAnsi="Times New Roman" w:cs="Times New Roman"/>
          <w:b/>
          <w:bCs/>
          <w:szCs w:val="24"/>
        </w:rPr>
        <w:t>STATES—contd.</w:t>
      </w:r>
    </w:p>
    <w:p w14:paraId="4A5A9201" w14:textId="77777777" w:rsidR="00CF463A" w:rsidRPr="0003452E" w:rsidRDefault="00CF463A" w:rsidP="00CF463A">
      <w:pPr>
        <w:ind w:left="720"/>
        <w:jc w:val="right"/>
        <w:rPr>
          <w:rFonts w:ascii="Times New Roman" w:hAnsi="Times New Roman" w:cs="Times New Roman"/>
          <w:szCs w:val="24"/>
        </w:rPr>
      </w:pPr>
      <w:r w:rsidRPr="0003452E">
        <w:rPr>
          <w:rFonts w:ascii="Times New Roman" w:hAnsi="Times New Roman" w:cs="Times New Roman"/>
          <w:i/>
          <w:iCs/>
          <w:szCs w:val="24"/>
        </w:rPr>
        <w:t>(In lakhs of rupees)</w:t>
      </w:r>
    </w:p>
    <w:tbl>
      <w:tblPr>
        <w:tblStyle w:val="TableGrid"/>
        <w:tblW w:w="0" w:type="auto"/>
        <w:jc w:val="center"/>
        <w:tblLook w:val="04A0" w:firstRow="1" w:lastRow="0" w:firstColumn="1" w:lastColumn="0" w:noHBand="0" w:noVBand="1"/>
      </w:tblPr>
      <w:tblGrid>
        <w:gridCol w:w="3168"/>
        <w:gridCol w:w="1388"/>
        <w:gridCol w:w="1275"/>
        <w:gridCol w:w="1843"/>
        <w:gridCol w:w="1814"/>
      </w:tblGrid>
      <w:tr w:rsidR="00CF463A" w:rsidRPr="0003452E" w14:paraId="636AE2F0" w14:textId="77777777" w:rsidTr="00AA76E8">
        <w:trPr>
          <w:trHeight w:val="227"/>
          <w:jc w:val="center"/>
        </w:trPr>
        <w:tc>
          <w:tcPr>
            <w:tcW w:w="0" w:type="auto"/>
            <w:vAlign w:val="center"/>
            <w:hideMark/>
          </w:tcPr>
          <w:p w14:paraId="0FA001F7" w14:textId="77777777" w:rsidR="00CF463A" w:rsidRPr="00241C00" w:rsidRDefault="00CF463A" w:rsidP="00AA76E8">
            <w:pPr>
              <w:pStyle w:val="Tables"/>
              <w:rPr>
                <w:b/>
                <w:bCs/>
              </w:rPr>
            </w:pPr>
          </w:p>
        </w:tc>
        <w:tc>
          <w:tcPr>
            <w:tcW w:w="1388" w:type="dxa"/>
            <w:vAlign w:val="center"/>
            <w:hideMark/>
          </w:tcPr>
          <w:p w14:paraId="08780CCB" w14:textId="77777777" w:rsidR="00CF463A" w:rsidRPr="00241C00" w:rsidRDefault="00CF463A" w:rsidP="00AA76E8">
            <w:pPr>
              <w:pStyle w:val="Tables"/>
              <w:rPr>
                <w:b/>
                <w:bCs/>
                <w:szCs w:val="24"/>
              </w:rPr>
            </w:pPr>
            <w:r w:rsidRPr="00241C00">
              <w:rPr>
                <w:b/>
                <w:bCs/>
                <w:szCs w:val="24"/>
              </w:rPr>
              <w:t>1949-50</w:t>
            </w:r>
          </w:p>
        </w:tc>
        <w:tc>
          <w:tcPr>
            <w:tcW w:w="1275" w:type="dxa"/>
            <w:vAlign w:val="center"/>
            <w:hideMark/>
          </w:tcPr>
          <w:p w14:paraId="008F73BC" w14:textId="77777777" w:rsidR="00CF463A" w:rsidRPr="00241C00" w:rsidRDefault="00CF463A" w:rsidP="00AA76E8">
            <w:pPr>
              <w:pStyle w:val="Tables"/>
              <w:rPr>
                <w:b/>
                <w:bCs/>
                <w:szCs w:val="24"/>
              </w:rPr>
            </w:pPr>
            <w:r w:rsidRPr="00241C00">
              <w:rPr>
                <w:b/>
                <w:bCs/>
                <w:szCs w:val="24"/>
              </w:rPr>
              <w:t>1950-51</w:t>
            </w:r>
          </w:p>
        </w:tc>
        <w:tc>
          <w:tcPr>
            <w:tcW w:w="1843" w:type="dxa"/>
            <w:vAlign w:val="center"/>
            <w:hideMark/>
          </w:tcPr>
          <w:p w14:paraId="1523015C" w14:textId="77777777" w:rsidR="00CF463A" w:rsidRPr="00241C00" w:rsidRDefault="00CF463A" w:rsidP="00AA76E8">
            <w:pPr>
              <w:pStyle w:val="Tables"/>
              <w:rPr>
                <w:b/>
                <w:bCs/>
                <w:szCs w:val="24"/>
              </w:rPr>
            </w:pPr>
            <w:r w:rsidRPr="00241C00">
              <w:rPr>
                <w:b/>
                <w:bCs/>
                <w:szCs w:val="24"/>
              </w:rPr>
              <w:t>1951-52</w:t>
            </w:r>
          </w:p>
          <w:p w14:paraId="1A579850" w14:textId="1E6B4AD8" w:rsidR="00CF463A" w:rsidRPr="00241C00" w:rsidRDefault="00CF463A" w:rsidP="00AA76E8">
            <w:pPr>
              <w:pStyle w:val="Tables"/>
              <w:rPr>
                <w:b/>
                <w:bCs/>
                <w:szCs w:val="24"/>
              </w:rPr>
            </w:pPr>
            <w:r w:rsidRPr="00241C00">
              <w:rPr>
                <w:b/>
                <w:bCs/>
                <w:szCs w:val="24"/>
              </w:rPr>
              <w:t>(Provisional Figures)</w:t>
            </w:r>
          </w:p>
        </w:tc>
        <w:tc>
          <w:tcPr>
            <w:tcW w:w="1814" w:type="dxa"/>
            <w:vAlign w:val="center"/>
            <w:hideMark/>
          </w:tcPr>
          <w:p w14:paraId="46ADD687" w14:textId="77777777" w:rsidR="00CF463A" w:rsidRPr="00241C00" w:rsidRDefault="00CF463A" w:rsidP="00AA76E8">
            <w:pPr>
              <w:pStyle w:val="Tables"/>
              <w:rPr>
                <w:b/>
                <w:bCs/>
                <w:szCs w:val="24"/>
              </w:rPr>
            </w:pPr>
            <w:r w:rsidRPr="00241C00">
              <w:rPr>
                <w:b/>
                <w:bCs/>
                <w:szCs w:val="24"/>
              </w:rPr>
              <w:t>1952-53</w:t>
            </w:r>
          </w:p>
          <w:p w14:paraId="2D7B0490" w14:textId="79DA4C4B" w:rsidR="00CF463A" w:rsidRPr="00241C00" w:rsidRDefault="00CF463A" w:rsidP="00AA76E8">
            <w:pPr>
              <w:pStyle w:val="Tables"/>
              <w:rPr>
                <w:b/>
                <w:bCs/>
                <w:szCs w:val="24"/>
              </w:rPr>
            </w:pPr>
            <w:r w:rsidRPr="00241C00">
              <w:rPr>
                <w:b/>
                <w:bCs/>
                <w:szCs w:val="24"/>
              </w:rPr>
              <w:t>(Budget Estimates)</w:t>
            </w:r>
          </w:p>
        </w:tc>
      </w:tr>
      <w:tr w:rsidR="00CF463A" w:rsidRPr="0003452E" w14:paraId="5AF01B5C" w14:textId="77777777" w:rsidTr="00AA76E8">
        <w:trPr>
          <w:trHeight w:val="227"/>
          <w:jc w:val="center"/>
        </w:trPr>
        <w:tc>
          <w:tcPr>
            <w:tcW w:w="9322" w:type="dxa"/>
            <w:gridSpan w:val="5"/>
            <w:vAlign w:val="center"/>
            <w:hideMark/>
          </w:tcPr>
          <w:p w14:paraId="174DDDA9" w14:textId="77777777" w:rsidR="00CF463A" w:rsidRPr="00241C00" w:rsidRDefault="00CF463A" w:rsidP="00AA76E8">
            <w:pPr>
              <w:pStyle w:val="Tables"/>
              <w:rPr>
                <w:b/>
                <w:bCs/>
                <w:szCs w:val="24"/>
              </w:rPr>
            </w:pPr>
            <w:r w:rsidRPr="00241C00">
              <w:rPr>
                <w:b/>
                <w:bCs/>
                <w:szCs w:val="24"/>
              </w:rPr>
              <w:t>HYDERABAD</w:t>
            </w:r>
          </w:p>
          <w:p w14:paraId="3CBDDDBB" w14:textId="0A492530" w:rsidR="00CF463A" w:rsidRPr="0003452E" w:rsidRDefault="00CF463A" w:rsidP="00AA76E8">
            <w:pPr>
              <w:pStyle w:val="Tables"/>
              <w:rPr>
                <w:szCs w:val="24"/>
              </w:rPr>
            </w:pPr>
          </w:p>
        </w:tc>
      </w:tr>
      <w:tr w:rsidR="00CF463A" w:rsidRPr="0003452E" w14:paraId="15C387F0" w14:textId="77777777" w:rsidTr="00AA76E8">
        <w:trPr>
          <w:trHeight w:val="227"/>
          <w:jc w:val="center"/>
        </w:trPr>
        <w:tc>
          <w:tcPr>
            <w:tcW w:w="0" w:type="auto"/>
            <w:vAlign w:val="center"/>
            <w:hideMark/>
          </w:tcPr>
          <w:p w14:paraId="48567CC0" w14:textId="77777777" w:rsidR="00CF463A" w:rsidRPr="0003452E" w:rsidRDefault="00CF463A" w:rsidP="00AA76E8">
            <w:pPr>
              <w:pStyle w:val="Tables"/>
              <w:rPr>
                <w:szCs w:val="24"/>
              </w:rPr>
            </w:pPr>
            <w:r w:rsidRPr="0003452E">
              <w:rPr>
                <w:szCs w:val="24"/>
              </w:rPr>
              <w:t>TOTAL REVENUE</w:t>
            </w:r>
          </w:p>
        </w:tc>
        <w:tc>
          <w:tcPr>
            <w:tcW w:w="1388" w:type="dxa"/>
            <w:vAlign w:val="center"/>
            <w:hideMark/>
          </w:tcPr>
          <w:p w14:paraId="38FCB3E8" w14:textId="77777777" w:rsidR="00CF463A" w:rsidRPr="0003452E" w:rsidRDefault="00CF463A" w:rsidP="00AA76E8">
            <w:pPr>
              <w:pStyle w:val="Tables"/>
              <w:rPr>
                <w:szCs w:val="24"/>
              </w:rPr>
            </w:pPr>
            <w:r w:rsidRPr="0003452E">
              <w:rPr>
                <w:szCs w:val="24"/>
              </w:rPr>
              <w:t>—</w:t>
            </w:r>
          </w:p>
        </w:tc>
        <w:tc>
          <w:tcPr>
            <w:tcW w:w="1275" w:type="dxa"/>
            <w:vAlign w:val="center"/>
            <w:hideMark/>
          </w:tcPr>
          <w:p w14:paraId="518EA32C" w14:textId="77777777" w:rsidR="00CF463A" w:rsidRPr="0003452E" w:rsidRDefault="00CF463A" w:rsidP="00AA76E8">
            <w:pPr>
              <w:pStyle w:val="Tables"/>
              <w:rPr>
                <w:szCs w:val="24"/>
              </w:rPr>
            </w:pPr>
            <w:r w:rsidRPr="0003452E">
              <w:rPr>
                <w:szCs w:val="24"/>
              </w:rPr>
              <w:t>2618</w:t>
            </w:r>
          </w:p>
        </w:tc>
        <w:tc>
          <w:tcPr>
            <w:tcW w:w="1843" w:type="dxa"/>
            <w:vAlign w:val="center"/>
            <w:hideMark/>
          </w:tcPr>
          <w:p w14:paraId="6816AB4B" w14:textId="77777777" w:rsidR="00CF463A" w:rsidRPr="0003452E" w:rsidRDefault="00CF463A" w:rsidP="00AA76E8">
            <w:pPr>
              <w:pStyle w:val="Tables"/>
              <w:rPr>
                <w:szCs w:val="24"/>
              </w:rPr>
            </w:pPr>
            <w:r w:rsidRPr="0003452E">
              <w:rPr>
                <w:szCs w:val="24"/>
              </w:rPr>
              <w:t>2909</w:t>
            </w:r>
          </w:p>
        </w:tc>
        <w:tc>
          <w:tcPr>
            <w:tcW w:w="1814" w:type="dxa"/>
            <w:vAlign w:val="center"/>
            <w:hideMark/>
          </w:tcPr>
          <w:p w14:paraId="48B6540E" w14:textId="77777777" w:rsidR="00CF463A" w:rsidRPr="0003452E" w:rsidRDefault="00CF463A" w:rsidP="00AA76E8">
            <w:pPr>
              <w:pStyle w:val="Tables"/>
              <w:rPr>
                <w:szCs w:val="24"/>
              </w:rPr>
            </w:pPr>
            <w:r w:rsidRPr="0003452E">
              <w:rPr>
                <w:szCs w:val="24"/>
              </w:rPr>
              <w:t>2701</w:t>
            </w:r>
          </w:p>
        </w:tc>
      </w:tr>
      <w:tr w:rsidR="00CF463A" w:rsidRPr="0003452E" w14:paraId="65119886" w14:textId="77777777" w:rsidTr="00AA76E8">
        <w:trPr>
          <w:trHeight w:val="227"/>
          <w:jc w:val="center"/>
        </w:trPr>
        <w:tc>
          <w:tcPr>
            <w:tcW w:w="0" w:type="auto"/>
            <w:vAlign w:val="center"/>
            <w:hideMark/>
          </w:tcPr>
          <w:p w14:paraId="0942B66B" w14:textId="77777777" w:rsidR="00CF463A" w:rsidRPr="0003452E" w:rsidRDefault="00CF463A" w:rsidP="00AA76E8">
            <w:pPr>
              <w:pStyle w:val="Tables"/>
              <w:rPr>
                <w:szCs w:val="24"/>
              </w:rPr>
            </w:pPr>
            <w:r w:rsidRPr="0003452E">
              <w:rPr>
                <w:i/>
                <w:iCs/>
                <w:szCs w:val="24"/>
              </w:rPr>
              <w:t>Deduct—</w:t>
            </w:r>
          </w:p>
        </w:tc>
        <w:tc>
          <w:tcPr>
            <w:tcW w:w="1388" w:type="dxa"/>
            <w:vAlign w:val="center"/>
            <w:hideMark/>
          </w:tcPr>
          <w:p w14:paraId="5F5CCB23" w14:textId="77777777" w:rsidR="00CF463A" w:rsidRPr="0003452E" w:rsidRDefault="00CF463A" w:rsidP="00AA76E8">
            <w:pPr>
              <w:pStyle w:val="Tables"/>
              <w:rPr>
                <w:szCs w:val="24"/>
              </w:rPr>
            </w:pPr>
          </w:p>
        </w:tc>
        <w:tc>
          <w:tcPr>
            <w:tcW w:w="1275" w:type="dxa"/>
            <w:vAlign w:val="center"/>
            <w:hideMark/>
          </w:tcPr>
          <w:p w14:paraId="05E9D443" w14:textId="77777777" w:rsidR="00CF463A" w:rsidRPr="0003452E" w:rsidRDefault="00CF463A" w:rsidP="00AA76E8">
            <w:pPr>
              <w:pStyle w:val="Tables"/>
              <w:rPr>
                <w:szCs w:val="24"/>
              </w:rPr>
            </w:pPr>
          </w:p>
        </w:tc>
        <w:tc>
          <w:tcPr>
            <w:tcW w:w="1843" w:type="dxa"/>
            <w:vAlign w:val="center"/>
            <w:hideMark/>
          </w:tcPr>
          <w:p w14:paraId="7680B9F2" w14:textId="77777777" w:rsidR="00CF463A" w:rsidRPr="0003452E" w:rsidRDefault="00CF463A" w:rsidP="00AA76E8">
            <w:pPr>
              <w:pStyle w:val="Tables"/>
              <w:rPr>
                <w:szCs w:val="24"/>
              </w:rPr>
            </w:pPr>
          </w:p>
        </w:tc>
        <w:tc>
          <w:tcPr>
            <w:tcW w:w="1814" w:type="dxa"/>
            <w:vAlign w:val="center"/>
            <w:hideMark/>
          </w:tcPr>
          <w:p w14:paraId="436A6E2D" w14:textId="77777777" w:rsidR="00CF463A" w:rsidRPr="0003452E" w:rsidRDefault="00CF463A" w:rsidP="00AA76E8">
            <w:pPr>
              <w:pStyle w:val="Tables"/>
              <w:rPr>
                <w:szCs w:val="24"/>
              </w:rPr>
            </w:pPr>
          </w:p>
        </w:tc>
      </w:tr>
      <w:tr w:rsidR="00CF463A" w:rsidRPr="0003452E" w14:paraId="497CD073" w14:textId="77777777" w:rsidTr="00AA76E8">
        <w:trPr>
          <w:trHeight w:val="227"/>
          <w:jc w:val="center"/>
        </w:trPr>
        <w:tc>
          <w:tcPr>
            <w:tcW w:w="0" w:type="auto"/>
            <w:vAlign w:val="center"/>
            <w:hideMark/>
          </w:tcPr>
          <w:p w14:paraId="6F154743" w14:textId="77777777" w:rsidR="00CF463A" w:rsidRPr="0003452E" w:rsidRDefault="00CF463A" w:rsidP="00AA76E8">
            <w:pPr>
              <w:pStyle w:val="Tables"/>
              <w:rPr>
                <w:szCs w:val="24"/>
              </w:rPr>
            </w:pPr>
            <w:r w:rsidRPr="0003452E">
              <w:rPr>
                <w:szCs w:val="24"/>
              </w:rPr>
              <w:t>(i) Share of Central Income Tax</w:t>
            </w:r>
          </w:p>
        </w:tc>
        <w:tc>
          <w:tcPr>
            <w:tcW w:w="1388" w:type="dxa"/>
            <w:vAlign w:val="center"/>
            <w:hideMark/>
          </w:tcPr>
          <w:p w14:paraId="1E5BB57A" w14:textId="77777777" w:rsidR="00CF463A" w:rsidRPr="0003452E" w:rsidRDefault="00CF463A" w:rsidP="00AA76E8">
            <w:pPr>
              <w:pStyle w:val="Tables"/>
              <w:rPr>
                <w:szCs w:val="24"/>
              </w:rPr>
            </w:pPr>
            <w:r w:rsidRPr="0003452E">
              <w:rPr>
                <w:szCs w:val="24"/>
              </w:rPr>
              <w:t>—</w:t>
            </w:r>
          </w:p>
        </w:tc>
        <w:tc>
          <w:tcPr>
            <w:tcW w:w="1275" w:type="dxa"/>
            <w:vAlign w:val="center"/>
            <w:hideMark/>
          </w:tcPr>
          <w:p w14:paraId="3F4DBE98" w14:textId="77777777" w:rsidR="00CF463A" w:rsidRPr="0003452E" w:rsidRDefault="00CF463A" w:rsidP="00AA76E8">
            <w:pPr>
              <w:pStyle w:val="Tables"/>
              <w:rPr>
                <w:szCs w:val="24"/>
              </w:rPr>
            </w:pPr>
            <w:r w:rsidRPr="0003452E">
              <w:rPr>
                <w:szCs w:val="24"/>
              </w:rPr>
              <w:t>...</w:t>
            </w:r>
          </w:p>
        </w:tc>
        <w:tc>
          <w:tcPr>
            <w:tcW w:w="1843" w:type="dxa"/>
            <w:vAlign w:val="center"/>
            <w:hideMark/>
          </w:tcPr>
          <w:p w14:paraId="2495ACAE" w14:textId="77777777" w:rsidR="00CF463A" w:rsidRPr="0003452E" w:rsidRDefault="00CF463A" w:rsidP="00AA76E8">
            <w:pPr>
              <w:pStyle w:val="Tables"/>
              <w:rPr>
                <w:szCs w:val="24"/>
              </w:rPr>
            </w:pPr>
            <w:r w:rsidRPr="0003452E">
              <w:rPr>
                <w:szCs w:val="24"/>
              </w:rPr>
              <w:t>...</w:t>
            </w:r>
          </w:p>
        </w:tc>
        <w:tc>
          <w:tcPr>
            <w:tcW w:w="1814" w:type="dxa"/>
            <w:vAlign w:val="center"/>
            <w:hideMark/>
          </w:tcPr>
          <w:p w14:paraId="1D0E526D" w14:textId="77777777" w:rsidR="00CF463A" w:rsidRPr="0003452E" w:rsidRDefault="00CF463A" w:rsidP="00AA76E8">
            <w:pPr>
              <w:pStyle w:val="Tables"/>
              <w:rPr>
                <w:szCs w:val="24"/>
              </w:rPr>
            </w:pPr>
            <w:r w:rsidRPr="0003452E">
              <w:rPr>
                <w:szCs w:val="24"/>
              </w:rPr>
              <w:t>...</w:t>
            </w:r>
          </w:p>
        </w:tc>
      </w:tr>
      <w:tr w:rsidR="00CF463A" w:rsidRPr="0003452E" w14:paraId="2BD23996" w14:textId="77777777" w:rsidTr="00AA76E8">
        <w:trPr>
          <w:trHeight w:val="227"/>
          <w:jc w:val="center"/>
        </w:trPr>
        <w:tc>
          <w:tcPr>
            <w:tcW w:w="0" w:type="auto"/>
            <w:vAlign w:val="center"/>
            <w:hideMark/>
          </w:tcPr>
          <w:p w14:paraId="5455B61A" w14:textId="77777777" w:rsidR="00CF463A" w:rsidRPr="0003452E" w:rsidRDefault="00CF463A" w:rsidP="00AA76E8">
            <w:pPr>
              <w:pStyle w:val="Tables"/>
              <w:rPr>
                <w:szCs w:val="24"/>
              </w:rPr>
            </w:pPr>
            <w:r w:rsidRPr="0003452E">
              <w:rPr>
                <w:szCs w:val="24"/>
              </w:rPr>
              <w:t>(ii) Grants-in-aid</w:t>
            </w:r>
          </w:p>
        </w:tc>
        <w:tc>
          <w:tcPr>
            <w:tcW w:w="1388" w:type="dxa"/>
            <w:vAlign w:val="center"/>
            <w:hideMark/>
          </w:tcPr>
          <w:p w14:paraId="7737D39E" w14:textId="77777777" w:rsidR="00CF463A" w:rsidRPr="0003452E" w:rsidRDefault="00CF463A" w:rsidP="00AA76E8">
            <w:pPr>
              <w:pStyle w:val="Tables"/>
              <w:rPr>
                <w:szCs w:val="24"/>
              </w:rPr>
            </w:pPr>
            <w:r w:rsidRPr="0003452E">
              <w:rPr>
                <w:szCs w:val="24"/>
              </w:rPr>
              <w:t>...</w:t>
            </w:r>
          </w:p>
        </w:tc>
        <w:tc>
          <w:tcPr>
            <w:tcW w:w="1275" w:type="dxa"/>
            <w:vAlign w:val="center"/>
            <w:hideMark/>
          </w:tcPr>
          <w:p w14:paraId="33BE3BE0" w14:textId="77777777" w:rsidR="00CF463A" w:rsidRPr="0003452E" w:rsidRDefault="00CF463A" w:rsidP="00AA76E8">
            <w:pPr>
              <w:pStyle w:val="Tables"/>
              <w:rPr>
                <w:szCs w:val="24"/>
              </w:rPr>
            </w:pPr>
            <w:r w:rsidRPr="0003452E">
              <w:rPr>
                <w:szCs w:val="24"/>
              </w:rPr>
              <w:t>131</w:t>
            </w:r>
          </w:p>
        </w:tc>
        <w:tc>
          <w:tcPr>
            <w:tcW w:w="1843" w:type="dxa"/>
            <w:vAlign w:val="center"/>
            <w:hideMark/>
          </w:tcPr>
          <w:p w14:paraId="240BD45F" w14:textId="77777777" w:rsidR="00CF463A" w:rsidRPr="0003452E" w:rsidRDefault="00CF463A" w:rsidP="00AA76E8">
            <w:pPr>
              <w:pStyle w:val="Tables"/>
              <w:rPr>
                <w:szCs w:val="24"/>
              </w:rPr>
            </w:pPr>
            <w:r w:rsidRPr="0003452E">
              <w:rPr>
                <w:szCs w:val="24"/>
              </w:rPr>
              <w:t>118</w:t>
            </w:r>
          </w:p>
        </w:tc>
        <w:tc>
          <w:tcPr>
            <w:tcW w:w="1814" w:type="dxa"/>
            <w:vAlign w:val="center"/>
            <w:hideMark/>
          </w:tcPr>
          <w:p w14:paraId="74DF0BBD" w14:textId="77777777" w:rsidR="00CF463A" w:rsidRPr="0003452E" w:rsidRDefault="00CF463A" w:rsidP="00AA76E8">
            <w:pPr>
              <w:pStyle w:val="Tables"/>
              <w:rPr>
                <w:szCs w:val="24"/>
              </w:rPr>
            </w:pPr>
            <w:r w:rsidRPr="0003452E">
              <w:rPr>
                <w:szCs w:val="24"/>
              </w:rPr>
              <w:t>116</w:t>
            </w:r>
          </w:p>
        </w:tc>
      </w:tr>
      <w:tr w:rsidR="00CF463A" w:rsidRPr="0003452E" w14:paraId="7BD4A7B0" w14:textId="77777777" w:rsidTr="00AA76E8">
        <w:trPr>
          <w:trHeight w:val="227"/>
          <w:jc w:val="center"/>
        </w:trPr>
        <w:tc>
          <w:tcPr>
            <w:tcW w:w="0" w:type="auto"/>
            <w:vAlign w:val="center"/>
            <w:hideMark/>
          </w:tcPr>
          <w:p w14:paraId="3AF806EF" w14:textId="77777777" w:rsidR="00CF463A" w:rsidRPr="0003452E" w:rsidRDefault="00CF463A" w:rsidP="00AA76E8">
            <w:pPr>
              <w:pStyle w:val="Tables"/>
              <w:rPr>
                <w:szCs w:val="24"/>
              </w:rPr>
            </w:pPr>
            <w:r w:rsidRPr="0003452E">
              <w:rPr>
                <w:szCs w:val="24"/>
              </w:rPr>
              <w:t>NET REVENUE</w:t>
            </w:r>
          </w:p>
        </w:tc>
        <w:tc>
          <w:tcPr>
            <w:tcW w:w="1388" w:type="dxa"/>
            <w:vAlign w:val="center"/>
            <w:hideMark/>
          </w:tcPr>
          <w:p w14:paraId="582ED7B0" w14:textId="77777777" w:rsidR="00CF463A" w:rsidRPr="0003452E" w:rsidRDefault="00CF463A" w:rsidP="00AA76E8">
            <w:pPr>
              <w:pStyle w:val="Tables"/>
              <w:rPr>
                <w:szCs w:val="24"/>
              </w:rPr>
            </w:pPr>
            <w:r w:rsidRPr="0003452E">
              <w:rPr>
                <w:szCs w:val="24"/>
              </w:rPr>
              <w:t>...</w:t>
            </w:r>
          </w:p>
        </w:tc>
        <w:tc>
          <w:tcPr>
            <w:tcW w:w="1275" w:type="dxa"/>
            <w:vAlign w:val="center"/>
            <w:hideMark/>
          </w:tcPr>
          <w:p w14:paraId="1815651D" w14:textId="77777777" w:rsidR="00CF463A" w:rsidRPr="0003452E" w:rsidRDefault="00CF463A" w:rsidP="00AA76E8">
            <w:pPr>
              <w:pStyle w:val="Tables"/>
              <w:rPr>
                <w:szCs w:val="24"/>
              </w:rPr>
            </w:pPr>
            <w:r w:rsidRPr="0003452E">
              <w:rPr>
                <w:szCs w:val="24"/>
              </w:rPr>
              <w:t>2487</w:t>
            </w:r>
          </w:p>
        </w:tc>
        <w:tc>
          <w:tcPr>
            <w:tcW w:w="1843" w:type="dxa"/>
            <w:vAlign w:val="center"/>
            <w:hideMark/>
          </w:tcPr>
          <w:p w14:paraId="07D4CBC7" w14:textId="77777777" w:rsidR="00CF463A" w:rsidRPr="0003452E" w:rsidRDefault="00CF463A" w:rsidP="00AA76E8">
            <w:pPr>
              <w:pStyle w:val="Tables"/>
              <w:rPr>
                <w:szCs w:val="24"/>
              </w:rPr>
            </w:pPr>
            <w:r w:rsidRPr="0003452E">
              <w:rPr>
                <w:szCs w:val="24"/>
              </w:rPr>
              <w:t>2791</w:t>
            </w:r>
          </w:p>
        </w:tc>
        <w:tc>
          <w:tcPr>
            <w:tcW w:w="1814" w:type="dxa"/>
            <w:vAlign w:val="center"/>
            <w:hideMark/>
          </w:tcPr>
          <w:p w14:paraId="099A344A" w14:textId="77777777" w:rsidR="00CF463A" w:rsidRPr="0003452E" w:rsidRDefault="00CF463A" w:rsidP="00AA76E8">
            <w:pPr>
              <w:pStyle w:val="Tables"/>
              <w:rPr>
                <w:szCs w:val="24"/>
              </w:rPr>
            </w:pPr>
            <w:r w:rsidRPr="0003452E">
              <w:rPr>
                <w:szCs w:val="24"/>
              </w:rPr>
              <w:t>2585</w:t>
            </w:r>
          </w:p>
        </w:tc>
      </w:tr>
      <w:tr w:rsidR="00CF463A" w:rsidRPr="0003452E" w14:paraId="3378D8DA" w14:textId="77777777" w:rsidTr="00AA76E8">
        <w:trPr>
          <w:trHeight w:val="227"/>
          <w:jc w:val="center"/>
        </w:trPr>
        <w:tc>
          <w:tcPr>
            <w:tcW w:w="0" w:type="auto"/>
            <w:vAlign w:val="center"/>
            <w:hideMark/>
          </w:tcPr>
          <w:p w14:paraId="2831FC9B" w14:textId="77777777" w:rsidR="00CF463A" w:rsidRPr="0003452E" w:rsidRDefault="00CF463A" w:rsidP="00AA76E8">
            <w:pPr>
              <w:pStyle w:val="Tables"/>
              <w:rPr>
                <w:szCs w:val="24"/>
              </w:rPr>
            </w:pPr>
            <w:r w:rsidRPr="0003452E">
              <w:rPr>
                <w:szCs w:val="24"/>
              </w:rPr>
              <w:t>TOTAL EXPENDITURE</w:t>
            </w:r>
          </w:p>
        </w:tc>
        <w:tc>
          <w:tcPr>
            <w:tcW w:w="1388" w:type="dxa"/>
            <w:vAlign w:val="center"/>
            <w:hideMark/>
          </w:tcPr>
          <w:p w14:paraId="20B48EEB" w14:textId="77777777" w:rsidR="00CF463A" w:rsidRPr="0003452E" w:rsidRDefault="00CF463A" w:rsidP="00AA76E8">
            <w:pPr>
              <w:pStyle w:val="Tables"/>
              <w:rPr>
                <w:szCs w:val="24"/>
              </w:rPr>
            </w:pPr>
            <w:r w:rsidRPr="0003452E">
              <w:rPr>
                <w:szCs w:val="24"/>
              </w:rPr>
              <w:t>...</w:t>
            </w:r>
          </w:p>
        </w:tc>
        <w:tc>
          <w:tcPr>
            <w:tcW w:w="1275" w:type="dxa"/>
            <w:vAlign w:val="center"/>
            <w:hideMark/>
          </w:tcPr>
          <w:p w14:paraId="49DB8139" w14:textId="77777777" w:rsidR="00CF463A" w:rsidRPr="0003452E" w:rsidRDefault="00CF463A" w:rsidP="00AA76E8">
            <w:pPr>
              <w:pStyle w:val="Tables"/>
              <w:rPr>
                <w:szCs w:val="24"/>
              </w:rPr>
            </w:pPr>
            <w:r w:rsidRPr="0003452E">
              <w:rPr>
                <w:szCs w:val="24"/>
              </w:rPr>
              <w:t>2755</w:t>
            </w:r>
          </w:p>
        </w:tc>
        <w:tc>
          <w:tcPr>
            <w:tcW w:w="1843" w:type="dxa"/>
            <w:vAlign w:val="center"/>
            <w:hideMark/>
          </w:tcPr>
          <w:p w14:paraId="04F935DC" w14:textId="77777777" w:rsidR="00CF463A" w:rsidRPr="0003452E" w:rsidRDefault="00CF463A" w:rsidP="00AA76E8">
            <w:pPr>
              <w:pStyle w:val="Tables"/>
              <w:rPr>
                <w:szCs w:val="24"/>
              </w:rPr>
            </w:pPr>
            <w:r w:rsidRPr="0003452E">
              <w:rPr>
                <w:szCs w:val="24"/>
              </w:rPr>
              <w:t>2701</w:t>
            </w:r>
          </w:p>
        </w:tc>
        <w:tc>
          <w:tcPr>
            <w:tcW w:w="1814" w:type="dxa"/>
            <w:vAlign w:val="center"/>
            <w:hideMark/>
          </w:tcPr>
          <w:p w14:paraId="6793FDB4" w14:textId="77777777" w:rsidR="00CF463A" w:rsidRPr="0003452E" w:rsidRDefault="00CF463A" w:rsidP="00AA76E8">
            <w:pPr>
              <w:pStyle w:val="Tables"/>
              <w:rPr>
                <w:szCs w:val="24"/>
              </w:rPr>
            </w:pPr>
            <w:r w:rsidRPr="0003452E">
              <w:rPr>
                <w:szCs w:val="24"/>
              </w:rPr>
              <w:t>2736</w:t>
            </w:r>
          </w:p>
        </w:tc>
      </w:tr>
      <w:tr w:rsidR="00CF463A" w:rsidRPr="0003452E" w14:paraId="432DF4E1" w14:textId="77777777" w:rsidTr="00AA76E8">
        <w:trPr>
          <w:trHeight w:val="227"/>
          <w:jc w:val="center"/>
        </w:trPr>
        <w:tc>
          <w:tcPr>
            <w:tcW w:w="0" w:type="auto"/>
            <w:vAlign w:val="center"/>
            <w:hideMark/>
          </w:tcPr>
          <w:p w14:paraId="3E2403B4" w14:textId="77777777" w:rsidR="00CF463A" w:rsidRPr="0003452E" w:rsidRDefault="00CF463A" w:rsidP="00AA76E8">
            <w:pPr>
              <w:pStyle w:val="Tables"/>
              <w:rPr>
                <w:szCs w:val="24"/>
              </w:rPr>
            </w:pPr>
            <w:r w:rsidRPr="0003452E">
              <w:rPr>
                <w:szCs w:val="24"/>
              </w:rPr>
              <w:t>Surplus (+) or Deficit (—)</w:t>
            </w:r>
          </w:p>
        </w:tc>
        <w:tc>
          <w:tcPr>
            <w:tcW w:w="1388" w:type="dxa"/>
            <w:vAlign w:val="center"/>
            <w:hideMark/>
          </w:tcPr>
          <w:p w14:paraId="06AEE86F" w14:textId="77777777" w:rsidR="00CF463A" w:rsidRPr="0003452E" w:rsidRDefault="00CF463A" w:rsidP="00AA76E8">
            <w:pPr>
              <w:pStyle w:val="Tables"/>
              <w:rPr>
                <w:szCs w:val="24"/>
              </w:rPr>
            </w:pPr>
            <w:r w:rsidRPr="0003452E">
              <w:rPr>
                <w:szCs w:val="24"/>
              </w:rPr>
              <w:t>...</w:t>
            </w:r>
          </w:p>
        </w:tc>
        <w:tc>
          <w:tcPr>
            <w:tcW w:w="1275" w:type="dxa"/>
            <w:vAlign w:val="center"/>
            <w:hideMark/>
          </w:tcPr>
          <w:p w14:paraId="7F17AE35" w14:textId="77777777" w:rsidR="00CF463A" w:rsidRPr="0003452E" w:rsidRDefault="00CF463A" w:rsidP="00AA76E8">
            <w:pPr>
              <w:pStyle w:val="Tables"/>
              <w:rPr>
                <w:szCs w:val="24"/>
              </w:rPr>
            </w:pPr>
            <w:r w:rsidRPr="0003452E">
              <w:rPr>
                <w:szCs w:val="24"/>
              </w:rPr>
              <w:t>—268</w:t>
            </w:r>
          </w:p>
        </w:tc>
        <w:tc>
          <w:tcPr>
            <w:tcW w:w="1843" w:type="dxa"/>
            <w:vAlign w:val="center"/>
            <w:hideMark/>
          </w:tcPr>
          <w:p w14:paraId="4A8316D2" w14:textId="77777777" w:rsidR="00CF463A" w:rsidRPr="0003452E" w:rsidRDefault="00CF463A" w:rsidP="00AA76E8">
            <w:pPr>
              <w:pStyle w:val="Tables"/>
              <w:rPr>
                <w:szCs w:val="24"/>
              </w:rPr>
            </w:pPr>
            <w:r w:rsidRPr="0003452E">
              <w:rPr>
                <w:szCs w:val="24"/>
              </w:rPr>
              <w:t>+90</w:t>
            </w:r>
          </w:p>
        </w:tc>
        <w:tc>
          <w:tcPr>
            <w:tcW w:w="1814" w:type="dxa"/>
            <w:vAlign w:val="center"/>
            <w:hideMark/>
          </w:tcPr>
          <w:p w14:paraId="220F61F7" w14:textId="77777777" w:rsidR="00CF463A" w:rsidRPr="0003452E" w:rsidRDefault="00CF463A" w:rsidP="00AA76E8">
            <w:pPr>
              <w:pStyle w:val="Tables"/>
              <w:rPr>
                <w:szCs w:val="24"/>
              </w:rPr>
            </w:pPr>
            <w:r w:rsidRPr="0003452E">
              <w:rPr>
                <w:szCs w:val="24"/>
              </w:rPr>
              <w:t>—151</w:t>
            </w:r>
          </w:p>
        </w:tc>
      </w:tr>
      <w:tr w:rsidR="00CF463A" w:rsidRPr="0003452E" w14:paraId="00FEB2D1" w14:textId="77777777" w:rsidTr="00AA76E8">
        <w:trPr>
          <w:trHeight w:val="227"/>
          <w:jc w:val="center"/>
        </w:trPr>
        <w:tc>
          <w:tcPr>
            <w:tcW w:w="9322" w:type="dxa"/>
            <w:gridSpan w:val="5"/>
            <w:vAlign w:val="center"/>
            <w:hideMark/>
          </w:tcPr>
          <w:p w14:paraId="41E1098B" w14:textId="08799332" w:rsidR="00CF463A" w:rsidRPr="00241C00" w:rsidRDefault="00CF463A" w:rsidP="00AA76E8">
            <w:pPr>
              <w:pStyle w:val="Tables"/>
              <w:rPr>
                <w:b/>
                <w:bCs/>
                <w:szCs w:val="24"/>
              </w:rPr>
            </w:pPr>
            <w:r w:rsidRPr="00241C00">
              <w:rPr>
                <w:b/>
                <w:bCs/>
                <w:szCs w:val="24"/>
              </w:rPr>
              <w:t>MADHYA BHARAT</w:t>
            </w:r>
          </w:p>
          <w:p w14:paraId="089F8787" w14:textId="77777777" w:rsidR="00CF463A" w:rsidRPr="0003452E" w:rsidRDefault="00CF463A" w:rsidP="00AA76E8">
            <w:pPr>
              <w:pStyle w:val="Tables"/>
              <w:rPr>
                <w:szCs w:val="24"/>
              </w:rPr>
            </w:pPr>
          </w:p>
          <w:p w14:paraId="4ADC503B" w14:textId="6FE5DF72" w:rsidR="00CF463A" w:rsidRPr="0003452E" w:rsidRDefault="00CF463A" w:rsidP="00AA76E8">
            <w:pPr>
              <w:pStyle w:val="Tables"/>
              <w:rPr>
                <w:szCs w:val="24"/>
              </w:rPr>
            </w:pPr>
          </w:p>
        </w:tc>
      </w:tr>
      <w:tr w:rsidR="00CF463A" w:rsidRPr="0003452E" w14:paraId="2114B92B" w14:textId="77777777" w:rsidTr="00AA76E8">
        <w:trPr>
          <w:trHeight w:val="227"/>
          <w:jc w:val="center"/>
        </w:trPr>
        <w:tc>
          <w:tcPr>
            <w:tcW w:w="0" w:type="auto"/>
            <w:vAlign w:val="center"/>
            <w:hideMark/>
          </w:tcPr>
          <w:p w14:paraId="461EA510" w14:textId="77777777" w:rsidR="00CF463A" w:rsidRPr="0003452E" w:rsidRDefault="00CF463A" w:rsidP="00AA76E8">
            <w:pPr>
              <w:pStyle w:val="Tables"/>
              <w:rPr>
                <w:szCs w:val="24"/>
              </w:rPr>
            </w:pPr>
            <w:r w:rsidRPr="0003452E">
              <w:rPr>
                <w:szCs w:val="24"/>
              </w:rPr>
              <w:t>TOTAL REVENUE</w:t>
            </w:r>
          </w:p>
        </w:tc>
        <w:tc>
          <w:tcPr>
            <w:tcW w:w="1388" w:type="dxa"/>
            <w:vAlign w:val="center"/>
            <w:hideMark/>
          </w:tcPr>
          <w:p w14:paraId="20AF25F1" w14:textId="77777777" w:rsidR="00CF463A" w:rsidRPr="0003452E" w:rsidRDefault="00CF463A" w:rsidP="00AA76E8">
            <w:pPr>
              <w:pStyle w:val="Tables"/>
              <w:rPr>
                <w:szCs w:val="24"/>
              </w:rPr>
            </w:pPr>
            <w:r w:rsidRPr="0003452E">
              <w:rPr>
                <w:szCs w:val="24"/>
              </w:rPr>
              <w:t>...</w:t>
            </w:r>
          </w:p>
        </w:tc>
        <w:tc>
          <w:tcPr>
            <w:tcW w:w="1275" w:type="dxa"/>
            <w:vAlign w:val="center"/>
            <w:hideMark/>
          </w:tcPr>
          <w:p w14:paraId="7A4F464B" w14:textId="77777777" w:rsidR="00CF463A" w:rsidRPr="0003452E" w:rsidRDefault="00CF463A" w:rsidP="00AA76E8">
            <w:pPr>
              <w:pStyle w:val="Tables"/>
              <w:rPr>
                <w:szCs w:val="24"/>
              </w:rPr>
            </w:pPr>
            <w:r w:rsidRPr="0003452E">
              <w:rPr>
                <w:szCs w:val="24"/>
              </w:rPr>
              <w:t>1038</w:t>
            </w:r>
          </w:p>
        </w:tc>
        <w:tc>
          <w:tcPr>
            <w:tcW w:w="1843" w:type="dxa"/>
            <w:vAlign w:val="center"/>
            <w:hideMark/>
          </w:tcPr>
          <w:p w14:paraId="4E48B0D8" w14:textId="77777777" w:rsidR="00CF463A" w:rsidRPr="0003452E" w:rsidRDefault="00CF463A" w:rsidP="00AA76E8">
            <w:pPr>
              <w:pStyle w:val="Tables"/>
              <w:rPr>
                <w:szCs w:val="24"/>
              </w:rPr>
            </w:pPr>
            <w:r w:rsidRPr="0003452E">
              <w:rPr>
                <w:szCs w:val="24"/>
              </w:rPr>
              <w:t>1136</w:t>
            </w:r>
          </w:p>
        </w:tc>
        <w:tc>
          <w:tcPr>
            <w:tcW w:w="1814" w:type="dxa"/>
            <w:vAlign w:val="center"/>
            <w:hideMark/>
          </w:tcPr>
          <w:p w14:paraId="55B52336" w14:textId="77777777" w:rsidR="00CF463A" w:rsidRPr="0003452E" w:rsidRDefault="00CF463A" w:rsidP="00AA76E8">
            <w:pPr>
              <w:pStyle w:val="Tables"/>
              <w:rPr>
                <w:szCs w:val="24"/>
              </w:rPr>
            </w:pPr>
            <w:r w:rsidRPr="0003452E">
              <w:rPr>
                <w:szCs w:val="24"/>
              </w:rPr>
              <w:t>1183</w:t>
            </w:r>
          </w:p>
        </w:tc>
      </w:tr>
      <w:tr w:rsidR="00CF463A" w:rsidRPr="0003452E" w14:paraId="2792EE31" w14:textId="77777777" w:rsidTr="00AA76E8">
        <w:trPr>
          <w:trHeight w:val="227"/>
          <w:jc w:val="center"/>
        </w:trPr>
        <w:tc>
          <w:tcPr>
            <w:tcW w:w="0" w:type="auto"/>
            <w:vAlign w:val="center"/>
            <w:hideMark/>
          </w:tcPr>
          <w:p w14:paraId="33106556" w14:textId="77777777" w:rsidR="00CF463A" w:rsidRPr="0003452E" w:rsidRDefault="00CF463A" w:rsidP="00AA76E8">
            <w:pPr>
              <w:pStyle w:val="Tables"/>
              <w:rPr>
                <w:szCs w:val="24"/>
              </w:rPr>
            </w:pPr>
            <w:r w:rsidRPr="0003452E">
              <w:rPr>
                <w:i/>
                <w:iCs/>
                <w:szCs w:val="24"/>
              </w:rPr>
              <w:t>Deduct—</w:t>
            </w:r>
          </w:p>
        </w:tc>
        <w:tc>
          <w:tcPr>
            <w:tcW w:w="1388" w:type="dxa"/>
            <w:vAlign w:val="center"/>
            <w:hideMark/>
          </w:tcPr>
          <w:p w14:paraId="170C6F5C" w14:textId="77777777" w:rsidR="00CF463A" w:rsidRPr="0003452E" w:rsidRDefault="00CF463A" w:rsidP="00AA76E8">
            <w:pPr>
              <w:pStyle w:val="Tables"/>
              <w:rPr>
                <w:szCs w:val="24"/>
              </w:rPr>
            </w:pPr>
          </w:p>
        </w:tc>
        <w:tc>
          <w:tcPr>
            <w:tcW w:w="1275" w:type="dxa"/>
            <w:vAlign w:val="center"/>
            <w:hideMark/>
          </w:tcPr>
          <w:p w14:paraId="5318CB1A" w14:textId="77777777" w:rsidR="00CF463A" w:rsidRPr="0003452E" w:rsidRDefault="00CF463A" w:rsidP="00AA76E8">
            <w:pPr>
              <w:pStyle w:val="Tables"/>
              <w:rPr>
                <w:szCs w:val="24"/>
              </w:rPr>
            </w:pPr>
          </w:p>
        </w:tc>
        <w:tc>
          <w:tcPr>
            <w:tcW w:w="1843" w:type="dxa"/>
            <w:vAlign w:val="center"/>
            <w:hideMark/>
          </w:tcPr>
          <w:p w14:paraId="79348480" w14:textId="77777777" w:rsidR="00CF463A" w:rsidRPr="0003452E" w:rsidRDefault="00CF463A" w:rsidP="00AA76E8">
            <w:pPr>
              <w:pStyle w:val="Tables"/>
              <w:rPr>
                <w:szCs w:val="24"/>
              </w:rPr>
            </w:pPr>
          </w:p>
        </w:tc>
        <w:tc>
          <w:tcPr>
            <w:tcW w:w="1814" w:type="dxa"/>
            <w:vAlign w:val="center"/>
            <w:hideMark/>
          </w:tcPr>
          <w:p w14:paraId="6ECC1D74" w14:textId="77777777" w:rsidR="00CF463A" w:rsidRPr="0003452E" w:rsidRDefault="00CF463A" w:rsidP="00AA76E8">
            <w:pPr>
              <w:pStyle w:val="Tables"/>
              <w:rPr>
                <w:szCs w:val="24"/>
              </w:rPr>
            </w:pPr>
          </w:p>
        </w:tc>
      </w:tr>
      <w:tr w:rsidR="00CF463A" w:rsidRPr="0003452E" w14:paraId="5A964C9D" w14:textId="77777777" w:rsidTr="00AA76E8">
        <w:trPr>
          <w:trHeight w:val="227"/>
          <w:jc w:val="center"/>
        </w:trPr>
        <w:tc>
          <w:tcPr>
            <w:tcW w:w="0" w:type="auto"/>
            <w:vAlign w:val="center"/>
            <w:hideMark/>
          </w:tcPr>
          <w:p w14:paraId="4AC89BCD" w14:textId="77777777" w:rsidR="00CF463A" w:rsidRPr="0003452E" w:rsidRDefault="00CF463A" w:rsidP="00AA76E8">
            <w:pPr>
              <w:pStyle w:val="Tables"/>
              <w:rPr>
                <w:szCs w:val="24"/>
              </w:rPr>
            </w:pPr>
            <w:r w:rsidRPr="0003452E">
              <w:rPr>
                <w:szCs w:val="24"/>
              </w:rPr>
              <w:t>(i) Share of Central Income Tax</w:t>
            </w:r>
          </w:p>
        </w:tc>
        <w:tc>
          <w:tcPr>
            <w:tcW w:w="1388" w:type="dxa"/>
            <w:vAlign w:val="center"/>
            <w:hideMark/>
          </w:tcPr>
          <w:p w14:paraId="0D0DE4B0" w14:textId="77777777" w:rsidR="00CF463A" w:rsidRPr="0003452E" w:rsidRDefault="00CF463A" w:rsidP="00AA76E8">
            <w:pPr>
              <w:pStyle w:val="Tables"/>
              <w:rPr>
                <w:szCs w:val="24"/>
              </w:rPr>
            </w:pPr>
            <w:r w:rsidRPr="0003452E">
              <w:rPr>
                <w:szCs w:val="24"/>
              </w:rPr>
              <w:t>...</w:t>
            </w:r>
          </w:p>
        </w:tc>
        <w:tc>
          <w:tcPr>
            <w:tcW w:w="1275" w:type="dxa"/>
            <w:vAlign w:val="center"/>
            <w:hideMark/>
          </w:tcPr>
          <w:p w14:paraId="690AE5EA" w14:textId="77777777" w:rsidR="00CF463A" w:rsidRPr="0003452E" w:rsidRDefault="00CF463A" w:rsidP="00AA76E8">
            <w:pPr>
              <w:pStyle w:val="Tables"/>
              <w:rPr>
                <w:szCs w:val="24"/>
              </w:rPr>
            </w:pPr>
            <w:r w:rsidRPr="0003452E">
              <w:rPr>
                <w:szCs w:val="24"/>
              </w:rPr>
              <w:t>6</w:t>
            </w:r>
          </w:p>
        </w:tc>
        <w:tc>
          <w:tcPr>
            <w:tcW w:w="1843" w:type="dxa"/>
            <w:vAlign w:val="center"/>
            <w:hideMark/>
          </w:tcPr>
          <w:p w14:paraId="622321C4" w14:textId="77777777" w:rsidR="00CF463A" w:rsidRPr="0003452E" w:rsidRDefault="00CF463A" w:rsidP="00AA76E8">
            <w:pPr>
              <w:pStyle w:val="Tables"/>
              <w:rPr>
                <w:szCs w:val="24"/>
              </w:rPr>
            </w:pPr>
            <w:r w:rsidRPr="0003452E">
              <w:rPr>
                <w:szCs w:val="24"/>
              </w:rPr>
              <w:t>6</w:t>
            </w:r>
          </w:p>
        </w:tc>
        <w:tc>
          <w:tcPr>
            <w:tcW w:w="1814" w:type="dxa"/>
            <w:vAlign w:val="center"/>
            <w:hideMark/>
          </w:tcPr>
          <w:p w14:paraId="78D33B49" w14:textId="77777777" w:rsidR="00CF463A" w:rsidRPr="0003452E" w:rsidRDefault="00CF463A" w:rsidP="00AA76E8">
            <w:pPr>
              <w:pStyle w:val="Tables"/>
              <w:rPr>
                <w:szCs w:val="24"/>
              </w:rPr>
            </w:pPr>
            <w:r w:rsidRPr="0003452E">
              <w:rPr>
                <w:szCs w:val="24"/>
              </w:rPr>
              <w:t>3</w:t>
            </w:r>
          </w:p>
        </w:tc>
      </w:tr>
      <w:tr w:rsidR="00CF463A" w:rsidRPr="0003452E" w14:paraId="3FBA49ED" w14:textId="77777777" w:rsidTr="00AA76E8">
        <w:trPr>
          <w:trHeight w:val="227"/>
          <w:jc w:val="center"/>
        </w:trPr>
        <w:tc>
          <w:tcPr>
            <w:tcW w:w="0" w:type="auto"/>
            <w:vAlign w:val="center"/>
            <w:hideMark/>
          </w:tcPr>
          <w:p w14:paraId="53060EDB" w14:textId="77777777" w:rsidR="00CF463A" w:rsidRPr="0003452E" w:rsidRDefault="00CF463A" w:rsidP="00AA76E8">
            <w:pPr>
              <w:pStyle w:val="Tables"/>
              <w:rPr>
                <w:szCs w:val="24"/>
              </w:rPr>
            </w:pPr>
            <w:r w:rsidRPr="0003452E">
              <w:rPr>
                <w:szCs w:val="24"/>
              </w:rPr>
              <w:t>(ii) Grants-in-aid</w:t>
            </w:r>
          </w:p>
        </w:tc>
        <w:tc>
          <w:tcPr>
            <w:tcW w:w="1388" w:type="dxa"/>
            <w:vAlign w:val="center"/>
            <w:hideMark/>
          </w:tcPr>
          <w:p w14:paraId="2A74D003" w14:textId="77777777" w:rsidR="00CF463A" w:rsidRPr="0003452E" w:rsidRDefault="00CF463A" w:rsidP="00AA76E8">
            <w:pPr>
              <w:pStyle w:val="Tables"/>
              <w:rPr>
                <w:szCs w:val="24"/>
              </w:rPr>
            </w:pPr>
            <w:r w:rsidRPr="0003452E">
              <w:rPr>
                <w:szCs w:val="24"/>
              </w:rPr>
              <w:t>...</w:t>
            </w:r>
          </w:p>
        </w:tc>
        <w:tc>
          <w:tcPr>
            <w:tcW w:w="1275" w:type="dxa"/>
            <w:vAlign w:val="center"/>
            <w:hideMark/>
          </w:tcPr>
          <w:p w14:paraId="5E5CBE82" w14:textId="77777777" w:rsidR="00CF463A" w:rsidRPr="0003452E" w:rsidRDefault="00CF463A" w:rsidP="00AA76E8">
            <w:pPr>
              <w:pStyle w:val="Tables"/>
              <w:rPr>
                <w:szCs w:val="24"/>
              </w:rPr>
            </w:pPr>
            <w:r w:rsidRPr="0003452E">
              <w:rPr>
                <w:szCs w:val="24"/>
              </w:rPr>
              <w:t>—</w:t>
            </w:r>
          </w:p>
        </w:tc>
        <w:tc>
          <w:tcPr>
            <w:tcW w:w="1843" w:type="dxa"/>
            <w:vAlign w:val="center"/>
            <w:hideMark/>
          </w:tcPr>
          <w:p w14:paraId="27055CA4" w14:textId="77777777" w:rsidR="00CF463A" w:rsidRPr="0003452E" w:rsidRDefault="00CF463A" w:rsidP="00AA76E8">
            <w:pPr>
              <w:pStyle w:val="Tables"/>
              <w:rPr>
                <w:szCs w:val="24"/>
              </w:rPr>
            </w:pPr>
            <w:r w:rsidRPr="0003452E">
              <w:rPr>
                <w:szCs w:val="24"/>
              </w:rPr>
              <w:t>—</w:t>
            </w:r>
          </w:p>
        </w:tc>
        <w:tc>
          <w:tcPr>
            <w:tcW w:w="1814" w:type="dxa"/>
            <w:vAlign w:val="center"/>
            <w:hideMark/>
          </w:tcPr>
          <w:p w14:paraId="13BFCA23" w14:textId="77777777" w:rsidR="00CF463A" w:rsidRPr="0003452E" w:rsidRDefault="00CF463A" w:rsidP="00AA76E8">
            <w:pPr>
              <w:pStyle w:val="Tables"/>
              <w:rPr>
                <w:szCs w:val="24"/>
              </w:rPr>
            </w:pPr>
            <w:r w:rsidRPr="0003452E">
              <w:rPr>
                <w:szCs w:val="24"/>
              </w:rPr>
              <w:t>—</w:t>
            </w:r>
          </w:p>
        </w:tc>
      </w:tr>
      <w:tr w:rsidR="00CF463A" w:rsidRPr="0003452E" w14:paraId="34C73BDF" w14:textId="77777777" w:rsidTr="00AA76E8">
        <w:trPr>
          <w:trHeight w:val="227"/>
          <w:jc w:val="center"/>
        </w:trPr>
        <w:tc>
          <w:tcPr>
            <w:tcW w:w="0" w:type="auto"/>
            <w:vAlign w:val="center"/>
            <w:hideMark/>
          </w:tcPr>
          <w:p w14:paraId="68B2DF30" w14:textId="77777777" w:rsidR="00CF463A" w:rsidRPr="0003452E" w:rsidRDefault="00CF463A" w:rsidP="00AA76E8">
            <w:pPr>
              <w:pStyle w:val="Tables"/>
              <w:rPr>
                <w:szCs w:val="24"/>
              </w:rPr>
            </w:pPr>
            <w:r w:rsidRPr="0003452E">
              <w:rPr>
                <w:szCs w:val="24"/>
              </w:rPr>
              <w:t>NET REVENUE</w:t>
            </w:r>
          </w:p>
        </w:tc>
        <w:tc>
          <w:tcPr>
            <w:tcW w:w="1388" w:type="dxa"/>
            <w:vAlign w:val="center"/>
            <w:hideMark/>
          </w:tcPr>
          <w:p w14:paraId="31292954" w14:textId="77777777" w:rsidR="00CF463A" w:rsidRPr="0003452E" w:rsidRDefault="00CF463A" w:rsidP="00AA76E8">
            <w:pPr>
              <w:pStyle w:val="Tables"/>
              <w:rPr>
                <w:szCs w:val="24"/>
              </w:rPr>
            </w:pPr>
            <w:r w:rsidRPr="0003452E">
              <w:rPr>
                <w:szCs w:val="24"/>
              </w:rPr>
              <w:t>...</w:t>
            </w:r>
          </w:p>
        </w:tc>
        <w:tc>
          <w:tcPr>
            <w:tcW w:w="1275" w:type="dxa"/>
            <w:vAlign w:val="center"/>
            <w:hideMark/>
          </w:tcPr>
          <w:p w14:paraId="13233CC8" w14:textId="77777777" w:rsidR="00CF463A" w:rsidRPr="0003452E" w:rsidRDefault="00CF463A" w:rsidP="00AA76E8">
            <w:pPr>
              <w:pStyle w:val="Tables"/>
              <w:rPr>
                <w:szCs w:val="24"/>
              </w:rPr>
            </w:pPr>
            <w:r w:rsidRPr="0003452E">
              <w:rPr>
                <w:szCs w:val="24"/>
              </w:rPr>
              <w:t>1032</w:t>
            </w:r>
          </w:p>
        </w:tc>
        <w:tc>
          <w:tcPr>
            <w:tcW w:w="1843" w:type="dxa"/>
            <w:vAlign w:val="center"/>
            <w:hideMark/>
          </w:tcPr>
          <w:p w14:paraId="49DF8026" w14:textId="77777777" w:rsidR="00CF463A" w:rsidRPr="0003452E" w:rsidRDefault="00CF463A" w:rsidP="00AA76E8">
            <w:pPr>
              <w:pStyle w:val="Tables"/>
              <w:rPr>
                <w:szCs w:val="24"/>
              </w:rPr>
            </w:pPr>
            <w:r w:rsidRPr="0003452E">
              <w:rPr>
                <w:szCs w:val="24"/>
              </w:rPr>
              <w:t>1130</w:t>
            </w:r>
          </w:p>
        </w:tc>
        <w:tc>
          <w:tcPr>
            <w:tcW w:w="1814" w:type="dxa"/>
            <w:vAlign w:val="center"/>
            <w:hideMark/>
          </w:tcPr>
          <w:p w14:paraId="1E441430" w14:textId="77777777" w:rsidR="00CF463A" w:rsidRPr="0003452E" w:rsidRDefault="00CF463A" w:rsidP="00AA76E8">
            <w:pPr>
              <w:pStyle w:val="Tables"/>
              <w:rPr>
                <w:szCs w:val="24"/>
              </w:rPr>
            </w:pPr>
            <w:r w:rsidRPr="0003452E">
              <w:rPr>
                <w:szCs w:val="24"/>
              </w:rPr>
              <w:t>1180</w:t>
            </w:r>
          </w:p>
        </w:tc>
      </w:tr>
      <w:tr w:rsidR="00CF463A" w:rsidRPr="0003452E" w14:paraId="01980E2E" w14:textId="77777777" w:rsidTr="00AA76E8">
        <w:trPr>
          <w:trHeight w:val="227"/>
          <w:jc w:val="center"/>
        </w:trPr>
        <w:tc>
          <w:tcPr>
            <w:tcW w:w="0" w:type="auto"/>
            <w:vAlign w:val="center"/>
            <w:hideMark/>
          </w:tcPr>
          <w:p w14:paraId="5A50A9F5" w14:textId="77777777" w:rsidR="00CF463A" w:rsidRPr="0003452E" w:rsidRDefault="00CF463A" w:rsidP="00AA76E8">
            <w:pPr>
              <w:pStyle w:val="Tables"/>
              <w:rPr>
                <w:szCs w:val="24"/>
              </w:rPr>
            </w:pPr>
            <w:r w:rsidRPr="0003452E">
              <w:rPr>
                <w:szCs w:val="24"/>
              </w:rPr>
              <w:t>TOTAL EXPENDITURE</w:t>
            </w:r>
          </w:p>
        </w:tc>
        <w:tc>
          <w:tcPr>
            <w:tcW w:w="1388" w:type="dxa"/>
            <w:vAlign w:val="center"/>
            <w:hideMark/>
          </w:tcPr>
          <w:p w14:paraId="639514F0" w14:textId="77777777" w:rsidR="00CF463A" w:rsidRPr="0003452E" w:rsidRDefault="00CF463A" w:rsidP="00AA76E8">
            <w:pPr>
              <w:pStyle w:val="Tables"/>
              <w:rPr>
                <w:szCs w:val="24"/>
              </w:rPr>
            </w:pPr>
            <w:r w:rsidRPr="0003452E">
              <w:rPr>
                <w:szCs w:val="24"/>
              </w:rPr>
              <w:t>...</w:t>
            </w:r>
          </w:p>
        </w:tc>
        <w:tc>
          <w:tcPr>
            <w:tcW w:w="1275" w:type="dxa"/>
            <w:vAlign w:val="center"/>
            <w:hideMark/>
          </w:tcPr>
          <w:p w14:paraId="69511B78" w14:textId="77777777" w:rsidR="00CF463A" w:rsidRPr="0003452E" w:rsidRDefault="00CF463A" w:rsidP="00AA76E8">
            <w:pPr>
              <w:pStyle w:val="Tables"/>
              <w:rPr>
                <w:szCs w:val="24"/>
              </w:rPr>
            </w:pPr>
            <w:r w:rsidRPr="0003452E">
              <w:rPr>
                <w:szCs w:val="24"/>
              </w:rPr>
              <w:t>1177</w:t>
            </w:r>
          </w:p>
        </w:tc>
        <w:tc>
          <w:tcPr>
            <w:tcW w:w="1843" w:type="dxa"/>
            <w:vAlign w:val="center"/>
            <w:hideMark/>
          </w:tcPr>
          <w:p w14:paraId="6797B417" w14:textId="77777777" w:rsidR="00CF463A" w:rsidRPr="0003452E" w:rsidRDefault="00CF463A" w:rsidP="00AA76E8">
            <w:pPr>
              <w:pStyle w:val="Tables"/>
              <w:rPr>
                <w:szCs w:val="24"/>
              </w:rPr>
            </w:pPr>
            <w:r w:rsidRPr="0003452E">
              <w:rPr>
                <w:szCs w:val="24"/>
              </w:rPr>
              <w:t>1142</w:t>
            </w:r>
          </w:p>
        </w:tc>
        <w:tc>
          <w:tcPr>
            <w:tcW w:w="1814" w:type="dxa"/>
            <w:vAlign w:val="center"/>
            <w:hideMark/>
          </w:tcPr>
          <w:p w14:paraId="41E4CCF8" w14:textId="77777777" w:rsidR="00CF463A" w:rsidRPr="0003452E" w:rsidRDefault="00CF463A" w:rsidP="00AA76E8">
            <w:pPr>
              <w:pStyle w:val="Tables"/>
              <w:rPr>
                <w:szCs w:val="24"/>
              </w:rPr>
            </w:pPr>
            <w:r w:rsidRPr="0003452E">
              <w:rPr>
                <w:szCs w:val="24"/>
              </w:rPr>
              <w:t>1318</w:t>
            </w:r>
          </w:p>
        </w:tc>
      </w:tr>
      <w:tr w:rsidR="00CF463A" w:rsidRPr="0003452E" w14:paraId="7F316100" w14:textId="77777777" w:rsidTr="00AA76E8">
        <w:trPr>
          <w:trHeight w:val="227"/>
          <w:jc w:val="center"/>
        </w:trPr>
        <w:tc>
          <w:tcPr>
            <w:tcW w:w="0" w:type="auto"/>
            <w:vAlign w:val="center"/>
            <w:hideMark/>
          </w:tcPr>
          <w:p w14:paraId="4164A426" w14:textId="77777777" w:rsidR="00CF463A" w:rsidRPr="0003452E" w:rsidRDefault="00CF463A" w:rsidP="00AA76E8">
            <w:pPr>
              <w:pStyle w:val="Tables"/>
              <w:rPr>
                <w:szCs w:val="24"/>
              </w:rPr>
            </w:pPr>
            <w:r w:rsidRPr="0003452E">
              <w:rPr>
                <w:szCs w:val="24"/>
              </w:rPr>
              <w:t>Surplus (+) or Deficit (—)</w:t>
            </w:r>
          </w:p>
        </w:tc>
        <w:tc>
          <w:tcPr>
            <w:tcW w:w="1388" w:type="dxa"/>
            <w:vAlign w:val="center"/>
            <w:hideMark/>
          </w:tcPr>
          <w:p w14:paraId="4CFA0A71" w14:textId="77777777" w:rsidR="00CF463A" w:rsidRPr="0003452E" w:rsidRDefault="00CF463A" w:rsidP="00AA76E8">
            <w:pPr>
              <w:pStyle w:val="Tables"/>
              <w:rPr>
                <w:szCs w:val="24"/>
              </w:rPr>
            </w:pPr>
            <w:r w:rsidRPr="0003452E">
              <w:rPr>
                <w:szCs w:val="24"/>
              </w:rPr>
              <w:t>...</w:t>
            </w:r>
          </w:p>
        </w:tc>
        <w:tc>
          <w:tcPr>
            <w:tcW w:w="1275" w:type="dxa"/>
            <w:vAlign w:val="center"/>
            <w:hideMark/>
          </w:tcPr>
          <w:p w14:paraId="2F6F5EAE" w14:textId="77777777" w:rsidR="00CF463A" w:rsidRPr="0003452E" w:rsidRDefault="00CF463A" w:rsidP="00AA76E8">
            <w:pPr>
              <w:pStyle w:val="Tables"/>
              <w:rPr>
                <w:szCs w:val="24"/>
              </w:rPr>
            </w:pPr>
            <w:r w:rsidRPr="0003452E">
              <w:rPr>
                <w:szCs w:val="24"/>
              </w:rPr>
              <w:t>—145</w:t>
            </w:r>
          </w:p>
        </w:tc>
        <w:tc>
          <w:tcPr>
            <w:tcW w:w="1843" w:type="dxa"/>
            <w:vAlign w:val="center"/>
            <w:hideMark/>
          </w:tcPr>
          <w:p w14:paraId="5E8FF394" w14:textId="77777777" w:rsidR="00CF463A" w:rsidRPr="0003452E" w:rsidRDefault="00CF463A" w:rsidP="00AA76E8">
            <w:pPr>
              <w:pStyle w:val="Tables"/>
              <w:rPr>
                <w:szCs w:val="24"/>
              </w:rPr>
            </w:pPr>
            <w:r w:rsidRPr="0003452E">
              <w:rPr>
                <w:szCs w:val="24"/>
              </w:rPr>
              <w:t>—12</w:t>
            </w:r>
          </w:p>
        </w:tc>
        <w:tc>
          <w:tcPr>
            <w:tcW w:w="1814" w:type="dxa"/>
            <w:vAlign w:val="center"/>
            <w:hideMark/>
          </w:tcPr>
          <w:p w14:paraId="538061B6" w14:textId="77777777" w:rsidR="00CF463A" w:rsidRPr="0003452E" w:rsidRDefault="00CF463A" w:rsidP="00AA76E8">
            <w:pPr>
              <w:pStyle w:val="Tables"/>
              <w:rPr>
                <w:szCs w:val="24"/>
              </w:rPr>
            </w:pPr>
            <w:r w:rsidRPr="0003452E">
              <w:rPr>
                <w:szCs w:val="24"/>
              </w:rPr>
              <w:t>—138</w:t>
            </w:r>
          </w:p>
        </w:tc>
      </w:tr>
      <w:tr w:rsidR="00CF463A" w:rsidRPr="0003452E" w14:paraId="30D5B483" w14:textId="77777777" w:rsidTr="00AA76E8">
        <w:trPr>
          <w:trHeight w:val="227"/>
          <w:jc w:val="center"/>
        </w:trPr>
        <w:tc>
          <w:tcPr>
            <w:tcW w:w="9322" w:type="dxa"/>
            <w:gridSpan w:val="5"/>
            <w:vAlign w:val="center"/>
            <w:hideMark/>
          </w:tcPr>
          <w:p w14:paraId="31B426EE" w14:textId="77777777" w:rsidR="00CF463A" w:rsidRPr="00241C00" w:rsidRDefault="00CF463A" w:rsidP="00AA76E8">
            <w:pPr>
              <w:pStyle w:val="Tables"/>
              <w:rPr>
                <w:b/>
                <w:bCs/>
                <w:szCs w:val="24"/>
              </w:rPr>
            </w:pPr>
            <w:r w:rsidRPr="00241C00">
              <w:rPr>
                <w:b/>
                <w:bCs/>
                <w:szCs w:val="24"/>
              </w:rPr>
              <w:t>MYSORE</w:t>
            </w:r>
          </w:p>
          <w:p w14:paraId="076B0CC6" w14:textId="6E67FB48" w:rsidR="00CF463A" w:rsidRPr="0003452E" w:rsidRDefault="00CF463A" w:rsidP="00AA76E8">
            <w:pPr>
              <w:pStyle w:val="Tables"/>
              <w:rPr>
                <w:szCs w:val="24"/>
              </w:rPr>
            </w:pPr>
          </w:p>
        </w:tc>
      </w:tr>
      <w:tr w:rsidR="00CF463A" w:rsidRPr="0003452E" w14:paraId="1A8CA724" w14:textId="77777777" w:rsidTr="00AA76E8">
        <w:trPr>
          <w:trHeight w:val="227"/>
          <w:jc w:val="center"/>
        </w:trPr>
        <w:tc>
          <w:tcPr>
            <w:tcW w:w="0" w:type="auto"/>
            <w:vAlign w:val="center"/>
            <w:hideMark/>
          </w:tcPr>
          <w:p w14:paraId="117AE25B" w14:textId="77777777" w:rsidR="00CF463A" w:rsidRPr="0003452E" w:rsidRDefault="00CF463A" w:rsidP="00AA76E8">
            <w:pPr>
              <w:pStyle w:val="Tables"/>
              <w:rPr>
                <w:szCs w:val="24"/>
              </w:rPr>
            </w:pPr>
            <w:r w:rsidRPr="0003452E">
              <w:rPr>
                <w:szCs w:val="24"/>
              </w:rPr>
              <w:t>TOTAL REVENUE</w:t>
            </w:r>
          </w:p>
        </w:tc>
        <w:tc>
          <w:tcPr>
            <w:tcW w:w="1388" w:type="dxa"/>
            <w:vAlign w:val="center"/>
            <w:hideMark/>
          </w:tcPr>
          <w:p w14:paraId="324A6B97" w14:textId="77777777" w:rsidR="00CF463A" w:rsidRPr="0003452E" w:rsidRDefault="00CF463A" w:rsidP="00AA76E8">
            <w:pPr>
              <w:pStyle w:val="Tables"/>
              <w:rPr>
                <w:szCs w:val="24"/>
              </w:rPr>
            </w:pPr>
            <w:r w:rsidRPr="0003452E">
              <w:rPr>
                <w:szCs w:val="24"/>
              </w:rPr>
              <w:t>...</w:t>
            </w:r>
          </w:p>
        </w:tc>
        <w:tc>
          <w:tcPr>
            <w:tcW w:w="1275" w:type="dxa"/>
            <w:vAlign w:val="center"/>
            <w:hideMark/>
          </w:tcPr>
          <w:p w14:paraId="6C0E51F9" w14:textId="77777777" w:rsidR="00CF463A" w:rsidRPr="0003452E" w:rsidRDefault="00CF463A" w:rsidP="00AA76E8">
            <w:pPr>
              <w:pStyle w:val="Tables"/>
              <w:rPr>
                <w:szCs w:val="24"/>
              </w:rPr>
            </w:pPr>
            <w:r w:rsidRPr="0003452E">
              <w:rPr>
                <w:szCs w:val="24"/>
              </w:rPr>
              <w:t>1440</w:t>
            </w:r>
          </w:p>
        </w:tc>
        <w:tc>
          <w:tcPr>
            <w:tcW w:w="1843" w:type="dxa"/>
            <w:vAlign w:val="center"/>
            <w:hideMark/>
          </w:tcPr>
          <w:p w14:paraId="7C6BC0A7" w14:textId="77777777" w:rsidR="00CF463A" w:rsidRPr="0003452E" w:rsidRDefault="00CF463A" w:rsidP="00AA76E8">
            <w:pPr>
              <w:pStyle w:val="Tables"/>
              <w:rPr>
                <w:szCs w:val="24"/>
              </w:rPr>
            </w:pPr>
            <w:r w:rsidRPr="0003452E">
              <w:rPr>
                <w:szCs w:val="24"/>
              </w:rPr>
              <w:t>1422</w:t>
            </w:r>
          </w:p>
        </w:tc>
        <w:tc>
          <w:tcPr>
            <w:tcW w:w="1814" w:type="dxa"/>
            <w:vAlign w:val="center"/>
            <w:hideMark/>
          </w:tcPr>
          <w:p w14:paraId="4CCAC8F8" w14:textId="77777777" w:rsidR="00CF463A" w:rsidRPr="0003452E" w:rsidRDefault="00CF463A" w:rsidP="00AA76E8">
            <w:pPr>
              <w:pStyle w:val="Tables"/>
              <w:rPr>
                <w:szCs w:val="24"/>
              </w:rPr>
            </w:pPr>
            <w:r w:rsidRPr="0003452E">
              <w:rPr>
                <w:szCs w:val="24"/>
              </w:rPr>
              <w:t>1499</w:t>
            </w:r>
          </w:p>
        </w:tc>
      </w:tr>
      <w:tr w:rsidR="00CF463A" w:rsidRPr="0003452E" w14:paraId="113CF8B4" w14:textId="77777777" w:rsidTr="00AA76E8">
        <w:trPr>
          <w:trHeight w:val="227"/>
          <w:jc w:val="center"/>
        </w:trPr>
        <w:tc>
          <w:tcPr>
            <w:tcW w:w="0" w:type="auto"/>
            <w:vAlign w:val="center"/>
            <w:hideMark/>
          </w:tcPr>
          <w:p w14:paraId="20F4C9C6" w14:textId="77777777" w:rsidR="00CF463A" w:rsidRPr="0003452E" w:rsidRDefault="00CF463A" w:rsidP="00AA76E8">
            <w:pPr>
              <w:pStyle w:val="Tables"/>
              <w:rPr>
                <w:szCs w:val="24"/>
              </w:rPr>
            </w:pPr>
            <w:r w:rsidRPr="0003452E">
              <w:rPr>
                <w:i/>
                <w:iCs/>
                <w:szCs w:val="24"/>
              </w:rPr>
              <w:t>Deduct—</w:t>
            </w:r>
          </w:p>
        </w:tc>
        <w:tc>
          <w:tcPr>
            <w:tcW w:w="1388" w:type="dxa"/>
            <w:vAlign w:val="center"/>
            <w:hideMark/>
          </w:tcPr>
          <w:p w14:paraId="69ED8586" w14:textId="77777777" w:rsidR="00CF463A" w:rsidRPr="0003452E" w:rsidRDefault="00CF463A" w:rsidP="00AA76E8">
            <w:pPr>
              <w:pStyle w:val="Tables"/>
              <w:rPr>
                <w:szCs w:val="24"/>
              </w:rPr>
            </w:pPr>
          </w:p>
        </w:tc>
        <w:tc>
          <w:tcPr>
            <w:tcW w:w="1275" w:type="dxa"/>
            <w:vAlign w:val="center"/>
            <w:hideMark/>
          </w:tcPr>
          <w:p w14:paraId="5828424A" w14:textId="77777777" w:rsidR="00CF463A" w:rsidRPr="0003452E" w:rsidRDefault="00CF463A" w:rsidP="00AA76E8">
            <w:pPr>
              <w:pStyle w:val="Tables"/>
              <w:rPr>
                <w:szCs w:val="24"/>
              </w:rPr>
            </w:pPr>
          </w:p>
        </w:tc>
        <w:tc>
          <w:tcPr>
            <w:tcW w:w="1843" w:type="dxa"/>
            <w:vAlign w:val="center"/>
            <w:hideMark/>
          </w:tcPr>
          <w:p w14:paraId="1B83FE35" w14:textId="77777777" w:rsidR="00CF463A" w:rsidRPr="0003452E" w:rsidRDefault="00CF463A" w:rsidP="00AA76E8">
            <w:pPr>
              <w:pStyle w:val="Tables"/>
              <w:rPr>
                <w:szCs w:val="24"/>
              </w:rPr>
            </w:pPr>
          </w:p>
        </w:tc>
        <w:tc>
          <w:tcPr>
            <w:tcW w:w="1814" w:type="dxa"/>
            <w:vAlign w:val="center"/>
            <w:hideMark/>
          </w:tcPr>
          <w:p w14:paraId="31BBEB41" w14:textId="77777777" w:rsidR="00CF463A" w:rsidRPr="0003452E" w:rsidRDefault="00CF463A" w:rsidP="00AA76E8">
            <w:pPr>
              <w:pStyle w:val="Tables"/>
              <w:rPr>
                <w:szCs w:val="24"/>
              </w:rPr>
            </w:pPr>
          </w:p>
        </w:tc>
      </w:tr>
      <w:tr w:rsidR="00CF463A" w:rsidRPr="0003452E" w14:paraId="3B4A984D" w14:textId="77777777" w:rsidTr="00AA76E8">
        <w:trPr>
          <w:trHeight w:val="227"/>
          <w:jc w:val="center"/>
        </w:trPr>
        <w:tc>
          <w:tcPr>
            <w:tcW w:w="0" w:type="auto"/>
            <w:vAlign w:val="center"/>
            <w:hideMark/>
          </w:tcPr>
          <w:p w14:paraId="6B1DCDEE" w14:textId="77777777" w:rsidR="00CF463A" w:rsidRPr="0003452E" w:rsidRDefault="00CF463A" w:rsidP="00AA76E8">
            <w:pPr>
              <w:pStyle w:val="Tables"/>
              <w:rPr>
                <w:szCs w:val="24"/>
              </w:rPr>
            </w:pPr>
            <w:r w:rsidRPr="0003452E">
              <w:rPr>
                <w:szCs w:val="24"/>
              </w:rPr>
              <w:t>(i) Share of Central Income Tax</w:t>
            </w:r>
          </w:p>
        </w:tc>
        <w:tc>
          <w:tcPr>
            <w:tcW w:w="1388" w:type="dxa"/>
            <w:vAlign w:val="center"/>
            <w:hideMark/>
          </w:tcPr>
          <w:p w14:paraId="71721AAB" w14:textId="77777777" w:rsidR="00CF463A" w:rsidRPr="0003452E" w:rsidRDefault="00CF463A" w:rsidP="00AA76E8">
            <w:pPr>
              <w:pStyle w:val="Tables"/>
              <w:rPr>
                <w:szCs w:val="24"/>
              </w:rPr>
            </w:pPr>
            <w:r w:rsidRPr="0003452E">
              <w:rPr>
                <w:szCs w:val="24"/>
              </w:rPr>
              <w:t>...</w:t>
            </w:r>
          </w:p>
        </w:tc>
        <w:tc>
          <w:tcPr>
            <w:tcW w:w="1275" w:type="dxa"/>
            <w:vAlign w:val="center"/>
            <w:hideMark/>
          </w:tcPr>
          <w:p w14:paraId="41761206" w14:textId="77777777" w:rsidR="00CF463A" w:rsidRPr="0003452E" w:rsidRDefault="00CF463A" w:rsidP="00AA76E8">
            <w:pPr>
              <w:pStyle w:val="Tables"/>
              <w:rPr>
                <w:szCs w:val="24"/>
              </w:rPr>
            </w:pPr>
            <w:r w:rsidRPr="0003452E">
              <w:rPr>
                <w:szCs w:val="24"/>
              </w:rPr>
              <w:t>—</w:t>
            </w:r>
          </w:p>
        </w:tc>
        <w:tc>
          <w:tcPr>
            <w:tcW w:w="1843" w:type="dxa"/>
            <w:vAlign w:val="center"/>
            <w:hideMark/>
          </w:tcPr>
          <w:p w14:paraId="699E4C6A" w14:textId="77777777" w:rsidR="00CF463A" w:rsidRPr="0003452E" w:rsidRDefault="00CF463A" w:rsidP="00AA76E8">
            <w:pPr>
              <w:pStyle w:val="Tables"/>
              <w:rPr>
                <w:szCs w:val="24"/>
              </w:rPr>
            </w:pPr>
            <w:r w:rsidRPr="0003452E">
              <w:rPr>
                <w:szCs w:val="24"/>
              </w:rPr>
              <w:t>—</w:t>
            </w:r>
          </w:p>
        </w:tc>
        <w:tc>
          <w:tcPr>
            <w:tcW w:w="1814" w:type="dxa"/>
            <w:vAlign w:val="center"/>
            <w:hideMark/>
          </w:tcPr>
          <w:p w14:paraId="78E66F59" w14:textId="77777777" w:rsidR="00CF463A" w:rsidRPr="0003452E" w:rsidRDefault="00CF463A" w:rsidP="00AA76E8">
            <w:pPr>
              <w:pStyle w:val="Tables"/>
              <w:rPr>
                <w:szCs w:val="24"/>
              </w:rPr>
            </w:pPr>
            <w:r w:rsidRPr="0003452E">
              <w:rPr>
                <w:szCs w:val="24"/>
              </w:rPr>
              <w:t>—</w:t>
            </w:r>
          </w:p>
        </w:tc>
      </w:tr>
      <w:tr w:rsidR="00CF463A" w:rsidRPr="0003452E" w14:paraId="13D145D3" w14:textId="77777777" w:rsidTr="00AA76E8">
        <w:trPr>
          <w:trHeight w:val="227"/>
          <w:jc w:val="center"/>
        </w:trPr>
        <w:tc>
          <w:tcPr>
            <w:tcW w:w="0" w:type="auto"/>
            <w:vAlign w:val="center"/>
            <w:hideMark/>
          </w:tcPr>
          <w:p w14:paraId="37C19C43" w14:textId="77777777" w:rsidR="00CF463A" w:rsidRPr="0003452E" w:rsidRDefault="00CF463A" w:rsidP="00AA76E8">
            <w:pPr>
              <w:pStyle w:val="Tables"/>
              <w:rPr>
                <w:szCs w:val="24"/>
              </w:rPr>
            </w:pPr>
            <w:r w:rsidRPr="0003452E">
              <w:rPr>
                <w:szCs w:val="24"/>
              </w:rPr>
              <w:t>(ii) Grants-in-aid</w:t>
            </w:r>
          </w:p>
        </w:tc>
        <w:tc>
          <w:tcPr>
            <w:tcW w:w="1388" w:type="dxa"/>
            <w:vAlign w:val="center"/>
            <w:hideMark/>
          </w:tcPr>
          <w:p w14:paraId="19948B76" w14:textId="77777777" w:rsidR="00CF463A" w:rsidRPr="0003452E" w:rsidRDefault="00CF463A" w:rsidP="00AA76E8">
            <w:pPr>
              <w:pStyle w:val="Tables"/>
              <w:rPr>
                <w:szCs w:val="24"/>
              </w:rPr>
            </w:pPr>
            <w:r w:rsidRPr="0003452E">
              <w:rPr>
                <w:szCs w:val="24"/>
              </w:rPr>
              <w:t>...</w:t>
            </w:r>
          </w:p>
        </w:tc>
        <w:tc>
          <w:tcPr>
            <w:tcW w:w="1275" w:type="dxa"/>
            <w:vAlign w:val="center"/>
            <w:hideMark/>
          </w:tcPr>
          <w:p w14:paraId="72B6EE87" w14:textId="77777777" w:rsidR="00CF463A" w:rsidRPr="0003452E" w:rsidRDefault="00CF463A" w:rsidP="00AA76E8">
            <w:pPr>
              <w:pStyle w:val="Tables"/>
              <w:rPr>
                <w:szCs w:val="24"/>
              </w:rPr>
            </w:pPr>
            <w:r w:rsidRPr="0003452E">
              <w:rPr>
                <w:szCs w:val="24"/>
              </w:rPr>
              <w:t>345</w:t>
            </w:r>
          </w:p>
        </w:tc>
        <w:tc>
          <w:tcPr>
            <w:tcW w:w="1843" w:type="dxa"/>
            <w:vAlign w:val="center"/>
            <w:hideMark/>
          </w:tcPr>
          <w:p w14:paraId="6EE9A7E0" w14:textId="77777777" w:rsidR="00CF463A" w:rsidRPr="0003452E" w:rsidRDefault="00CF463A" w:rsidP="00AA76E8">
            <w:pPr>
              <w:pStyle w:val="Tables"/>
              <w:rPr>
                <w:szCs w:val="24"/>
              </w:rPr>
            </w:pPr>
            <w:r w:rsidRPr="0003452E">
              <w:rPr>
                <w:szCs w:val="24"/>
              </w:rPr>
              <w:t>345</w:t>
            </w:r>
          </w:p>
        </w:tc>
        <w:tc>
          <w:tcPr>
            <w:tcW w:w="1814" w:type="dxa"/>
            <w:vAlign w:val="center"/>
            <w:hideMark/>
          </w:tcPr>
          <w:p w14:paraId="14DA3FE1" w14:textId="77777777" w:rsidR="00CF463A" w:rsidRPr="0003452E" w:rsidRDefault="00CF463A" w:rsidP="00AA76E8">
            <w:pPr>
              <w:pStyle w:val="Tables"/>
              <w:rPr>
                <w:szCs w:val="24"/>
              </w:rPr>
            </w:pPr>
            <w:r w:rsidRPr="0003452E">
              <w:rPr>
                <w:szCs w:val="24"/>
              </w:rPr>
              <w:t>345</w:t>
            </w:r>
          </w:p>
        </w:tc>
      </w:tr>
      <w:tr w:rsidR="00CF463A" w:rsidRPr="0003452E" w14:paraId="484F4A51" w14:textId="77777777" w:rsidTr="00AA76E8">
        <w:trPr>
          <w:trHeight w:val="227"/>
          <w:jc w:val="center"/>
        </w:trPr>
        <w:tc>
          <w:tcPr>
            <w:tcW w:w="0" w:type="auto"/>
            <w:vAlign w:val="center"/>
            <w:hideMark/>
          </w:tcPr>
          <w:p w14:paraId="5E707423" w14:textId="77777777" w:rsidR="00CF463A" w:rsidRPr="0003452E" w:rsidRDefault="00CF463A" w:rsidP="00AA76E8">
            <w:pPr>
              <w:pStyle w:val="Tables"/>
              <w:rPr>
                <w:szCs w:val="24"/>
              </w:rPr>
            </w:pPr>
            <w:r w:rsidRPr="0003452E">
              <w:rPr>
                <w:szCs w:val="24"/>
              </w:rPr>
              <w:t>NET REVENUE</w:t>
            </w:r>
          </w:p>
        </w:tc>
        <w:tc>
          <w:tcPr>
            <w:tcW w:w="1388" w:type="dxa"/>
            <w:vAlign w:val="center"/>
            <w:hideMark/>
          </w:tcPr>
          <w:p w14:paraId="1B243D4E" w14:textId="77777777" w:rsidR="00CF463A" w:rsidRPr="0003452E" w:rsidRDefault="00CF463A" w:rsidP="00AA76E8">
            <w:pPr>
              <w:pStyle w:val="Tables"/>
              <w:rPr>
                <w:szCs w:val="24"/>
              </w:rPr>
            </w:pPr>
            <w:r w:rsidRPr="0003452E">
              <w:rPr>
                <w:szCs w:val="24"/>
              </w:rPr>
              <w:t>...</w:t>
            </w:r>
          </w:p>
        </w:tc>
        <w:tc>
          <w:tcPr>
            <w:tcW w:w="1275" w:type="dxa"/>
            <w:vAlign w:val="center"/>
            <w:hideMark/>
          </w:tcPr>
          <w:p w14:paraId="5850A3F7" w14:textId="77777777" w:rsidR="00CF463A" w:rsidRPr="0003452E" w:rsidRDefault="00CF463A" w:rsidP="00AA76E8">
            <w:pPr>
              <w:pStyle w:val="Tables"/>
              <w:rPr>
                <w:szCs w:val="24"/>
              </w:rPr>
            </w:pPr>
            <w:r w:rsidRPr="0003452E">
              <w:rPr>
                <w:szCs w:val="24"/>
              </w:rPr>
              <w:t>1095</w:t>
            </w:r>
          </w:p>
        </w:tc>
        <w:tc>
          <w:tcPr>
            <w:tcW w:w="1843" w:type="dxa"/>
            <w:vAlign w:val="center"/>
            <w:hideMark/>
          </w:tcPr>
          <w:p w14:paraId="28AF1146" w14:textId="77777777" w:rsidR="00CF463A" w:rsidRPr="0003452E" w:rsidRDefault="00CF463A" w:rsidP="00AA76E8">
            <w:pPr>
              <w:pStyle w:val="Tables"/>
              <w:rPr>
                <w:szCs w:val="24"/>
              </w:rPr>
            </w:pPr>
            <w:r w:rsidRPr="0003452E">
              <w:rPr>
                <w:szCs w:val="24"/>
              </w:rPr>
              <w:t>1077</w:t>
            </w:r>
          </w:p>
        </w:tc>
        <w:tc>
          <w:tcPr>
            <w:tcW w:w="1814" w:type="dxa"/>
            <w:vAlign w:val="center"/>
            <w:hideMark/>
          </w:tcPr>
          <w:p w14:paraId="5F367C66" w14:textId="77777777" w:rsidR="00CF463A" w:rsidRPr="0003452E" w:rsidRDefault="00CF463A" w:rsidP="00AA76E8">
            <w:pPr>
              <w:pStyle w:val="Tables"/>
              <w:rPr>
                <w:szCs w:val="24"/>
              </w:rPr>
            </w:pPr>
            <w:r w:rsidRPr="0003452E">
              <w:rPr>
                <w:szCs w:val="24"/>
              </w:rPr>
              <w:t>1154</w:t>
            </w:r>
          </w:p>
        </w:tc>
      </w:tr>
      <w:tr w:rsidR="00CF463A" w:rsidRPr="0003452E" w14:paraId="624C6523" w14:textId="77777777" w:rsidTr="00AA76E8">
        <w:trPr>
          <w:trHeight w:val="227"/>
          <w:jc w:val="center"/>
        </w:trPr>
        <w:tc>
          <w:tcPr>
            <w:tcW w:w="0" w:type="auto"/>
            <w:vAlign w:val="center"/>
            <w:hideMark/>
          </w:tcPr>
          <w:p w14:paraId="24E2E988" w14:textId="77777777" w:rsidR="00CF463A" w:rsidRPr="0003452E" w:rsidRDefault="00CF463A" w:rsidP="00AA76E8">
            <w:pPr>
              <w:pStyle w:val="Tables"/>
              <w:rPr>
                <w:szCs w:val="24"/>
              </w:rPr>
            </w:pPr>
            <w:r w:rsidRPr="0003452E">
              <w:rPr>
                <w:szCs w:val="24"/>
              </w:rPr>
              <w:t>TOTAL EXPENDITURE</w:t>
            </w:r>
          </w:p>
        </w:tc>
        <w:tc>
          <w:tcPr>
            <w:tcW w:w="1388" w:type="dxa"/>
            <w:vAlign w:val="center"/>
            <w:hideMark/>
          </w:tcPr>
          <w:p w14:paraId="3025D3A9" w14:textId="77777777" w:rsidR="00CF463A" w:rsidRPr="0003452E" w:rsidRDefault="00CF463A" w:rsidP="00AA76E8">
            <w:pPr>
              <w:pStyle w:val="Tables"/>
              <w:rPr>
                <w:szCs w:val="24"/>
              </w:rPr>
            </w:pPr>
            <w:r w:rsidRPr="0003452E">
              <w:rPr>
                <w:szCs w:val="24"/>
              </w:rPr>
              <w:t>...</w:t>
            </w:r>
          </w:p>
        </w:tc>
        <w:tc>
          <w:tcPr>
            <w:tcW w:w="1275" w:type="dxa"/>
            <w:vAlign w:val="center"/>
            <w:hideMark/>
          </w:tcPr>
          <w:p w14:paraId="3635B849" w14:textId="77777777" w:rsidR="00CF463A" w:rsidRPr="0003452E" w:rsidRDefault="00CF463A" w:rsidP="00AA76E8">
            <w:pPr>
              <w:pStyle w:val="Tables"/>
              <w:rPr>
                <w:szCs w:val="24"/>
              </w:rPr>
            </w:pPr>
            <w:r w:rsidRPr="0003452E">
              <w:rPr>
                <w:szCs w:val="24"/>
              </w:rPr>
              <w:t>1352</w:t>
            </w:r>
          </w:p>
        </w:tc>
        <w:tc>
          <w:tcPr>
            <w:tcW w:w="1843" w:type="dxa"/>
            <w:vAlign w:val="center"/>
            <w:hideMark/>
          </w:tcPr>
          <w:p w14:paraId="45EBA3B5" w14:textId="77777777" w:rsidR="00CF463A" w:rsidRPr="0003452E" w:rsidRDefault="00CF463A" w:rsidP="00AA76E8">
            <w:pPr>
              <w:pStyle w:val="Tables"/>
              <w:rPr>
                <w:szCs w:val="24"/>
              </w:rPr>
            </w:pPr>
            <w:r w:rsidRPr="0003452E">
              <w:rPr>
                <w:szCs w:val="24"/>
              </w:rPr>
              <w:t>1337</w:t>
            </w:r>
          </w:p>
        </w:tc>
        <w:tc>
          <w:tcPr>
            <w:tcW w:w="1814" w:type="dxa"/>
            <w:vAlign w:val="center"/>
            <w:hideMark/>
          </w:tcPr>
          <w:p w14:paraId="7BF432C3" w14:textId="77777777" w:rsidR="00CF463A" w:rsidRPr="0003452E" w:rsidRDefault="00CF463A" w:rsidP="00AA76E8">
            <w:pPr>
              <w:pStyle w:val="Tables"/>
              <w:rPr>
                <w:szCs w:val="24"/>
              </w:rPr>
            </w:pPr>
            <w:r w:rsidRPr="0003452E">
              <w:rPr>
                <w:szCs w:val="24"/>
              </w:rPr>
              <w:t>1601</w:t>
            </w:r>
          </w:p>
        </w:tc>
      </w:tr>
      <w:tr w:rsidR="00CF463A" w:rsidRPr="0003452E" w14:paraId="4D23EB8D" w14:textId="77777777" w:rsidTr="00AA76E8">
        <w:trPr>
          <w:trHeight w:val="227"/>
          <w:jc w:val="center"/>
        </w:trPr>
        <w:tc>
          <w:tcPr>
            <w:tcW w:w="0" w:type="auto"/>
            <w:vAlign w:val="center"/>
            <w:hideMark/>
          </w:tcPr>
          <w:p w14:paraId="27D0EB20" w14:textId="77777777" w:rsidR="00CF463A" w:rsidRPr="0003452E" w:rsidRDefault="00CF463A" w:rsidP="00AA76E8">
            <w:pPr>
              <w:pStyle w:val="Tables"/>
              <w:rPr>
                <w:szCs w:val="24"/>
              </w:rPr>
            </w:pPr>
            <w:r w:rsidRPr="0003452E">
              <w:rPr>
                <w:szCs w:val="24"/>
              </w:rPr>
              <w:t>Surplus (+) or Deficit (—)</w:t>
            </w:r>
          </w:p>
        </w:tc>
        <w:tc>
          <w:tcPr>
            <w:tcW w:w="1388" w:type="dxa"/>
            <w:vAlign w:val="center"/>
            <w:hideMark/>
          </w:tcPr>
          <w:p w14:paraId="14D8E453" w14:textId="77777777" w:rsidR="00CF463A" w:rsidRPr="0003452E" w:rsidRDefault="00CF463A" w:rsidP="00AA76E8">
            <w:pPr>
              <w:pStyle w:val="Tables"/>
              <w:rPr>
                <w:szCs w:val="24"/>
              </w:rPr>
            </w:pPr>
            <w:r w:rsidRPr="0003452E">
              <w:rPr>
                <w:szCs w:val="24"/>
              </w:rPr>
              <w:t>...</w:t>
            </w:r>
          </w:p>
        </w:tc>
        <w:tc>
          <w:tcPr>
            <w:tcW w:w="1275" w:type="dxa"/>
            <w:vAlign w:val="center"/>
            <w:hideMark/>
          </w:tcPr>
          <w:p w14:paraId="5FBBF262" w14:textId="77777777" w:rsidR="00CF463A" w:rsidRPr="0003452E" w:rsidRDefault="00CF463A" w:rsidP="00AA76E8">
            <w:pPr>
              <w:pStyle w:val="Tables"/>
              <w:rPr>
                <w:szCs w:val="24"/>
              </w:rPr>
            </w:pPr>
            <w:r w:rsidRPr="0003452E">
              <w:rPr>
                <w:szCs w:val="24"/>
              </w:rPr>
              <w:t>—257</w:t>
            </w:r>
          </w:p>
        </w:tc>
        <w:tc>
          <w:tcPr>
            <w:tcW w:w="1843" w:type="dxa"/>
            <w:vAlign w:val="center"/>
            <w:hideMark/>
          </w:tcPr>
          <w:p w14:paraId="484E7636" w14:textId="77777777" w:rsidR="00CF463A" w:rsidRPr="0003452E" w:rsidRDefault="00CF463A" w:rsidP="00AA76E8">
            <w:pPr>
              <w:pStyle w:val="Tables"/>
              <w:rPr>
                <w:szCs w:val="24"/>
              </w:rPr>
            </w:pPr>
            <w:r w:rsidRPr="0003452E">
              <w:rPr>
                <w:szCs w:val="24"/>
              </w:rPr>
              <w:t>—260</w:t>
            </w:r>
          </w:p>
        </w:tc>
        <w:tc>
          <w:tcPr>
            <w:tcW w:w="1814" w:type="dxa"/>
            <w:vAlign w:val="center"/>
            <w:hideMark/>
          </w:tcPr>
          <w:p w14:paraId="0519E2F1" w14:textId="77777777" w:rsidR="00CF463A" w:rsidRPr="0003452E" w:rsidRDefault="00CF463A" w:rsidP="00AA76E8">
            <w:pPr>
              <w:pStyle w:val="Tables"/>
              <w:rPr>
                <w:szCs w:val="24"/>
              </w:rPr>
            </w:pPr>
            <w:r w:rsidRPr="0003452E">
              <w:rPr>
                <w:szCs w:val="24"/>
              </w:rPr>
              <w:t>—447</w:t>
            </w:r>
          </w:p>
        </w:tc>
      </w:tr>
    </w:tbl>
    <w:p w14:paraId="115340C7" w14:textId="0BFB2612" w:rsidR="00CF463A" w:rsidRPr="0003452E" w:rsidRDefault="00CF463A" w:rsidP="00CF463A">
      <w:pPr>
        <w:pStyle w:val="NoSpacing"/>
        <w:rPr>
          <w:rFonts w:ascii="Times New Roman" w:hAnsi="Times New Roman" w:cs="Times New Roman"/>
          <w:szCs w:val="24"/>
        </w:rPr>
      </w:pPr>
    </w:p>
    <w:p w14:paraId="3CF03703" w14:textId="77777777" w:rsidR="00CF463A" w:rsidRPr="0003452E" w:rsidRDefault="00CF463A">
      <w:pPr>
        <w:rPr>
          <w:rFonts w:ascii="Times New Roman" w:hAnsi="Times New Roman" w:cs="Times New Roman"/>
          <w:szCs w:val="24"/>
        </w:rPr>
      </w:pPr>
      <w:r w:rsidRPr="0003452E">
        <w:rPr>
          <w:rFonts w:ascii="Times New Roman" w:hAnsi="Times New Roman" w:cs="Times New Roman"/>
          <w:szCs w:val="24"/>
        </w:rPr>
        <w:br w:type="page"/>
      </w:r>
    </w:p>
    <w:p w14:paraId="228F1585" w14:textId="6E0F7A36" w:rsidR="00FB263D" w:rsidRPr="0003452E" w:rsidRDefault="00FB263D" w:rsidP="00AA76E8">
      <w:pPr>
        <w:pStyle w:val="NoSpacing"/>
        <w:jc w:val="center"/>
        <w:rPr>
          <w:rFonts w:ascii="Times New Roman" w:hAnsi="Times New Roman" w:cs="Times New Roman"/>
          <w:b/>
          <w:bCs/>
          <w:szCs w:val="24"/>
        </w:rPr>
      </w:pPr>
      <w:r w:rsidRPr="0003452E">
        <w:rPr>
          <w:rFonts w:ascii="Times New Roman" w:hAnsi="Times New Roman" w:cs="Times New Roman"/>
          <w:b/>
          <w:bCs/>
          <w:szCs w:val="24"/>
        </w:rPr>
        <w:lastRenderedPageBreak/>
        <w:t>SUMMARY OF THE BUDGETARY POSITION OF PART A AND PART B</w:t>
      </w:r>
    </w:p>
    <w:p w14:paraId="06059115" w14:textId="394837BD" w:rsidR="00FB263D" w:rsidRPr="0003452E" w:rsidRDefault="00FB263D" w:rsidP="00FB263D">
      <w:pPr>
        <w:pStyle w:val="NoSpacing"/>
        <w:jc w:val="center"/>
        <w:rPr>
          <w:rFonts w:ascii="Times New Roman" w:hAnsi="Times New Roman" w:cs="Times New Roman"/>
          <w:szCs w:val="24"/>
        </w:rPr>
      </w:pPr>
      <w:r w:rsidRPr="0003452E">
        <w:rPr>
          <w:rFonts w:ascii="Times New Roman" w:hAnsi="Times New Roman" w:cs="Times New Roman"/>
          <w:b/>
          <w:bCs/>
          <w:szCs w:val="24"/>
        </w:rPr>
        <w:t>STATES—contd.</w:t>
      </w:r>
    </w:p>
    <w:p w14:paraId="1E9B9731" w14:textId="77777777" w:rsidR="00FB263D" w:rsidRPr="0003452E" w:rsidRDefault="00FB263D" w:rsidP="00AA76E8">
      <w:pPr>
        <w:pStyle w:val="NoSpacing"/>
        <w:spacing w:after="240"/>
        <w:jc w:val="right"/>
        <w:rPr>
          <w:rFonts w:ascii="Times New Roman" w:hAnsi="Times New Roman" w:cs="Times New Roman"/>
          <w:szCs w:val="24"/>
        </w:rPr>
      </w:pPr>
      <w:r w:rsidRPr="0003452E">
        <w:rPr>
          <w:rFonts w:ascii="Times New Roman" w:hAnsi="Times New Roman" w:cs="Times New Roman"/>
          <w:i/>
          <w:iCs/>
          <w:szCs w:val="24"/>
        </w:rPr>
        <w:t>(In lakhs of rupees)</w:t>
      </w:r>
    </w:p>
    <w:tbl>
      <w:tblPr>
        <w:tblStyle w:val="TableGrid"/>
        <w:tblW w:w="0" w:type="auto"/>
        <w:jc w:val="center"/>
        <w:tblLook w:val="04A0" w:firstRow="1" w:lastRow="0" w:firstColumn="1" w:lastColumn="0" w:noHBand="0" w:noVBand="1"/>
      </w:tblPr>
      <w:tblGrid>
        <w:gridCol w:w="3247"/>
        <w:gridCol w:w="1309"/>
        <w:gridCol w:w="1275"/>
        <w:gridCol w:w="1985"/>
        <w:gridCol w:w="1672"/>
      </w:tblGrid>
      <w:tr w:rsidR="00FB263D" w:rsidRPr="0003452E" w14:paraId="547B343F" w14:textId="77777777" w:rsidTr="00AA76E8">
        <w:trPr>
          <w:trHeight w:val="227"/>
          <w:jc w:val="center"/>
        </w:trPr>
        <w:tc>
          <w:tcPr>
            <w:tcW w:w="0" w:type="auto"/>
            <w:vAlign w:val="center"/>
            <w:hideMark/>
          </w:tcPr>
          <w:p w14:paraId="5203EDFE" w14:textId="77777777" w:rsidR="00FB263D" w:rsidRPr="00390A1B" w:rsidRDefault="00FB263D" w:rsidP="00AA76E8">
            <w:pPr>
              <w:pStyle w:val="Tables"/>
              <w:rPr>
                <w:b/>
                <w:bCs/>
              </w:rPr>
            </w:pPr>
          </w:p>
        </w:tc>
        <w:tc>
          <w:tcPr>
            <w:tcW w:w="1309" w:type="dxa"/>
            <w:vAlign w:val="center"/>
            <w:hideMark/>
          </w:tcPr>
          <w:p w14:paraId="7BCE1624" w14:textId="77777777" w:rsidR="00FB263D" w:rsidRPr="00390A1B" w:rsidRDefault="00FB263D" w:rsidP="00AA76E8">
            <w:pPr>
              <w:pStyle w:val="Tables"/>
              <w:rPr>
                <w:b/>
                <w:bCs/>
              </w:rPr>
            </w:pPr>
            <w:r w:rsidRPr="00390A1B">
              <w:rPr>
                <w:b/>
                <w:bCs/>
              </w:rPr>
              <w:t>1949-50</w:t>
            </w:r>
          </w:p>
        </w:tc>
        <w:tc>
          <w:tcPr>
            <w:tcW w:w="1275" w:type="dxa"/>
            <w:vAlign w:val="center"/>
            <w:hideMark/>
          </w:tcPr>
          <w:p w14:paraId="2C34605C" w14:textId="77777777" w:rsidR="00FB263D" w:rsidRPr="00390A1B" w:rsidRDefault="00FB263D" w:rsidP="00AA76E8">
            <w:pPr>
              <w:pStyle w:val="Tables"/>
              <w:rPr>
                <w:b/>
                <w:bCs/>
              </w:rPr>
            </w:pPr>
            <w:r w:rsidRPr="00390A1B">
              <w:rPr>
                <w:b/>
                <w:bCs/>
              </w:rPr>
              <w:t>1950-51</w:t>
            </w:r>
          </w:p>
        </w:tc>
        <w:tc>
          <w:tcPr>
            <w:tcW w:w="1985" w:type="dxa"/>
            <w:vAlign w:val="center"/>
            <w:hideMark/>
          </w:tcPr>
          <w:p w14:paraId="6CE97538" w14:textId="77777777" w:rsidR="00FB263D" w:rsidRPr="00390A1B" w:rsidRDefault="00FB263D" w:rsidP="00AA76E8">
            <w:pPr>
              <w:pStyle w:val="Tables"/>
              <w:rPr>
                <w:b/>
                <w:bCs/>
              </w:rPr>
            </w:pPr>
            <w:r w:rsidRPr="00390A1B">
              <w:rPr>
                <w:b/>
                <w:bCs/>
              </w:rPr>
              <w:t>1951-52</w:t>
            </w:r>
          </w:p>
          <w:p w14:paraId="706177DF" w14:textId="351B21B9" w:rsidR="00FB263D" w:rsidRPr="00390A1B" w:rsidRDefault="00FB263D" w:rsidP="00AA76E8">
            <w:pPr>
              <w:pStyle w:val="Tables"/>
              <w:rPr>
                <w:b/>
                <w:bCs/>
              </w:rPr>
            </w:pPr>
            <w:r w:rsidRPr="00390A1B">
              <w:rPr>
                <w:b/>
                <w:bCs/>
              </w:rPr>
              <w:t>(Provisional Figures)</w:t>
            </w:r>
          </w:p>
        </w:tc>
        <w:tc>
          <w:tcPr>
            <w:tcW w:w="1672" w:type="dxa"/>
            <w:vAlign w:val="center"/>
            <w:hideMark/>
          </w:tcPr>
          <w:p w14:paraId="5AE3221F" w14:textId="77777777" w:rsidR="00FB263D" w:rsidRPr="00390A1B" w:rsidRDefault="00FB263D" w:rsidP="00AA76E8">
            <w:pPr>
              <w:pStyle w:val="Tables"/>
              <w:rPr>
                <w:b/>
                <w:bCs/>
              </w:rPr>
            </w:pPr>
            <w:r w:rsidRPr="00390A1B">
              <w:rPr>
                <w:b/>
                <w:bCs/>
              </w:rPr>
              <w:t>1952-53</w:t>
            </w:r>
          </w:p>
          <w:p w14:paraId="664086AB" w14:textId="6C858F9B" w:rsidR="00FB263D" w:rsidRPr="00390A1B" w:rsidRDefault="00FB263D" w:rsidP="00AA76E8">
            <w:pPr>
              <w:pStyle w:val="Tables"/>
              <w:rPr>
                <w:b/>
                <w:bCs/>
              </w:rPr>
            </w:pPr>
            <w:r w:rsidRPr="00390A1B">
              <w:rPr>
                <w:b/>
                <w:bCs/>
              </w:rPr>
              <w:t>(Budget Estimates)</w:t>
            </w:r>
          </w:p>
        </w:tc>
      </w:tr>
      <w:tr w:rsidR="00FB263D" w:rsidRPr="0003452E" w14:paraId="206AE8C1" w14:textId="77777777" w:rsidTr="00AA76E8">
        <w:trPr>
          <w:trHeight w:val="227"/>
          <w:jc w:val="center"/>
        </w:trPr>
        <w:tc>
          <w:tcPr>
            <w:tcW w:w="0" w:type="auto"/>
            <w:gridSpan w:val="5"/>
            <w:vAlign w:val="center"/>
            <w:hideMark/>
          </w:tcPr>
          <w:p w14:paraId="3F2CCBDB" w14:textId="77777777" w:rsidR="00FB263D" w:rsidRPr="00390A1B" w:rsidRDefault="00FB263D" w:rsidP="00AA76E8">
            <w:pPr>
              <w:pStyle w:val="Tables"/>
              <w:rPr>
                <w:b/>
                <w:bCs/>
              </w:rPr>
            </w:pPr>
            <w:r w:rsidRPr="00390A1B">
              <w:rPr>
                <w:b/>
                <w:bCs/>
              </w:rPr>
              <w:t>PATIALA &amp; EAST PUNJAB STATES UNION</w:t>
            </w:r>
          </w:p>
          <w:p w14:paraId="056F7868" w14:textId="0198E6E7" w:rsidR="00FB263D" w:rsidRPr="00390A1B" w:rsidRDefault="00FB263D" w:rsidP="00AA76E8">
            <w:pPr>
              <w:pStyle w:val="Tables"/>
              <w:rPr>
                <w:b/>
                <w:bCs/>
              </w:rPr>
            </w:pPr>
          </w:p>
        </w:tc>
      </w:tr>
      <w:tr w:rsidR="00FB263D" w:rsidRPr="0003452E" w14:paraId="60ADB723" w14:textId="77777777" w:rsidTr="00AA76E8">
        <w:trPr>
          <w:trHeight w:val="227"/>
          <w:jc w:val="center"/>
        </w:trPr>
        <w:tc>
          <w:tcPr>
            <w:tcW w:w="0" w:type="auto"/>
            <w:vAlign w:val="center"/>
            <w:hideMark/>
          </w:tcPr>
          <w:p w14:paraId="406FE5B7" w14:textId="77777777" w:rsidR="00FB263D" w:rsidRPr="0003452E" w:rsidRDefault="00FB263D" w:rsidP="00AA76E8">
            <w:pPr>
              <w:pStyle w:val="Tables"/>
            </w:pPr>
            <w:r w:rsidRPr="0003452E">
              <w:t>TOTAL REVENUE</w:t>
            </w:r>
          </w:p>
        </w:tc>
        <w:tc>
          <w:tcPr>
            <w:tcW w:w="1309" w:type="dxa"/>
            <w:vAlign w:val="center"/>
            <w:hideMark/>
          </w:tcPr>
          <w:p w14:paraId="1FCC80C3" w14:textId="77777777" w:rsidR="00FB263D" w:rsidRPr="0003452E" w:rsidRDefault="00FB263D" w:rsidP="00AA76E8">
            <w:pPr>
              <w:pStyle w:val="Tables"/>
            </w:pPr>
            <w:r w:rsidRPr="0003452E">
              <w:t>...</w:t>
            </w:r>
          </w:p>
        </w:tc>
        <w:tc>
          <w:tcPr>
            <w:tcW w:w="1275" w:type="dxa"/>
            <w:vAlign w:val="center"/>
            <w:hideMark/>
          </w:tcPr>
          <w:p w14:paraId="0374862B" w14:textId="77777777" w:rsidR="00FB263D" w:rsidRPr="0003452E" w:rsidRDefault="00FB263D" w:rsidP="00AA76E8">
            <w:pPr>
              <w:pStyle w:val="Tables"/>
            </w:pPr>
            <w:r w:rsidRPr="0003452E">
              <w:t>563</w:t>
            </w:r>
          </w:p>
        </w:tc>
        <w:tc>
          <w:tcPr>
            <w:tcW w:w="1985" w:type="dxa"/>
            <w:vAlign w:val="center"/>
            <w:hideMark/>
          </w:tcPr>
          <w:p w14:paraId="284BE47B" w14:textId="77777777" w:rsidR="00FB263D" w:rsidRPr="0003452E" w:rsidRDefault="00FB263D" w:rsidP="00AA76E8">
            <w:pPr>
              <w:pStyle w:val="Tables"/>
            </w:pPr>
            <w:r w:rsidRPr="0003452E">
              <w:t>596</w:t>
            </w:r>
          </w:p>
        </w:tc>
        <w:tc>
          <w:tcPr>
            <w:tcW w:w="1672" w:type="dxa"/>
            <w:vAlign w:val="center"/>
            <w:hideMark/>
          </w:tcPr>
          <w:p w14:paraId="028919C1" w14:textId="77777777" w:rsidR="00FB263D" w:rsidRPr="0003452E" w:rsidRDefault="00FB263D" w:rsidP="00AA76E8">
            <w:pPr>
              <w:pStyle w:val="Tables"/>
            </w:pPr>
            <w:r w:rsidRPr="0003452E">
              <w:t>522</w:t>
            </w:r>
          </w:p>
        </w:tc>
      </w:tr>
      <w:tr w:rsidR="00FB263D" w:rsidRPr="0003452E" w14:paraId="319B2687" w14:textId="77777777" w:rsidTr="00AA76E8">
        <w:trPr>
          <w:trHeight w:val="227"/>
          <w:jc w:val="center"/>
        </w:trPr>
        <w:tc>
          <w:tcPr>
            <w:tcW w:w="0" w:type="auto"/>
            <w:vAlign w:val="center"/>
            <w:hideMark/>
          </w:tcPr>
          <w:p w14:paraId="03579223" w14:textId="77777777" w:rsidR="00FB263D" w:rsidRPr="0003452E" w:rsidRDefault="00FB263D" w:rsidP="00AA76E8">
            <w:pPr>
              <w:pStyle w:val="Tables"/>
            </w:pPr>
            <w:r w:rsidRPr="0003452E">
              <w:rPr>
                <w:i/>
                <w:iCs/>
              </w:rPr>
              <w:t>Deduct—</w:t>
            </w:r>
          </w:p>
        </w:tc>
        <w:tc>
          <w:tcPr>
            <w:tcW w:w="1309" w:type="dxa"/>
            <w:vAlign w:val="center"/>
            <w:hideMark/>
          </w:tcPr>
          <w:p w14:paraId="518DF9B8" w14:textId="77777777" w:rsidR="00FB263D" w:rsidRPr="0003452E" w:rsidRDefault="00FB263D" w:rsidP="00AA76E8">
            <w:pPr>
              <w:pStyle w:val="Tables"/>
            </w:pPr>
          </w:p>
        </w:tc>
        <w:tc>
          <w:tcPr>
            <w:tcW w:w="1275" w:type="dxa"/>
            <w:vAlign w:val="center"/>
            <w:hideMark/>
          </w:tcPr>
          <w:p w14:paraId="4EB1D9BD" w14:textId="77777777" w:rsidR="00FB263D" w:rsidRPr="0003452E" w:rsidRDefault="00FB263D" w:rsidP="00AA76E8">
            <w:pPr>
              <w:pStyle w:val="Tables"/>
            </w:pPr>
          </w:p>
        </w:tc>
        <w:tc>
          <w:tcPr>
            <w:tcW w:w="1985" w:type="dxa"/>
            <w:vAlign w:val="center"/>
            <w:hideMark/>
          </w:tcPr>
          <w:p w14:paraId="17FB15F5" w14:textId="77777777" w:rsidR="00FB263D" w:rsidRPr="0003452E" w:rsidRDefault="00FB263D" w:rsidP="00AA76E8">
            <w:pPr>
              <w:pStyle w:val="Tables"/>
            </w:pPr>
          </w:p>
        </w:tc>
        <w:tc>
          <w:tcPr>
            <w:tcW w:w="1672" w:type="dxa"/>
            <w:vAlign w:val="center"/>
            <w:hideMark/>
          </w:tcPr>
          <w:p w14:paraId="168619DE" w14:textId="77777777" w:rsidR="00FB263D" w:rsidRPr="0003452E" w:rsidRDefault="00FB263D" w:rsidP="00AA76E8">
            <w:pPr>
              <w:pStyle w:val="Tables"/>
            </w:pPr>
          </w:p>
        </w:tc>
      </w:tr>
      <w:tr w:rsidR="00FB263D" w:rsidRPr="0003452E" w14:paraId="4CBBC4CE" w14:textId="77777777" w:rsidTr="00AA76E8">
        <w:trPr>
          <w:trHeight w:val="227"/>
          <w:jc w:val="center"/>
        </w:trPr>
        <w:tc>
          <w:tcPr>
            <w:tcW w:w="0" w:type="auto"/>
            <w:vAlign w:val="center"/>
            <w:hideMark/>
          </w:tcPr>
          <w:p w14:paraId="2821CA75" w14:textId="77777777" w:rsidR="00FB263D" w:rsidRPr="0003452E" w:rsidRDefault="00FB263D" w:rsidP="00AA76E8">
            <w:pPr>
              <w:pStyle w:val="Tables"/>
            </w:pPr>
            <w:r w:rsidRPr="0003452E">
              <w:t>(i) Share of Central Income Tax</w:t>
            </w:r>
          </w:p>
        </w:tc>
        <w:tc>
          <w:tcPr>
            <w:tcW w:w="1309" w:type="dxa"/>
            <w:vAlign w:val="center"/>
            <w:hideMark/>
          </w:tcPr>
          <w:p w14:paraId="3360B3EF" w14:textId="77777777" w:rsidR="00FB263D" w:rsidRPr="0003452E" w:rsidRDefault="00FB263D" w:rsidP="00AA76E8">
            <w:pPr>
              <w:pStyle w:val="Tables"/>
            </w:pPr>
            <w:r w:rsidRPr="0003452E">
              <w:t>...</w:t>
            </w:r>
          </w:p>
        </w:tc>
        <w:tc>
          <w:tcPr>
            <w:tcW w:w="1275" w:type="dxa"/>
            <w:vAlign w:val="center"/>
            <w:hideMark/>
          </w:tcPr>
          <w:p w14:paraId="1FE3B1F7" w14:textId="77777777" w:rsidR="00FB263D" w:rsidRPr="0003452E" w:rsidRDefault="00FB263D" w:rsidP="00AA76E8">
            <w:pPr>
              <w:pStyle w:val="Tables"/>
            </w:pPr>
            <w:r w:rsidRPr="0003452E">
              <w:t>16</w:t>
            </w:r>
          </w:p>
        </w:tc>
        <w:tc>
          <w:tcPr>
            <w:tcW w:w="1985" w:type="dxa"/>
            <w:vAlign w:val="center"/>
            <w:hideMark/>
          </w:tcPr>
          <w:p w14:paraId="7D2F17E9" w14:textId="77777777" w:rsidR="00FB263D" w:rsidRPr="0003452E" w:rsidRDefault="00FB263D" w:rsidP="00AA76E8">
            <w:pPr>
              <w:pStyle w:val="Tables"/>
            </w:pPr>
            <w:r w:rsidRPr="0003452E">
              <w:t>15</w:t>
            </w:r>
          </w:p>
        </w:tc>
        <w:tc>
          <w:tcPr>
            <w:tcW w:w="1672" w:type="dxa"/>
            <w:vAlign w:val="center"/>
            <w:hideMark/>
          </w:tcPr>
          <w:p w14:paraId="12B534EB" w14:textId="77777777" w:rsidR="00FB263D" w:rsidRPr="0003452E" w:rsidRDefault="00FB263D" w:rsidP="00AA76E8">
            <w:pPr>
              <w:pStyle w:val="Tables"/>
            </w:pPr>
            <w:r w:rsidRPr="0003452E">
              <w:t>11</w:t>
            </w:r>
          </w:p>
        </w:tc>
      </w:tr>
      <w:tr w:rsidR="00FB263D" w:rsidRPr="0003452E" w14:paraId="381DD6B0" w14:textId="77777777" w:rsidTr="00AA76E8">
        <w:trPr>
          <w:trHeight w:val="227"/>
          <w:jc w:val="center"/>
        </w:trPr>
        <w:tc>
          <w:tcPr>
            <w:tcW w:w="0" w:type="auto"/>
            <w:vAlign w:val="center"/>
            <w:hideMark/>
          </w:tcPr>
          <w:p w14:paraId="5A79FDD5" w14:textId="77777777" w:rsidR="00FB263D" w:rsidRPr="0003452E" w:rsidRDefault="00FB263D" w:rsidP="00AA76E8">
            <w:pPr>
              <w:pStyle w:val="Tables"/>
            </w:pPr>
            <w:r w:rsidRPr="0003452E">
              <w:t>(ii) Grants-in-aid</w:t>
            </w:r>
          </w:p>
        </w:tc>
        <w:tc>
          <w:tcPr>
            <w:tcW w:w="1309" w:type="dxa"/>
            <w:vAlign w:val="center"/>
            <w:hideMark/>
          </w:tcPr>
          <w:p w14:paraId="150BBCE8" w14:textId="77777777" w:rsidR="00FB263D" w:rsidRPr="0003452E" w:rsidRDefault="00FB263D" w:rsidP="00AA76E8">
            <w:pPr>
              <w:pStyle w:val="Tables"/>
            </w:pPr>
            <w:r w:rsidRPr="0003452E">
              <w:t>...</w:t>
            </w:r>
          </w:p>
        </w:tc>
        <w:tc>
          <w:tcPr>
            <w:tcW w:w="1275" w:type="dxa"/>
            <w:vAlign w:val="center"/>
            <w:hideMark/>
          </w:tcPr>
          <w:p w14:paraId="7E5AD2AA" w14:textId="77777777" w:rsidR="00FB263D" w:rsidRPr="0003452E" w:rsidRDefault="00FB263D" w:rsidP="00AA76E8">
            <w:pPr>
              <w:pStyle w:val="Tables"/>
            </w:pPr>
            <w:r w:rsidRPr="0003452E">
              <w:t>—</w:t>
            </w:r>
          </w:p>
        </w:tc>
        <w:tc>
          <w:tcPr>
            <w:tcW w:w="1985" w:type="dxa"/>
            <w:vAlign w:val="center"/>
            <w:hideMark/>
          </w:tcPr>
          <w:p w14:paraId="7D50C169" w14:textId="77777777" w:rsidR="00FB263D" w:rsidRPr="0003452E" w:rsidRDefault="00FB263D" w:rsidP="00AA76E8">
            <w:pPr>
              <w:pStyle w:val="Tables"/>
            </w:pPr>
            <w:r w:rsidRPr="0003452E">
              <w:t>—</w:t>
            </w:r>
          </w:p>
        </w:tc>
        <w:tc>
          <w:tcPr>
            <w:tcW w:w="1672" w:type="dxa"/>
            <w:vAlign w:val="center"/>
            <w:hideMark/>
          </w:tcPr>
          <w:p w14:paraId="1E18CA83" w14:textId="77777777" w:rsidR="00FB263D" w:rsidRPr="0003452E" w:rsidRDefault="00FB263D" w:rsidP="00AA76E8">
            <w:pPr>
              <w:pStyle w:val="Tables"/>
            </w:pPr>
            <w:r w:rsidRPr="0003452E">
              <w:t>—</w:t>
            </w:r>
          </w:p>
        </w:tc>
      </w:tr>
      <w:tr w:rsidR="00FB263D" w:rsidRPr="0003452E" w14:paraId="5ACDCA4A" w14:textId="77777777" w:rsidTr="00AA76E8">
        <w:trPr>
          <w:trHeight w:val="227"/>
          <w:jc w:val="center"/>
        </w:trPr>
        <w:tc>
          <w:tcPr>
            <w:tcW w:w="0" w:type="auto"/>
            <w:vAlign w:val="center"/>
            <w:hideMark/>
          </w:tcPr>
          <w:p w14:paraId="6BC1E245" w14:textId="77777777" w:rsidR="00FB263D" w:rsidRPr="0003452E" w:rsidRDefault="00FB263D" w:rsidP="00AA76E8">
            <w:pPr>
              <w:pStyle w:val="Tables"/>
            </w:pPr>
            <w:r w:rsidRPr="0003452E">
              <w:t>NET REVENUE</w:t>
            </w:r>
          </w:p>
        </w:tc>
        <w:tc>
          <w:tcPr>
            <w:tcW w:w="1309" w:type="dxa"/>
            <w:vAlign w:val="center"/>
            <w:hideMark/>
          </w:tcPr>
          <w:p w14:paraId="08126416" w14:textId="77777777" w:rsidR="00FB263D" w:rsidRPr="0003452E" w:rsidRDefault="00FB263D" w:rsidP="00AA76E8">
            <w:pPr>
              <w:pStyle w:val="Tables"/>
            </w:pPr>
            <w:r w:rsidRPr="0003452E">
              <w:t>...</w:t>
            </w:r>
          </w:p>
        </w:tc>
        <w:tc>
          <w:tcPr>
            <w:tcW w:w="1275" w:type="dxa"/>
            <w:vAlign w:val="center"/>
            <w:hideMark/>
          </w:tcPr>
          <w:p w14:paraId="44964C93" w14:textId="77777777" w:rsidR="00FB263D" w:rsidRPr="0003452E" w:rsidRDefault="00FB263D" w:rsidP="00AA76E8">
            <w:pPr>
              <w:pStyle w:val="Tables"/>
            </w:pPr>
            <w:r w:rsidRPr="0003452E">
              <w:t>547</w:t>
            </w:r>
          </w:p>
        </w:tc>
        <w:tc>
          <w:tcPr>
            <w:tcW w:w="1985" w:type="dxa"/>
            <w:vAlign w:val="center"/>
            <w:hideMark/>
          </w:tcPr>
          <w:p w14:paraId="5504802A" w14:textId="77777777" w:rsidR="00FB263D" w:rsidRPr="0003452E" w:rsidRDefault="00FB263D" w:rsidP="00AA76E8">
            <w:pPr>
              <w:pStyle w:val="Tables"/>
            </w:pPr>
            <w:r w:rsidRPr="0003452E">
              <w:t>581</w:t>
            </w:r>
          </w:p>
        </w:tc>
        <w:tc>
          <w:tcPr>
            <w:tcW w:w="1672" w:type="dxa"/>
            <w:vAlign w:val="center"/>
            <w:hideMark/>
          </w:tcPr>
          <w:p w14:paraId="28B5A027" w14:textId="77777777" w:rsidR="00FB263D" w:rsidRPr="0003452E" w:rsidRDefault="00FB263D" w:rsidP="00AA76E8">
            <w:pPr>
              <w:pStyle w:val="Tables"/>
            </w:pPr>
            <w:r w:rsidRPr="0003452E">
              <w:t>511</w:t>
            </w:r>
          </w:p>
        </w:tc>
      </w:tr>
      <w:tr w:rsidR="00FB263D" w:rsidRPr="0003452E" w14:paraId="6085446C" w14:textId="77777777" w:rsidTr="00AA76E8">
        <w:trPr>
          <w:trHeight w:val="227"/>
          <w:jc w:val="center"/>
        </w:trPr>
        <w:tc>
          <w:tcPr>
            <w:tcW w:w="0" w:type="auto"/>
            <w:vAlign w:val="center"/>
            <w:hideMark/>
          </w:tcPr>
          <w:p w14:paraId="23D655B9" w14:textId="77777777" w:rsidR="00FB263D" w:rsidRPr="0003452E" w:rsidRDefault="00FB263D" w:rsidP="00AA76E8">
            <w:pPr>
              <w:pStyle w:val="Tables"/>
            </w:pPr>
            <w:r w:rsidRPr="0003452E">
              <w:t>TOTAL EXPENDITURE</w:t>
            </w:r>
          </w:p>
        </w:tc>
        <w:tc>
          <w:tcPr>
            <w:tcW w:w="1309" w:type="dxa"/>
            <w:vAlign w:val="center"/>
            <w:hideMark/>
          </w:tcPr>
          <w:p w14:paraId="70A34FB4" w14:textId="77777777" w:rsidR="00FB263D" w:rsidRPr="0003452E" w:rsidRDefault="00FB263D" w:rsidP="00AA76E8">
            <w:pPr>
              <w:pStyle w:val="Tables"/>
            </w:pPr>
            <w:r w:rsidRPr="0003452E">
              <w:t>...</w:t>
            </w:r>
          </w:p>
        </w:tc>
        <w:tc>
          <w:tcPr>
            <w:tcW w:w="1275" w:type="dxa"/>
            <w:vAlign w:val="center"/>
            <w:hideMark/>
          </w:tcPr>
          <w:p w14:paraId="4435A0C1" w14:textId="77777777" w:rsidR="00FB263D" w:rsidRPr="0003452E" w:rsidRDefault="00FB263D" w:rsidP="00AA76E8">
            <w:pPr>
              <w:pStyle w:val="Tables"/>
            </w:pPr>
            <w:r w:rsidRPr="0003452E">
              <w:t>462</w:t>
            </w:r>
          </w:p>
        </w:tc>
        <w:tc>
          <w:tcPr>
            <w:tcW w:w="1985" w:type="dxa"/>
            <w:vAlign w:val="center"/>
            <w:hideMark/>
          </w:tcPr>
          <w:p w14:paraId="5864E966" w14:textId="77777777" w:rsidR="00FB263D" w:rsidRPr="0003452E" w:rsidRDefault="00FB263D" w:rsidP="00AA76E8">
            <w:pPr>
              <w:pStyle w:val="Tables"/>
            </w:pPr>
            <w:r w:rsidRPr="0003452E">
              <w:t>464</w:t>
            </w:r>
          </w:p>
        </w:tc>
        <w:tc>
          <w:tcPr>
            <w:tcW w:w="1672" w:type="dxa"/>
            <w:vAlign w:val="center"/>
            <w:hideMark/>
          </w:tcPr>
          <w:p w14:paraId="325ACD5D" w14:textId="77777777" w:rsidR="00FB263D" w:rsidRPr="0003452E" w:rsidRDefault="00FB263D" w:rsidP="00AA76E8">
            <w:pPr>
              <w:pStyle w:val="Tables"/>
            </w:pPr>
            <w:r w:rsidRPr="0003452E">
              <w:t>585</w:t>
            </w:r>
          </w:p>
        </w:tc>
      </w:tr>
      <w:tr w:rsidR="00FB263D" w:rsidRPr="0003452E" w14:paraId="0956DDC9" w14:textId="77777777" w:rsidTr="00AA76E8">
        <w:trPr>
          <w:trHeight w:val="227"/>
          <w:jc w:val="center"/>
        </w:trPr>
        <w:tc>
          <w:tcPr>
            <w:tcW w:w="0" w:type="auto"/>
            <w:vAlign w:val="center"/>
            <w:hideMark/>
          </w:tcPr>
          <w:p w14:paraId="448E2334" w14:textId="097E7F68" w:rsidR="00FB263D" w:rsidRPr="0003452E" w:rsidRDefault="00FB263D" w:rsidP="00AA76E8">
            <w:pPr>
              <w:pStyle w:val="Tables"/>
            </w:pPr>
            <w:r w:rsidRPr="0003452E">
              <w:t>Surplus (+) or</w:t>
            </w:r>
          </w:p>
          <w:p w14:paraId="739EC2B1" w14:textId="004A7C45" w:rsidR="00FB263D" w:rsidRPr="0003452E" w:rsidRDefault="00FB263D" w:rsidP="00AA76E8">
            <w:pPr>
              <w:pStyle w:val="Tables"/>
            </w:pPr>
            <w:r w:rsidRPr="0003452E">
              <w:t>Deficit (—)</w:t>
            </w:r>
          </w:p>
        </w:tc>
        <w:tc>
          <w:tcPr>
            <w:tcW w:w="1309" w:type="dxa"/>
            <w:vAlign w:val="center"/>
            <w:hideMark/>
          </w:tcPr>
          <w:p w14:paraId="2C9FE9E0" w14:textId="77777777" w:rsidR="00FB263D" w:rsidRPr="0003452E" w:rsidRDefault="00FB263D" w:rsidP="00AA76E8">
            <w:pPr>
              <w:pStyle w:val="Tables"/>
            </w:pPr>
            <w:r w:rsidRPr="0003452E">
              <w:t>...</w:t>
            </w:r>
          </w:p>
        </w:tc>
        <w:tc>
          <w:tcPr>
            <w:tcW w:w="1275" w:type="dxa"/>
            <w:vAlign w:val="center"/>
            <w:hideMark/>
          </w:tcPr>
          <w:p w14:paraId="0DDC0DAB" w14:textId="77777777" w:rsidR="00FB263D" w:rsidRPr="0003452E" w:rsidRDefault="00FB263D" w:rsidP="00AA76E8">
            <w:pPr>
              <w:pStyle w:val="Tables"/>
            </w:pPr>
            <w:r w:rsidRPr="0003452E">
              <w:t>+85</w:t>
            </w:r>
          </w:p>
        </w:tc>
        <w:tc>
          <w:tcPr>
            <w:tcW w:w="1985" w:type="dxa"/>
            <w:vAlign w:val="center"/>
            <w:hideMark/>
          </w:tcPr>
          <w:p w14:paraId="4E05240D" w14:textId="77777777" w:rsidR="00FB263D" w:rsidRPr="0003452E" w:rsidRDefault="00FB263D" w:rsidP="00AA76E8">
            <w:pPr>
              <w:pStyle w:val="Tables"/>
            </w:pPr>
            <w:r w:rsidRPr="0003452E">
              <w:t>+117</w:t>
            </w:r>
          </w:p>
        </w:tc>
        <w:tc>
          <w:tcPr>
            <w:tcW w:w="1672" w:type="dxa"/>
            <w:vAlign w:val="center"/>
            <w:hideMark/>
          </w:tcPr>
          <w:p w14:paraId="3644D2C7" w14:textId="77777777" w:rsidR="00FB263D" w:rsidRPr="0003452E" w:rsidRDefault="00FB263D" w:rsidP="00AA76E8">
            <w:pPr>
              <w:pStyle w:val="Tables"/>
            </w:pPr>
            <w:r w:rsidRPr="0003452E">
              <w:t>—74</w:t>
            </w:r>
          </w:p>
        </w:tc>
      </w:tr>
      <w:tr w:rsidR="00FB263D" w:rsidRPr="0003452E" w14:paraId="739EBF5D" w14:textId="77777777" w:rsidTr="00AA76E8">
        <w:trPr>
          <w:trHeight w:val="227"/>
          <w:jc w:val="center"/>
        </w:trPr>
        <w:tc>
          <w:tcPr>
            <w:tcW w:w="0" w:type="auto"/>
            <w:gridSpan w:val="5"/>
            <w:vAlign w:val="center"/>
            <w:hideMark/>
          </w:tcPr>
          <w:p w14:paraId="38589519" w14:textId="77777777" w:rsidR="00FB263D" w:rsidRPr="00390A1B" w:rsidRDefault="00FB263D" w:rsidP="00AA76E8">
            <w:pPr>
              <w:pStyle w:val="Tables"/>
              <w:rPr>
                <w:b/>
                <w:bCs/>
              </w:rPr>
            </w:pPr>
            <w:r w:rsidRPr="00390A1B">
              <w:rPr>
                <w:b/>
                <w:bCs/>
              </w:rPr>
              <w:t>RAJASTHAN</w:t>
            </w:r>
          </w:p>
          <w:p w14:paraId="62E7D9E3" w14:textId="2E8E050B" w:rsidR="00FB263D" w:rsidRPr="0003452E" w:rsidRDefault="00FB263D" w:rsidP="00AA76E8">
            <w:pPr>
              <w:pStyle w:val="Tables"/>
            </w:pPr>
          </w:p>
        </w:tc>
      </w:tr>
      <w:tr w:rsidR="00FB263D" w:rsidRPr="0003452E" w14:paraId="02C26EE2" w14:textId="77777777" w:rsidTr="00AA76E8">
        <w:trPr>
          <w:trHeight w:val="227"/>
          <w:jc w:val="center"/>
        </w:trPr>
        <w:tc>
          <w:tcPr>
            <w:tcW w:w="0" w:type="auto"/>
            <w:vAlign w:val="center"/>
            <w:hideMark/>
          </w:tcPr>
          <w:p w14:paraId="2C205430" w14:textId="77777777" w:rsidR="00FB263D" w:rsidRPr="0003452E" w:rsidRDefault="00FB263D" w:rsidP="00AA76E8">
            <w:pPr>
              <w:pStyle w:val="Tables"/>
            </w:pPr>
            <w:r w:rsidRPr="0003452E">
              <w:t>TOTAL REVENUE</w:t>
            </w:r>
          </w:p>
        </w:tc>
        <w:tc>
          <w:tcPr>
            <w:tcW w:w="1309" w:type="dxa"/>
            <w:vAlign w:val="center"/>
            <w:hideMark/>
          </w:tcPr>
          <w:p w14:paraId="6F4A8396" w14:textId="77777777" w:rsidR="00FB263D" w:rsidRPr="0003452E" w:rsidRDefault="00FB263D" w:rsidP="00AA76E8">
            <w:pPr>
              <w:pStyle w:val="Tables"/>
            </w:pPr>
            <w:r w:rsidRPr="0003452E">
              <w:t>...</w:t>
            </w:r>
          </w:p>
        </w:tc>
        <w:tc>
          <w:tcPr>
            <w:tcW w:w="1275" w:type="dxa"/>
            <w:vAlign w:val="center"/>
            <w:hideMark/>
          </w:tcPr>
          <w:p w14:paraId="18A6FCA4" w14:textId="77777777" w:rsidR="00FB263D" w:rsidRPr="0003452E" w:rsidRDefault="00FB263D" w:rsidP="00AA76E8">
            <w:pPr>
              <w:pStyle w:val="Tables"/>
            </w:pPr>
            <w:r w:rsidRPr="0003452E">
              <w:t>1461</w:t>
            </w:r>
          </w:p>
        </w:tc>
        <w:tc>
          <w:tcPr>
            <w:tcW w:w="1985" w:type="dxa"/>
            <w:vAlign w:val="center"/>
            <w:hideMark/>
          </w:tcPr>
          <w:p w14:paraId="5936EFD3" w14:textId="77777777" w:rsidR="00FB263D" w:rsidRPr="0003452E" w:rsidRDefault="00FB263D" w:rsidP="00AA76E8">
            <w:pPr>
              <w:pStyle w:val="Tables"/>
            </w:pPr>
            <w:r w:rsidRPr="0003452E">
              <w:t>1560</w:t>
            </w:r>
          </w:p>
        </w:tc>
        <w:tc>
          <w:tcPr>
            <w:tcW w:w="1672" w:type="dxa"/>
            <w:vAlign w:val="center"/>
            <w:hideMark/>
          </w:tcPr>
          <w:p w14:paraId="2B9B6019" w14:textId="77777777" w:rsidR="00FB263D" w:rsidRPr="0003452E" w:rsidRDefault="00FB263D" w:rsidP="00AA76E8">
            <w:pPr>
              <w:pStyle w:val="Tables"/>
            </w:pPr>
            <w:r w:rsidRPr="0003452E">
              <w:t>1632</w:t>
            </w:r>
          </w:p>
        </w:tc>
      </w:tr>
      <w:tr w:rsidR="00FB263D" w:rsidRPr="0003452E" w14:paraId="5D5430D8" w14:textId="77777777" w:rsidTr="00AA76E8">
        <w:trPr>
          <w:trHeight w:val="227"/>
          <w:jc w:val="center"/>
        </w:trPr>
        <w:tc>
          <w:tcPr>
            <w:tcW w:w="0" w:type="auto"/>
            <w:vAlign w:val="center"/>
            <w:hideMark/>
          </w:tcPr>
          <w:p w14:paraId="782498BC" w14:textId="77777777" w:rsidR="00FB263D" w:rsidRPr="0003452E" w:rsidRDefault="00FB263D" w:rsidP="00AA76E8">
            <w:pPr>
              <w:pStyle w:val="Tables"/>
            </w:pPr>
            <w:r w:rsidRPr="0003452E">
              <w:rPr>
                <w:i/>
                <w:iCs/>
              </w:rPr>
              <w:t>Deduct—</w:t>
            </w:r>
          </w:p>
        </w:tc>
        <w:tc>
          <w:tcPr>
            <w:tcW w:w="1309" w:type="dxa"/>
            <w:vAlign w:val="center"/>
            <w:hideMark/>
          </w:tcPr>
          <w:p w14:paraId="2F044CD3" w14:textId="77777777" w:rsidR="00FB263D" w:rsidRPr="0003452E" w:rsidRDefault="00FB263D" w:rsidP="00AA76E8">
            <w:pPr>
              <w:pStyle w:val="Tables"/>
            </w:pPr>
          </w:p>
        </w:tc>
        <w:tc>
          <w:tcPr>
            <w:tcW w:w="1275" w:type="dxa"/>
            <w:vAlign w:val="center"/>
            <w:hideMark/>
          </w:tcPr>
          <w:p w14:paraId="5304140A" w14:textId="77777777" w:rsidR="00FB263D" w:rsidRPr="0003452E" w:rsidRDefault="00FB263D" w:rsidP="00AA76E8">
            <w:pPr>
              <w:pStyle w:val="Tables"/>
            </w:pPr>
          </w:p>
        </w:tc>
        <w:tc>
          <w:tcPr>
            <w:tcW w:w="1985" w:type="dxa"/>
            <w:vAlign w:val="center"/>
            <w:hideMark/>
          </w:tcPr>
          <w:p w14:paraId="5E81B838" w14:textId="77777777" w:rsidR="00FB263D" w:rsidRPr="0003452E" w:rsidRDefault="00FB263D" w:rsidP="00AA76E8">
            <w:pPr>
              <w:pStyle w:val="Tables"/>
            </w:pPr>
          </w:p>
        </w:tc>
        <w:tc>
          <w:tcPr>
            <w:tcW w:w="1672" w:type="dxa"/>
            <w:vAlign w:val="center"/>
            <w:hideMark/>
          </w:tcPr>
          <w:p w14:paraId="31852E76" w14:textId="77777777" w:rsidR="00FB263D" w:rsidRPr="0003452E" w:rsidRDefault="00FB263D" w:rsidP="00AA76E8">
            <w:pPr>
              <w:pStyle w:val="Tables"/>
            </w:pPr>
          </w:p>
        </w:tc>
      </w:tr>
      <w:tr w:rsidR="00FB263D" w:rsidRPr="0003452E" w14:paraId="587B57C7" w14:textId="77777777" w:rsidTr="00AA76E8">
        <w:trPr>
          <w:trHeight w:val="227"/>
          <w:jc w:val="center"/>
        </w:trPr>
        <w:tc>
          <w:tcPr>
            <w:tcW w:w="0" w:type="auto"/>
            <w:vAlign w:val="center"/>
            <w:hideMark/>
          </w:tcPr>
          <w:p w14:paraId="01E2AF5B" w14:textId="77777777" w:rsidR="00FB263D" w:rsidRPr="0003452E" w:rsidRDefault="00FB263D" w:rsidP="00AA76E8">
            <w:pPr>
              <w:pStyle w:val="Tables"/>
            </w:pPr>
            <w:r w:rsidRPr="0003452E">
              <w:t>(i) Share of Central Income Tax</w:t>
            </w:r>
          </w:p>
        </w:tc>
        <w:tc>
          <w:tcPr>
            <w:tcW w:w="1309" w:type="dxa"/>
            <w:vAlign w:val="center"/>
            <w:hideMark/>
          </w:tcPr>
          <w:p w14:paraId="706DE436" w14:textId="77777777" w:rsidR="00FB263D" w:rsidRPr="0003452E" w:rsidRDefault="00FB263D" w:rsidP="00AA76E8">
            <w:pPr>
              <w:pStyle w:val="Tables"/>
            </w:pPr>
            <w:r w:rsidRPr="0003452E">
              <w:t>...</w:t>
            </w:r>
          </w:p>
        </w:tc>
        <w:tc>
          <w:tcPr>
            <w:tcW w:w="1275" w:type="dxa"/>
            <w:vAlign w:val="center"/>
            <w:hideMark/>
          </w:tcPr>
          <w:p w14:paraId="42D8E7A0" w14:textId="77777777" w:rsidR="00FB263D" w:rsidRPr="0003452E" w:rsidRDefault="00FB263D" w:rsidP="00AA76E8">
            <w:pPr>
              <w:pStyle w:val="Tables"/>
            </w:pPr>
            <w:r w:rsidRPr="0003452E">
              <w:t>8</w:t>
            </w:r>
          </w:p>
        </w:tc>
        <w:tc>
          <w:tcPr>
            <w:tcW w:w="1985" w:type="dxa"/>
            <w:vAlign w:val="center"/>
            <w:hideMark/>
          </w:tcPr>
          <w:p w14:paraId="163AC736" w14:textId="77777777" w:rsidR="00FB263D" w:rsidRPr="0003452E" w:rsidRDefault="00FB263D" w:rsidP="00AA76E8">
            <w:pPr>
              <w:pStyle w:val="Tables"/>
            </w:pPr>
            <w:r w:rsidRPr="0003452E">
              <w:t>12</w:t>
            </w:r>
          </w:p>
        </w:tc>
        <w:tc>
          <w:tcPr>
            <w:tcW w:w="1672" w:type="dxa"/>
            <w:vAlign w:val="center"/>
            <w:hideMark/>
          </w:tcPr>
          <w:p w14:paraId="67F90D2D" w14:textId="77777777" w:rsidR="00FB263D" w:rsidRPr="0003452E" w:rsidRDefault="00FB263D" w:rsidP="00AA76E8">
            <w:pPr>
              <w:pStyle w:val="Tables"/>
            </w:pPr>
            <w:r w:rsidRPr="0003452E">
              <w:t>13</w:t>
            </w:r>
          </w:p>
        </w:tc>
      </w:tr>
      <w:tr w:rsidR="00FB263D" w:rsidRPr="0003452E" w14:paraId="3EE703AD" w14:textId="77777777" w:rsidTr="00AA76E8">
        <w:trPr>
          <w:trHeight w:val="227"/>
          <w:jc w:val="center"/>
        </w:trPr>
        <w:tc>
          <w:tcPr>
            <w:tcW w:w="0" w:type="auto"/>
            <w:vAlign w:val="center"/>
            <w:hideMark/>
          </w:tcPr>
          <w:p w14:paraId="0EE364BB" w14:textId="77777777" w:rsidR="00FB263D" w:rsidRPr="0003452E" w:rsidRDefault="00FB263D" w:rsidP="00AA76E8">
            <w:pPr>
              <w:pStyle w:val="Tables"/>
            </w:pPr>
            <w:r w:rsidRPr="0003452E">
              <w:t>(ii) Grants-in-aid</w:t>
            </w:r>
          </w:p>
        </w:tc>
        <w:tc>
          <w:tcPr>
            <w:tcW w:w="1309" w:type="dxa"/>
            <w:vAlign w:val="center"/>
            <w:hideMark/>
          </w:tcPr>
          <w:p w14:paraId="449C21F1" w14:textId="77777777" w:rsidR="00FB263D" w:rsidRPr="0003452E" w:rsidRDefault="00FB263D" w:rsidP="00AA76E8">
            <w:pPr>
              <w:pStyle w:val="Tables"/>
            </w:pPr>
            <w:r w:rsidRPr="0003452E">
              <w:t>...</w:t>
            </w:r>
          </w:p>
        </w:tc>
        <w:tc>
          <w:tcPr>
            <w:tcW w:w="1275" w:type="dxa"/>
            <w:vAlign w:val="center"/>
            <w:hideMark/>
          </w:tcPr>
          <w:p w14:paraId="34CEE362" w14:textId="77777777" w:rsidR="00FB263D" w:rsidRPr="0003452E" w:rsidRDefault="00FB263D" w:rsidP="00AA76E8">
            <w:pPr>
              <w:pStyle w:val="Tables"/>
            </w:pPr>
            <w:r w:rsidRPr="0003452E">
              <w:t>—</w:t>
            </w:r>
          </w:p>
        </w:tc>
        <w:tc>
          <w:tcPr>
            <w:tcW w:w="1985" w:type="dxa"/>
            <w:vAlign w:val="center"/>
            <w:hideMark/>
          </w:tcPr>
          <w:p w14:paraId="7FF5EF5A" w14:textId="77777777" w:rsidR="00FB263D" w:rsidRPr="0003452E" w:rsidRDefault="00FB263D" w:rsidP="00AA76E8">
            <w:pPr>
              <w:pStyle w:val="Tables"/>
            </w:pPr>
            <w:r w:rsidRPr="0003452E">
              <w:t>—</w:t>
            </w:r>
          </w:p>
        </w:tc>
        <w:tc>
          <w:tcPr>
            <w:tcW w:w="1672" w:type="dxa"/>
            <w:vAlign w:val="center"/>
            <w:hideMark/>
          </w:tcPr>
          <w:p w14:paraId="18EC5E36" w14:textId="77777777" w:rsidR="00FB263D" w:rsidRPr="0003452E" w:rsidRDefault="00FB263D" w:rsidP="00AA76E8">
            <w:pPr>
              <w:pStyle w:val="Tables"/>
            </w:pPr>
            <w:r w:rsidRPr="0003452E">
              <w:t>—</w:t>
            </w:r>
          </w:p>
        </w:tc>
      </w:tr>
      <w:tr w:rsidR="00FB263D" w:rsidRPr="0003452E" w14:paraId="11D639E6" w14:textId="77777777" w:rsidTr="00AA76E8">
        <w:trPr>
          <w:trHeight w:val="227"/>
          <w:jc w:val="center"/>
        </w:trPr>
        <w:tc>
          <w:tcPr>
            <w:tcW w:w="0" w:type="auto"/>
            <w:vAlign w:val="center"/>
            <w:hideMark/>
          </w:tcPr>
          <w:p w14:paraId="3F84D751" w14:textId="77777777" w:rsidR="00FB263D" w:rsidRPr="0003452E" w:rsidRDefault="00FB263D" w:rsidP="00AA76E8">
            <w:pPr>
              <w:pStyle w:val="Tables"/>
            </w:pPr>
            <w:r w:rsidRPr="0003452E">
              <w:t>NET REVENUE</w:t>
            </w:r>
          </w:p>
        </w:tc>
        <w:tc>
          <w:tcPr>
            <w:tcW w:w="1309" w:type="dxa"/>
            <w:vAlign w:val="center"/>
            <w:hideMark/>
          </w:tcPr>
          <w:p w14:paraId="6645259A" w14:textId="77777777" w:rsidR="00FB263D" w:rsidRPr="0003452E" w:rsidRDefault="00FB263D" w:rsidP="00AA76E8">
            <w:pPr>
              <w:pStyle w:val="Tables"/>
            </w:pPr>
            <w:r w:rsidRPr="0003452E">
              <w:t>...</w:t>
            </w:r>
          </w:p>
        </w:tc>
        <w:tc>
          <w:tcPr>
            <w:tcW w:w="1275" w:type="dxa"/>
            <w:vAlign w:val="center"/>
            <w:hideMark/>
          </w:tcPr>
          <w:p w14:paraId="05C0635C" w14:textId="77777777" w:rsidR="00FB263D" w:rsidRPr="0003452E" w:rsidRDefault="00FB263D" w:rsidP="00AA76E8">
            <w:pPr>
              <w:pStyle w:val="Tables"/>
            </w:pPr>
            <w:r w:rsidRPr="0003452E">
              <w:t>1453</w:t>
            </w:r>
          </w:p>
        </w:tc>
        <w:tc>
          <w:tcPr>
            <w:tcW w:w="1985" w:type="dxa"/>
            <w:vAlign w:val="center"/>
            <w:hideMark/>
          </w:tcPr>
          <w:p w14:paraId="40B06ECE" w14:textId="77777777" w:rsidR="00FB263D" w:rsidRPr="0003452E" w:rsidRDefault="00FB263D" w:rsidP="00AA76E8">
            <w:pPr>
              <w:pStyle w:val="Tables"/>
            </w:pPr>
            <w:r w:rsidRPr="0003452E">
              <w:t>1548</w:t>
            </w:r>
          </w:p>
        </w:tc>
        <w:tc>
          <w:tcPr>
            <w:tcW w:w="1672" w:type="dxa"/>
            <w:vAlign w:val="center"/>
            <w:hideMark/>
          </w:tcPr>
          <w:p w14:paraId="4B979905" w14:textId="77777777" w:rsidR="00FB263D" w:rsidRPr="0003452E" w:rsidRDefault="00FB263D" w:rsidP="00AA76E8">
            <w:pPr>
              <w:pStyle w:val="Tables"/>
            </w:pPr>
            <w:r w:rsidRPr="0003452E">
              <w:t>1619</w:t>
            </w:r>
          </w:p>
        </w:tc>
      </w:tr>
      <w:tr w:rsidR="00FB263D" w:rsidRPr="0003452E" w14:paraId="2B16ADD2" w14:textId="77777777" w:rsidTr="00AA76E8">
        <w:trPr>
          <w:trHeight w:val="227"/>
          <w:jc w:val="center"/>
        </w:trPr>
        <w:tc>
          <w:tcPr>
            <w:tcW w:w="0" w:type="auto"/>
            <w:vAlign w:val="center"/>
            <w:hideMark/>
          </w:tcPr>
          <w:p w14:paraId="6277E14D" w14:textId="77777777" w:rsidR="00FB263D" w:rsidRPr="0003452E" w:rsidRDefault="00FB263D" w:rsidP="00AA76E8">
            <w:pPr>
              <w:pStyle w:val="Tables"/>
            </w:pPr>
            <w:r w:rsidRPr="0003452E">
              <w:t>TOTAL EXPENDITURE</w:t>
            </w:r>
          </w:p>
        </w:tc>
        <w:tc>
          <w:tcPr>
            <w:tcW w:w="1309" w:type="dxa"/>
            <w:vAlign w:val="center"/>
            <w:hideMark/>
          </w:tcPr>
          <w:p w14:paraId="2C0B4262" w14:textId="77777777" w:rsidR="00FB263D" w:rsidRPr="0003452E" w:rsidRDefault="00FB263D" w:rsidP="00AA76E8">
            <w:pPr>
              <w:pStyle w:val="Tables"/>
            </w:pPr>
            <w:r w:rsidRPr="0003452E">
              <w:t>...</w:t>
            </w:r>
          </w:p>
        </w:tc>
        <w:tc>
          <w:tcPr>
            <w:tcW w:w="1275" w:type="dxa"/>
            <w:vAlign w:val="center"/>
            <w:hideMark/>
          </w:tcPr>
          <w:p w14:paraId="46FE634C" w14:textId="77777777" w:rsidR="00FB263D" w:rsidRPr="0003452E" w:rsidRDefault="00FB263D" w:rsidP="00AA76E8">
            <w:pPr>
              <w:pStyle w:val="Tables"/>
            </w:pPr>
            <w:r w:rsidRPr="0003452E">
              <w:t>1391</w:t>
            </w:r>
          </w:p>
        </w:tc>
        <w:tc>
          <w:tcPr>
            <w:tcW w:w="1985" w:type="dxa"/>
            <w:vAlign w:val="center"/>
            <w:hideMark/>
          </w:tcPr>
          <w:p w14:paraId="28342F35" w14:textId="77777777" w:rsidR="00FB263D" w:rsidRPr="0003452E" w:rsidRDefault="00FB263D" w:rsidP="00AA76E8">
            <w:pPr>
              <w:pStyle w:val="Tables"/>
            </w:pPr>
            <w:r w:rsidRPr="0003452E">
              <w:t>1552</w:t>
            </w:r>
          </w:p>
        </w:tc>
        <w:tc>
          <w:tcPr>
            <w:tcW w:w="1672" w:type="dxa"/>
            <w:vAlign w:val="center"/>
            <w:hideMark/>
          </w:tcPr>
          <w:p w14:paraId="7503BA80" w14:textId="77777777" w:rsidR="00FB263D" w:rsidRPr="0003452E" w:rsidRDefault="00FB263D" w:rsidP="00AA76E8">
            <w:pPr>
              <w:pStyle w:val="Tables"/>
            </w:pPr>
            <w:r w:rsidRPr="0003452E">
              <w:t>1726</w:t>
            </w:r>
          </w:p>
        </w:tc>
      </w:tr>
      <w:tr w:rsidR="00FB263D" w:rsidRPr="0003452E" w14:paraId="0B1B35CF" w14:textId="77777777" w:rsidTr="00AA76E8">
        <w:trPr>
          <w:trHeight w:val="227"/>
          <w:jc w:val="center"/>
        </w:trPr>
        <w:tc>
          <w:tcPr>
            <w:tcW w:w="0" w:type="auto"/>
            <w:vAlign w:val="center"/>
            <w:hideMark/>
          </w:tcPr>
          <w:p w14:paraId="6539D4EB" w14:textId="77777777" w:rsidR="00FB263D" w:rsidRPr="0003452E" w:rsidRDefault="00FB263D" w:rsidP="00AA76E8">
            <w:pPr>
              <w:pStyle w:val="Tables"/>
            </w:pPr>
            <w:r w:rsidRPr="0003452E">
              <w:t>Surplus (+) or</w:t>
            </w:r>
          </w:p>
          <w:p w14:paraId="20172BBB" w14:textId="54EA740C" w:rsidR="00FB263D" w:rsidRPr="0003452E" w:rsidRDefault="00FB263D" w:rsidP="00AA76E8">
            <w:pPr>
              <w:pStyle w:val="Tables"/>
            </w:pPr>
            <w:r w:rsidRPr="0003452E">
              <w:t>Deficit (—)</w:t>
            </w:r>
          </w:p>
        </w:tc>
        <w:tc>
          <w:tcPr>
            <w:tcW w:w="1309" w:type="dxa"/>
            <w:vAlign w:val="center"/>
            <w:hideMark/>
          </w:tcPr>
          <w:p w14:paraId="33F561A0" w14:textId="77777777" w:rsidR="00FB263D" w:rsidRPr="0003452E" w:rsidRDefault="00FB263D" w:rsidP="00AA76E8">
            <w:pPr>
              <w:pStyle w:val="Tables"/>
            </w:pPr>
            <w:r w:rsidRPr="0003452E">
              <w:t>...</w:t>
            </w:r>
          </w:p>
        </w:tc>
        <w:tc>
          <w:tcPr>
            <w:tcW w:w="1275" w:type="dxa"/>
            <w:vAlign w:val="center"/>
            <w:hideMark/>
          </w:tcPr>
          <w:p w14:paraId="67AF15E8" w14:textId="77777777" w:rsidR="00FB263D" w:rsidRPr="0003452E" w:rsidRDefault="00FB263D" w:rsidP="00AA76E8">
            <w:pPr>
              <w:pStyle w:val="Tables"/>
            </w:pPr>
            <w:r w:rsidRPr="0003452E">
              <w:t>+62</w:t>
            </w:r>
          </w:p>
        </w:tc>
        <w:tc>
          <w:tcPr>
            <w:tcW w:w="1985" w:type="dxa"/>
            <w:vAlign w:val="center"/>
            <w:hideMark/>
          </w:tcPr>
          <w:p w14:paraId="42E85CDE" w14:textId="77777777" w:rsidR="00FB263D" w:rsidRPr="0003452E" w:rsidRDefault="00FB263D" w:rsidP="00AA76E8">
            <w:pPr>
              <w:pStyle w:val="Tables"/>
            </w:pPr>
            <w:r w:rsidRPr="0003452E">
              <w:t>—4</w:t>
            </w:r>
          </w:p>
        </w:tc>
        <w:tc>
          <w:tcPr>
            <w:tcW w:w="1672" w:type="dxa"/>
            <w:vAlign w:val="center"/>
            <w:hideMark/>
          </w:tcPr>
          <w:p w14:paraId="673F8697" w14:textId="77777777" w:rsidR="00FB263D" w:rsidRPr="0003452E" w:rsidRDefault="00FB263D" w:rsidP="00AA76E8">
            <w:pPr>
              <w:pStyle w:val="Tables"/>
            </w:pPr>
            <w:r w:rsidRPr="0003452E">
              <w:t>—107</w:t>
            </w:r>
          </w:p>
        </w:tc>
      </w:tr>
      <w:tr w:rsidR="00FB263D" w:rsidRPr="0003452E" w14:paraId="7233FCA8" w14:textId="77777777" w:rsidTr="00AA76E8">
        <w:trPr>
          <w:trHeight w:val="227"/>
          <w:jc w:val="center"/>
        </w:trPr>
        <w:tc>
          <w:tcPr>
            <w:tcW w:w="0" w:type="auto"/>
            <w:gridSpan w:val="5"/>
            <w:vAlign w:val="center"/>
            <w:hideMark/>
          </w:tcPr>
          <w:p w14:paraId="145FA398" w14:textId="77777777" w:rsidR="00FB263D" w:rsidRPr="00390A1B" w:rsidRDefault="00FB263D" w:rsidP="00AA76E8">
            <w:pPr>
              <w:pStyle w:val="Tables"/>
              <w:rPr>
                <w:b/>
                <w:bCs/>
              </w:rPr>
            </w:pPr>
            <w:r w:rsidRPr="00390A1B">
              <w:rPr>
                <w:b/>
                <w:bCs/>
              </w:rPr>
              <w:t>SAURASHTRA</w:t>
            </w:r>
          </w:p>
          <w:p w14:paraId="7047166B" w14:textId="678A6528" w:rsidR="00FB263D" w:rsidRPr="0003452E" w:rsidRDefault="00FB263D" w:rsidP="00AA76E8">
            <w:pPr>
              <w:pStyle w:val="Tables"/>
            </w:pPr>
          </w:p>
        </w:tc>
      </w:tr>
      <w:tr w:rsidR="00FB263D" w:rsidRPr="0003452E" w14:paraId="1BE2AB01" w14:textId="77777777" w:rsidTr="00AA76E8">
        <w:trPr>
          <w:trHeight w:val="227"/>
          <w:jc w:val="center"/>
        </w:trPr>
        <w:tc>
          <w:tcPr>
            <w:tcW w:w="0" w:type="auto"/>
            <w:vAlign w:val="center"/>
            <w:hideMark/>
          </w:tcPr>
          <w:p w14:paraId="4F70A78D" w14:textId="77777777" w:rsidR="00FB263D" w:rsidRPr="0003452E" w:rsidRDefault="00FB263D" w:rsidP="00AA76E8">
            <w:pPr>
              <w:pStyle w:val="Tables"/>
            </w:pPr>
            <w:r w:rsidRPr="0003452E">
              <w:t>TOTAL REVENUE</w:t>
            </w:r>
          </w:p>
        </w:tc>
        <w:tc>
          <w:tcPr>
            <w:tcW w:w="1309" w:type="dxa"/>
            <w:vAlign w:val="center"/>
            <w:hideMark/>
          </w:tcPr>
          <w:p w14:paraId="2FD8A311" w14:textId="77777777" w:rsidR="00FB263D" w:rsidRPr="0003452E" w:rsidRDefault="00FB263D" w:rsidP="00AA76E8">
            <w:pPr>
              <w:pStyle w:val="Tables"/>
            </w:pPr>
            <w:r w:rsidRPr="0003452E">
              <w:t>...</w:t>
            </w:r>
          </w:p>
        </w:tc>
        <w:tc>
          <w:tcPr>
            <w:tcW w:w="1275" w:type="dxa"/>
            <w:vAlign w:val="center"/>
            <w:hideMark/>
          </w:tcPr>
          <w:p w14:paraId="24F48AA9" w14:textId="77777777" w:rsidR="00FB263D" w:rsidRPr="0003452E" w:rsidRDefault="00FB263D" w:rsidP="00AA76E8">
            <w:pPr>
              <w:pStyle w:val="Tables"/>
            </w:pPr>
            <w:r w:rsidRPr="0003452E">
              <w:t>777</w:t>
            </w:r>
          </w:p>
        </w:tc>
        <w:tc>
          <w:tcPr>
            <w:tcW w:w="1985" w:type="dxa"/>
            <w:vAlign w:val="center"/>
            <w:hideMark/>
          </w:tcPr>
          <w:p w14:paraId="547833CF" w14:textId="77777777" w:rsidR="00FB263D" w:rsidRPr="0003452E" w:rsidRDefault="00FB263D" w:rsidP="00AA76E8">
            <w:pPr>
              <w:pStyle w:val="Tables"/>
            </w:pPr>
            <w:r w:rsidRPr="0003452E">
              <w:t>752</w:t>
            </w:r>
          </w:p>
        </w:tc>
        <w:tc>
          <w:tcPr>
            <w:tcW w:w="1672" w:type="dxa"/>
            <w:vAlign w:val="center"/>
            <w:hideMark/>
          </w:tcPr>
          <w:p w14:paraId="226871CE" w14:textId="77777777" w:rsidR="00FB263D" w:rsidRPr="0003452E" w:rsidRDefault="00FB263D" w:rsidP="00AA76E8">
            <w:pPr>
              <w:pStyle w:val="Tables"/>
            </w:pPr>
            <w:r w:rsidRPr="0003452E">
              <w:t>873</w:t>
            </w:r>
          </w:p>
        </w:tc>
      </w:tr>
      <w:tr w:rsidR="00FB263D" w:rsidRPr="0003452E" w14:paraId="0B9D8F07" w14:textId="77777777" w:rsidTr="00AA76E8">
        <w:trPr>
          <w:trHeight w:val="227"/>
          <w:jc w:val="center"/>
        </w:trPr>
        <w:tc>
          <w:tcPr>
            <w:tcW w:w="0" w:type="auto"/>
            <w:vAlign w:val="center"/>
            <w:hideMark/>
          </w:tcPr>
          <w:p w14:paraId="61C6FD8F" w14:textId="77777777" w:rsidR="00FB263D" w:rsidRPr="0003452E" w:rsidRDefault="00FB263D" w:rsidP="00AA76E8">
            <w:pPr>
              <w:pStyle w:val="Tables"/>
            </w:pPr>
            <w:r w:rsidRPr="0003452E">
              <w:rPr>
                <w:i/>
                <w:iCs/>
              </w:rPr>
              <w:t>Deduct—</w:t>
            </w:r>
          </w:p>
        </w:tc>
        <w:tc>
          <w:tcPr>
            <w:tcW w:w="1309" w:type="dxa"/>
            <w:vAlign w:val="center"/>
            <w:hideMark/>
          </w:tcPr>
          <w:p w14:paraId="29FA39A2" w14:textId="77777777" w:rsidR="00FB263D" w:rsidRPr="0003452E" w:rsidRDefault="00FB263D" w:rsidP="00AA76E8">
            <w:pPr>
              <w:pStyle w:val="Tables"/>
            </w:pPr>
          </w:p>
        </w:tc>
        <w:tc>
          <w:tcPr>
            <w:tcW w:w="1275" w:type="dxa"/>
            <w:vAlign w:val="center"/>
            <w:hideMark/>
          </w:tcPr>
          <w:p w14:paraId="7F81B7CA" w14:textId="77777777" w:rsidR="00FB263D" w:rsidRPr="0003452E" w:rsidRDefault="00FB263D" w:rsidP="00AA76E8">
            <w:pPr>
              <w:pStyle w:val="Tables"/>
            </w:pPr>
          </w:p>
        </w:tc>
        <w:tc>
          <w:tcPr>
            <w:tcW w:w="1985" w:type="dxa"/>
            <w:vAlign w:val="center"/>
            <w:hideMark/>
          </w:tcPr>
          <w:p w14:paraId="2E74CC93" w14:textId="77777777" w:rsidR="00FB263D" w:rsidRPr="0003452E" w:rsidRDefault="00FB263D" w:rsidP="00AA76E8">
            <w:pPr>
              <w:pStyle w:val="Tables"/>
            </w:pPr>
          </w:p>
        </w:tc>
        <w:tc>
          <w:tcPr>
            <w:tcW w:w="1672" w:type="dxa"/>
            <w:vAlign w:val="center"/>
            <w:hideMark/>
          </w:tcPr>
          <w:p w14:paraId="51D8F78C" w14:textId="77777777" w:rsidR="00FB263D" w:rsidRPr="0003452E" w:rsidRDefault="00FB263D" w:rsidP="00AA76E8">
            <w:pPr>
              <w:pStyle w:val="Tables"/>
            </w:pPr>
          </w:p>
        </w:tc>
      </w:tr>
      <w:tr w:rsidR="00FB263D" w:rsidRPr="0003452E" w14:paraId="4B3BBF56" w14:textId="77777777" w:rsidTr="00AA76E8">
        <w:trPr>
          <w:trHeight w:val="227"/>
          <w:jc w:val="center"/>
        </w:trPr>
        <w:tc>
          <w:tcPr>
            <w:tcW w:w="0" w:type="auto"/>
            <w:vAlign w:val="center"/>
            <w:hideMark/>
          </w:tcPr>
          <w:p w14:paraId="3684B8DD" w14:textId="77777777" w:rsidR="00FB263D" w:rsidRPr="0003452E" w:rsidRDefault="00FB263D" w:rsidP="00AA76E8">
            <w:pPr>
              <w:pStyle w:val="Tables"/>
            </w:pPr>
            <w:r w:rsidRPr="0003452E">
              <w:t>(i) Share of Central Income Tax</w:t>
            </w:r>
          </w:p>
        </w:tc>
        <w:tc>
          <w:tcPr>
            <w:tcW w:w="1309" w:type="dxa"/>
            <w:vAlign w:val="center"/>
            <w:hideMark/>
          </w:tcPr>
          <w:p w14:paraId="1CB4CE67" w14:textId="77777777" w:rsidR="00FB263D" w:rsidRPr="0003452E" w:rsidRDefault="00FB263D" w:rsidP="00AA76E8">
            <w:pPr>
              <w:pStyle w:val="Tables"/>
            </w:pPr>
            <w:r w:rsidRPr="0003452E">
              <w:t>...</w:t>
            </w:r>
          </w:p>
        </w:tc>
        <w:tc>
          <w:tcPr>
            <w:tcW w:w="1275" w:type="dxa"/>
            <w:vAlign w:val="center"/>
            <w:hideMark/>
          </w:tcPr>
          <w:p w14:paraId="5F5F1045" w14:textId="77777777" w:rsidR="00FB263D" w:rsidRPr="0003452E" w:rsidRDefault="00FB263D" w:rsidP="00AA76E8">
            <w:pPr>
              <w:pStyle w:val="Tables"/>
            </w:pPr>
            <w:r w:rsidRPr="0003452E">
              <w:t>—</w:t>
            </w:r>
          </w:p>
        </w:tc>
        <w:tc>
          <w:tcPr>
            <w:tcW w:w="1985" w:type="dxa"/>
            <w:vAlign w:val="center"/>
            <w:hideMark/>
          </w:tcPr>
          <w:p w14:paraId="5D001283" w14:textId="77777777" w:rsidR="00FB263D" w:rsidRPr="0003452E" w:rsidRDefault="00FB263D" w:rsidP="00AA76E8">
            <w:pPr>
              <w:pStyle w:val="Tables"/>
            </w:pPr>
            <w:r w:rsidRPr="0003452E">
              <w:t>—</w:t>
            </w:r>
          </w:p>
        </w:tc>
        <w:tc>
          <w:tcPr>
            <w:tcW w:w="1672" w:type="dxa"/>
            <w:vAlign w:val="center"/>
            <w:hideMark/>
          </w:tcPr>
          <w:p w14:paraId="66D3178F" w14:textId="77777777" w:rsidR="00FB263D" w:rsidRPr="0003452E" w:rsidRDefault="00FB263D" w:rsidP="00AA76E8">
            <w:pPr>
              <w:pStyle w:val="Tables"/>
            </w:pPr>
            <w:r w:rsidRPr="0003452E">
              <w:t>—</w:t>
            </w:r>
          </w:p>
        </w:tc>
      </w:tr>
      <w:tr w:rsidR="00FB263D" w:rsidRPr="0003452E" w14:paraId="20075295" w14:textId="77777777" w:rsidTr="00AA76E8">
        <w:trPr>
          <w:trHeight w:val="227"/>
          <w:jc w:val="center"/>
        </w:trPr>
        <w:tc>
          <w:tcPr>
            <w:tcW w:w="0" w:type="auto"/>
            <w:vAlign w:val="center"/>
            <w:hideMark/>
          </w:tcPr>
          <w:p w14:paraId="4E281FC8" w14:textId="77777777" w:rsidR="00FB263D" w:rsidRPr="0003452E" w:rsidRDefault="00FB263D" w:rsidP="00AA76E8">
            <w:pPr>
              <w:pStyle w:val="Tables"/>
            </w:pPr>
            <w:r w:rsidRPr="0003452E">
              <w:t>(ii) Grants-in-aid</w:t>
            </w:r>
          </w:p>
        </w:tc>
        <w:tc>
          <w:tcPr>
            <w:tcW w:w="1309" w:type="dxa"/>
            <w:vAlign w:val="center"/>
            <w:hideMark/>
          </w:tcPr>
          <w:p w14:paraId="745817D1" w14:textId="77777777" w:rsidR="00FB263D" w:rsidRPr="0003452E" w:rsidRDefault="00FB263D" w:rsidP="00AA76E8">
            <w:pPr>
              <w:pStyle w:val="Tables"/>
            </w:pPr>
            <w:r w:rsidRPr="0003452E">
              <w:t>...</w:t>
            </w:r>
          </w:p>
        </w:tc>
        <w:tc>
          <w:tcPr>
            <w:tcW w:w="1275" w:type="dxa"/>
            <w:vAlign w:val="center"/>
            <w:hideMark/>
          </w:tcPr>
          <w:p w14:paraId="729696CC" w14:textId="77777777" w:rsidR="00FB263D" w:rsidRPr="0003452E" w:rsidRDefault="00FB263D" w:rsidP="00AA76E8">
            <w:pPr>
              <w:pStyle w:val="Tables"/>
            </w:pPr>
            <w:r w:rsidRPr="0003452E">
              <w:t>250</w:t>
            </w:r>
          </w:p>
        </w:tc>
        <w:tc>
          <w:tcPr>
            <w:tcW w:w="1985" w:type="dxa"/>
            <w:vAlign w:val="center"/>
            <w:hideMark/>
          </w:tcPr>
          <w:p w14:paraId="16240347" w14:textId="77777777" w:rsidR="00FB263D" w:rsidRPr="0003452E" w:rsidRDefault="00FB263D" w:rsidP="00AA76E8">
            <w:pPr>
              <w:pStyle w:val="Tables"/>
            </w:pPr>
            <w:r w:rsidRPr="0003452E">
              <w:t>300</w:t>
            </w:r>
          </w:p>
        </w:tc>
        <w:tc>
          <w:tcPr>
            <w:tcW w:w="1672" w:type="dxa"/>
            <w:vAlign w:val="center"/>
            <w:hideMark/>
          </w:tcPr>
          <w:p w14:paraId="7E9E754F" w14:textId="77777777" w:rsidR="00FB263D" w:rsidRPr="0003452E" w:rsidRDefault="00FB263D" w:rsidP="00AA76E8">
            <w:pPr>
              <w:pStyle w:val="Tables"/>
            </w:pPr>
            <w:r w:rsidRPr="0003452E">
              <w:t>275</w:t>
            </w:r>
          </w:p>
        </w:tc>
      </w:tr>
      <w:tr w:rsidR="00FB263D" w:rsidRPr="0003452E" w14:paraId="603802E9" w14:textId="77777777" w:rsidTr="00AA76E8">
        <w:trPr>
          <w:trHeight w:val="227"/>
          <w:jc w:val="center"/>
        </w:trPr>
        <w:tc>
          <w:tcPr>
            <w:tcW w:w="0" w:type="auto"/>
            <w:vAlign w:val="center"/>
            <w:hideMark/>
          </w:tcPr>
          <w:p w14:paraId="53F7F3C5" w14:textId="77777777" w:rsidR="00FB263D" w:rsidRPr="0003452E" w:rsidRDefault="00FB263D" w:rsidP="00AA76E8">
            <w:pPr>
              <w:pStyle w:val="Tables"/>
            </w:pPr>
            <w:r w:rsidRPr="0003452E">
              <w:t>NET REVENUE</w:t>
            </w:r>
          </w:p>
        </w:tc>
        <w:tc>
          <w:tcPr>
            <w:tcW w:w="1309" w:type="dxa"/>
            <w:vAlign w:val="center"/>
            <w:hideMark/>
          </w:tcPr>
          <w:p w14:paraId="6A4FBE01" w14:textId="77777777" w:rsidR="00FB263D" w:rsidRPr="0003452E" w:rsidRDefault="00FB263D" w:rsidP="00AA76E8">
            <w:pPr>
              <w:pStyle w:val="Tables"/>
            </w:pPr>
            <w:r w:rsidRPr="0003452E">
              <w:t>...</w:t>
            </w:r>
          </w:p>
        </w:tc>
        <w:tc>
          <w:tcPr>
            <w:tcW w:w="1275" w:type="dxa"/>
            <w:vAlign w:val="center"/>
            <w:hideMark/>
          </w:tcPr>
          <w:p w14:paraId="10392CB8" w14:textId="77777777" w:rsidR="00FB263D" w:rsidRPr="0003452E" w:rsidRDefault="00FB263D" w:rsidP="00AA76E8">
            <w:pPr>
              <w:pStyle w:val="Tables"/>
            </w:pPr>
            <w:r w:rsidRPr="0003452E">
              <w:t>527</w:t>
            </w:r>
          </w:p>
        </w:tc>
        <w:tc>
          <w:tcPr>
            <w:tcW w:w="1985" w:type="dxa"/>
            <w:vAlign w:val="center"/>
            <w:hideMark/>
          </w:tcPr>
          <w:p w14:paraId="7C754816" w14:textId="77777777" w:rsidR="00FB263D" w:rsidRPr="0003452E" w:rsidRDefault="00FB263D" w:rsidP="00AA76E8">
            <w:pPr>
              <w:pStyle w:val="Tables"/>
            </w:pPr>
            <w:r w:rsidRPr="0003452E">
              <w:t>452</w:t>
            </w:r>
          </w:p>
        </w:tc>
        <w:tc>
          <w:tcPr>
            <w:tcW w:w="1672" w:type="dxa"/>
            <w:vAlign w:val="center"/>
            <w:hideMark/>
          </w:tcPr>
          <w:p w14:paraId="3A5B6B81" w14:textId="77777777" w:rsidR="00FB263D" w:rsidRPr="0003452E" w:rsidRDefault="00FB263D" w:rsidP="00AA76E8">
            <w:pPr>
              <w:pStyle w:val="Tables"/>
            </w:pPr>
            <w:r w:rsidRPr="0003452E">
              <w:t>598</w:t>
            </w:r>
          </w:p>
        </w:tc>
      </w:tr>
      <w:tr w:rsidR="00FB263D" w:rsidRPr="0003452E" w14:paraId="6F4688BB" w14:textId="77777777" w:rsidTr="00AA76E8">
        <w:trPr>
          <w:trHeight w:val="227"/>
          <w:jc w:val="center"/>
        </w:trPr>
        <w:tc>
          <w:tcPr>
            <w:tcW w:w="0" w:type="auto"/>
            <w:vAlign w:val="center"/>
            <w:hideMark/>
          </w:tcPr>
          <w:p w14:paraId="5FD496AF" w14:textId="77777777" w:rsidR="00FB263D" w:rsidRPr="0003452E" w:rsidRDefault="00FB263D" w:rsidP="00AA76E8">
            <w:pPr>
              <w:pStyle w:val="Tables"/>
            </w:pPr>
            <w:r w:rsidRPr="0003452E">
              <w:t>TOTAL EXPENDITURE</w:t>
            </w:r>
          </w:p>
        </w:tc>
        <w:tc>
          <w:tcPr>
            <w:tcW w:w="1309" w:type="dxa"/>
            <w:vAlign w:val="center"/>
            <w:hideMark/>
          </w:tcPr>
          <w:p w14:paraId="79A5A2F1" w14:textId="77777777" w:rsidR="00FB263D" w:rsidRPr="0003452E" w:rsidRDefault="00FB263D" w:rsidP="00AA76E8">
            <w:pPr>
              <w:pStyle w:val="Tables"/>
            </w:pPr>
            <w:r w:rsidRPr="0003452E">
              <w:t>...</w:t>
            </w:r>
          </w:p>
        </w:tc>
        <w:tc>
          <w:tcPr>
            <w:tcW w:w="1275" w:type="dxa"/>
            <w:vAlign w:val="center"/>
            <w:hideMark/>
          </w:tcPr>
          <w:p w14:paraId="626902EA" w14:textId="77777777" w:rsidR="00FB263D" w:rsidRPr="0003452E" w:rsidRDefault="00FB263D" w:rsidP="00AA76E8">
            <w:pPr>
              <w:pStyle w:val="Tables"/>
            </w:pPr>
            <w:r w:rsidRPr="0003452E">
              <w:t>742</w:t>
            </w:r>
          </w:p>
        </w:tc>
        <w:tc>
          <w:tcPr>
            <w:tcW w:w="1985" w:type="dxa"/>
            <w:vAlign w:val="center"/>
            <w:hideMark/>
          </w:tcPr>
          <w:p w14:paraId="71A1C583" w14:textId="77777777" w:rsidR="00FB263D" w:rsidRPr="0003452E" w:rsidRDefault="00FB263D" w:rsidP="00AA76E8">
            <w:pPr>
              <w:pStyle w:val="Tables"/>
            </w:pPr>
            <w:r w:rsidRPr="0003452E">
              <w:t>884</w:t>
            </w:r>
          </w:p>
        </w:tc>
        <w:tc>
          <w:tcPr>
            <w:tcW w:w="1672" w:type="dxa"/>
            <w:vAlign w:val="center"/>
            <w:hideMark/>
          </w:tcPr>
          <w:p w14:paraId="6623321E" w14:textId="77777777" w:rsidR="00FB263D" w:rsidRPr="0003452E" w:rsidRDefault="00FB263D" w:rsidP="00AA76E8">
            <w:pPr>
              <w:pStyle w:val="Tables"/>
            </w:pPr>
            <w:r w:rsidRPr="0003452E">
              <w:t>872</w:t>
            </w:r>
          </w:p>
        </w:tc>
      </w:tr>
      <w:tr w:rsidR="00FB263D" w:rsidRPr="0003452E" w14:paraId="5170D1E4" w14:textId="77777777" w:rsidTr="00AA76E8">
        <w:trPr>
          <w:trHeight w:val="227"/>
          <w:jc w:val="center"/>
        </w:trPr>
        <w:tc>
          <w:tcPr>
            <w:tcW w:w="0" w:type="auto"/>
            <w:vAlign w:val="center"/>
            <w:hideMark/>
          </w:tcPr>
          <w:p w14:paraId="47BCED4F" w14:textId="77777777" w:rsidR="00FB263D" w:rsidRPr="0003452E" w:rsidRDefault="00FB263D" w:rsidP="00AA76E8">
            <w:pPr>
              <w:pStyle w:val="Tables"/>
            </w:pPr>
            <w:r w:rsidRPr="0003452E">
              <w:t>Surplus (+) or</w:t>
            </w:r>
          </w:p>
          <w:p w14:paraId="7FF853FB" w14:textId="4172E433" w:rsidR="00FB263D" w:rsidRPr="0003452E" w:rsidRDefault="00FB263D" w:rsidP="00AA76E8">
            <w:pPr>
              <w:pStyle w:val="Tables"/>
            </w:pPr>
            <w:r w:rsidRPr="0003452E">
              <w:t>Deficit (—)</w:t>
            </w:r>
          </w:p>
        </w:tc>
        <w:tc>
          <w:tcPr>
            <w:tcW w:w="1309" w:type="dxa"/>
            <w:vAlign w:val="center"/>
            <w:hideMark/>
          </w:tcPr>
          <w:p w14:paraId="74BAD3AB" w14:textId="77777777" w:rsidR="00FB263D" w:rsidRPr="0003452E" w:rsidRDefault="00FB263D" w:rsidP="00AA76E8">
            <w:pPr>
              <w:pStyle w:val="Tables"/>
            </w:pPr>
            <w:r w:rsidRPr="0003452E">
              <w:t>...</w:t>
            </w:r>
          </w:p>
        </w:tc>
        <w:tc>
          <w:tcPr>
            <w:tcW w:w="1275" w:type="dxa"/>
            <w:vAlign w:val="center"/>
            <w:hideMark/>
          </w:tcPr>
          <w:p w14:paraId="3E574154" w14:textId="77777777" w:rsidR="00FB263D" w:rsidRPr="0003452E" w:rsidRDefault="00FB263D" w:rsidP="00AA76E8">
            <w:pPr>
              <w:pStyle w:val="Tables"/>
            </w:pPr>
            <w:r w:rsidRPr="0003452E">
              <w:t>—215</w:t>
            </w:r>
          </w:p>
        </w:tc>
        <w:tc>
          <w:tcPr>
            <w:tcW w:w="1985" w:type="dxa"/>
            <w:vAlign w:val="center"/>
            <w:hideMark/>
          </w:tcPr>
          <w:p w14:paraId="3472173F" w14:textId="77777777" w:rsidR="00FB263D" w:rsidRPr="0003452E" w:rsidRDefault="00FB263D" w:rsidP="00AA76E8">
            <w:pPr>
              <w:pStyle w:val="Tables"/>
            </w:pPr>
            <w:r w:rsidRPr="0003452E">
              <w:t>—432</w:t>
            </w:r>
          </w:p>
        </w:tc>
        <w:tc>
          <w:tcPr>
            <w:tcW w:w="1672" w:type="dxa"/>
            <w:vAlign w:val="center"/>
            <w:hideMark/>
          </w:tcPr>
          <w:p w14:paraId="17F29CAA" w14:textId="77777777" w:rsidR="00FB263D" w:rsidRPr="0003452E" w:rsidRDefault="00FB263D" w:rsidP="00AA76E8">
            <w:pPr>
              <w:pStyle w:val="Tables"/>
            </w:pPr>
            <w:r w:rsidRPr="0003452E">
              <w:t>—274</w:t>
            </w:r>
          </w:p>
        </w:tc>
      </w:tr>
    </w:tbl>
    <w:p w14:paraId="1040409B" w14:textId="3FBC1410" w:rsidR="00FB263D" w:rsidRPr="0003452E" w:rsidRDefault="00FB263D" w:rsidP="00CF463A">
      <w:pPr>
        <w:pStyle w:val="NoSpacing"/>
        <w:rPr>
          <w:rFonts w:ascii="Times New Roman" w:hAnsi="Times New Roman" w:cs="Times New Roman"/>
          <w:szCs w:val="24"/>
        </w:rPr>
      </w:pPr>
    </w:p>
    <w:p w14:paraId="2D5A7EC8" w14:textId="77777777" w:rsidR="00FB263D" w:rsidRPr="0003452E" w:rsidRDefault="00FB263D">
      <w:pPr>
        <w:rPr>
          <w:rFonts w:ascii="Times New Roman" w:hAnsi="Times New Roman" w:cs="Times New Roman"/>
          <w:szCs w:val="24"/>
        </w:rPr>
      </w:pPr>
      <w:r w:rsidRPr="0003452E">
        <w:rPr>
          <w:rFonts w:ascii="Times New Roman" w:hAnsi="Times New Roman" w:cs="Times New Roman"/>
          <w:szCs w:val="24"/>
        </w:rPr>
        <w:br w:type="page"/>
      </w:r>
    </w:p>
    <w:p w14:paraId="7B4DA63B" w14:textId="1C7E01A2" w:rsidR="00147139" w:rsidRPr="0003452E" w:rsidRDefault="00147139" w:rsidP="005534D4">
      <w:pPr>
        <w:pStyle w:val="NoSpacing"/>
        <w:jc w:val="center"/>
        <w:rPr>
          <w:rFonts w:ascii="Times New Roman" w:hAnsi="Times New Roman" w:cs="Times New Roman"/>
          <w:b/>
          <w:bCs/>
          <w:szCs w:val="24"/>
        </w:rPr>
      </w:pPr>
      <w:r w:rsidRPr="0003452E">
        <w:rPr>
          <w:rFonts w:ascii="Times New Roman" w:hAnsi="Times New Roman" w:cs="Times New Roman"/>
          <w:b/>
          <w:bCs/>
          <w:szCs w:val="24"/>
        </w:rPr>
        <w:lastRenderedPageBreak/>
        <w:t>SUMMARY OF THE BUDGETARY POSITION OF PART A AND PART B</w:t>
      </w:r>
    </w:p>
    <w:p w14:paraId="47109A53" w14:textId="361552C4" w:rsidR="00147139" w:rsidRPr="0003452E" w:rsidRDefault="00147139" w:rsidP="00147139">
      <w:pPr>
        <w:pStyle w:val="NoSpacing"/>
        <w:jc w:val="center"/>
        <w:rPr>
          <w:rFonts w:ascii="Times New Roman" w:hAnsi="Times New Roman" w:cs="Times New Roman"/>
          <w:szCs w:val="24"/>
        </w:rPr>
      </w:pPr>
      <w:r w:rsidRPr="0003452E">
        <w:rPr>
          <w:rFonts w:ascii="Times New Roman" w:hAnsi="Times New Roman" w:cs="Times New Roman"/>
          <w:b/>
          <w:bCs/>
          <w:szCs w:val="24"/>
        </w:rPr>
        <w:t>STATES—conc</w:t>
      </w:r>
      <w:r w:rsidR="00B84B7C" w:rsidRPr="0003452E">
        <w:rPr>
          <w:rFonts w:ascii="Times New Roman" w:hAnsi="Times New Roman" w:cs="Times New Roman"/>
          <w:b/>
          <w:bCs/>
          <w:szCs w:val="24"/>
        </w:rPr>
        <w:t>l</w:t>
      </w:r>
      <w:r w:rsidRPr="0003452E">
        <w:rPr>
          <w:rFonts w:ascii="Times New Roman" w:hAnsi="Times New Roman" w:cs="Times New Roman"/>
          <w:b/>
          <w:bCs/>
          <w:szCs w:val="24"/>
        </w:rPr>
        <w:t>d.</w:t>
      </w:r>
    </w:p>
    <w:p w14:paraId="62FD347F" w14:textId="77777777" w:rsidR="00147139" w:rsidRPr="0003452E" w:rsidRDefault="00147139" w:rsidP="00147139">
      <w:pPr>
        <w:pStyle w:val="NoSpacing"/>
        <w:jc w:val="right"/>
        <w:rPr>
          <w:rFonts w:ascii="Times New Roman" w:hAnsi="Times New Roman" w:cs="Times New Roman"/>
          <w:szCs w:val="24"/>
        </w:rPr>
      </w:pPr>
      <w:r w:rsidRPr="0003452E">
        <w:rPr>
          <w:rFonts w:ascii="Times New Roman" w:hAnsi="Times New Roman" w:cs="Times New Roman"/>
          <w:i/>
          <w:iCs/>
          <w:szCs w:val="24"/>
        </w:rPr>
        <w:t>(In lakhs of rupees)</w:t>
      </w:r>
    </w:p>
    <w:tbl>
      <w:tblPr>
        <w:tblStyle w:val="TableGrid"/>
        <w:tblW w:w="0" w:type="auto"/>
        <w:jc w:val="center"/>
        <w:tblLook w:val="04A0" w:firstRow="1" w:lastRow="0" w:firstColumn="1" w:lastColumn="0" w:noHBand="0" w:noVBand="1"/>
      </w:tblPr>
      <w:tblGrid>
        <w:gridCol w:w="3251"/>
        <w:gridCol w:w="1446"/>
        <w:gridCol w:w="1418"/>
        <w:gridCol w:w="1701"/>
        <w:gridCol w:w="1672"/>
      </w:tblGrid>
      <w:tr w:rsidR="00147139" w:rsidRPr="0003452E" w14:paraId="1627349C" w14:textId="77777777" w:rsidTr="00AA76E8">
        <w:trPr>
          <w:trHeight w:val="227"/>
          <w:jc w:val="center"/>
        </w:trPr>
        <w:tc>
          <w:tcPr>
            <w:tcW w:w="0" w:type="auto"/>
            <w:vAlign w:val="center"/>
            <w:hideMark/>
          </w:tcPr>
          <w:p w14:paraId="26D3DDE1" w14:textId="77777777" w:rsidR="00147139" w:rsidRPr="00390A1B" w:rsidRDefault="00147139" w:rsidP="00AA76E8">
            <w:pPr>
              <w:pStyle w:val="Tables"/>
              <w:rPr>
                <w:b/>
                <w:bCs/>
              </w:rPr>
            </w:pPr>
          </w:p>
        </w:tc>
        <w:tc>
          <w:tcPr>
            <w:tcW w:w="1446" w:type="dxa"/>
            <w:vAlign w:val="center"/>
            <w:hideMark/>
          </w:tcPr>
          <w:p w14:paraId="28F3D03D" w14:textId="77777777" w:rsidR="00147139" w:rsidRPr="00390A1B" w:rsidRDefault="00147139" w:rsidP="00AA76E8">
            <w:pPr>
              <w:pStyle w:val="Tables"/>
              <w:rPr>
                <w:b/>
                <w:bCs/>
              </w:rPr>
            </w:pPr>
            <w:r w:rsidRPr="00390A1B">
              <w:rPr>
                <w:b/>
                <w:bCs/>
              </w:rPr>
              <w:t>1949-50</w:t>
            </w:r>
          </w:p>
        </w:tc>
        <w:tc>
          <w:tcPr>
            <w:tcW w:w="1418" w:type="dxa"/>
            <w:vAlign w:val="center"/>
            <w:hideMark/>
          </w:tcPr>
          <w:p w14:paraId="2C888349" w14:textId="77777777" w:rsidR="00147139" w:rsidRPr="00390A1B" w:rsidRDefault="00147139" w:rsidP="00AA76E8">
            <w:pPr>
              <w:pStyle w:val="Tables"/>
              <w:rPr>
                <w:b/>
                <w:bCs/>
              </w:rPr>
            </w:pPr>
            <w:r w:rsidRPr="00390A1B">
              <w:rPr>
                <w:b/>
                <w:bCs/>
              </w:rPr>
              <w:t>1950-51</w:t>
            </w:r>
          </w:p>
        </w:tc>
        <w:tc>
          <w:tcPr>
            <w:tcW w:w="1701" w:type="dxa"/>
            <w:vAlign w:val="center"/>
            <w:hideMark/>
          </w:tcPr>
          <w:p w14:paraId="2B101A57" w14:textId="77777777" w:rsidR="00147139" w:rsidRPr="00390A1B" w:rsidRDefault="00147139" w:rsidP="00AA76E8">
            <w:pPr>
              <w:pStyle w:val="Tables"/>
              <w:rPr>
                <w:b/>
                <w:bCs/>
              </w:rPr>
            </w:pPr>
            <w:r w:rsidRPr="00390A1B">
              <w:rPr>
                <w:b/>
                <w:bCs/>
              </w:rPr>
              <w:t>1951-52</w:t>
            </w:r>
          </w:p>
          <w:p w14:paraId="0C215A2B" w14:textId="0645490D" w:rsidR="00147139" w:rsidRPr="00390A1B" w:rsidRDefault="00147139" w:rsidP="00AA76E8">
            <w:pPr>
              <w:pStyle w:val="Tables"/>
              <w:rPr>
                <w:b/>
                <w:bCs/>
              </w:rPr>
            </w:pPr>
            <w:r w:rsidRPr="00390A1B">
              <w:rPr>
                <w:b/>
                <w:bCs/>
              </w:rPr>
              <w:t>(Provisional Figures)</w:t>
            </w:r>
          </w:p>
        </w:tc>
        <w:tc>
          <w:tcPr>
            <w:tcW w:w="1672" w:type="dxa"/>
            <w:vAlign w:val="center"/>
            <w:hideMark/>
          </w:tcPr>
          <w:p w14:paraId="2FD0AA52" w14:textId="77777777" w:rsidR="00147139" w:rsidRPr="00390A1B" w:rsidRDefault="00147139" w:rsidP="00AA76E8">
            <w:pPr>
              <w:pStyle w:val="Tables"/>
              <w:rPr>
                <w:b/>
                <w:bCs/>
              </w:rPr>
            </w:pPr>
            <w:r w:rsidRPr="00390A1B">
              <w:rPr>
                <w:b/>
                <w:bCs/>
              </w:rPr>
              <w:t>1952-53</w:t>
            </w:r>
          </w:p>
          <w:p w14:paraId="768CE482" w14:textId="12B11DCB" w:rsidR="00147139" w:rsidRPr="00390A1B" w:rsidRDefault="00147139" w:rsidP="00AA76E8">
            <w:pPr>
              <w:pStyle w:val="Tables"/>
              <w:rPr>
                <w:b/>
                <w:bCs/>
              </w:rPr>
            </w:pPr>
            <w:r w:rsidRPr="00390A1B">
              <w:rPr>
                <w:b/>
                <w:bCs/>
              </w:rPr>
              <w:t>(Budget Estimates)</w:t>
            </w:r>
          </w:p>
        </w:tc>
      </w:tr>
      <w:tr w:rsidR="00147139" w:rsidRPr="0003452E" w14:paraId="4A03FF5C" w14:textId="77777777" w:rsidTr="00AA76E8">
        <w:trPr>
          <w:trHeight w:val="227"/>
          <w:jc w:val="center"/>
        </w:trPr>
        <w:tc>
          <w:tcPr>
            <w:tcW w:w="9322" w:type="dxa"/>
            <w:gridSpan w:val="5"/>
            <w:vAlign w:val="center"/>
            <w:hideMark/>
          </w:tcPr>
          <w:p w14:paraId="1AF68B42" w14:textId="77777777" w:rsidR="00147139" w:rsidRPr="00390A1B" w:rsidRDefault="00147139" w:rsidP="00AA76E8">
            <w:pPr>
              <w:pStyle w:val="Tables"/>
              <w:rPr>
                <w:b/>
                <w:bCs/>
              </w:rPr>
            </w:pPr>
            <w:r w:rsidRPr="00390A1B">
              <w:rPr>
                <w:b/>
                <w:bCs/>
              </w:rPr>
              <w:t>TRAVANCORE-COCHIN</w:t>
            </w:r>
          </w:p>
          <w:p w14:paraId="707B6CA6" w14:textId="5D4E862F" w:rsidR="00147139" w:rsidRPr="0003452E" w:rsidRDefault="00147139" w:rsidP="00AA76E8">
            <w:pPr>
              <w:pStyle w:val="Tables"/>
            </w:pPr>
          </w:p>
        </w:tc>
      </w:tr>
      <w:tr w:rsidR="00147139" w:rsidRPr="0003452E" w14:paraId="2F31FAAC" w14:textId="77777777" w:rsidTr="00AA76E8">
        <w:trPr>
          <w:trHeight w:val="227"/>
          <w:jc w:val="center"/>
        </w:trPr>
        <w:tc>
          <w:tcPr>
            <w:tcW w:w="0" w:type="auto"/>
            <w:vAlign w:val="center"/>
            <w:hideMark/>
          </w:tcPr>
          <w:p w14:paraId="16684B5C" w14:textId="77777777" w:rsidR="00147139" w:rsidRPr="0003452E" w:rsidRDefault="00147139" w:rsidP="00AA76E8">
            <w:pPr>
              <w:pStyle w:val="Tables"/>
            </w:pPr>
            <w:r w:rsidRPr="0003452E">
              <w:t>TOTAL REVENUE</w:t>
            </w:r>
          </w:p>
        </w:tc>
        <w:tc>
          <w:tcPr>
            <w:tcW w:w="1446" w:type="dxa"/>
            <w:vAlign w:val="center"/>
            <w:hideMark/>
          </w:tcPr>
          <w:p w14:paraId="3A1FC138" w14:textId="77777777" w:rsidR="00147139" w:rsidRPr="0003452E" w:rsidRDefault="00147139" w:rsidP="00AA76E8">
            <w:pPr>
              <w:pStyle w:val="Tables"/>
            </w:pPr>
            <w:r w:rsidRPr="0003452E">
              <w:t>...</w:t>
            </w:r>
          </w:p>
        </w:tc>
        <w:tc>
          <w:tcPr>
            <w:tcW w:w="1418" w:type="dxa"/>
            <w:vAlign w:val="center"/>
            <w:hideMark/>
          </w:tcPr>
          <w:p w14:paraId="6F444F0B" w14:textId="77777777" w:rsidR="00147139" w:rsidRPr="0003452E" w:rsidRDefault="00147139" w:rsidP="00AA76E8">
            <w:pPr>
              <w:pStyle w:val="Tables"/>
            </w:pPr>
            <w:r w:rsidRPr="0003452E">
              <w:t>1399</w:t>
            </w:r>
          </w:p>
        </w:tc>
        <w:tc>
          <w:tcPr>
            <w:tcW w:w="1701" w:type="dxa"/>
            <w:vAlign w:val="center"/>
            <w:hideMark/>
          </w:tcPr>
          <w:p w14:paraId="2A9940B3" w14:textId="77777777" w:rsidR="00147139" w:rsidRPr="0003452E" w:rsidRDefault="00147139" w:rsidP="00AA76E8">
            <w:pPr>
              <w:pStyle w:val="Tables"/>
            </w:pPr>
            <w:r w:rsidRPr="0003452E">
              <w:t>1790</w:t>
            </w:r>
          </w:p>
        </w:tc>
        <w:tc>
          <w:tcPr>
            <w:tcW w:w="1672" w:type="dxa"/>
            <w:vAlign w:val="center"/>
            <w:hideMark/>
          </w:tcPr>
          <w:p w14:paraId="5453D57D" w14:textId="77777777" w:rsidR="00147139" w:rsidRPr="0003452E" w:rsidRDefault="00147139" w:rsidP="00AA76E8">
            <w:pPr>
              <w:pStyle w:val="Tables"/>
            </w:pPr>
            <w:r w:rsidRPr="0003452E">
              <w:t>1684</w:t>
            </w:r>
          </w:p>
        </w:tc>
      </w:tr>
      <w:tr w:rsidR="00147139" w:rsidRPr="0003452E" w14:paraId="2CD05D9C" w14:textId="77777777" w:rsidTr="00AA76E8">
        <w:trPr>
          <w:trHeight w:val="227"/>
          <w:jc w:val="center"/>
        </w:trPr>
        <w:tc>
          <w:tcPr>
            <w:tcW w:w="0" w:type="auto"/>
            <w:vAlign w:val="center"/>
            <w:hideMark/>
          </w:tcPr>
          <w:p w14:paraId="2B6A5F4B" w14:textId="77777777" w:rsidR="00147139" w:rsidRPr="0003452E" w:rsidRDefault="00147139" w:rsidP="00AA76E8">
            <w:pPr>
              <w:pStyle w:val="Tables"/>
            </w:pPr>
            <w:r w:rsidRPr="0003452E">
              <w:t>Deduct—</w:t>
            </w:r>
          </w:p>
        </w:tc>
        <w:tc>
          <w:tcPr>
            <w:tcW w:w="1446" w:type="dxa"/>
            <w:vAlign w:val="center"/>
            <w:hideMark/>
          </w:tcPr>
          <w:p w14:paraId="2AD68CAD" w14:textId="77777777" w:rsidR="00147139" w:rsidRPr="0003452E" w:rsidRDefault="00147139" w:rsidP="00AA76E8">
            <w:pPr>
              <w:pStyle w:val="Tables"/>
            </w:pPr>
          </w:p>
        </w:tc>
        <w:tc>
          <w:tcPr>
            <w:tcW w:w="1418" w:type="dxa"/>
            <w:vAlign w:val="center"/>
            <w:hideMark/>
          </w:tcPr>
          <w:p w14:paraId="03DF86D1" w14:textId="77777777" w:rsidR="00147139" w:rsidRPr="0003452E" w:rsidRDefault="00147139" w:rsidP="00AA76E8">
            <w:pPr>
              <w:pStyle w:val="Tables"/>
            </w:pPr>
          </w:p>
        </w:tc>
        <w:tc>
          <w:tcPr>
            <w:tcW w:w="1701" w:type="dxa"/>
            <w:vAlign w:val="center"/>
            <w:hideMark/>
          </w:tcPr>
          <w:p w14:paraId="3143BBB8" w14:textId="77777777" w:rsidR="00147139" w:rsidRPr="0003452E" w:rsidRDefault="00147139" w:rsidP="00AA76E8">
            <w:pPr>
              <w:pStyle w:val="Tables"/>
            </w:pPr>
          </w:p>
        </w:tc>
        <w:tc>
          <w:tcPr>
            <w:tcW w:w="1672" w:type="dxa"/>
            <w:vAlign w:val="center"/>
            <w:hideMark/>
          </w:tcPr>
          <w:p w14:paraId="0E8559BD" w14:textId="77777777" w:rsidR="00147139" w:rsidRPr="0003452E" w:rsidRDefault="00147139" w:rsidP="00AA76E8">
            <w:pPr>
              <w:pStyle w:val="Tables"/>
            </w:pPr>
          </w:p>
        </w:tc>
      </w:tr>
      <w:tr w:rsidR="00147139" w:rsidRPr="0003452E" w14:paraId="711423C2" w14:textId="77777777" w:rsidTr="00AA76E8">
        <w:trPr>
          <w:trHeight w:val="227"/>
          <w:jc w:val="center"/>
        </w:trPr>
        <w:tc>
          <w:tcPr>
            <w:tcW w:w="0" w:type="auto"/>
            <w:vAlign w:val="center"/>
            <w:hideMark/>
          </w:tcPr>
          <w:p w14:paraId="50A3FB1E" w14:textId="77777777" w:rsidR="00147139" w:rsidRPr="0003452E" w:rsidRDefault="00147139" w:rsidP="00AA76E8">
            <w:pPr>
              <w:pStyle w:val="Tables"/>
            </w:pPr>
            <w:r w:rsidRPr="0003452E">
              <w:t>(i) Share of Central Income Tax</w:t>
            </w:r>
          </w:p>
        </w:tc>
        <w:tc>
          <w:tcPr>
            <w:tcW w:w="1446" w:type="dxa"/>
            <w:vAlign w:val="center"/>
            <w:hideMark/>
          </w:tcPr>
          <w:p w14:paraId="3DE598BF" w14:textId="77777777" w:rsidR="00147139" w:rsidRPr="0003452E" w:rsidRDefault="00147139" w:rsidP="00AA76E8">
            <w:pPr>
              <w:pStyle w:val="Tables"/>
            </w:pPr>
            <w:r w:rsidRPr="0003452E">
              <w:t>...</w:t>
            </w:r>
          </w:p>
        </w:tc>
        <w:tc>
          <w:tcPr>
            <w:tcW w:w="1418" w:type="dxa"/>
            <w:vAlign w:val="center"/>
            <w:hideMark/>
          </w:tcPr>
          <w:p w14:paraId="2C21B1FA" w14:textId="77777777" w:rsidR="00147139" w:rsidRPr="0003452E" w:rsidRDefault="00147139" w:rsidP="00AA76E8">
            <w:pPr>
              <w:pStyle w:val="Tables"/>
            </w:pPr>
            <w:r w:rsidRPr="0003452E">
              <w:t>—</w:t>
            </w:r>
          </w:p>
        </w:tc>
        <w:tc>
          <w:tcPr>
            <w:tcW w:w="1701" w:type="dxa"/>
            <w:vAlign w:val="center"/>
            <w:hideMark/>
          </w:tcPr>
          <w:p w14:paraId="23B58E73" w14:textId="77777777" w:rsidR="00147139" w:rsidRPr="0003452E" w:rsidRDefault="00147139" w:rsidP="00AA76E8">
            <w:pPr>
              <w:pStyle w:val="Tables"/>
            </w:pPr>
            <w:r w:rsidRPr="0003452E">
              <w:t>—</w:t>
            </w:r>
          </w:p>
        </w:tc>
        <w:tc>
          <w:tcPr>
            <w:tcW w:w="1672" w:type="dxa"/>
            <w:vAlign w:val="center"/>
            <w:hideMark/>
          </w:tcPr>
          <w:p w14:paraId="0726A853" w14:textId="77777777" w:rsidR="00147139" w:rsidRPr="0003452E" w:rsidRDefault="00147139" w:rsidP="00AA76E8">
            <w:pPr>
              <w:pStyle w:val="Tables"/>
            </w:pPr>
            <w:r w:rsidRPr="0003452E">
              <w:t>—</w:t>
            </w:r>
          </w:p>
        </w:tc>
      </w:tr>
      <w:tr w:rsidR="00147139" w:rsidRPr="0003452E" w14:paraId="1C0401FE" w14:textId="77777777" w:rsidTr="00AA76E8">
        <w:trPr>
          <w:trHeight w:val="227"/>
          <w:jc w:val="center"/>
        </w:trPr>
        <w:tc>
          <w:tcPr>
            <w:tcW w:w="0" w:type="auto"/>
            <w:vAlign w:val="center"/>
            <w:hideMark/>
          </w:tcPr>
          <w:p w14:paraId="2CACBEBE" w14:textId="77777777" w:rsidR="00147139" w:rsidRPr="0003452E" w:rsidRDefault="00147139" w:rsidP="00AA76E8">
            <w:pPr>
              <w:pStyle w:val="Tables"/>
            </w:pPr>
            <w:r w:rsidRPr="0003452E">
              <w:t>(ii) Grants-in-aid</w:t>
            </w:r>
          </w:p>
        </w:tc>
        <w:tc>
          <w:tcPr>
            <w:tcW w:w="1446" w:type="dxa"/>
            <w:vAlign w:val="center"/>
            <w:hideMark/>
          </w:tcPr>
          <w:p w14:paraId="7A1E3CD6" w14:textId="77777777" w:rsidR="00147139" w:rsidRPr="0003452E" w:rsidRDefault="00147139" w:rsidP="00AA76E8">
            <w:pPr>
              <w:pStyle w:val="Tables"/>
            </w:pPr>
            <w:r w:rsidRPr="0003452E">
              <w:t>...</w:t>
            </w:r>
          </w:p>
        </w:tc>
        <w:tc>
          <w:tcPr>
            <w:tcW w:w="1418" w:type="dxa"/>
            <w:vAlign w:val="center"/>
            <w:hideMark/>
          </w:tcPr>
          <w:p w14:paraId="7510D852" w14:textId="77777777" w:rsidR="00147139" w:rsidRPr="0003452E" w:rsidRDefault="00147139" w:rsidP="00AA76E8">
            <w:pPr>
              <w:pStyle w:val="Tables"/>
            </w:pPr>
            <w:r w:rsidRPr="0003452E">
              <w:t>280</w:t>
            </w:r>
          </w:p>
        </w:tc>
        <w:tc>
          <w:tcPr>
            <w:tcW w:w="1701" w:type="dxa"/>
            <w:vAlign w:val="center"/>
            <w:hideMark/>
          </w:tcPr>
          <w:p w14:paraId="2247C84A" w14:textId="77777777" w:rsidR="00147139" w:rsidRPr="0003452E" w:rsidRDefault="00147139" w:rsidP="00AA76E8">
            <w:pPr>
              <w:pStyle w:val="Tables"/>
            </w:pPr>
            <w:r w:rsidRPr="0003452E">
              <w:t>363</w:t>
            </w:r>
          </w:p>
        </w:tc>
        <w:tc>
          <w:tcPr>
            <w:tcW w:w="1672" w:type="dxa"/>
            <w:vAlign w:val="center"/>
            <w:hideMark/>
          </w:tcPr>
          <w:p w14:paraId="36DB7428" w14:textId="77777777" w:rsidR="00147139" w:rsidRPr="0003452E" w:rsidRDefault="00147139" w:rsidP="00AA76E8">
            <w:pPr>
              <w:pStyle w:val="Tables"/>
            </w:pPr>
            <w:r w:rsidRPr="0003452E">
              <w:t>305</w:t>
            </w:r>
          </w:p>
        </w:tc>
      </w:tr>
      <w:tr w:rsidR="00147139" w:rsidRPr="0003452E" w14:paraId="05B8E8DA" w14:textId="77777777" w:rsidTr="00AA76E8">
        <w:trPr>
          <w:trHeight w:val="227"/>
          <w:jc w:val="center"/>
        </w:trPr>
        <w:tc>
          <w:tcPr>
            <w:tcW w:w="0" w:type="auto"/>
            <w:vAlign w:val="center"/>
            <w:hideMark/>
          </w:tcPr>
          <w:p w14:paraId="60CD307C" w14:textId="77777777" w:rsidR="00147139" w:rsidRPr="0003452E" w:rsidRDefault="00147139" w:rsidP="00AA76E8">
            <w:pPr>
              <w:pStyle w:val="Tables"/>
            </w:pPr>
            <w:r w:rsidRPr="0003452E">
              <w:t>NET REVENUE</w:t>
            </w:r>
          </w:p>
        </w:tc>
        <w:tc>
          <w:tcPr>
            <w:tcW w:w="1446" w:type="dxa"/>
            <w:vAlign w:val="center"/>
            <w:hideMark/>
          </w:tcPr>
          <w:p w14:paraId="3AC9DC44" w14:textId="77777777" w:rsidR="00147139" w:rsidRPr="0003452E" w:rsidRDefault="00147139" w:rsidP="00AA76E8">
            <w:pPr>
              <w:pStyle w:val="Tables"/>
            </w:pPr>
            <w:r w:rsidRPr="0003452E">
              <w:t>...</w:t>
            </w:r>
          </w:p>
        </w:tc>
        <w:tc>
          <w:tcPr>
            <w:tcW w:w="1418" w:type="dxa"/>
            <w:vAlign w:val="center"/>
            <w:hideMark/>
          </w:tcPr>
          <w:p w14:paraId="6D13E0A9" w14:textId="77777777" w:rsidR="00147139" w:rsidRPr="0003452E" w:rsidRDefault="00147139" w:rsidP="00AA76E8">
            <w:pPr>
              <w:pStyle w:val="Tables"/>
            </w:pPr>
            <w:r w:rsidRPr="0003452E">
              <w:t>1119</w:t>
            </w:r>
          </w:p>
        </w:tc>
        <w:tc>
          <w:tcPr>
            <w:tcW w:w="1701" w:type="dxa"/>
            <w:vAlign w:val="center"/>
            <w:hideMark/>
          </w:tcPr>
          <w:p w14:paraId="2E9EA9EF" w14:textId="77777777" w:rsidR="00147139" w:rsidRPr="0003452E" w:rsidRDefault="00147139" w:rsidP="00AA76E8">
            <w:pPr>
              <w:pStyle w:val="Tables"/>
            </w:pPr>
            <w:r w:rsidRPr="0003452E">
              <w:t>1427</w:t>
            </w:r>
          </w:p>
        </w:tc>
        <w:tc>
          <w:tcPr>
            <w:tcW w:w="1672" w:type="dxa"/>
            <w:vAlign w:val="center"/>
            <w:hideMark/>
          </w:tcPr>
          <w:p w14:paraId="17E9F717" w14:textId="77777777" w:rsidR="00147139" w:rsidRPr="0003452E" w:rsidRDefault="00147139" w:rsidP="00AA76E8">
            <w:pPr>
              <w:pStyle w:val="Tables"/>
            </w:pPr>
            <w:r w:rsidRPr="0003452E">
              <w:t>1379</w:t>
            </w:r>
          </w:p>
        </w:tc>
      </w:tr>
      <w:tr w:rsidR="00147139" w:rsidRPr="0003452E" w14:paraId="6DE35DA5" w14:textId="77777777" w:rsidTr="00AA76E8">
        <w:trPr>
          <w:trHeight w:val="227"/>
          <w:jc w:val="center"/>
        </w:trPr>
        <w:tc>
          <w:tcPr>
            <w:tcW w:w="0" w:type="auto"/>
            <w:vAlign w:val="center"/>
            <w:hideMark/>
          </w:tcPr>
          <w:p w14:paraId="21C9AF37" w14:textId="77777777" w:rsidR="00147139" w:rsidRPr="0003452E" w:rsidRDefault="00147139" w:rsidP="00AA76E8">
            <w:pPr>
              <w:pStyle w:val="Tables"/>
            </w:pPr>
            <w:r w:rsidRPr="0003452E">
              <w:t>TOTAL EXPENDITURE</w:t>
            </w:r>
          </w:p>
        </w:tc>
        <w:tc>
          <w:tcPr>
            <w:tcW w:w="1446" w:type="dxa"/>
            <w:vAlign w:val="center"/>
            <w:hideMark/>
          </w:tcPr>
          <w:p w14:paraId="5153976A" w14:textId="77777777" w:rsidR="00147139" w:rsidRPr="0003452E" w:rsidRDefault="00147139" w:rsidP="00AA76E8">
            <w:pPr>
              <w:pStyle w:val="Tables"/>
            </w:pPr>
            <w:r w:rsidRPr="0003452E">
              <w:t>...</w:t>
            </w:r>
          </w:p>
        </w:tc>
        <w:tc>
          <w:tcPr>
            <w:tcW w:w="1418" w:type="dxa"/>
            <w:vAlign w:val="center"/>
            <w:hideMark/>
          </w:tcPr>
          <w:p w14:paraId="0EE48D76" w14:textId="77777777" w:rsidR="00147139" w:rsidRPr="0003452E" w:rsidRDefault="00147139" w:rsidP="00AA76E8">
            <w:pPr>
              <w:pStyle w:val="Tables"/>
            </w:pPr>
            <w:r w:rsidRPr="0003452E">
              <w:t>1274</w:t>
            </w:r>
          </w:p>
        </w:tc>
        <w:tc>
          <w:tcPr>
            <w:tcW w:w="1701" w:type="dxa"/>
            <w:vAlign w:val="center"/>
            <w:hideMark/>
          </w:tcPr>
          <w:p w14:paraId="71139412" w14:textId="77777777" w:rsidR="00147139" w:rsidRPr="0003452E" w:rsidRDefault="00147139" w:rsidP="00AA76E8">
            <w:pPr>
              <w:pStyle w:val="Tables"/>
            </w:pPr>
            <w:r w:rsidRPr="0003452E">
              <w:t>1352</w:t>
            </w:r>
          </w:p>
        </w:tc>
        <w:tc>
          <w:tcPr>
            <w:tcW w:w="1672" w:type="dxa"/>
            <w:vAlign w:val="center"/>
            <w:hideMark/>
          </w:tcPr>
          <w:p w14:paraId="17247D30" w14:textId="77777777" w:rsidR="00147139" w:rsidRPr="0003452E" w:rsidRDefault="00147139" w:rsidP="00AA76E8">
            <w:pPr>
              <w:pStyle w:val="Tables"/>
            </w:pPr>
            <w:r w:rsidRPr="0003452E">
              <w:t>1693</w:t>
            </w:r>
          </w:p>
        </w:tc>
      </w:tr>
      <w:tr w:rsidR="00147139" w:rsidRPr="0003452E" w14:paraId="7FEE4466" w14:textId="77777777" w:rsidTr="00AA76E8">
        <w:trPr>
          <w:trHeight w:val="227"/>
          <w:jc w:val="center"/>
        </w:trPr>
        <w:tc>
          <w:tcPr>
            <w:tcW w:w="0" w:type="auto"/>
            <w:vAlign w:val="center"/>
            <w:hideMark/>
          </w:tcPr>
          <w:p w14:paraId="468C8085" w14:textId="77777777" w:rsidR="00147139" w:rsidRPr="0003452E" w:rsidRDefault="00147139" w:rsidP="00AA76E8">
            <w:pPr>
              <w:pStyle w:val="Tables"/>
            </w:pPr>
            <w:r w:rsidRPr="0003452E">
              <w:t>Surplus (+) or Deficit (—)</w:t>
            </w:r>
          </w:p>
        </w:tc>
        <w:tc>
          <w:tcPr>
            <w:tcW w:w="1446" w:type="dxa"/>
            <w:vAlign w:val="center"/>
            <w:hideMark/>
          </w:tcPr>
          <w:p w14:paraId="172B58A4" w14:textId="77777777" w:rsidR="00147139" w:rsidRPr="0003452E" w:rsidRDefault="00147139" w:rsidP="00AA76E8">
            <w:pPr>
              <w:pStyle w:val="Tables"/>
            </w:pPr>
            <w:r w:rsidRPr="0003452E">
              <w:t>...</w:t>
            </w:r>
          </w:p>
        </w:tc>
        <w:tc>
          <w:tcPr>
            <w:tcW w:w="1418" w:type="dxa"/>
            <w:vAlign w:val="center"/>
            <w:hideMark/>
          </w:tcPr>
          <w:p w14:paraId="74F45BC0" w14:textId="77777777" w:rsidR="00147139" w:rsidRPr="0003452E" w:rsidRDefault="00147139" w:rsidP="00AA76E8">
            <w:pPr>
              <w:pStyle w:val="Tables"/>
            </w:pPr>
            <w:r w:rsidRPr="0003452E">
              <w:t>—155</w:t>
            </w:r>
          </w:p>
        </w:tc>
        <w:tc>
          <w:tcPr>
            <w:tcW w:w="1701" w:type="dxa"/>
            <w:vAlign w:val="center"/>
            <w:hideMark/>
          </w:tcPr>
          <w:p w14:paraId="5D70BC39" w14:textId="77777777" w:rsidR="00147139" w:rsidRPr="0003452E" w:rsidRDefault="00147139" w:rsidP="00AA76E8">
            <w:pPr>
              <w:pStyle w:val="Tables"/>
            </w:pPr>
            <w:r w:rsidRPr="0003452E">
              <w:t>+75</w:t>
            </w:r>
          </w:p>
        </w:tc>
        <w:tc>
          <w:tcPr>
            <w:tcW w:w="1672" w:type="dxa"/>
            <w:vAlign w:val="center"/>
            <w:hideMark/>
          </w:tcPr>
          <w:p w14:paraId="48F1D111" w14:textId="77777777" w:rsidR="00147139" w:rsidRPr="0003452E" w:rsidRDefault="00147139" w:rsidP="00AA76E8">
            <w:pPr>
              <w:pStyle w:val="Tables"/>
            </w:pPr>
            <w:r w:rsidRPr="0003452E">
              <w:t>—314</w:t>
            </w:r>
          </w:p>
        </w:tc>
      </w:tr>
    </w:tbl>
    <w:p w14:paraId="72C30B57" w14:textId="7F493565" w:rsidR="00147139" w:rsidRPr="0003452E" w:rsidRDefault="00147139" w:rsidP="00AA76E8">
      <w:pPr>
        <w:pStyle w:val="Sources"/>
        <w:ind w:firstLine="284"/>
      </w:pPr>
      <w:r w:rsidRPr="0003452E">
        <w:t>Total Revenue excludes transfers from Post-war Development or Revenue Reserve Funds.</w:t>
      </w:r>
    </w:p>
    <w:p w14:paraId="3F970669" w14:textId="77777777" w:rsidR="00147139" w:rsidRPr="0003452E" w:rsidRDefault="00147139" w:rsidP="00AA76E8">
      <w:pPr>
        <w:pStyle w:val="Sources"/>
        <w:ind w:firstLine="284"/>
      </w:pPr>
      <w:r w:rsidRPr="0003452E">
        <w:t>Total Expenditure excludes transfers to Post-war Development or Revenue Reserve Funds.</w:t>
      </w:r>
    </w:p>
    <w:p w14:paraId="1FDDC316" w14:textId="77777777" w:rsidR="00147139" w:rsidRPr="0003452E" w:rsidRDefault="00147139" w:rsidP="00AA76E8">
      <w:pPr>
        <w:pStyle w:val="Sources"/>
        <w:ind w:firstLine="284"/>
      </w:pPr>
      <w:r w:rsidRPr="0003452E">
        <w:t>Grants-in-aid are the grants in lieu of jute export duty, revenue gap grants, subventions and special grants to West Bengal and Punjab.</w:t>
      </w:r>
    </w:p>
    <w:p w14:paraId="1991EDC6" w14:textId="77777777" w:rsidR="00147139" w:rsidRPr="0003452E" w:rsidRDefault="00147139" w:rsidP="00AA76E8">
      <w:pPr>
        <w:pStyle w:val="Sources"/>
        <w:ind w:firstLine="284"/>
      </w:pPr>
      <w:r w:rsidRPr="0003452E">
        <w:t>Receipts from additional taxation in Madras, Bombay and Hyderabad for 1952-53 are included in total revenue.</w:t>
      </w:r>
    </w:p>
    <w:p w14:paraId="0E5B830C" w14:textId="77777777" w:rsidR="00147139" w:rsidRPr="0003452E" w:rsidRDefault="00147139" w:rsidP="00AA76E8">
      <w:pPr>
        <w:pStyle w:val="Sources"/>
        <w:ind w:firstLine="284"/>
      </w:pPr>
      <w:r w:rsidRPr="0003452E">
        <w:t>Special Development Grants to backward B States, are excluded.</w:t>
      </w:r>
    </w:p>
    <w:p w14:paraId="67BF2D16" w14:textId="77777777" w:rsidR="00147139" w:rsidRPr="0003452E" w:rsidRDefault="00147139" w:rsidP="00AA76E8">
      <w:pPr>
        <w:pStyle w:val="Sources"/>
        <w:ind w:firstLine="284"/>
      </w:pPr>
      <w:r w:rsidRPr="0003452E">
        <w:t>In arriving at the net total revenue, the share of income tax and statutory grants [i.e., those under Articles 273, 275 and 278(1) (b) of the Constitution or the corresponding provisions of the Government of India Act, 1935] have been deducted from total revenue.</w:t>
      </w:r>
    </w:p>
    <w:p w14:paraId="2C319B01" w14:textId="77777777" w:rsidR="00147139" w:rsidRPr="0003452E" w:rsidRDefault="00147139" w:rsidP="00AA76E8">
      <w:pPr>
        <w:pStyle w:val="Sources"/>
        <w:ind w:firstLine="284"/>
      </w:pPr>
      <w:r w:rsidRPr="0003452E">
        <w:t>The revenue and expenditure of the Government of Mysore for 1951-52 and 1952-53 take into account only net figures under "Industries and Supplies".</w:t>
      </w:r>
    </w:p>
    <w:p w14:paraId="0614526E" w14:textId="77777777" w:rsidR="00147139" w:rsidRPr="0003452E" w:rsidRDefault="00147139" w:rsidP="00AA76E8">
      <w:pPr>
        <w:pStyle w:val="Sources"/>
        <w:ind w:firstLine="284"/>
      </w:pPr>
      <w:r w:rsidRPr="0003452E">
        <w:t>The information that the Government of Orissa are not eligible for any federal revenue gap grant was received by them after finalising their budget for 1952-53. Further, as the State expected their share of Central income tax to go up, they decided not to alter the estimates already adopted.</w:t>
      </w:r>
    </w:p>
    <w:p w14:paraId="54AAEA00" w14:textId="77777777" w:rsidR="00147139" w:rsidRPr="0003452E" w:rsidRDefault="00147139" w:rsidP="00AA76E8">
      <w:pPr>
        <w:pStyle w:val="Sources"/>
        <w:ind w:firstLine="284"/>
        <w:rPr>
          <w:szCs w:val="24"/>
        </w:rPr>
      </w:pPr>
      <w:r w:rsidRPr="00AA76E8">
        <w:t>Figures</w:t>
      </w:r>
      <w:r w:rsidRPr="0003452E">
        <w:rPr>
          <w:szCs w:val="24"/>
        </w:rPr>
        <w:t xml:space="preserve"> for 1951-52 are provisional.</w:t>
      </w:r>
    </w:p>
    <w:p w14:paraId="213C41FF" w14:textId="77777777" w:rsidR="00B84B7C" w:rsidRPr="0003452E" w:rsidRDefault="00B84B7C" w:rsidP="00147139">
      <w:pPr>
        <w:pStyle w:val="NoSpacing"/>
        <w:rPr>
          <w:rFonts w:ascii="Times New Roman" w:hAnsi="Times New Roman" w:cs="Times New Roman"/>
          <w:szCs w:val="24"/>
        </w:rPr>
      </w:pPr>
    </w:p>
    <w:p w14:paraId="213E96B0" w14:textId="7927A9D6" w:rsidR="00B84B7C" w:rsidRPr="0003452E" w:rsidRDefault="00B84B7C">
      <w:pPr>
        <w:rPr>
          <w:rFonts w:ascii="Times New Roman" w:hAnsi="Times New Roman" w:cs="Times New Roman"/>
          <w:szCs w:val="24"/>
        </w:rPr>
      </w:pPr>
      <w:r w:rsidRPr="0003452E">
        <w:rPr>
          <w:rFonts w:ascii="Times New Roman" w:hAnsi="Times New Roman" w:cs="Times New Roman"/>
          <w:szCs w:val="24"/>
        </w:rPr>
        <w:br w:type="page"/>
      </w:r>
    </w:p>
    <w:p w14:paraId="01AB7706" w14:textId="2A01D375" w:rsidR="00B84B7C" w:rsidRPr="0003452E" w:rsidRDefault="00B84B7C">
      <w:pPr>
        <w:rPr>
          <w:rFonts w:ascii="Times New Roman" w:hAnsi="Times New Roman" w:cs="Times New Roman"/>
          <w:szCs w:val="24"/>
        </w:rPr>
      </w:pPr>
      <w:r w:rsidRPr="0003452E">
        <w:rPr>
          <w:rFonts w:ascii="Times New Roman" w:hAnsi="Times New Roman" w:cs="Times New Roman"/>
          <w:szCs w:val="24"/>
        </w:rPr>
        <w:lastRenderedPageBreak/>
        <w:br w:type="page"/>
      </w:r>
    </w:p>
    <w:p w14:paraId="231A04C7" w14:textId="77777777" w:rsidR="00B84B7C" w:rsidRPr="0003452E" w:rsidRDefault="00B84B7C" w:rsidP="00147139">
      <w:pPr>
        <w:pStyle w:val="NoSpacing"/>
        <w:rPr>
          <w:rFonts w:ascii="Times New Roman" w:hAnsi="Times New Roman" w:cs="Times New Roman"/>
          <w:szCs w:val="24"/>
        </w:rPr>
      </w:pPr>
    </w:p>
    <w:p w14:paraId="0B7F17F0" w14:textId="77777777" w:rsidR="00B84B7C" w:rsidRPr="0003452E" w:rsidRDefault="00B84B7C" w:rsidP="00147139">
      <w:pPr>
        <w:pStyle w:val="NoSpacing"/>
        <w:rPr>
          <w:rFonts w:ascii="Times New Roman" w:hAnsi="Times New Roman" w:cs="Times New Roman"/>
          <w:szCs w:val="24"/>
        </w:rPr>
      </w:pPr>
    </w:p>
    <w:p w14:paraId="39893448" w14:textId="77777777" w:rsidR="00B84B7C" w:rsidRPr="0003452E" w:rsidRDefault="00B84B7C" w:rsidP="00147139">
      <w:pPr>
        <w:pStyle w:val="NoSpacing"/>
        <w:rPr>
          <w:rFonts w:ascii="Times New Roman" w:hAnsi="Times New Roman" w:cs="Times New Roman"/>
          <w:szCs w:val="24"/>
        </w:rPr>
      </w:pPr>
    </w:p>
    <w:p w14:paraId="3A5DE4B2" w14:textId="77777777" w:rsidR="00B84B7C" w:rsidRPr="0003452E" w:rsidRDefault="00B84B7C" w:rsidP="00147139">
      <w:pPr>
        <w:pStyle w:val="NoSpacing"/>
        <w:rPr>
          <w:rFonts w:ascii="Times New Roman" w:hAnsi="Times New Roman" w:cs="Times New Roman"/>
          <w:szCs w:val="24"/>
        </w:rPr>
      </w:pPr>
    </w:p>
    <w:p w14:paraId="168E827F" w14:textId="77777777" w:rsidR="00B84B7C" w:rsidRPr="0003452E" w:rsidRDefault="00B84B7C" w:rsidP="00147139">
      <w:pPr>
        <w:pStyle w:val="NoSpacing"/>
        <w:rPr>
          <w:rFonts w:ascii="Times New Roman" w:hAnsi="Times New Roman" w:cs="Times New Roman"/>
          <w:szCs w:val="24"/>
        </w:rPr>
      </w:pPr>
    </w:p>
    <w:p w14:paraId="16C9A882" w14:textId="77777777" w:rsidR="00B84B7C" w:rsidRPr="0003452E" w:rsidRDefault="00B84B7C" w:rsidP="00147139">
      <w:pPr>
        <w:pStyle w:val="NoSpacing"/>
        <w:rPr>
          <w:rFonts w:ascii="Times New Roman" w:hAnsi="Times New Roman" w:cs="Times New Roman"/>
          <w:szCs w:val="24"/>
        </w:rPr>
      </w:pPr>
    </w:p>
    <w:p w14:paraId="5E143A81" w14:textId="77777777" w:rsidR="00B84B7C" w:rsidRPr="0003452E" w:rsidRDefault="00B84B7C" w:rsidP="00147139">
      <w:pPr>
        <w:pStyle w:val="NoSpacing"/>
        <w:rPr>
          <w:rFonts w:ascii="Times New Roman" w:hAnsi="Times New Roman" w:cs="Times New Roman"/>
          <w:szCs w:val="24"/>
        </w:rPr>
      </w:pPr>
    </w:p>
    <w:p w14:paraId="5131B61C" w14:textId="77777777" w:rsidR="00B84B7C" w:rsidRPr="0003452E" w:rsidRDefault="00B84B7C" w:rsidP="00147139">
      <w:pPr>
        <w:pStyle w:val="NoSpacing"/>
        <w:rPr>
          <w:rFonts w:ascii="Times New Roman" w:hAnsi="Times New Roman" w:cs="Times New Roman"/>
          <w:szCs w:val="24"/>
        </w:rPr>
      </w:pPr>
    </w:p>
    <w:p w14:paraId="38CADFF7" w14:textId="77777777" w:rsidR="00B84B7C" w:rsidRPr="0003452E" w:rsidRDefault="00B84B7C" w:rsidP="00147139">
      <w:pPr>
        <w:pStyle w:val="NoSpacing"/>
        <w:rPr>
          <w:rFonts w:ascii="Times New Roman" w:hAnsi="Times New Roman" w:cs="Times New Roman"/>
          <w:szCs w:val="24"/>
        </w:rPr>
      </w:pPr>
    </w:p>
    <w:p w14:paraId="20A1223B" w14:textId="77777777" w:rsidR="00B84B7C" w:rsidRPr="0003452E" w:rsidRDefault="00B84B7C" w:rsidP="00147139">
      <w:pPr>
        <w:pStyle w:val="NoSpacing"/>
        <w:rPr>
          <w:rFonts w:ascii="Times New Roman" w:hAnsi="Times New Roman" w:cs="Times New Roman"/>
          <w:szCs w:val="24"/>
        </w:rPr>
      </w:pPr>
    </w:p>
    <w:p w14:paraId="1C2A161F" w14:textId="77777777" w:rsidR="00B84B7C" w:rsidRPr="0003452E" w:rsidRDefault="00B84B7C" w:rsidP="00147139">
      <w:pPr>
        <w:pStyle w:val="NoSpacing"/>
        <w:rPr>
          <w:rFonts w:ascii="Times New Roman" w:hAnsi="Times New Roman" w:cs="Times New Roman"/>
          <w:szCs w:val="24"/>
        </w:rPr>
      </w:pPr>
    </w:p>
    <w:p w14:paraId="2089B766" w14:textId="77777777" w:rsidR="00B84B7C" w:rsidRPr="0003452E" w:rsidRDefault="00B84B7C" w:rsidP="00147139">
      <w:pPr>
        <w:pStyle w:val="NoSpacing"/>
        <w:rPr>
          <w:rFonts w:ascii="Times New Roman" w:hAnsi="Times New Roman" w:cs="Times New Roman"/>
          <w:szCs w:val="24"/>
        </w:rPr>
      </w:pPr>
    </w:p>
    <w:p w14:paraId="5ECC989C" w14:textId="4C99AAF5" w:rsidR="00B84B7C" w:rsidRPr="0003452E" w:rsidRDefault="00C417A2" w:rsidP="00147139">
      <w:pPr>
        <w:pStyle w:val="NoSpacing"/>
        <w:rPr>
          <w:rFonts w:ascii="Times New Roman" w:hAnsi="Times New Roman" w:cs="Times New Roman"/>
          <w:szCs w:val="24"/>
        </w:rPr>
      </w:pPr>
      <w:r>
        <w:rPr>
          <w:rFonts w:ascii="Times New Roman" w:hAnsi="Times New Roman" w:cs="Times New Roman"/>
          <w:szCs w:val="24"/>
        </w:rPr>
        <w:t>_______________________________________________________________________________</w:t>
      </w:r>
    </w:p>
    <w:p w14:paraId="3BA6D2EB" w14:textId="77777777" w:rsidR="00B84B7C" w:rsidRPr="0003452E" w:rsidRDefault="00B84B7C" w:rsidP="00147139">
      <w:pPr>
        <w:pStyle w:val="NoSpacing"/>
        <w:rPr>
          <w:rFonts w:ascii="Times New Roman" w:hAnsi="Times New Roman" w:cs="Times New Roman"/>
          <w:szCs w:val="24"/>
        </w:rPr>
      </w:pPr>
    </w:p>
    <w:p w14:paraId="479AE061" w14:textId="77777777" w:rsidR="00B84B7C" w:rsidRPr="0003452E" w:rsidRDefault="00B84B7C" w:rsidP="00147139">
      <w:pPr>
        <w:pStyle w:val="NoSpacing"/>
        <w:rPr>
          <w:rFonts w:ascii="Times New Roman" w:hAnsi="Times New Roman" w:cs="Times New Roman"/>
          <w:szCs w:val="24"/>
        </w:rPr>
      </w:pPr>
    </w:p>
    <w:p w14:paraId="365814CC" w14:textId="77777777" w:rsidR="00B84B7C" w:rsidRPr="0003452E" w:rsidRDefault="00B84B7C" w:rsidP="00147139">
      <w:pPr>
        <w:pStyle w:val="NoSpacing"/>
        <w:rPr>
          <w:rFonts w:ascii="Times New Roman" w:hAnsi="Times New Roman" w:cs="Times New Roman"/>
          <w:szCs w:val="24"/>
        </w:rPr>
      </w:pPr>
    </w:p>
    <w:p w14:paraId="0A490901" w14:textId="77777777" w:rsidR="00B84B7C" w:rsidRPr="0003452E" w:rsidRDefault="00B84B7C" w:rsidP="00147139">
      <w:pPr>
        <w:pStyle w:val="NoSpacing"/>
        <w:rPr>
          <w:rFonts w:ascii="Times New Roman" w:hAnsi="Times New Roman" w:cs="Times New Roman"/>
          <w:szCs w:val="24"/>
        </w:rPr>
      </w:pPr>
    </w:p>
    <w:p w14:paraId="0D4FECAD" w14:textId="77777777" w:rsidR="00B84B7C" w:rsidRPr="0003452E" w:rsidRDefault="00B84B7C" w:rsidP="00147139">
      <w:pPr>
        <w:pStyle w:val="NoSpacing"/>
        <w:rPr>
          <w:rFonts w:ascii="Times New Roman" w:hAnsi="Times New Roman" w:cs="Times New Roman"/>
          <w:szCs w:val="24"/>
        </w:rPr>
      </w:pPr>
    </w:p>
    <w:p w14:paraId="6D834BD7" w14:textId="70CD4503" w:rsidR="00C417A2" w:rsidRDefault="00B84B7C" w:rsidP="0075507D">
      <w:pPr>
        <w:pStyle w:val="Heading2"/>
      </w:pPr>
      <w:bookmarkStart w:id="22" w:name="_Toc221007131"/>
      <w:r w:rsidRPr="0003452E">
        <w:t>APPENDIX IX</w:t>
      </w:r>
      <w:r w:rsidR="00C417A2">
        <w:t xml:space="preserve"> </w:t>
      </w:r>
      <w:r w:rsidR="0075507D">
        <w:br/>
      </w:r>
      <w:r w:rsidRPr="0003452E">
        <w:t>STATISTICAL TABLES</w:t>
      </w:r>
      <w:bookmarkEnd w:id="22"/>
    </w:p>
    <w:p w14:paraId="41BBA9DB" w14:textId="5B3AF171" w:rsidR="00C417A2" w:rsidRDefault="00C417A2" w:rsidP="00C417A2">
      <w:pPr>
        <w:pStyle w:val="NoSpacing"/>
        <w:jc w:val="center"/>
        <w:rPr>
          <w:rFonts w:ascii="Times New Roman" w:hAnsi="Times New Roman" w:cs="Times New Roman"/>
          <w:b/>
          <w:bCs/>
          <w:sz w:val="48"/>
          <w:szCs w:val="48"/>
        </w:rPr>
      </w:pPr>
    </w:p>
    <w:p w14:paraId="569CA9B6" w14:textId="20E84042" w:rsidR="00C417A2" w:rsidRPr="00C417A2" w:rsidRDefault="00C417A2" w:rsidP="00C417A2">
      <w:pPr>
        <w:pStyle w:val="NoSpacing"/>
        <w:jc w:val="center"/>
        <w:rPr>
          <w:rFonts w:ascii="Times New Roman" w:hAnsi="Times New Roman" w:cs="Times New Roman"/>
          <w:sz w:val="48"/>
          <w:szCs w:val="48"/>
        </w:rPr>
      </w:pPr>
      <w:r w:rsidRPr="00C417A2">
        <w:rPr>
          <w:rFonts w:ascii="Times New Roman" w:hAnsi="Times New Roman" w:cs="Times New Roman"/>
          <w:sz w:val="48"/>
          <w:szCs w:val="48"/>
        </w:rPr>
        <w:t>_______________________________________</w:t>
      </w:r>
    </w:p>
    <w:p w14:paraId="42BD10E7" w14:textId="77777777" w:rsidR="00C417A2" w:rsidRDefault="00C417A2">
      <w:pPr>
        <w:rPr>
          <w:rFonts w:ascii="Times New Roman" w:hAnsi="Times New Roman" w:cs="Times New Roman"/>
          <w:b/>
          <w:bCs/>
          <w:sz w:val="48"/>
          <w:szCs w:val="48"/>
        </w:rPr>
      </w:pPr>
    </w:p>
    <w:p w14:paraId="71B87621" w14:textId="77777777" w:rsidR="00C417A2" w:rsidRPr="0003452E" w:rsidRDefault="00C417A2">
      <w:pPr>
        <w:rPr>
          <w:rFonts w:ascii="Times New Roman" w:hAnsi="Times New Roman" w:cs="Times New Roman"/>
          <w:b/>
          <w:bCs/>
          <w:sz w:val="48"/>
          <w:szCs w:val="48"/>
        </w:rPr>
      </w:pPr>
    </w:p>
    <w:p w14:paraId="2EE4DC80" w14:textId="00B60623" w:rsidR="00B84B7C" w:rsidRPr="0003452E" w:rsidRDefault="00B84B7C">
      <w:pPr>
        <w:rPr>
          <w:rFonts w:ascii="Times New Roman" w:hAnsi="Times New Roman" w:cs="Times New Roman"/>
          <w:b/>
          <w:bCs/>
          <w:szCs w:val="24"/>
        </w:rPr>
      </w:pPr>
      <w:r w:rsidRPr="0003452E">
        <w:rPr>
          <w:rFonts w:ascii="Times New Roman" w:hAnsi="Times New Roman" w:cs="Times New Roman"/>
          <w:b/>
          <w:bCs/>
          <w:szCs w:val="24"/>
        </w:rPr>
        <w:br w:type="page"/>
      </w:r>
    </w:p>
    <w:p w14:paraId="6F09019F" w14:textId="77777777" w:rsidR="005534D4" w:rsidRDefault="005534D4">
      <w:pPr>
        <w:rPr>
          <w:rFonts w:ascii="Times New Roman" w:hAnsi="Times New Roman" w:cs="Times New Roman"/>
          <w:b/>
          <w:bCs/>
          <w:szCs w:val="24"/>
        </w:rPr>
      </w:pPr>
      <w:r>
        <w:rPr>
          <w:rFonts w:ascii="Times New Roman" w:hAnsi="Times New Roman" w:cs="Times New Roman"/>
          <w:b/>
          <w:bCs/>
          <w:szCs w:val="24"/>
        </w:rPr>
        <w:lastRenderedPageBreak/>
        <w:br w:type="page"/>
      </w:r>
    </w:p>
    <w:p w14:paraId="176C61C5" w14:textId="7EB4896C" w:rsidR="00451A25" w:rsidRPr="0003452E" w:rsidRDefault="00C417A2">
      <w:pPr>
        <w:rPr>
          <w:rFonts w:ascii="Times New Roman" w:hAnsi="Times New Roman" w:cs="Times New Roman"/>
          <w:b/>
          <w:bCs/>
          <w:szCs w:val="24"/>
        </w:rPr>
      </w:pPr>
      <w:r w:rsidRPr="00390A1B">
        <w:rPr>
          <w:rFonts w:ascii="Times New Roman" w:hAnsi="Times New Roman" w:cs="Times New Roman"/>
          <w:b/>
          <w:bCs/>
          <w:noProof/>
          <w:szCs w:val="24"/>
          <w:highlight w:val="yellow"/>
        </w:rPr>
        <w:lastRenderedPageBreak/>
        <w:drawing>
          <wp:inline distT="0" distB="0" distL="0" distR="0" wp14:anchorId="1750614B" wp14:editId="719F601F">
            <wp:extent cx="6031230" cy="5933440"/>
            <wp:effectExtent l="38100" t="38100" r="45720" b="29210"/>
            <wp:docPr id="9034636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463627" name=""/>
                    <pic:cNvPicPr/>
                  </pic:nvPicPr>
                  <pic:blipFill>
                    <a:blip r:embed="rId18"/>
                    <a:stretch>
                      <a:fillRect/>
                    </a:stretch>
                  </pic:blipFill>
                  <pic:spPr>
                    <a:xfrm>
                      <a:off x="0" y="0"/>
                      <a:ext cx="6031230" cy="5933440"/>
                    </a:xfrm>
                    <a:prstGeom prst="rect">
                      <a:avLst/>
                    </a:prstGeom>
                    <a:ln w="38100">
                      <a:solidFill>
                        <a:schemeClr val="tx1"/>
                      </a:solidFill>
                    </a:ln>
                  </pic:spPr>
                </pic:pic>
              </a:graphicData>
            </a:graphic>
          </wp:inline>
        </w:drawing>
      </w:r>
    </w:p>
    <w:p w14:paraId="5E0DD361" w14:textId="77777777" w:rsidR="005534D4" w:rsidRDefault="005534D4">
      <w:pPr>
        <w:rPr>
          <w:rFonts w:ascii="Times New Roman" w:hAnsi="Times New Roman" w:cs="Times New Roman"/>
          <w:b/>
          <w:bCs/>
          <w:szCs w:val="24"/>
        </w:rPr>
      </w:pPr>
      <w:r>
        <w:rPr>
          <w:rFonts w:ascii="Times New Roman" w:hAnsi="Times New Roman" w:cs="Times New Roman"/>
          <w:b/>
          <w:bCs/>
          <w:szCs w:val="24"/>
        </w:rPr>
        <w:br w:type="page"/>
      </w:r>
    </w:p>
    <w:p w14:paraId="22098BDF" w14:textId="02A50AD3" w:rsidR="003A52D4" w:rsidRPr="005534D4" w:rsidRDefault="003A52D4" w:rsidP="0075507D">
      <w:pPr>
        <w:pStyle w:val="Heading3"/>
      </w:pPr>
      <w:bookmarkStart w:id="23" w:name="_Toc221007132"/>
      <w:r w:rsidRPr="0003452E">
        <w:lastRenderedPageBreak/>
        <w:t xml:space="preserve">1. Statement </w:t>
      </w:r>
      <w:r w:rsidRPr="005534D4">
        <w:t>showing Population and Area of Part A and Part B States</w:t>
      </w:r>
      <w:r w:rsidR="005534D4" w:rsidRPr="005534D4">
        <w:t xml:space="preserve"> </w:t>
      </w:r>
      <w:r w:rsidRPr="005534D4">
        <w:t>on the basis of 1951 Census</w:t>
      </w:r>
      <w:bookmarkEnd w:id="23"/>
    </w:p>
    <w:p w14:paraId="1BF189C7" w14:textId="77777777" w:rsidR="003A52D4" w:rsidRPr="005534D4" w:rsidRDefault="003A52D4" w:rsidP="003A52D4">
      <w:pPr>
        <w:pStyle w:val="NoSpacing"/>
        <w:jc w:val="center"/>
        <w:rPr>
          <w:rFonts w:ascii="Times New Roman" w:hAnsi="Times New Roman" w:cs="Times New Roman"/>
          <w:b/>
          <w:bCs/>
          <w:szCs w:val="24"/>
        </w:rPr>
      </w:pPr>
    </w:p>
    <w:tbl>
      <w:tblPr>
        <w:tblStyle w:val="TableGrid"/>
        <w:tblW w:w="0" w:type="auto"/>
        <w:tblLook w:val="04A0" w:firstRow="1" w:lastRow="0" w:firstColumn="1" w:lastColumn="0" w:noHBand="0" w:noVBand="1"/>
      </w:tblPr>
      <w:tblGrid>
        <w:gridCol w:w="3580"/>
        <w:gridCol w:w="1616"/>
        <w:gridCol w:w="1533"/>
        <w:gridCol w:w="1266"/>
        <w:gridCol w:w="1493"/>
      </w:tblGrid>
      <w:tr w:rsidR="003A52D4" w:rsidRPr="005534D4" w14:paraId="4A87615F" w14:textId="77777777" w:rsidTr="00390A1B">
        <w:tc>
          <w:tcPr>
            <w:tcW w:w="0" w:type="auto"/>
            <w:vAlign w:val="center"/>
            <w:hideMark/>
          </w:tcPr>
          <w:p w14:paraId="6347B1CB" w14:textId="77777777" w:rsidR="003A52D4" w:rsidRPr="00390A1B" w:rsidRDefault="003A52D4" w:rsidP="00390A1B">
            <w:pPr>
              <w:pStyle w:val="NoSpacing"/>
              <w:jc w:val="center"/>
              <w:rPr>
                <w:rFonts w:ascii="Times New Roman" w:hAnsi="Times New Roman" w:cs="Times New Roman"/>
                <w:b/>
                <w:bCs/>
                <w:sz w:val="28"/>
                <w:szCs w:val="28"/>
              </w:rPr>
            </w:pPr>
            <w:r w:rsidRPr="00390A1B">
              <w:rPr>
                <w:rFonts w:ascii="Times New Roman" w:hAnsi="Times New Roman" w:cs="Times New Roman"/>
                <w:b/>
                <w:bCs/>
                <w:sz w:val="28"/>
                <w:szCs w:val="28"/>
              </w:rPr>
              <w:t>State</w:t>
            </w:r>
          </w:p>
        </w:tc>
        <w:tc>
          <w:tcPr>
            <w:tcW w:w="0" w:type="auto"/>
            <w:vAlign w:val="center"/>
            <w:hideMark/>
          </w:tcPr>
          <w:p w14:paraId="507C9309" w14:textId="77777777" w:rsidR="003A52D4" w:rsidRPr="00390A1B" w:rsidRDefault="003A52D4" w:rsidP="00390A1B">
            <w:pPr>
              <w:pStyle w:val="NoSpacing"/>
              <w:jc w:val="center"/>
              <w:rPr>
                <w:rFonts w:ascii="Times New Roman" w:hAnsi="Times New Roman" w:cs="Times New Roman"/>
                <w:b/>
                <w:bCs/>
                <w:sz w:val="28"/>
                <w:szCs w:val="28"/>
              </w:rPr>
            </w:pPr>
            <w:r w:rsidRPr="00390A1B">
              <w:rPr>
                <w:rFonts w:ascii="Times New Roman" w:hAnsi="Times New Roman" w:cs="Times New Roman"/>
                <w:b/>
                <w:bCs/>
                <w:sz w:val="28"/>
                <w:szCs w:val="28"/>
              </w:rPr>
              <w:t>Population</w:t>
            </w:r>
          </w:p>
        </w:tc>
        <w:tc>
          <w:tcPr>
            <w:tcW w:w="0" w:type="auto"/>
            <w:vAlign w:val="center"/>
            <w:hideMark/>
          </w:tcPr>
          <w:p w14:paraId="2BF937C2" w14:textId="77777777" w:rsidR="003A52D4" w:rsidRPr="00390A1B" w:rsidRDefault="003A52D4" w:rsidP="00390A1B">
            <w:pPr>
              <w:pStyle w:val="NoSpacing"/>
              <w:jc w:val="center"/>
              <w:rPr>
                <w:rFonts w:ascii="Times New Roman" w:hAnsi="Times New Roman" w:cs="Times New Roman"/>
                <w:b/>
                <w:bCs/>
                <w:sz w:val="28"/>
                <w:szCs w:val="28"/>
              </w:rPr>
            </w:pPr>
            <w:r w:rsidRPr="00390A1B">
              <w:rPr>
                <w:rFonts w:ascii="Times New Roman" w:hAnsi="Times New Roman" w:cs="Times New Roman"/>
                <w:b/>
                <w:bCs/>
                <w:sz w:val="28"/>
                <w:szCs w:val="28"/>
              </w:rPr>
              <w:t>Percentage</w:t>
            </w:r>
          </w:p>
          <w:p w14:paraId="3CBA6198" w14:textId="566D3F4D" w:rsidR="003A52D4" w:rsidRPr="00390A1B" w:rsidRDefault="00390A1B" w:rsidP="00390A1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o</w:t>
            </w:r>
            <w:r w:rsidR="003A52D4" w:rsidRPr="00390A1B">
              <w:rPr>
                <w:rFonts w:ascii="Times New Roman" w:hAnsi="Times New Roman" w:cs="Times New Roman"/>
                <w:b/>
                <w:bCs/>
                <w:sz w:val="28"/>
                <w:szCs w:val="28"/>
              </w:rPr>
              <w:t>f</w:t>
            </w:r>
          </w:p>
          <w:p w14:paraId="56219563" w14:textId="088E4EAF" w:rsidR="003A52D4" w:rsidRPr="00390A1B" w:rsidRDefault="003A52D4" w:rsidP="00390A1B">
            <w:pPr>
              <w:pStyle w:val="NoSpacing"/>
              <w:jc w:val="center"/>
              <w:rPr>
                <w:rFonts w:ascii="Times New Roman" w:hAnsi="Times New Roman" w:cs="Times New Roman"/>
                <w:b/>
                <w:bCs/>
                <w:sz w:val="28"/>
                <w:szCs w:val="28"/>
              </w:rPr>
            </w:pPr>
            <w:r w:rsidRPr="00390A1B">
              <w:rPr>
                <w:rFonts w:ascii="Times New Roman" w:hAnsi="Times New Roman" w:cs="Times New Roman"/>
                <w:b/>
                <w:bCs/>
                <w:sz w:val="28"/>
                <w:szCs w:val="28"/>
              </w:rPr>
              <w:t>Total</w:t>
            </w:r>
          </w:p>
        </w:tc>
        <w:tc>
          <w:tcPr>
            <w:tcW w:w="0" w:type="auto"/>
            <w:vAlign w:val="center"/>
            <w:hideMark/>
          </w:tcPr>
          <w:p w14:paraId="3C2E8019" w14:textId="382261DD" w:rsidR="003A52D4" w:rsidRPr="00390A1B" w:rsidRDefault="003A52D4" w:rsidP="00390A1B">
            <w:pPr>
              <w:pStyle w:val="NoSpacing"/>
              <w:jc w:val="center"/>
              <w:rPr>
                <w:rFonts w:ascii="Times New Roman" w:hAnsi="Times New Roman" w:cs="Times New Roman"/>
                <w:b/>
                <w:bCs/>
                <w:sz w:val="28"/>
                <w:szCs w:val="28"/>
              </w:rPr>
            </w:pPr>
            <w:r w:rsidRPr="00390A1B">
              <w:rPr>
                <w:rFonts w:ascii="Times New Roman" w:hAnsi="Times New Roman" w:cs="Times New Roman"/>
                <w:b/>
                <w:bCs/>
                <w:sz w:val="28"/>
                <w:szCs w:val="28"/>
              </w:rPr>
              <w:t>Area</w:t>
            </w:r>
          </w:p>
          <w:p w14:paraId="616CDDFD" w14:textId="425118BA" w:rsidR="003A52D4" w:rsidRPr="00390A1B" w:rsidRDefault="003A52D4" w:rsidP="00390A1B">
            <w:pPr>
              <w:pStyle w:val="NoSpacing"/>
              <w:jc w:val="center"/>
              <w:rPr>
                <w:rFonts w:ascii="Times New Roman" w:hAnsi="Times New Roman" w:cs="Times New Roman"/>
                <w:b/>
                <w:bCs/>
                <w:sz w:val="28"/>
                <w:szCs w:val="28"/>
              </w:rPr>
            </w:pPr>
            <w:r w:rsidRPr="00390A1B">
              <w:rPr>
                <w:rFonts w:ascii="Times New Roman" w:hAnsi="Times New Roman" w:cs="Times New Roman"/>
                <w:b/>
                <w:bCs/>
                <w:sz w:val="28"/>
                <w:szCs w:val="28"/>
              </w:rPr>
              <w:t>sq. miles</w:t>
            </w:r>
          </w:p>
        </w:tc>
        <w:tc>
          <w:tcPr>
            <w:tcW w:w="0" w:type="auto"/>
            <w:vAlign w:val="center"/>
            <w:hideMark/>
          </w:tcPr>
          <w:p w14:paraId="78462FE2" w14:textId="1A111C8D" w:rsidR="003A52D4" w:rsidRPr="00390A1B" w:rsidRDefault="003A52D4" w:rsidP="00390A1B">
            <w:pPr>
              <w:pStyle w:val="NoSpacing"/>
              <w:jc w:val="center"/>
              <w:rPr>
                <w:rFonts w:ascii="Times New Roman" w:hAnsi="Times New Roman" w:cs="Times New Roman"/>
                <w:b/>
                <w:bCs/>
                <w:sz w:val="28"/>
                <w:szCs w:val="28"/>
              </w:rPr>
            </w:pPr>
            <w:r w:rsidRPr="00390A1B">
              <w:rPr>
                <w:rFonts w:ascii="Times New Roman" w:hAnsi="Times New Roman" w:cs="Times New Roman"/>
                <w:b/>
                <w:bCs/>
                <w:sz w:val="28"/>
                <w:szCs w:val="28"/>
              </w:rPr>
              <w:t>Density</w:t>
            </w:r>
          </w:p>
          <w:p w14:paraId="288D29C0" w14:textId="5EF50178" w:rsidR="003A52D4" w:rsidRPr="00390A1B" w:rsidRDefault="003A52D4" w:rsidP="00390A1B">
            <w:pPr>
              <w:pStyle w:val="NoSpacing"/>
              <w:jc w:val="center"/>
              <w:rPr>
                <w:rFonts w:ascii="Times New Roman" w:hAnsi="Times New Roman" w:cs="Times New Roman"/>
                <w:b/>
                <w:bCs/>
                <w:sz w:val="28"/>
                <w:szCs w:val="28"/>
              </w:rPr>
            </w:pPr>
            <w:r w:rsidRPr="00390A1B">
              <w:rPr>
                <w:rFonts w:ascii="Times New Roman" w:hAnsi="Times New Roman" w:cs="Times New Roman"/>
                <w:b/>
                <w:bCs/>
                <w:sz w:val="28"/>
                <w:szCs w:val="28"/>
              </w:rPr>
              <w:t>per sq. mile</w:t>
            </w:r>
          </w:p>
        </w:tc>
      </w:tr>
      <w:tr w:rsidR="003A52D4" w:rsidRPr="005534D4" w14:paraId="4D26C244" w14:textId="77777777" w:rsidTr="005534D4">
        <w:tc>
          <w:tcPr>
            <w:tcW w:w="0" w:type="auto"/>
            <w:hideMark/>
          </w:tcPr>
          <w:p w14:paraId="46AF634F" w14:textId="77777777" w:rsidR="003A52D4" w:rsidRPr="005534D4" w:rsidRDefault="003A52D4" w:rsidP="003A52D4">
            <w:pPr>
              <w:pStyle w:val="NoSpacing"/>
              <w:rPr>
                <w:rFonts w:ascii="Times New Roman" w:hAnsi="Times New Roman" w:cs="Times New Roman"/>
                <w:sz w:val="28"/>
                <w:szCs w:val="28"/>
              </w:rPr>
            </w:pPr>
            <w:r w:rsidRPr="005534D4">
              <w:rPr>
                <w:rFonts w:ascii="Times New Roman" w:hAnsi="Times New Roman" w:cs="Times New Roman"/>
                <w:sz w:val="28"/>
                <w:szCs w:val="28"/>
              </w:rPr>
              <w:t>Assam*</w:t>
            </w:r>
          </w:p>
        </w:tc>
        <w:tc>
          <w:tcPr>
            <w:tcW w:w="0" w:type="auto"/>
            <w:vAlign w:val="center"/>
            <w:hideMark/>
          </w:tcPr>
          <w:p w14:paraId="5181B9D2"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90,43,707</w:t>
            </w:r>
          </w:p>
        </w:tc>
        <w:tc>
          <w:tcPr>
            <w:tcW w:w="0" w:type="auto"/>
            <w:vAlign w:val="center"/>
            <w:hideMark/>
          </w:tcPr>
          <w:p w14:paraId="78C28B3F" w14:textId="1E69F3E0"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2</w:t>
            </w:r>
            <w:r w:rsidR="00563CF4">
              <w:rPr>
                <w:rFonts w:ascii="Times New Roman" w:hAnsi="Times New Roman" w:cs="Times New Roman"/>
                <w:sz w:val="28"/>
                <w:szCs w:val="28"/>
              </w:rPr>
              <w:t>.</w:t>
            </w:r>
            <w:r w:rsidRPr="005534D4">
              <w:rPr>
                <w:rFonts w:ascii="Times New Roman" w:hAnsi="Times New Roman" w:cs="Times New Roman"/>
                <w:sz w:val="28"/>
                <w:szCs w:val="28"/>
              </w:rPr>
              <w:t>61</w:t>
            </w:r>
          </w:p>
        </w:tc>
        <w:tc>
          <w:tcPr>
            <w:tcW w:w="0" w:type="auto"/>
            <w:vAlign w:val="center"/>
            <w:hideMark/>
          </w:tcPr>
          <w:p w14:paraId="5A64E78C"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54,084</w:t>
            </w:r>
          </w:p>
        </w:tc>
        <w:tc>
          <w:tcPr>
            <w:tcW w:w="0" w:type="auto"/>
            <w:vAlign w:val="center"/>
            <w:hideMark/>
          </w:tcPr>
          <w:p w14:paraId="6C13C2D8"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167·2</w:t>
            </w:r>
          </w:p>
        </w:tc>
      </w:tr>
      <w:tr w:rsidR="003A52D4" w:rsidRPr="005534D4" w14:paraId="24C982DD" w14:textId="77777777" w:rsidTr="005534D4">
        <w:tc>
          <w:tcPr>
            <w:tcW w:w="0" w:type="auto"/>
            <w:hideMark/>
          </w:tcPr>
          <w:p w14:paraId="62F796D3" w14:textId="77777777" w:rsidR="003A52D4" w:rsidRPr="005534D4" w:rsidRDefault="003A52D4" w:rsidP="003A52D4">
            <w:pPr>
              <w:pStyle w:val="NoSpacing"/>
              <w:rPr>
                <w:rFonts w:ascii="Times New Roman" w:hAnsi="Times New Roman" w:cs="Times New Roman"/>
                <w:sz w:val="28"/>
                <w:szCs w:val="28"/>
              </w:rPr>
            </w:pPr>
            <w:r w:rsidRPr="005534D4">
              <w:rPr>
                <w:rFonts w:ascii="Times New Roman" w:hAnsi="Times New Roman" w:cs="Times New Roman"/>
                <w:sz w:val="28"/>
                <w:szCs w:val="28"/>
              </w:rPr>
              <w:t>Bihar</w:t>
            </w:r>
          </w:p>
        </w:tc>
        <w:tc>
          <w:tcPr>
            <w:tcW w:w="0" w:type="auto"/>
            <w:vAlign w:val="center"/>
            <w:hideMark/>
          </w:tcPr>
          <w:p w14:paraId="4F61FA9D"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402,25,947</w:t>
            </w:r>
          </w:p>
        </w:tc>
        <w:tc>
          <w:tcPr>
            <w:tcW w:w="0" w:type="auto"/>
            <w:vAlign w:val="center"/>
            <w:hideMark/>
          </w:tcPr>
          <w:p w14:paraId="7CD82A54" w14:textId="444B4696"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11</w:t>
            </w:r>
            <w:r w:rsidR="00563CF4">
              <w:rPr>
                <w:rFonts w:ascii="Times New Roman" w:hAnsi="Times New Roman" w:cs="Times New Roman"/>
                <w:sz w:val="28"/>
                <w:szCs w:val="28"/>
              </w:rPr>
              <w:t>.</w:t>
            </w:r>
            <w:r w:rsidRPr="005534D4">
              <w:rPr>
                <w:rFonts w:ascii="Times New Roman" w:hAnsi="Times New Roman" w:cs="Times New Roman"/>
                <w:sz w:val="28"/>
                <w:szCs w:val="28"/>
              </w:rPr>
              <w:t>60</w:t>
            </w:r>
          </w:p>
        </w:tc>
        <w:tc>
          <w:tcPr>
            <w:tcW w:w="0" w:type="auto"/>
            <w:vAlign w:val="center"/>
            <w:hideMark/>
          </w:tcPr>
          <w:p w14:paraId="0BDCDBCB"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70,330</w:t>
            </w:r>
          </w:p>
        </w:tc>
        <w:tc>
          <w:tcPr>
            <w:tcW w:w="0" w:type="auto"/>
            <w:vAlign w:val="center"/>
            <w:hideMark/>
          </w:tcPr>
          <w:p w14:paraId="32E8B737"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572·0</w:t>
            </w:r>
          </w:p>
        </w:tc>
      </w:tr>
      <w:tr w:rsidR="003A52D4" w:rsidRPr="005534D4" w14:paraId="2FE987BF" w14:textId="77777777" w:rsidTr="005534D4">
        <w:tc>
          <w:tcPr>
            <w:tcW w:w="0" w:type="auto"/>
            <w:hideMark/>
          </w:tcPr>
          <w:p w14:paraId="61AE0F81" w14:textId="77777777" w:rsidR="003A52D4" w:rsidRPr="005534D4" w:rsidRDefault="003A52D4" w:rsidP="003A52D4">
            <w:pPr>
              <w:pStyle w:val="NoSpacing"/>
              <w:rPr>
                <w:rFonts w:ascii="Times New Roman" w:hAnsi="Times New Roman" w:cs="Times New Roman"/>
                <w:sz w:val="28"/>
                <w:szCs w:val="28"/>
              </w:rPr>
            </w:pPr>
            <w:r w:rsidRPr="005534D4">
              <w:rPr>
                <w:rFonts w:ascii="Times New Roman" w:hAnsi="Times New Roman" w:cs="Times New Roman"/>
                <w:sz w:val="28"/>
                <w:szCs w:val="28"/>
              </w:rPr>
              <w:t>Bombay</w:t>
            </w:r>
          </w:p>
        </w:tc>
        <w:tc>
          <w:tcPr>
            <w:tcW w:w="0" w:type="auto"/>
            <w:vAlign w:val="center"/>
            <w:hideMark/>
          </w:tcPr>
          <w:p w14:paraId="6D95C30B"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359,56,150</w:t>
            </w:r>
          </w:p>
        </w:tc>
        <w:tc>
          <w:tcPr>
            <w:tcW w:w="0" w:type="auto"/>
            <w:vAlign w:val="center"/>
            <w:hideMark/>
          </w:tcPr>
          <w:p w14:paraId="25686E84" w14:textId="1FA25A66"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10</w:t>
            </w:r>
            <w:r w:rsidR="00563CF4">
              <w:rPr>
                <w:rFonts w:ascii="Times New Roman" w:hAnsi="Times New Roman" w:cs="Times New Roman"/>
                <w:sz w:val="28"/>
                <w:szCs w:val="28"/>
              </w:rPr>
              <w:t>.</w:t>
            </w:r>
            <w:r w:rsidRPr="005534D4">
              <w:rPr>
                <w:rFonts w:ascii="Times New Roman" w:hAnsi="Times New Roman" w:cs="Times New Roman"/>
                <w:sz w:val="28"/>
                <w:szCs w:val="28"/>
              </w:rPr>
              <w:t>37</w:t>
            </w:r>
          </w:p>
        </w:tc>
        <w:tc>
          <w:tcPr>
            <w:tcW w:w="0" w:type="auto"/>
            <w:vAlign w:val="center"/>
            <w:hideMark/>
          </w:tcPr>
          <w:p w14:paraId="326478A0"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111,434</w:t>
            </w:r>
          </w:p>
        </w:tc>
        <w:tc>
          <w:tcPr>
            <w:tcW w:w="0" w:type="auto"/>
            <w:vAlign w:val="center"/>
            <w:hideMark/>
          </w:tcPr>
          <w:p w14:paraId="53744E37"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322·7</w:t>
            </w:r>
          </w:p>
        </w:tc>
      </w:tr>
      <w:tr w:rsidR="003A52D4" w:rsidRPr="005534D4" w14:paraId="4301F724" w14:textId="77777777" w:rsidTr="005534D4">
        <w:tc>
          <w:tcPr>
            <w:tcW w:w="0" w:type="auto"/>
            <w:hideMark/>
          </w:tcPr>
          <w:p w14:paraId="2D097637" w14:textId="77777777" w:rsidR="003A52D4" w:rsidRPr="005534D4" w:rsidRDefault="003A52D4" w:rsidP="003A52D4">
            <w:pPr>
              <w:pStyle w:val="NoSpacing"/>
              <w:rPr>
                <w:rFonts w:ascii="Times New Roman" w:hAnsi="Times New Roman" w:cs="Times New Roman"/>
                <w:sz w:val="28"/>
                <w:szCs w:val="28"/>
              </w:rPr>
            </w:pPr>
            <w:r w:rsidRPr="005534D4">
              <w:rPr>
                <w:rFonts w:ascii="Times New Roman" w:hAnsi="Times New Roman" w:cs="Times New Roman"/>
                <w:sz w:val="28"/>
                <w:szCs w:val="28"/>
              </w:rPr>
              <w:t>Madhya Pradesh</w:t>
            </w:r>
          </w:p>
        </w:tc>
        <w:tc>
          <w:tcPr>
            <w:tcW w:w="0" w:type="auto"/>
            <w:vAlign w:val="center"/>
            <w:hideMark/>
          </w:tcPr>
          <w:p w14:paraId="5F08EEED"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212,47,533</w:t>
            </w:r>
          </w:p>
        </w:tc>
        <w:tc>
          <w:tcPr>
            <w:tcW w:w="0" w:type="auto"/>
            <w:vAlign w:val="center"/>
            <w:hideMark/>
          </w:tcPr>
          <w:p w14:paraId="74C2D6DB" w14:textId="794A3346"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6</w:t>
            </w:r>
            <w:r w:rsidR="00563CF4">
              <w:rPr>
                <w:rFonts w:ascii="Times New Roman" w:hAnsi="Times New Roman" w:cs="Times New Roman"/>
                <w:sz w:val="28"/>
                <w:szCs w:val="28"/>
              </w:rPr>
              <w:t>.</w:t>
            </w:r>
            <w:r w:rsidRPr="005534D4">
              <w:rPr>
                <w:rFonts w:ascii="Times New Roman" w:hAnsi="Times New Roman" w:cs="Times New Roman"/>
                <w:sz w:val="28"/>
                <w:szCs w:val="28"/>
              </w:rPr>
              <w:t>13</w:t>
            </w:r>
          </w:p>
        </w:tc>
        <w:tc>
          <w:tcPr>
            <w:tcW w:w="0" w:type="auto"/>
            <w:vAlign w:val="center"/>
            <w:hideMark/>
          </w:tcPr>
          <w:p w14:paraId="71B98AD0"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130,272</w:t>
            </w:r>
          </w:p>
        </w:tc>
        <w:tc>
          <w:tcPr>
            <w:tcW w:w="0" w:type="auto"/>
            <w:vAlign w:val="center"/>
            <w:hideMark/>
          </w:tcPr>
          <w:p w14:paraId="760F461F"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163·1</w:t>
            </w:r>
          </w:p>
        </w:tc>
      </w:tr>
      <w:tr w:rsidR="003A52D4" w:rsidRPr="005534D4" w14:paraId="51B67126" w14:textId="77777777" w:rsidTr="005534D4">
        <w:tc>
          <w:tcPr>
            <w:tcW w:w="0" w:type="auto"/>
            <w:hideMark/>
          </w:tcPr>
          <w:p w14:paraId="3D72FEDD" w14:textId="77777777" w:rsidR="003A52D4" w:rsidRPr="005534D4" w:rsidRDefault="003A52D4" w:rsidP="003A52D4">
            <w:pPr>
              <w:pStyle w:val="NoSpacing"/>
              <w:rPr>
                <w:rFonts w:ascii="Times New Roman" w:hAnsi="Times New Roman" w:cs="Times New Roman"/>
                <w:sz w:val="28"/>
                <w:szCs w:val="28"/>
              </w:rPr>
            </w:pPr>
            <w:r w:rsidRPr="005534D4">
              <w:rPr>
                <w:rFonts w:ascii="Times New Roman" w:hAnsi="Times New Roman" w:cs="Times New Roman"/>
                <w:sz w:val="28"/>
                <w:szCs w:val="28"/>
              </w:rPr>
              <w:t>Madras</w:t>
            </w:r>
          </w:p>
        </w:tc>
        <w:tc>
          <w:tcPr>
            <w:tcW w:w="0" w:type="auto"/>
            <w:vAlign w:val="center"/>
            <w:hideMark/>
          </w:tcPr>
          <w:p w14:paraId="7FA83581"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570,16,002</w:t>
            </w:r>
          </w:p>
        </w:tc>
        <w:tc>
          <w:tcPr>
            <w:tcW w:w="0" w:type="auto"/>
            <w:vAlign w:val="center"/>
            <w:hideMark/>
          </w:tcPr>
          <w:p w14:paraId="7319922B" w14:textId="00DF38B0"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16</w:t>
            </w:r>
            <w:r w:rsidR="00563CF4">
              <w:rPr>
                <w:rFonts w:ascii="Times New Roman" w:hAnsi="Times New Roman" w:cs="Times New Roman"/>
                <w:sz w:val="28"/>
                <w:szCs w:val="28"/>
              </w:rPr>
              <w:t>.</w:t>
            </w:r>
            <w:r w:rsidRPr="005534D4">
              <w:rPr>
                <w:rFonts w:ascii="Times New Roman" w:hAnsi="Times New Roman" w:cs="Times New Roman"/>
                <w:sz w:val="28"/>
                <w:szCs w:val="28"/>
              </w:rPr>
              <w:t>44</w:t>
            </w:r>
          </w:p>
        </w:tc>
        <w:tc>
          <w:tcPr>
            <w:tcW w:w="0" w:type="auto"/>
            <w:vAlign w:val="center"/>
            <w:hideMark/>
          </w:tcPr>
          <w:p w14:paraId="370962A6"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127,790</w:t>
            </w:r>
          </w:p>
        </w:tc>
        <w:tc>
          <w:tcPr>
            <w:tcW w:w="0" w:type="auto"/>
            <w:vAlign w:val="center"/>
            <w:hideMark/>
          </w:tcPr>
          <w:p w14:paraId="7E1A4AD9"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446·2</w:t>
            </w:r>
          </w:p>
        </w:tc>
      </w:tr>
      <w:tr w:rsidR="003A52D4" w:rsidRPr="005534D4" w14:paraId="06C542DE" w14:textId="77777777" w:rsidTr="005534D4">
        <w:tc>
          <w:tcPr>
            <w:tcW w:w="0" w:type="auto"/>
            <w:hideMark/>
          </w:tcPr>
          <w:p w14:paraId="5F1FA4A1" w14:textId="77777777" w:rsidR="003A52D4" w:rsidRPr="005534D4" w:rsidRDefault="003A52D4" w:rsidP="003A52D4">
            <w:pPr>
              <w:pStyle w:val="NoSpacing"/>
              <w:rPr>
                <w:rFonts w:ascii="Times New Roman" w:hAnsi="Times New Roman" w:cs="Times New Roman"/>
                <w:sz w:val="28"/>
                <w:szCs w:val="28"/>
              </w:rPr>
            </w:pPr>
            <w:r w:rsidRPr="005534D4">
              <w:rPr>
                <w:rFonts w:ascii="Times New Roman" w:hAnsi="Times New Roman" w:cs="Times New Roman"/>
                <w:sz w:val="28"/>
                <w:szCs w:val="28"/>
              </w:rPr>
              <w:t>Orissa</w:t>
            </w:r>
          </w:p>
        </w:tc>
        <w:tc>
          <w:tcPr>
            <w:tcW w:w="0" w:type="auto"/>
            <w:vAlign w:val="center"/>
            <w:hideMark/>
          </w:tcPr>
          <w:p w14:paraId="5BFBAEEB"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146,45,946</w:t>
            </w:r>
          </w:p>
        </w:tc>
        <w:tc>
          <w:tcPr>
            <w:tcW w:w="0" w:type="auto"/>
            <w:vAlign w:val="center"/>
            <w:hideMark/>
          </w:tcPr>
          <w:p w14:paraId="617265EE" w14:textId="06968BE3"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4</w:t>
            </w:r>
            <w:r w:rsidR="00563CF4">
              <w:rPr>
                <w:rFonts w:ascii="Times New Roman" w:hAnsi="Times New Roman" w:cs="Times New Roman"/>
                <w:sz w:val="28"/>
                <w:szCs w:val="28"/>
              </w:rPr>
              <w:t>.</w:t>
            </w:r>
            <w:r w:rsidRPr="005534D4">
              <w:rPr>
                <w:rFonts w:ascii="Times New Roman" w:hAnsi="Times New Roman" w:cs="Times New Roman"/>
                <w:sz w:val="28"/>
                <w:szCs w:val="28"/>
              </w:rPr>
              <w:t>22</w:t>
            </w:r>
          </w:p>
        </w:tc>
        <w:tc>
          <w:tcPr>
            <w:tcW w:w="0" w:type="auto"/>
            <w:vAlign w:val="center"/>
            <w:hideMark/>
          </w:tcPr>
          <w:p w14:paraId="7CBD3F43"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60,136</w:t>
            </w:r>
          </w:p>
        </w:tc>
        <w:tc>
          <w:tcPr>
            <w:tcW w:w="0" w:type="auto"/>
            <w:vAlign w:val="center"/>
            <w:hideMark/>
          </w:tcPr>
          <w:p w14:paraId="0330EB73"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243·5</w:t>
            </w:r>
          </w:p>
        </w:tc>
      </w:tr>
      <w:tr w:rsidR="003A52D4" w:rsidRPr="005534D4" w14:paraId="13375C4B" w14:textId="77777777" w:rsidTr="005534D4">
        <w:tc>
          <w:tcPr>
            <w:tcW w:w="0" w:type="auto"/>
            <w:hideMark/>
          </w:tcPr>
          <w:p w14:paraId="58A2F8F2" w14:textId="77777777" w:rsidR="003A52D4" w:rsidRPr="005534D4" w:rsidRDefault="003A52D4" w:rsidP="003A52D4">
            <w:pPr>
              <w:pStyle w:val="NoSpacing"/>
              <w:rPr>
                <w:rFonts w:ascii="Times New Roman" w:hAnsi="Times New Roman" w:cs="Times New Roman"/>
                <w:sz w:val="28"/>
                <w:szCs w:val="28"/>
              </w:rPr>
            </w:pPr>
            <w:r w:rsidRPr="005534D4">
              <w:rPr>
                <w:rFonts w:ascii="Times New Roman" w:hAnsi="Times New Roman" w:cs="Times New Roman"/>
                <w:sz w:val="28"/>
                <w:szCs w:val="28"/>
              </w:rPr>
              <w:t>Punjab</w:t>
            </w:r>
          </w:p>
        </w:tc>
        <w:tc>
          <w:tcPr>
            <w:tcW w:w="0" w:type="auto"/>
            <w:vAlign w:val="center"/>
            <w:hideMark/>
          </w:tcPr>
          <w:p w14:paraId="7F353285"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126,41,205</w:t>
            </w:r>
          </w:p>
        </w:tc>
        <w:tc>
          <w:tcPr>
            <w:tcW w:w="0" w:type="auto"/>
            <w:vAlign w:val="center"/>
            <w:hideMark/>
          </w:tcPr>
          <w:p w14:paraId="36E00856" w14:textId="6F078A1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3</w:t>
            </w:r>
            <w:r w:rsidR="00563CF4">
              <w:rPr>
                <w:rFonts w:ascii="Times New Roman" w:hAnsi="Times New Roman" w:cs="Times New Roman"/>
                <w:sz w:val="28"/>
                <w:szCs w:val="28"/>
              </w:rPr>
              <w:t>.</w:t>
            </w:r>
            <w:r w:rsidRPr="005534D4">
              <w:rPr>
                <w:rFonts w:ascii="Times New Roman" w:hAnsi="Times New Roman" w:cs="Times New Roman"/>
                <w:sz w:val="28"/>
                <w:szCs w:val="28"/>
              </w:rPr>
              <w:t>66</w:t>
            </w:r>
          </w:p>
        </w:tc>
        <w:tc>
          <w:tcPr>
            <w:tcW w:w="0" w:type="auto"/>
            <w:vAlign w:val="center"/>
            <w:hideMark/>
          </w:tcPr>
          <w:p w14:paraId="4BAC93FF"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37,378</w:t>
            </w:r>
          </w:p>
        </w:tc>
        <w:tc>
          <w:tcPr>
            <w:tcW w:w="0" w:type="auto"/>
            <w:vAlign w:val="center"/>
            <w:hideMark/>
          </w:tcPr>
          <w:p w14:paraId="36B685CA"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338·2</w:t>
            </w:r>
          </w:p>
        </w:tc>
      </w:tr>
      <w:tr w:rsidR="003A52D4" w:rsidRPr="005534D4" w14:paraId="6D78A4B9" w14:textId="77777777" w:rsidTr="005534D4">
        <w:tc>
          <w:tcPr>
            <w:tcW w:w="0" w:type="auto"/>
            <w:hideMark/>
          </w:tcPr>
          <w:p w14:paraId="4DDC6EC7" w14:textId="77777777" w:rsidR="003A52D4" w:rsidRPr="005534D4" w:rsidRDefault="003A52D4" w:rsidP="003A52D4">
            <w:pPr>
              <w:pStyle w:val="NoSpacing"/>
              <w:rPr>
                <w:rFonts w:ascii="Times New Roman" w:hAnsi="Times New Roman" w:cs="Times New Roman"/>
                <w:sz w:val="28"/>
                <w:szCs w:val="28"/>
              </w:rPr>
            </w:pPr>
            <w:r w:rsidRPr="005534D4">
              <w:rPr>
                <w:rFonts w:ascii="Times New Roman" w:hAnsi="Times New Roman" w:cs="Times New Roman"/>
                <w:sz w:val="28"/>
                <w:szCs w:val="28"/>
              </w:rPr>
              <w:t>Uttar Pradesh</w:t>
            </w:r>
          </w:p>
        </w:tc>
        <w:tc>
          <w:tcPr>
            <w:tcW w:w="0" w:type="auto"/>
            <w:vAlign w:val="center"/>
            <w:hideMark/>
          </w:tcPr>
          <w:p w14:paraId="1C92B7B7"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632,15,742</w:t>
            </w:r>
          </w:p>
        </w:tc>
        <w:tc>
          <w:tcPr>
            <w:tcW w:w="0" w:type="auto"/>
            <w:vAlign w:val="center"/>
            <w:hideMark/>
          </w:tcPr>
          <w:p w14:paraId="439E9EC7" w14:textId="3317F002"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18</w:t>
            </w:r>
            <w:r w:rsidR="00563CF4">
              <w:rPr>
                <w:rFonts w:ascii="Times New Roman" w:hAnsi="Times New Roman" w:cs="Times New Roman"/>
                <w:sz w:val="28"/>
                <w:szCs w:val="28"/>
              </w:rPr>
              <w:t>.</w:t>
            </w:r>
            <w:r w:rsidRPr="005534D4">
              <w:rPr>
                <w:rFonts w:ascii="Times New Roman" w:hAnsi="Times New Roman" w:cs="Times New Roman"/>
                <w:sz w:val="28"/>
                <w:szCs w:val="28"/>
              </w:rPr>
              <w:t>23</w:t>
            </w:r>
          </w:p>
        </w:tc>
        <w:tc>
          <w:tcPr>
            <w:tcW w:w="0" w:type="auto"/>
            <w:vAlign w:val="center"/>
            <w:hideMark/>
          </w:tcPr>
          <w:p w14:paraId="373E1415"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113,409</w:t>
            </w:r>
          </w:p>
        </w:tc>
        <w:tc>
          <w:tcPr>
            <w:tcW w:w="0" w:type="auto"/>
            <w:vAlign w:val="center"/>
            <w:hideMark/>
          </w:tcPr>
          <w:p w14:paraId="639530A9"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557·4</w:t>
            </w:r>
          </w:p>
        </w:tc>
      </w:tr>
      <w:tr w:rsidR="003A52D4" w:rsidRPr="005534D4" w14:paraId="7DE3E149" w14:textId="77777777" w:rsidTr="005534D4">
        <w:tc>
          <w:tcPr>
            <w:tcW w:w="0" w:type="auto"/>
            <w:hideMark/>
          </w:tcPr>
          <w:p w14:paraId="48544B89" w14:textId="77777777" w:rsidR="003A52D4" w:rsidRPr="005534D4" w:rsidRDefault="003A52D4" w:rsidP="003A52D4">
            <w:pPr>
              <w:pStyle w:val="NoSpacing"/>
              <w:rPr>
                <w:rFonts w:ascii="Times New Roman" w:hAnsi="Times New Roman" w:cs="Times New Roman"/>
                <w:sz w:val="28"/>
                <w:szCs w:val="28"/>
              </w:rPr>
            </w:pPr>
            <w:r w:rsidRPr="005534D4">
              <w:rPr>
                <w:rFonts w:ascii="Times New Roman" w:hAnsi="Times New Roman" w:cs="Times New Roman"/>
                <w:sz w:val="28"/>
                <w:szCs w:val="28"/>
              </w:rPr>
              <w:t>West Bengal</w:t>
            </w:r>
          </w:p>
        </w:tc>
        <w:tc>
          <w:tcPr>
            <w:tcW w:w="0" w:type="auto"/>
            <w:vAlign w:val="center"/>
            <w:hideMark/>
          </w:tcPr>
          <w:p w14:paraId="64E2AA33"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248,10,308</w:t>
            </w:r>
          </w:p>
        </w:tc>
        <w:tc>
          <w:tcPr>
            <w:tcW w:w="0" w:type="auto"/>
            <w:vAlign w:val="center"/>
            <w:hideMark/>
          </w:tcPr>
          <w:p w14:paraId="66A841CA" w14:textId="3D913E73"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7</w:t>
            </w:r>
            <w:r w:rsidR="00563CF4">
              <w:rPr>
                <w:rFonts w:ascii="Times New Roman" w:hAnsi="Times New Roman" w:cs="Times New Roman"/>
                <w:sz w:val="28"/>
                <w:szCs w:val="28"/>
              </w:rPr>
              <w:t>.</w:t>
            </w:r>
            <w:r w:rsidRPr="005534D4">
              <w:rPr>
                <w:rFonts w:ascii="Times New Roman" w:hAnsi="Times New Roman" w:cs="Times New Roman"/>
                <w:sz w:val="28"/>
                <w:szCs w:val="28"/>
              </w:rPr>
              <w:t>16</w:t>
            </w:r>
          </w:p>
        </w:tc>
        <w:tc>
          <w:tcPr>
            <w:tcW w:w="0" w:type="auto"/>
            <w:vAlign w:val="center"/>
            <w:hideMark/>
          </w:tcPr>
          <w:p w14:paraId="5FF0C55D"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30,775</w:t>
            </w:r>
          </w:p>
        </w:tc>
        <w:tc>
          <w:tcPr>
            <w:tcW w:w="0" w:type="auto"/>
            <w:vAlign w:val="center"/>
            <w:hideMark/>
          </w:tcPr>
          <w:p w14:paraId="32D0589A"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806·2</w:t>
            </w:r>
          </w:p>
        </w:tc>
      </w:tr>
      <w:tr w:rsidR="003A52D4" w:rsidRPr="005534D4" w14:paraId="40264220" w14:textId="77777777" w:rsidTr="005534D4">
        <w:tc>
          <w:tcPr>
            <w:tcW w:w="0" w:type="auto"/>
            <w:hideMark/>
          </w:tcPr>
          <w:p w14:paraId="2A46A974" w14:textId="77777777" w:rsidR="003A52D4" w:rsidRPr="005534D4" w:rsidRDefault="003A52D4" w:rsidP="003A52D4">
            <w:pPr>
              <w:pStyle w:val="NoSpacing"/>
              <w:rPr>
                <w:rFonts w:ascii="Times New Roman" w:hAnsi="Times New Roman" w:cs="Times New Roman"/>
                <w:sz w:val="28"/>
                <w:szCs w:val="28"/>
              </w:rPr>
            </w:pPr>
            <w:r w:rsidRPr="005534D4">
              <w:rPr>
                <w:rFonts w:ascii="Times New Roman" w:hAnsi="Times New Roman" w:cs="Times New Roman"/>
                <w:sz w:val="28"/>
                <w:szCs w:val="28"/>
              </w:rPr>
              <w:t>Hyderabad</w:t>
            </w:r>
          </w:p>
        </w:tc>
        <w:tc>
          <w:tcPr>
            <w:tcW w:w="0" w:type="auto"/>
            <w:vAlign w:val="center"/>
            <w:hideMark/>
          </w:tcPr>
          <w:p w14:paraId="73DF8B66"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186,55,108</w:t>
            </w:r>
          </w:p>
        </w:tc>
        <w:tc>
          <w:tcPr>
            <w:tcW w:w="0" w:type="auto"/>
            <w:vAlign w:val="center"/>
            <w:hideMark/>
          </w:tcPr>
          <w:p w14:paraId="61F3B419" w14:textId="409B0716"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5</w:t>
            </w:r>
            <w:r w:rsidR="00563CF4">
              <w:rPr>
                <w:rFonts w:ascii="Times New Roman" w:hAnsi="Times New Roman" w:cs="Times New Roman"/>
                <w:sz w:val="28"/>
                <w:szCs w:val="28"/>
              </w:rPr>
              <w:t>.</w:t>
            </w:r>
            <w:r w:rsidRPr="005534D4">
              <w:rPr>
                <w:rFonts w:ascii="Times New Roman" w:hAnsi="Times New Roman" w:cs="Times New Roman"/>
                <w:sz w:val="28"/>
                <w:szCs w:val="28"/>
              </w:rPr>
              <w:t>39</w:t>
            </w:r>
          </w:p>
        </w:tc>
        <w:tc>
          <w:tcPr>
            <w:tcW w:w="0" w:type="auto"/>
            <w:vAlign w:val="center"/>
            <w:hideMark/>
          </w:tcPr>
          <w:p w14:paraId="5D512096"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82,168</w:t>
            </w:r>
          </w:p>
        </w:tc>
        <w:tc>
          <w:tcPr>
            <w:tcW w:w="0" w:type="auto"/>
            <w:vAlign w:val="center"/>
            <w:hideMark/>
          </w:tcPr>
          <w:p w14:paraId="0C5BFDDA"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227·0</w:t>
            </w:r>
          </w:p>
        </w:tc>
      </w:tr>
      <w:tr w:rsidR="003A52D4" w:rsidRPr="005534D4" w14:paraId="1EB51065" w14:textId="77777777" w:rsidTr="005534D4">
        <w:tc>
          <w:tcPr>
            <w:tcW w:w="0" w:type="auto"/>
            <w:hideMark/>
          </w:tcPr>
          <w:p w14:paraId="16C3ACBB" w14:textId="77777777" w:rsidR="003A52D4" w:rsidRPr="005534D4" w:rsidRDefault="003A52D4" w:rsidP="003A52D4">
            <w:pPr>
              <w:pStyle w:val="NoSpacing"/>
              <w:rPr>
                <w:rFonts w:ascii="Times New Roman" w:hAnsi="Times New Roman" w:cs="Times New Roman"/>
                <w:sz w:val="28"/>
                <w:szCs w:val="28"/>
              </w:rPr>
            </w:pPr>
            <w:r w:rsidRPr="005534D4">
              <w:rPr>
                <w:rFonts w:ascii="Times New Roman" w:hAnsi="Times New Roman" w:cs="Times New Roman"/>
                <w:sz w:val="28"/>
                <w:szCs w:val="28"/>
              </w:rPr>
              <w:t>Madhya Bharat</w:t>
            </w:r>
          </w:p>
        </w:tc>
        <w:tc>
          <w:tcPr>
            <w:tcW w:w="0" w:type="auto"/>
            <w:vAlign w:val="center"/>
            <w:hideMark/>
          </w:tcPr>
          <w:p w14:paraId="6BC63302"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79,54,154</w:t>
            </w:r>
          </w:p>
        </w:tc>
        <w:tc>
          <w:tcPr>
            <w:tcW w:w="0" w:type="auto"/>
            <w:vAlign w:val="center"/>
            <w:hideMark/>
          </w:tcPr>
          <w:p w14:paraId="2D9FD2F5" w14:textId="3D7FA0A3"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2</w:t>
            </w:r>
            <w:r w:rsidR="00563CF4">
              <w:rPr>
                <w:rFonts w:ascii="Times New Roman" w:hAnsi="Times New Roman" w:cs="Times New Roman"/>
                <w:sz w:val="28"/>
                <w:szCs w:val="28"/>
              </w:rPr>
              <w:t>.</w:t>
            </w:r>
            <w:r w:rsidRPr="005534D4">
              <w:rPr>
                <w:rFonts w:ascii="Times New Roman" w:hAnsi="Times New Roman" w:cs="Times New Roman"/>
                <w:sz w:val="28"/>
                <w:szCs w:val="28"/>
              </w:rPr>
              <w:t>29</w:t>
            </w:r>
          </w:p>
        </w:tc>
        <w:tc>
          <w:tcPr>
            <w:tcW w:w="0" w:type="auto"/>
            <w:vAlign w:val="center"/>
            <w:hideMark/>
          </w:tcPr>
          <w:p w14:paraId="676CC4F6"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46,478</w:t>
            </w:r>
          </w:p>
        </w:tc>
        <w:tc>
          <w:tcPr>
            <w:tcW w:w="0" w:type="auto"/>
            <w:vAlign w:val="center"/>
            <w:hideMark/>
          </w:tcPr>
          <w:p w14:paraId="52CD07E7"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171·1</w:t>
            </w:r>
          </w:p>
        </w:tc>
      </w:tr>
      <w:tr w:rsidR="003A52D4" w:rsidRPr="005534D4" w14:paraId="4548894D" w14:textId="77777777" w:rsidTr="005534D4">
        <w:tc>
          <w:tcPr>
            <w:tcW w:w="0" w:type="auto"/>
            <w:hideMark/>
          </w:tcPr>
          <w:p w14:paraId="2342C69D" w14:textId="77777777" w:rsidR="003A52D4" w:rsidRPr="005534D4" w:rsidRDefault="003A52D4" w:rsidP="003A52D4">
            <w:pPr>
              <w:pStyle w:val="NoSpacing"/>
              <w:rPr>
                <w:rFonts w:ascii="Times New Roman" w:hAnsi="Times New Roman" w:cs="Times New Roman"/>
                <w:sz w:val="28"/>
                <w:szCs w:val="28"/>
              </w:rPr>
            </w:pPr>
            <w:r w:rsidRPr="005534D4">
              <w:rPr>
                <w:rFonts w:ascii="Times New Roman" w:hAnsi="Times New Roman" w:cs="Times New Roman"/>
                <w:sz w:val="28"/>
                <w:szCs w:val="28"/>
              </w:rPr>
              <w:t>Mysore</w:t>
            </w:r>
          </w:p>
        </w:tc>
        <w:tc>
          <w:tcPr>
            <w:tcW w:w="0" w:type="auto"/>
            <w:vAlign w:val="center"/>
            <w:hideMark/>
          </w:tcPr>
          <w:p w14:paraId="53CA394B"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90,74,972</w:t>
            </w:r>
          </w:p>
        </w:tc>
        <w:tc>
          <w:tcPr>
            <w:tcW w:w="0" w:type="auto"/>
            <w:vAlign w:val="center"/>
            <w:hideMark/>
          </w:tcPr>
          <w:p w14:paraId="1004DE4C" w14:textId="609B2B39"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2</w:t>
            </w:r>
            <w:r w:rsidR="00563CF4">
              <w:rPr>
                <w:rFonts w:ascii="Times New Roman" w:hAnsi="Times New Roman" w:cs="Times New Roman"/>
                <w:sz w:val="28"/>
                <w:szCs w:val="28"/>
              </w:rPr>
              <w:t>.</w:t>
            </w:r>
            <w:r w:rsidRPr="005534D4">
              <w:rPr>
                <w:rFonts w:ascii="Times New Roman" w:hAnsi="Times New Roman" w:cs="Times New Roman"/>
                <w:sz w:val="28"/>
                <w:szCs w:val="28"/>
              </w:rPr>
              <w:t>62</w:t>
            </w:r>
          </w:p>
        </w:tc>
        <w:tc>
          <w:tcPr>
            <w:tcW w:w="0" w:type="auto"/>
            <w:vAlign w:val="center"/>
            <w:hideMark/>
          </w:tcPr>
          <w:p w14:paraId="25D0BA3D"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29,489</w:t>
            </w:r>
          </w:p>
        </w:tc>
        <w:tc>
          <w:tcPr>
            <w:tcW w:w="0" w:type="auto"/>
            <w:vAlign w:val="center"/>
            <w:hideMark/>
          </w:tcPr>
          <w:p w14:paraId="53858B94"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307·7</w:t>
            </w:r>
          </w:p>
        </w:tc>
      </w:tr>
      <w:tr w:rsidR="003A52D4" w:rsidRPr="005534D4" w14:paraId="1EB82318" w14:textId="77777777" w:rsidTr="005534D4">
        <w:tc>
          <w:tcPr>
            <w:tcW w:w="0" w:type="auto"/>
            <w:hideMark/>
          </w:tcPr>
          <w:p w14:paraId="0AC83554" w14:textId="77777777" w:rsidR="003A52D4" w:rsidRPr="005534D4" w:rsidRDefault="003A52D4" w:rsidP="003A52D4">
            <w:pPr>
              <w:pStyle w:val="NoSpacing"/>
              <w:rPr>
                <w:rFonts w:ascii="Times New Roman" w:hAnsi="Times New Roman" w:cs="Times New Roman"/>
                <w:sz w:val="28"/>
                <w:szCs w:val="28"/>
              </w:rPr>
            </w:pPr>
            <w:r w:rsidRPr="005534D4">
              <w:rPr>
                <w:rFonts w:ascii="Times New Roman" w:hAnsi="Times New Roman" w:cs="Times New Roman"/>
                <w:sz w:val="28"/>
                <w:szCs w:val="28"/>
              </w:rPr>
              <w:t>Patiala &amp; East Punjab States Union</w:t>
            </w:r>
          </w:p>
        </w:tc>
        <w:tc>
          <w:tcPr>
            <w:tcW w:w="0" w:type="auto"/>
            <w:vAlign w:val="center"/>
            <w:hideMark/>
          </w:tcPr>
          <w:p w14:paraId="3DB28FA3"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34,93,685</w:t>
            </w:r>
          </w:p>
        </w:tc>
        <w:tc>
          <w:tcPr>
            <w:tcW w:w="0" w:type="auto"/>
            <w:vAlign w:val="center"/>
            <w:hideMark/>
          </w:tcPr>
          <w:p w14:paraId="063D3BEE" w14:textId="210A2D3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1</w:t>
            </w:r>
            <w:r w:rsidR="00563CF4">
              <w:rPr>
                <w:rFonts w:ascii="Times New Roman" w:hAnsi="Times New Roman" w:cs="Times New Roman"/>
                <w:sz w:val="28"/>
                <w:szCs w:val="28"/>
              </w:rPr>
              <w:t>.</w:t>
            </w:r>
            <w:r w:rsidRPr="005534D4">
              <w:rPr>
                <w:rFonts w:ascii="Times New Roman" w:hAnsi="Times New Roman" w:cs="Times New Roman"/>
                <w:sz w:val="28"/>
                <w:szCs w:val="28"/>
              </w:rPr>
              <w:t>00</w:t>
            </w:r>
          </w:p>
        </w:tc>
        <w:tc>
          <w:tcPr>
            <w:tcW w:w="0" w:type="auto"/>
            <w:vAlign w:val="center"/>
            <w:hideMark/>
          </w:tcPr>
          <w:p w14:paraId="7630D986"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10,078</w:t>
            </w:r>
          </w:p>
        </w:tc>
        <w:tc>
          <w:tcPr>
            <w:tcW w:w="0" w:type="auto"/>
            <w:vAlign w:val="center"/>
            <w:hideMark/>
          </w:tcPr>
          <w:p w14:paraId="4B15CF22"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346·7</w:t>
            </w:r>
          </w:p>
        </w:tc>
      </w:tr>
      <w:tr w:rsidR="003A52D4" w:rsidRPr="005534D4" w14:paraId="323675B5" w14:textId="77777777" w:rsidTr="005534D4">
        <w:tc>
          <w:tcPr>
            <w:tcW w:w="0" w:type="auto"/>
            <w:hideMark/>
          </w:tcPr>
          <w:p w14:paraId="19271E19" w14:textId="77777777" w:rsidR="003A52D4" w:rsidRPr="005534D4" w:rsidRDefault="003A52D4" w:rsidP="003A52D4">
            <w:pPr>
              <w:pStyle w:val="NoSpacing"/>
              <w:rPr>
                <w:rFonts w:ascii="Times New Roman" w:hAnsi="Times New Roman" w:cs="Times New Roman"/>
                <w:sz w:val="28"/>
                <w:szCs w:val="28"/>
              </w:rPr>
            </w:pPr>
            <w:r w:rsidRPr="005534D4">
              <w:rPr>
                <w:rFonts w:ascii="Times New Roman" w:hAnsi="Times New Roman" w:cs="Times New Roman"/>
                <w:sz w:val="28"/>
                <w:szCs w:val="28"/>
              </w:rPr>
              <w:t>Rajasthan</w:t>
            </w:r>
          </w:p>
        </w:tc>
        <w:tc>
          <w:tcPr>
            <w:tcW w:w="0" w:type="auto"/>
            <w:vAlign w:val="center"/>
            <w:hideMark/>
          </w:tcPr>
          <w:p w14:paraId="0CBA5869"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152,90,797</w:t>
            </w:r>
          </w:p>
        </w:tc>
        <w:tc>
          <w:tcPr>
            <w:tcW w:w="0" w:type="auto"/>
            <w:vAlign w:val="center"/>
            <w:hideMark/>
          </w:tcPr>
          <w:p w14:paraId="63DE77E1" w14:textId="19B84280"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4</w:t>
            </w:r>
            <w:r w:rsidR="00563CF4">
              <w:rPr>
                <w:rFonts w:ascii="Times New Roman" w:hAnsi="Times New Roman" w:cs="Times New Roman"/>
                <w:sz w:val="28"/>
                <w:szCs w:val="28"/>
              </w:rPr>
              <w:t>.</w:t>
            </w:r>
            <w:r w:rsidRPr="005534D4">
              <w:rPr>
                <w:rFonts w:ascii="Times New Roman" w:hAnsi="Times New Roman" w:cs="Times New Roman"/>
                <w:sz w:val="28"/>
                <w:szCs w:val="28"/>
              </w:rPr>
              <w:t>41</w:t>
            </w:r>
          </w:p>
        </w:tc>
        <w:tc>
          <w:tcPr>
            <w:tcW w:w="0" w:type="auto"/>
            <w:vAlign w:val="center"/>
            <w:hideMark/>
          </w:tcPr>
          <w:p w14:paraId="68A9D45E"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130,207</w:t>
            </w:r>
          </w:p>
        </w:tc>
        <w:tc>
          <w:tcPr>
            <w:tcW w:w="0" w:type="auto"/>
            <w:vAlign w:val="center"/>
            <w:hideMark/>
          </w:tcPr>
          <w:p w14:paraId="56450DFD"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117·4</w:t>
            </w:r>
          </w:p>
        </w:tc>
      </w:tr>
      <w:tr w:rsidR="003A52D4" w:rsidRPr="005534D4" w14:paraId="79F4B86B" w14:textId="77777777" w:rsidTr="005534D4">
        <w:tc>
          <w:tcPr>
            <w:tcW w:w="0" w:type="auto"/>
            <w:hideMark/>
          </w:tcPr>
          <w:p w14:paraId="6E4E6F93" w14:textId="77777777" w:rsidR="003A52D4" w:rsidRPr="005534D4" w:rsidRDefault="003A52D4" w:rsidP="003A52D4">
            <w:pPr>
              <w:pStyle w:val="NoSpacing"/>
              <w:rPr>
                <w:rFonts w:ascii="Times New Roman" w:hAnsi="Times New Roman" w:cs="Times New Roman"/>
                <w:sz w:val="28"/>
                <w:szCs w:val="28"/>
              </w:rPr>
            </w:pPr>
            <w:r w:rsidRPr="005534D4">
              <w:rPr>
                <w:rFonts w:ascii="Times New Roman" w:hAnsi="Times New Roman" w:cs="Times New Roman"/>
                <w:sz w:val="28"/>
                <w:szCs w:val="28"/>
              </w:rPr>
              <w:t>Saurashtra</w:t>
            </w:r>
          </w:p>
        </w:tc>
        <w:tc>
          <w:tcPr>
            <w:tcW w:w="0" w:type="auto"/>
            <w:vAlign w:val="center"/>
            <w:hideMark/>
          </w:tcPr>
          <w:p w14:paraId="521B5DE7"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41,37,359</w:t>
            </w:r>
          </w:p>
        </w:tc>
        <w:tc>
          <w:tcPr>
            <w:tcW w:w="0" w:type="auto"/>
            <w:vAlign w:val="center"/>
            <w:hideMark/>
          </w:tcPr>
          <w:p w14:paraId="7EEE385D" w14:textId="2A05D252"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1</w:t>
            </w:r>
            <w:r w:rsidR="00563CF4">
              <w:rPr>
                <w:rFonts w:ascii="Times New Roman" w:hAnsi="Times New Roman" w:cs="Times New Roman"/>
                <w:sz w:val="28"/>
                <w:szCs w:val="28"/>
              </w:rPr>
              <w:t>.</w:t>
            </w:r>
            <w:r w:rsidRPr="005534D4">
              <w:rPr>
                <w:rFonts w:ascii="Times New Roman" w:hAnsi="Times New Roman" w:cs="Times New Roman"/>
                <w:sz w:val="28"/>
                <w:szCs w:val="28"/>
              </w:rPr>
              <w:t>19</w:t>
            </w:r>
          </w:p>
        </w:tc>
        <w:tc>
          <w:tcPr>
            <w:tcW w:w="0" w:type="auto"/>
            <w:vAlign w:val="center"/>
            <w:hideMark/>
          </w:tcPr>
          <w:p w14:paraId="13F532A3"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21,451</w:t>
            </w:r>
          </w:p>
        </w:tc>
        <w:tc>
          <w:tcPr>
            <w:tcW w:w="0" w:type="auto"/>
            <w:vAlign w:val="center"/>
            <w:hideMark/>
          </w:tcPr>
          <w:p w14:paraId="40A44B97"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192·9</w:t>
            </w:r>
          </w:p>
        </w:tc>
      </w:tr>
      <w:tr w:rsidR="003A52D4" w:rsidRPr="005534D4" w14:paraId="1753DF60" w14:textId="77777777" w:rsidTr="005534D4">
        <w:tc>
          <w:tcPr>
            <w:tcW w:w="0" w:type="auto"/>
            <w:hideMark/>
          </w:tcPr>
          <w:p w14:paraId="3C53D589" w14:textId="77777777" w:rsidR="003A52D4" w:rsidRPr="005534D4" w:rsidRDefault="003A52D4" w:rsidP="003A52D4">
            <w:pPr>
              <w:pStyle w:val="NoSpacing"/>
              <w:rPr>
                <w:rFonts w:ascii="Times New Roman" w:hAnsi="Times New Roman" w:cs="Times New Roman"/>
                <w:sz w:val="28"/>
                <w:szCs w:val="28"/>
              </w:rPr>
            </w:pPr>
            <w:r w:rsidRPr="005534D4">
              <w:rPr>
                <w:rFonts w:ascii="Times New Roman" w:hAnsi="Times New Roman" w:cs="Times New Roman"/>
                <w:sz w:val="28"/>
                <w:szCs w:val="28"/>
              </w:rPr>
              <w:t>Travancore-Cochin</w:t>
            </w:r>
          </w:p>
        </w:tc>
        <w:tc>
          <w:tcPr>
            <w:tcW w:w="0" w:type="auto"/>
            <w:vAlign w:val="center"/>
            <w:hideMark/>
          </w:tcPr>
          <w:p w14:paraId="7733BB90"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92,80,425</w:t>
            </w:r>
          </w:p>
        </w:tc>
        <w:tc>
          <w:tcPr>
            <w:tcW w:w="0" w:type="auto"/>
            <w:vAlign w:val="center"/>
            <w:hideMark/>
          </w:tcPr>
          <w:p w14:paraId="16AF7881" w14:textId="254E5F98"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2</w:t>
            </w:r>
            <w:r w:rsidR="00563CF4">
              <w:rPr>
                <w:rFonts w:ascii="Times New Roman" w:hAnsi="Times New Roman" w:cs="Times New Roman"/>
                <w:sz w:val="28"/>
                <w:szCs w:val="28"/>
              </w:rPr>
              <w:t>.</w:t>
            </w:r>
            <w:r w:rsidRPr="005534D4">
              <w:rPr>
                <w:rFonts w:ascii="Times New Roman" w:hAnsi="Times New Roman" w:cs="Times New Roman"/>
                <w:sz w:val="28"/>
                <w:szCs w:val="28"/>
              </w:rPr>
              <w:t>68</w:t>
            </w:r>
          </w:p>
        </w:tc>
        <w:tc>
          <w:tcPr>
            <w:tcW w:w="0" w:type="auto"/>
            <w:vAlign w:val="center"/>
            <w:hideMark/>
          </w:tcPr>
          <w:p w14:paraId="64AEA3A2"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9,144</w:t>
            </w:r>
          </w:p>
        </w:tc>
        <w:tc>
          <w:tcPr>
            <w:tcW w:w="0" w:type="auto"/>
            <w:vAlign w:val="center"/>
            <w:hideMark/>
          </w:tcPr>
          <w:p w14:paraId="1AC87597"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1014·9</w:t>
            </w:r>
          </w:p>
        </w:tc>
      </w:tr>
      <w:tr w:rsidR="003A52D4" w:rsidRPr="005534D4" w14:paraId="0E5D823F" w14:textId="77777777" w:rsidTr="005534D4">
        <w:tc>
          <w:tcPr>
            <w:tcW w:w="0" w:type="auto"/>
            <w:hideMark/>
          </w:tcPr>
          <w:p w14:paraId="07AD1E3A" w14:textId="77777777" w:rsidR="003A52D4" w:rsidRPr="005534D4" w:rsidRDefault="003A52D4" w:rsidP="003A52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Total</w:t>
            </w:r>
          </w:p>
        </w:tc>
        <w:tc>
          <w:tcPr>
            <w:tcW w:w="0" w:type="auto"/>
            <w:vAlign w:val="center"/>
            <w:hideMark/>
          </w:tcPr>
          <w:p w14:paraId="176D3AF7"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3466,89,040</w:t>
            </w:r>
          </w:p>
        </w:tc>
        <w:tc>
          <w:tcPr>
            <w:tcW w:w="0" w:type="auto"/>
            <w:vAlign w:val="center"/>
            <w:hideMark/>
          </w:tcPr>
          <w:p w14:paraId="547BC96E" w14:textId="4858A7B5"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100</w:t>
            </w:r>
            <w:r w:rsidR="00563CF4">
              <w:rPr>
                <w:rFonts w:ascii="Times New Roman" w:hAnsi="Times New Roman" w:cs="Times New Roman"/>
                <w:sz w:val="28"/>
                <w:szCs w:val="28"/>
              </w:rPr>
              <w:t>.</w:t>
            </w:r>
            <w:r w:rsidRPr="005534D4">
              <w:rPr>
                <w:rFonts w:ascii="Times New Roman" w:hAnsi="Times New Roman" w:cs="Times New Roman"/>
                <w:sz w:val="28"/>
                <w:szCs w:val="28"/>
              </w:rPr>
              <w:t>00</w:t>
            </w:r>
          </w:p>
        </w:tc>
        <w:tc>
          <w:tcPr>
            <w:tcW w:w="0" w:type="auto"/>
            <w:vAlign w:val="center"/>
            <w:hideMark/>
          </w:tcPr>
          <w:p w14:paraId="2BEB678A"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1064,623</w:t>
            </w:r>
          </w:p>
        </w:tc>
        <w:tc>
          <w:tcPr>
            <w:tcW w:w="0" w:type="auto"/>
            <w:vAlign w:val="center"/>
            <w:hideMark/>
          </w:tcPr>
          <w:p w14:paraId="00EFE62A"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325·6</w:t>
            </w:r>
          </w:p>
        </w:tc>
      </w:tr>
    </w:tbl>
    <w:p w14:paraId="345A6C14" w14:textId="37A7E265" w:rsidR="003A52D4" w:rsidRPr="005534D4" w:rsidRDefault="003A52D4" w:rsidP="005534D4">
      <w:pPr>
        <w:pStyle w:val="Sources"/>
      </w:pPr>
      <w:r w:rsidRPr="005534D4">
        <w:t>*Figures for Assam do not include figures for tribal areas specified in Part B of the Table in para 20 of the Sixth Schedule to the Constitution of India.</w:t>
      </w:r>
    </w:p>
    <w:p w14:paraId="0BAD922E" w14:textId="1C3F46F3" w:rsidR="003A52D4" w:rsidRPr="005534D4" w:rsidRDefault="003A52D4">
      <w:pPr>
        <w:rPr>
          <w:rFonts w:ascii="Times New Roman" w:hAnsi="Times New Roman" w:cs="Times New Roman"/>
          <w:szCs w:val="24"/>
        </w:rPr>
      </w:pPr>
      <w:r w:rsidRPr="005534D4">
        <w:rPr>
          <w:rFonts w:ascii="Times New Roman" w:hAnsi="Times New Roman" w:cs="Times New Roman"/>
          <w:szCs w:val="24"/>
        </w:rPr>
        <w:br w:type="page"/>
      </w:r>
    </w:p>
    <w:p w14:paraId="47FF4650" w14:textId="6F6B51E0" w:rsidR="003A52D4" w:rsidRPr="005534D4" w:rsidRDefault="003A52D4" w:rsidP="0075507D">
      <w:pPr>
        <w:pStyle w:val="Heading3"/>
      </w:pPr>
      <w:bookmarkStart w:id="24" w:name="_Toc221007133"/>
      <w:r w:rsidRPr="005534D4">
        <w:lastRenderedPageBreak/>
        <w:t>2. Revenue and Expenditure of Central and State Governments</w:t>
      </w:r>
      <w:r w:rsidR="005534D4" w:rsidRPr="005534D4">
        <w:t xml:space="preserve"> </w:t>
      </w:r>
      <w:r w:rsidRPr="005534D4">
        <w:t>1937-38 to 1952-53</w:t>
      </w:r>
      <w:bookmarkEnd w:id="24"/>
    </w:p>
    <w:p w14:paraId="16D05D3C" w14:textId="77777777" w:rsidR="003A52D4" w:rsidRPr="005534D4" w:rsidRDefault="003A52D4" w:rsidP="003A52D4">
      <w:pPr>
        <w:pStyle w:val="NoSpacing"/>
        <w:jc w:val="center"/>
        <w:rPr>
          <w:rFonts w:ascii="Times New Roman" w:hAnsi="Times New Roman" w:cs="Times New Roman"/>
          <w:szCs w:val="24"/>
        </w:rPr>
      </w:pPr>
    </w:p>
    <w:tbl>
      <w:tblPr>
        <w:tblStyle w:val="TableGrid"/>
        <w:tblW w:w="9475" w:type="dxa"/>
        <w:tblLook w:val="04A0" w:firstRow="1" w:lastRow="0" w:firstColumn="1" w:lastColumn="0" w:noHBand="0" w:noVBand="1"/>
      </w:tblPr>
      <w:tblGrid>
        <w:gridCol w:w="1340"/>
        <w:gridCol w:w="1313"/>
        <w:gridCol w:w="1297"/>
        <w:gridCol w:w="1313"/>
        <w:gridCol w:w="1297"/>
        <w:gridCol w:w="1564"/>
        <w:gridCol w:w="1351"/>
      </w:tblGrid>
      <w:tr w:rsidR="005534D4" w:rsidRPr="005534D4" w14:paraId="7C56B33E" w14:textId="77777777" w:rsidTr="00390A1B">
        <w:trPr>
          <w:trHeight w:val="405"/>
        </w:trPr>
        <w:tc>
          <w:tcPr>
            <w:tcW w:w="0" w:type="auto"/>
            <w:vMerge w:val="restart"/>
            <w:vAlign w:val="center"/>
            <w:hideMark/>
          </w:tcPr>
          <w:p w14:paraId="25E7DDFE" w14:textId="77777777" w:rsidR="005534D4" w:rsidRPr="00390A1B" w:rsidRDefault="005534D4" w:rsidP="00390A1B">
            <w:pPr>
              <w:pStyle w:val="NoSpacing"/>
              <w:jc w:val="center"/>
              <w:rPr>
                <w:rFonts w:ascii="Times New Roman" w:hAnsi="Times New Roman" w:cs="Times New Roman"/>
                <w:b/>
                <w:bCs/>
                <w:sz w:val="28"/>
                <w:szCs w:val="28"/>
              </w:rPr>
            </w:pPr>
          </w:p>
          <w:p w14:paraId="27393B03" w14:textId="1D8108B8" w:rsidR="005534D4" w:rsidRPr="00390A1B" w:rsidRDefault="005534D4" w:rsidP="00390A1B">
            <w:pPr>
              <w:pStyle w:val="NoSpacing"/>
              <w:jc w:val="center"/>
              <w:rPr>
                <w:rFonts w:ascii="Times New Roman" w:hAnsi="Times New Roman" w:cs="Times New Roman"/>
                <w:b/>
                <w:bCs/>
                <w:sz w:val="28"/>
                <w:szCs w:val="28"/>
              </w:rPr>
            </w:pPr>
            <w:r w:rsidRPr="00390A1B">
              <w:rPr>
                <w:rFonts w:ascii="Times New Roman" w:hAnsi="Times New Roman" w:cs="Times New Roman"/>
                <w:b/>
                <w:bCs/>
                <w:sz w:val="28"/>
                <w:szCs w:val="28"/>
              </w:rPr>
              <w:t>Year</w:t>
            </w:r>
          </w:p>
        </w:tc>
        <w:tc>
          <w:tcPr>
            <w:tcW w:w="0" w:type="auto"/>
            <w:gridSpan w:val="2"/>
            <w:vAlign w:val="center"/>
            <w:hideMark/>
          </w:tcPr>
          <w:p w14:paraId="78B497AD" w14:textId="1561CEDD" w:rsidR="005534D4" w:rsidRPr="00390A1B" w:rsidRDefault="005534D4" w:rsidP="00390A1B">
            <w:pPr>
              <w:pStyle w:val="NoSpacing"/>
              <w:jc w:val="center"/>
              <w:rPr>
                <w:rFonts w:ascii="Times New Roman" w:hAnsi="Times New Roman" w:cs="Times New Roman"/>
                <w:b/>
                <w:bCs/>
                <w:sz w:val="28"/>
                <w:szCs w:val="28"/>
              </w:rPr>
            </w:pPr>
            <w:r w:rsidRPr="00390A1B">
              <w:rPr>
                <w:rFonts w:ascii="Times New Roman" w:hAnsi="Times New Roman" w:cs="Times New Roman"/>
                <w:b/>
                <w:bCs/>
                <w:sz w:val="28"/>
                <w:szCs w:val="28"/>
              </w:rPr>
              <w:t>Revenue</w:t>
            </w:r>
          </w:p>
        </w:tc>
        <w:tc>
          <w:tcPr>
            <w:tcW w:w="0" w:type="auto"/>
            <w:gridSpan w:val="2"/>
            <w:vAlign w:val="center"/>
            <w:hideMark/>
          </w:tcPr>
          <w:p w14:paraId="7E3F7394" w14:textId="1ECD37E2" w:rsidR="005534D4" w:rsidRPr="00390A1B" w:rsidRDefault="005534D4" w:rsidP="00390A1B">
            <w:pPr>
              <w:pStyle w:val="NoSpacing"/>
              <w:jc w:val="center"/>
              <w:rPr>
                <w:rFonts w:ascii="Times New Roman" w:hAnsi="Times New Roman" w:cs="Times New Roman"/>
                <w:b/>
                <w:bCs/>
                <w:sz w:val="28"/>
                <w:szCs w:val="28"/>
              </w:rPr>
            </w:pPr>
            <w:r w:rsidRPr="00390A1B">
              <w:rPr>
                <w:rFonts w:ascii="Times New Roman" w:hAnsi="Times New Roman" w:cs="Times New Roman"/>
                <w:b/>
                <w:bCs/>
                <w:sz w:val="28"/>
                <w:szCs w:val="28"/>
              </w:rPr>
              <w:t>Expenditure</w:t>
            </w:r>
          </w:p>
        </w:tc>
        <w:tc>
          <w:tcPr>
            <w:tcW w:w="0" w:type="auto"/>
            <w:gridSpan w:val="2"/>
            <w:vAlign w:val="center"/>
            <w:hideMark/>
          </w:tcPr>
          <w:p w14:paraId="71B65E90" w14:textId="780D6E24" w:rsidR="005534D4" w:rsidRPr="00390A1B" w:rsidRDefault="005534D4" w:rsidP="00390A1B">
            <w:pPr>
              <w:pStyle w:val="NoSpacing"/>
              <w:jc w:val="center"/>
              <w:rPr>
                <w:rFonts w:ascii="Times New Roman" w:hAnsi="Times New Roman" w:cs="Times New Roman"/>
                <w:b/>
                <w:bCs/>
                <w:sz w:val="28"/>
                <w:szCs w:val="28"/>
              </w:rPr>
            </w:pPr>
            <w:r w:rsidRPr="00390A1B">
              <w:rPr>
                <w:rFonts w:ascii="Times New Roman" w:hAnsi="Times New Roman" w:cs="Times New Roman"/>
                <w:b/>
                <w:bCs/>
                <w:sz w:val="28"/>
                <w:szCs w:val="28"/>
              </w:rPr>
              <w:t>Surplus (+) or Deficit (—)</w:t>
            </w:r>
          </w:p>
        </w:tc>
      </w:tr>
      <w:tr w:rsidR="003A52D4" w:rsidRPr="005534D4" w14:paraId="61A8FB92" w14:textId="77777777" w:rsidTr="00390A1B">
        <w:trPr>
          <w:trHeight w:val="204"/>
        </w:trPr>
        <w:tc>
          <w:tcPr>
            <w:tcW w:w="0" w:type="auto"/>
            <w:vMerge/>
            <w:vAlign w:val="center"/>
            <w:hideMark/>
          </w:tcPr>
          <w:p w14:paraId="25275852" w14:textId="77777777" w:rsidR="003A52D4" w:rsidRPr="00390A1B" w:rsidRDefault="003A52D4" w:rsidP="00390A1B">
            <w:pPr>
              <w:pStyle w:val="NoSpacing"/>
              <w:jc w:val="center"/>
              <w:rPr>
                <w:rFonts w:ascii="Times New Roman" w:hAnsi="Times New Roman" w:cs="Times New Roman"/>
                <w:b/>
                <w:bCs/>
                <w:sz w:val="28"/>
                <w:szCs w:val="28"/>
              </w:rPr>
            </w:pPr>
          </w:p>
        </w:tc>
        <w:tc>
          <w:tcPr>
            <w:tcW w:w="0" w:type="auto"/>
            <w:vAlign w:val="center"/>
            <w:hideMark/>
          </w:tcPr>
          <w:p w14:paraId="717412EF" w14:textId="77777777" w:rsidR="003A52D4" w:rsidRPr="00390A1B" w:rsidRDefault="003A52D4" w:rsidP="00390A1B">
            <w:pPr>
              <w:pStyle w:val="NoSpacing"/>
              <w:jc w:val="center"/>
              <w:rPr>
                <w:rFonts w:ascii="Times New Roman" w:hAnsi="Times New Roman" w:cs="Times New Roman"/>
                <w:b/>
                <w:bCs/>
                <w:sz w:val="28"/>
                <w:szCs w:val="28"/>
              </w:rPr>
            </w:pPr>
            <w:r w:rsidRPr="00390A1B">
              <w:rPr>
                <w:rFonts w:ascii="Times New Roman" w:hAnsi="Times New Roman" w:cs="Times New Roman"/>
                <w:b/>
                <w:bCs/>
                <w:sz w:val="28"/>
                <w:szCs w:val="28"/>
              </w:rPr>
              <w:t>Central</w:t>
            </w:r>
          </w:p>
        </w:tc>
        <w:tc>
          <w:tcPr>
            <w:tcW w:w="0" w:type="auto"/>
            <w:vAlign w:val="center"/>
            <w:hideMark/>
          </w:tcPr>
          <w:p w14:paraId="0D07502A" w14:textId="77777777" w:rsidR="003A52D4" w:rsidRPr="00390A1B" w:rsidRDefault="003A52D4" w:rsidP="00390A1B">
            <w:pPr>
              <w:pStyle w:val="NoSpacing"/>
              <w:jc w:val="center"/>
              <w:rPr>
                <w:rFonts w:ascii="Times New Roman" w:hAnsi="Times New Roman" w:cs="Times New Roman"/>
                <w:b/>
                <w:bCs/>
                <w:sz w:val="28"/>
                <w:szCs w:val="28"/>
              </w:rPr>
            </w:pPr>
            <w:r w:rsidRPr="00390A1B">
              <w:rPr>
                <w:rFonts w:ascii="Times New Roman" w:hAnsi="Times New Roman" w:cs="Times New Roman"/>
                <w:b/>
                <w:bCs/>
                <w:sz w:val="28"/>
                <w:szCs w:val="28"/>
              </w:rPr>
              <w:t>State</w:t>
            </w:r>
          </w:p>
        </w:tc>
        <w:tc>
          <w:tcPr>
            <w:tcW w:w="0" w:type="auto"/>
            <w:vAlign w:val="center"/>
            <w:hideMark/>
          </w:tcPr>
          <w:p w14:paraId="6C9B201D" w14:textId="77777777" w:rsidR="003A52D4" w:rsidRPr="00390A1B" w:rsidRDefault="003A52D4" w:rsidP="00390A1B">
            <w:pPr>
              <w:pStyle w:val="NoSpacing"/>
              <w:jc w:val="center"/>
              <w:rPr>
                <w:rFonts w:ascii="Times New Roman" w:hAnsi="Times New Roman" w:cs="Times New Roman"/>
                <w:b/>
                <w:bCs/>
                <w:sz w:val="28"/>
                <w:szCs w:val="28"/>
              </w:rPr>
            </w:pPr>
            <w:r w:rsidRPr="00390A1B">
              <w:rPr>
                <w:rFonts w:ascii="Times New Roman" w:hAnsi="Times New Roman" w:cs="Times New Roman"/>
                <w:b/>
                <w:bCs/>
                <w:sz w:val="28"/>
                <w:szCs w:val="28"/>
              </w:rPr>
              <w:t>Central</w:t>
            </w:r>
          </w:p>
        </w:tc>
        <w:tc>
          <w:tcPr>
            <w:tcW w:w="0" w:type="auto"/>
            <w:vAlign w:val="center"/>
            <w:hideMark/>
          </w:tcPr>
          <w:p w14:paraId="162BF5F8" w14:textId="77777777" w:rsidR="003A52D4" w:rsidRPr="00390A1B" w:rsidRDefault="003A52D4" w:rsidP="00390A1B">
            <w:pPr>
              <w:pStyle w:val="NoSpacing"/>
              <w:jc w:val="center"/>
              <w:rPr>
                <w:rFonts w:ascii="Times New Roman" w:hAnsi="Times New Roman" w:cs="Times New Roman"/>
                <w:b/>
                <w:bCs/>
                <w:sz w:val="28"/>
                <w:szCs w:val="28"/>
              </w:rPr>
            </w:pPr>
            <w:r w:rsidRPr="00390A1B">
              <w:rPr>
                <w:rFonts w:ascii="Times New Roman" w:hAnsi="Times New Roman" w:cs="Times New Roman"/>
                <w:b/>
                <w:bCs/>
                <w:sz w:val="28"/>
                <w:szCs w:val="28"/>
              </w:rPr>
              <w:t>State</w:t>
            </w:r>
          </w:p>
        </w:tc>
        <w:tc>
          <w:tcPr>
            <w:tcW w:w="0" w:type="auto"/>
            <w:vAlign w:val="center"/>
            <w:hideMark/>
          </w:tcPr>
          <w:p w14:paraId="2F87E145" w14:textId="77777777" w:rsidR="003A52D4" w:rsidRPr="00390A1B" w:rsidRDefault="003A52D4" w:rsidP="00390A1B">
            <w:pPr>
              <w:pStyle w:val="NoSpacing"/>
              <w:jc w:val="center"/>
              <w:rPr>
                <w:rFonts w:ascii="Times New Roman" w:hAnsi="Times New Roman" w:cs="Times New Roman"/>
                <w:b/>
                <w:bCs/>
                <w:sz w:val="28"/>
                <w:szCs w:val="28"/>
              </w:rPr>
            </w:pPr>
            <w:r w:rsidRPr="00390A1B">
              <w:rPr>
                <w:rFonts w:ascii="Times New Roman" w:hAnsi="Times New Roman" w:cs="Times New Roman"/>
                <w:b/>
                <w:bCs/>
                <w:sz w:val="28"/>
                <w:szCs w:val="28"/>
              </w:rPr>
              <w:t>Central</w:t>
            </w:r>
          </w:p>
        </w:tc>
        <w:tc>
          <w:tcPr>
            <w:tcW w:w="0" w:type="auto"/>
            <w:vAlign w:val="center"/>
            <w:hideMark/>
          </w:tcPr>
          <w:p w14:paraId="0AD9D40F" w14:textId="77777777" w:rsidR="003A52D4" w:rsidRPr="00390A1B" w:rsidRDefault="003A52D4" w:rsidP="00390A1B">
            <w:pPr>
              <w:pStyle w:val="NoSpacing"/>
              <w:jc w:val="center"/>
              <w:rPr>
                <w:rFonts w:ascii="Times New Roman" w:hAnsi="Times New Roman" w:cs="Times New Roman"/>
                <w:b/>
                <w:bCs/>
                <w:sz w:val="28"/>
                <w:szCs w:val="28"/>
              </w:rPr>
            </w:pPr>
            <w:r w:rsidRPr="00390A1B">
              <w:rPr>
                <w:rFonts w:ascii="Times New Roman" w:hAnsi="Times New Roman" w:cs="Times New Roman"/>
                <w:b/>
                <w:bCs/>
                <w:sz w:val="28"/>
                <w:szCs w:val="28"/>
              </w:rPr>
              <w:t>State</w:t>
            </w:r>
          </w:p>
        </w:tc>
      </w:tr>
      <w:tr w:rsidR="003A52D4" w:rsidRPr="005534D4" w14:paraId="5B8AAF17" w14:textId="77777777" w:rsidTr="003A52D4">
        <w:trPr>
          <w:trHeight w:val="426"/>
        </w:trPr>
        <w:tc>
          <w:tcPr>
            <w:tcW w:w="0" w:type="auto"/>
            <w:hideMark/>
          </w:tcPr>
          <w:p w14:paraId="2AC7EBC1" w14:textId="77777777" w:rsidR="003A52D4" w:rsidRPr="005534D4" w:rsidRDefault="003A52D4" w:rsidP="003A52D4">
            <w:pPr>
              <w:pStyle w:val="NoSpacing"/>
              <w:rPr>
                <w:rFonts w:ascii="Times New Roman" w:hAnsi="Times New Roman" w:cs="Times New Roman"/>
                <w:sz w:val="28"/>
                <w:szCs w:val="28"/>
              </w:rPr>
            </w:pPr>
            <w:r w:rsidRPr="005534D4">
              <w:rPr>
                <w:rFonts w:ascii="Times New Roman" w:hAnsi="Times New Roman" w:cs="Times New Roman"/>
                <w:sz w:val="28"/>
                <w:szCs w:val="28"/>
              </w:rPr>
              <w:t>1937-38</w:t>
            </w:r>
          </w:p>
        </w:tc>
        <w:tc>
          <w:tcPr>
            <w:tcW w:w="0" w:type="auto"/>
            <w:hideMark/>
          </w:tcPr>
          <w:p w14:paraId="52AC0B2D"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86,61</w:t>
            </w:r>
          </w:p>
        </w:tc>
        <w:tc>
          <w:tcPr>
            <w:tcW w:w="0" w:type="auto"/>
            <w:hideMark/>
          </w:tcPr>
          <w:p w14:paraId="2D35A2CD"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85,67</w:t>
            </w:r>
          </w:p>
        </w:tc>
        <w:tc>
          <w:tcPr>
            <w:tcW w:w="0" w:type="auto"/>
            <w:hideMark/>
          </w:tcPr>
          <w:p w14:paraId="7DB36A0F"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86,61</w:t>
            </w:r>
          </w:p>
        </w:tc>
        <w:tc>
          <w:tcPr>
            <w:tcW w:w="0" w:type="auto"/>
            <w:hideMark/>
          </w:tcPr>
          <w:p w14:paraId="66F8CE9D"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83,11</w:t>
            </w:r>
          </w:p>
        </w:tc>
        <w:tc>
          <w:tcPr>
            <w:tcW w:w="0" w:type="auto"/>
            <w:hideMark/>
          </w:tcPr>
          <w:p w14:paraId="721B3EF7"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w:t>
            </w:r>
          </w:p>
        </w:tc>
        <w:tc>
          <w:tcPr>
            <w:tcW w:w="0" w:type="auto"/>
            <w:hideMark/>
          </w:tcPr>
          <w:p w14:paraId="1A4B7315"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+ 2,56</w:t>
            </w:r>
          </w:p>
        </w:tc>
      </w:tr>
      <w:tr w:rsidR="003A52D4" w:rsidRPr="005534D4" w14:paraId="36AD07E1" w14:textId="77777777" w:rsidTr="003A52D4">
        <w:trPr>
          <w:trHeight w:val="405"/>
        </w:trPr>
        <w:tc>
          <w:tcPr>
            <w:tcW w:w="0" w:type="auto"/>
            <w:hideMark/>
          </w:tcPr>
          <w:p w14:paraId="726BE39D" w14:textId="77777777" w:rsidR="003A52D4" w:rsidRPr="005534D4" w:rsidRDefault="003A52D4" w:rsidP="003A52D4">
            <w:pPr>
              <w:pStyle w:val="NoSpacing"/>
              <w:rPr>
                <w:rFonts w:ascii="Times New Roman" w:hAnsi="Times New Roman" w:cs="Times New Roman"/>
                <w:sz w:val="28"/>
                <w:szCs w:val="28"/>
              </w:rPr>
            </w:pPr>
            <w:r w:rsidRPr="005534D4">
              <w:rPr>
                <w:rFonts w:ascii="Times New Roman" w:hAnsi="Times New Roman" w:cs="Times New Roman"/>
                <w:sz w:val="28"/>
                <w:szCs w:val="28"/>
              </w:rPr>
              <w:t>1938-39</w:t>
            </w:r>
          </w:p>
        </w:tc>
        <w:tc>
          <w:tcPr>
            <w:tcW w:w="0" w:type="auto"/>
            <w:hideMark/>
          </w:tcPr>
          <w:p w14:paraId="3007EB35"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84,52</w:t>
            </w:r>
          </w:p>
        </w:tc>
        <w:tc>
          <w:tcPr>
            <w:tcW w:w="0" w:type="auto"/>
            <w:hideMark/>
          </w:tcPr>
          <w:p w14:paraId="3AD71CC2"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84,94</w:t>
            </w:r>
          </w:p>
        </w:tc>
        <w:tc>
          <w:tcPr>
            <w:tcW w:w="0" w:type="auto"/>
            <w:hideMark/>
          </w:tcPr>
          <w:p w14:paraId="69770369"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85,15</w:t>
            </w:r>
          </w:p>
        </w:tc>
        <w:tc>
          <w:tcPr>
            <w:tcW w:w="0" w:type="auto"/>
            <w:hideMark/>
          </w:tcPr>
          <w:p w14:paraId="15CAB12F"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85,76</w:t>
            </w:r>
          </w:p>
        </w:tc>
        <w:tc>
          <w:tcPr>
            <w:tcW w:w="0" w:type="auto"/>
            <w:hideMark/>
          </w:tcPr>
          <w:p w14:paraId="1BFC09FB"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 64</w:t>
            </w:r>
          </w:p>
        </w:tc>
        <w:tc>
          <w:tcPr>
            <w:tcW w:w="0" w:type="auto"/>
            <w:hideMark/>
          </w:tcPr>
          <w:p w14:paraId="2F17949D"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 82</w:t>
            </w:r>
          </w:p>
        </w:tc>
      </w:tr>
      <w:tr w:rsidR="003A52D4" w:rsidRPr="005534D4" w14:paraId="73C2FB6D" w14:textId="77777777" w:rsidTr="003A52D4">
        <w:trPr>
          <w:trHeight w:val="405"/>
        </w:trPr>
        <w:tc>
          <w:tcPr>
            <w:tcW w:w="0" w:type="auto"/>
            <w:hideMark/>
          </w:tcPr>
          <w:p w14:paraId="27140919" w14:textId="77777777" w:rsidR="003A52D4" w:rsidRPr="005534D4" w:rsidRDefault="003A52D4" w:rsidP="003A52D4">
            <w:pPr>
              <w:pStyle w:val="NoSpacing"/>
              <w:rPr>
                <w:rFonts w:ascii="Times New Roman" w:hAnsi="Times New Roman" w:cs="Times New Roman"/>
                <w:sz w:val="28"/>
                <w:szCs w:val="28"/>
              </w:rPr>
            </w:pPr>
            <w:r w:rsidRPr="005534D4">
              <w:rPr>
                <w:rFonts w:ascii="Times New Roman" w:hAnsi="Times New Roman" w:cs="Times New Roman"/>
                <w:sz w:val="28"/>
                <w:szCs w:val="28"/>
              </w:rPr>
              <w:t>1939-40</w:t>
            </w:r>
          </w:p>
        </w:tc>
        <w:tc>
          <w:tcPr>
            <w:tcW w:w="0" w:type="auto"/>
            <w:hideMark/>
          </w:tcPr>
          <w:p w14:paraId="46ADCD10"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94,57</w:t>
            </w:r>
          </w:p>
        </w:tc>
        <w:tc>
          <w:tcPr>
            <w:tcW w:w="0" w:type="auto"/>
            <w:hideMark/>
          </w:tcPr>
          <w:p w14:paraId="14A0B582"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91,23</w:t>
            </w:r>
          </w:p>
        </w:tc>
        <w:tc>
          <w:tcPr>
            <w:tcW w:w="0" w:type="auto"/>
            <w:hideMark/>
          </w:tcPr>
          <w:p w14:paraId="745FF5C5"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94,57</w:t>
            </w:r>
          </w:p>
        </w:tc>
        <w:tc>
          <w:tcPr>
            <w:tcW w:w="0" w:type="auto"/>
            <w:hideMark/>
          </w:tcPr>
          <w:p w14:paraId="20647397"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89,12</w:t>
            </w:r>
          </w:p>
        </w:tc>
        <w:tc>
          <w:tcPr>
            <w:tcW w:w="0" w:type="auto"/>
            <w:hideMark/>
          </w:tcPr>
          <w:p w14:paraId="48B3266C"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w:t>
            </w:r>
          </w:p>
        </w:tc>
        <w:tc>
          <w:tcPr>
            <w:tcW w:w="0" w:type="auto"/>
            <w:hideMark/>
          </w:tcPr>
          <w:p w14:paraId="1BD5CA6A"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+ 2,11</w:t>
            </w:r>
          </w:p>
        </w:tc>
      </w:tr>
      <w:tr w:rsidR="003A52D4" w:rsidRPr="005534D4" w14:paraId="65745358" w14:textId="77777777" w:rsidTr="003A52D4">
        <w:trPr>
          <w:trHeight w:val="405"/>
        </w:trPr>
        <w:tc>
          <w:tcPr>
            <w:tcW w:w="0" w:type="auto"/>
            <w:hideMark/>
          </w:tcPr>
          <w:p w14:paraId="1A348A46" w14:textId="77777777" w:rsidR="003A52D4" w:rsidRPr="005534D4" w:rsidRDefault="003A52D4" w:rsidP="003A52D4">
            <w:pPr>
              <w:pStyle w:val="NoSpacing"/>
              <w:rPr>
                <w:rFonts w:ascii="Times New Roman" w:hAnsi="Times New Roman" w:cs="Times New Roman"/>
                <w:sz w:val="28"/>
                <w:szCs w:val="28"/>
              </w:rPr>
            </w:pPr>
            <w:r w:rsidRPr="005534D4">
              <w:rPr>
                <w:rFonts w:ascii="Times New Roman" w:hAnsi="Times New Roman" w:cs="Times New Roman"/>
                <w:sz w:val="28"/>
                <w:szCs w:val="28"/>
              </w:rPr>
              <w:t>1940-41</w:t>
            </w:r>
          </w:p>
        </w:tc>
        <w:tc>
          <w:tcPr>
            <w:tcW w:w="0" w:type="auto"/>
            <w:hideMark/>
          </w:tcPr>
          <w:p w14:paraId="6CA954B4"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107,65</w:t>
            </w:r>
          </w:p>
        </w:tc>
        <w:tc>
          <w:tcPr>
            <w:tcW w:w="0" w:type="auto"/>
            <w:hideMark/>
          </w:tcPr>
          <w:p w14:paraId="37235CDA"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98,39</w:t>
            </w:r>
          </w:p>
        </w:tc>
        <w:tc>
          <w:tcPr>
            <w:tcW w:w="0" w:type="auto"/>
            <w:hideMark/>
          </w:tcPr>
          <w:p w14:paraId="62ADDA8E"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114,18</w:t>
            </w:r>
          </w:p>
        </w:tc>
        <w:tc>
          <w:tcPr>
            <w:tcW w:w="0" w:type="auto"/>
            <w:hideMark/>
          </w:tcPr>
          <w:p w14:paraId="42A65EBD"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94,69</w:t>
            </w:r>
          </w:p>
        </w:tc>
        <w:tc>
          <w:tcPr>
            <w:tcW w:w="0" w:type="auto"/>
            <w:hideMark/>
          </w:tcPr>
          <w:p w14:paraId="038D5ABF"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 6,53</w:t>
            </w:r>
          </w:p>
        </w:tc>
        <w:tc>
          <w:tcPr>
            <w:tcW w:w="0" w:type="auto"/>
            <w:hideMark/>
          </w:tcPr>
          <w:p w14:paraId="60DEFBF2"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+ 3,70</w:t>
            </w:r>
          </w:p>
        </w:tc>
      </w:tr>
      <w:tr w:rsidR="003A52D4" w:rsidRPr="005534D4" w14:paraId="4AF9E003" w14:textId="77777777" w:rsidTr="003A52D4">
        <w:trPr>
          <w:trHeight w:val="405"/>
        </w:trPr>
        <w:tc>
          <w:tcPr>
            <w:tcW w:w="0" w:type="auto"/>
            <w:hideMark/>
          </w:tcPr>
          <w:p w14:paraId="3AAE4E68" w14:textId="77777777" w:rsidR="003A52D4" w:rsidRPr="005534D4" w:rsidRDefault="003A52D4" w:rsidP="003A52D4">
            <w:pPr>
              <w:pStyle w:val="NoSpacing"/>
              <w:rPr>
                <w:rFonts w:ascii="Times New Roman" w:hAnsi="Times New Roman" w:cs="Times New Roman"/>
                <w:sz w:val="28"/>
                <w:szCs w:val="28"/>
              </w:rPr>
            </w:pPr>
            <w:r w:rsidRPr="005534D4">
              <w:rPr>
                <w:rFonts w:ascii="Times New Roman" w:hAnsi="Times New Roman" w:cs="Times New Roman"/>
                <w:sz w:val="28"/>
                <w:szCs w:val="28"/>
              </w:rPr>
              <w:t>1941-42</w:t>
            </w:r>
          </w:p>
        </w:tc>
        <w:tc>
          <w:tcPr>
            <w:tcW w:w="0" w:type="auto"/>
            <w:hideMark/>
          </w:tcPr>
          <w:p w14:paraId="4C02B3C9"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134,57</w:t>
            </w:r>
          </w:p>
        </w:tc>
        <w:tc>
          <w:tcPr>
            <w:tcW w:w="0" w:type="auto"/>
            <w:hideMark/>
          </w:tcPr>
          <w:p w14:paraId="1EB81537"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108,38</w:t>
            </w:r>
          </w:p>
        </w:tc>
        <w:tc>
          <w:tcPr>
            <w:tcW w:w="0" w:type="auto"/>
            <w:hideMark/>
          </w:tcPr>
          <w:p w14:paraId="1712A7BD"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147,26</w:t>
            </w:r>
          </w:p>
        </w:tc>
        <w:tc>
          <w:tcPr>
            <w:tcW w:w="0" w:type="auto"/>
            <w:hideMark/>
          </w:tcPr>
          <w:p w14:paraId="41B9BF73"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102,69</w:t>
            </w:r>
          </w:p>
        </w:tc>
        <w:tc>
          <w:tcPr>
            <w:tcW w:w="0" w:type="auto"/>
            <w:hideMark/>
          </w:tcPr>
          <w:p w14:paraId="0DF264B0"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 12,69</w:t>
            </w:r>
          </w:p>
        </w:tc>
        <w:tc>
          <w:tcPr>
            <w:tcW w:w="0" w:type="auto"/>
            <w:hideMark/>
          </w:tcPr>
          <w:p w14:paraId="270D7979"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+ 5,69</w:t>
            </w:r>
          </w:p>
        </w:tc>
      </w:tr>
      <w:tr w:rsidR="003A52D4" w:rsidRPr="005534D4" w14:paraId="5A7084EA" w14:textId="77777777" w:rsidTr="003A52D4">
        <w:trPr>
          <w:trHeight w:val="426"/>
        </w:trPr>
        <w:tc>
          <w:tcPr>
            <w:tcW w:w="0" w:type="auto"/>
            <w:hideMark/>
          </w:tcPr>
          <w:p w14:paraId="6F13B0BF" w14:textId="77777777" w:rsidR="003A52D4" w:rsidRPr="005534D4" w:rsidRDefault="003A52D4" w:rsidP="003A52D4">
            <w:pPr>
              <w:pStyle w:val="NoSpacing"/>
              <w:rPr>
                <w:rFonts w:ascii="Times New Roman" w:hAnsi="Times New Roman" w:cs="Times New Roman"/>
                <w:sz w:val="28"/>
                <w:szCs w:val="28"/>
              </w:rPr>
            </w:pPr>
            <w:r w:rsidRPr="005534D4">
              <w:rPr>
                <w:rFonts w:ascii="Times New Roman" w:hAnsi="Times New Roman" w:cs="Times New Roman"/>
                <w:sz w:val="28"/>
                <w:szCs w:val="28"/>
              </w:rPr>
              <w:t>1942-43</w:t>
            </w:r>
          </w:p>
        </w:tc>
        <w:tc>
          <w:tcPr>
            <w:tcW w:w="0" w:type="auto"/>
            <w:hideMark/>
          </w:tcPr>
          <w:p w14:paraId="61709189"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177,12</w:t>
            </w:r>
          </w:p>
        </w:tc>
        <w:tc>
          <w:tcPr>
            <w:tcW w:w="0" w:type="auto"/>
            <w:hideMark/>
          </w:tcPr>
          <w:p w14:paraId="368C223E"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125,34</w:t>
            </w:r>
          </w:p>
        </w:tc>
        <w:tc>
          <w:tcPr>
            <w:tcW w:w="0" w:type="auto"/>
            <w:hideMark/>
          </w:tcPr>
          <w:p w14:paraId="390A6676"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288,90</w:t>
            </w:r>
          </w:p>
        </w:tc>
        <w:tc>
          <w:tcPr>
            <w:tcW w:w="0" w:type="auto"/>
            <w:hideMark/>
          </w:tcPr>
          <w:p w14:paraId="5F0990B6"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115,04</w:t>
            </w:r>
          </w:p>
        </w:tc>
        <w:tc>
          <w:tcPr>
            <w:tcW w:w="0" w:type="auto"/>
            <w:hideMark/>
          </w:tcPr>
          <w:p w14:paraId="0D0179C6"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 111,78</w:t>
            </w:r>
          </w:p>
        </w:tc>
        <w:tc>
          <w:tcPr>
            <w:tcW w:w="0" w:type="auto"/>
            <w:hideMark/>
          </w:tcPr>
          <w:p w14:paraId="0CA96ABD"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+ 10,30</w:t>
            </w:r>
          </w:p>
        </w:tc>
      </w:tr>
      <w:tr w:rsidR="003A52D4" w:rsidRPr="005534D4" w14:paraId="29879AE4" w14:textId="77777777" w:rsidTr="003A52D4">
        <w:trPr>
          <w:trHeight w:val="405"/>
        </w:trPr>
        <w:tc>
          <w:tcPr>
            <w:tcW w:w="0" w:type="auto"/>
            <w:hideMark/>
          </w:tcPr>
          <w:p w14:paraId="29A7DDF3" w14:textId="77777777" w:rsidR="003A52D4" w:rsidRPr="005534D4" w:rsidRDefault="003A52D4" w:rsidP="003A52D4">
            <w:pPr>
              <w:pStyle w:val="NoSpacing"/>
              <w:rPr>
                <w:rFonts w:ascii="Times New Roman" w:hAnsi="Times New Roman" w:cs="Times New Roman"/>
                <w:sz w:val="28"/>
                <w:szCs w:val="28"/>
              </w:rPr>
            </w:pPr>
            <w:r w:rsidRPr="005534D4">
              <w:rPr>
                <w:rFonts w:ascii="Times New Roman" w:hAnsi="Times New Roman" w:cs="Times New Roman"/>
                <w:sz w:val="28"/>
                <w:szCs w:val="28"/>
              </w:rPr>
              <w:t>1943-44</w:t>
            </w:r>
          </w:p>
        </w:tc>
        <w:tc>
          <w:tcPr>
            <w:tcW w:w="0" w:type="auto"/>
            <w:hideMark/>
          </w:tcPr>
          <w:p w14:paraId="27FA7E0F"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249,95</w:t>
            </w:r>
          </w:p>
        </w:tc>
        <w:tc>
          <w:tcPr>
            <w:tcW w:w="0" w:type="auto"/>
            <w:hideMark/>
          </w:tcPr>
          <w:p w14:paraId="4FC2C390"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167,87</w:t>
            </w:r>
          </w:p>
        </w:tc>
        <w:tc>
          <w:tcPr>
            <w:tcW w:w="0" w:type="auto"/>
            <w:hideMark/>
          </w:tcPr>
          <w:p w14:paraId="7DD55B67"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439,85</w:t>
            </w:r>
          </w:p>
        </w:tc>
        <w:tc>
          <w:tcPr>
            <w:tcW w:w="0" w:type="auto"/>
            <w:hideMark/>
          </w:tcPr>
          <w:p w14:paraId="7D20746D"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143,69</w:t>
            </w:r>
          </w:p>
        </w:tc>
        <w:tc>
          <w:tcPr>
            <w:tcW w:w="0" w:type="auto"/>
            <w:hideMark/>
          </w:tcPr>
          <w:p w14:paraId="611F7D18"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 189,90</w:t>
            </w:r>
          </w:p>
        </w:tc>
        <w:tc>
          <w:tcPr>
            <w:tcW w:w="0" w:type="auto"/>
            <w:hideMark/>
          </w:tcPr>
          <w:p w14:paraId="100EF988"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+ 24,18</w:t>
            </w:r>
          </w:p>
        </w:tc>
      </w:tr>
      <w:tr w:rsidR="003A52D4" w:rsidRPr="005534D4" w14:paraId="5090EFAA" w14:textId="77777777" w:rsidTr="003A52D4">
        <w:trPr>
          <w:trHeight w:val="405"/>
        </w:trPr>
        <w:tc>
          <w:tcPr>
            <w:tcW w:w="0" w:type="auto"/>
            <w:hideMark/>
          </w:tcPr>
          <w:p w14:paraId="524DF76A" w14:textId="77777777" w:rsidR="003A52D4" w:rsidRPr="005534D4" w:rsidRDefault="003A52D4" w:rsidP="003A52D4">
            <w:pPr>
              <w:pStyle w:val="NoSpacing"/>
              <w:rPr>
                <w:rFonts w:ascii="Times New Roman" w:hAnsi="Times New Roman" w:cs="Times New Roman"/>
                <w:sz w:val="28"/>
                <w:szCs w:val="28"/>
              </w:rPr>
            </w:pPr>
            <w:r w:rsidRPr="005534D4">
              <w:rPr>
                <w:rFonts w:ascii="Times New Roman" w:hAnsi="Times New Roman" w:cs="Times New Roman"/>
                <w:sz w:val="28"/>
                <w:szCs w:val="28"/>
              </w:rPr>
              <w:t>1944-45</w:t>
            </w:r>
          </w:p>
        </w:tc>
        <w:tc>
          <w:tcPr>
            <w:tcW w:w="0" w:type="auto"/>
            <w:hideMark/>
          </w:tcPr>
          <w:p w14:paraId="14198E81"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335,72</w:t>
            </w:r>
          </w:p>
        </w:tc>
        <w:tc>
          <w:tcPr>
            <w:tcW w:w="0" w:type="auto"/>
            <w:hideMark/>
          </w:tcPr>
          <w:p w14:paraId="337C9B0B"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213,79</w:t>
            </w:r>
          </w:p>
        </w:tc>
        <w:tc>
          <w:tcPr>
            <w:tcW w:w="0" w:type="auto"/>
            <w:hideMark/>
          </w:tcPr>
          <w:p w14:paraId="4E54C6F8"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496,26</w:t>
            </w:r>
          </w:p>
        </w:tc>
        <w:tc>
          <w:tcPr>
            <w:tcW w:w="0" w:type="auto"/>
            <w:hideMark/>
          </w:tcPr>
          <w:p w14:paraId="2561E6FF"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180,35</w:t>
            </w:r>
          </w:p>
        </w:tc>
        <w:tc>
          <w:tcPr>
            <w:tcW w:w="0" w:type="auto"/>
            <w:hideMark/>
          </w:tcPr>
          <w:p w14:paraId="37E78261"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 160,55</w:t>
            </w:r>
          </w:p>
        </w:tc>
        <w:tc>
          <w:tcPr>
            <w:tcW w:w="0" w:type="auto"/>
            <w:hideMark/>
          </w:tcPr>
          <w:p w14:paraId="4781907D"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+ 33,43</w:t>
            </w:r>
          </w:p>
        </w:tc>
      </w:tr>
      <w:tr w:rsidR="003A52D4" w:rsidRPr="005534D4" w14:paraId="0849B794" w14:textId="77777777" w:rsidTr="003A52D4">
        <w:trPr>
          <w:trHeight w:val="405"/>
        </w:trPr>
        <w:tc>
          <w:tcPr>
            <w:tcW w:w="0" w:type="auto"/>
            <w:hideMark/>
          </w:tcPr>
          <w:p w14:paraId="634727F2" w14:textId="77777777" w:rsidR="003A52D4" w:rsidRPr="005534D4" w:rsidRDefault="003A52D4" w:rsidP="003A52D4">
            <w:pPr>
              <w:pStyle w:val="NoSpacing"/>
              <w:rPr>
                <w:rFonts w:ascii="Times New Roman" w:hAnsi="Times New Roman" w:cs="Times New Roman"/>
                <w:sz w:val="28"/>
                <w:szCs w:val="28"/>
              </w:rPr>
            </w:pPr>
            <w:r w:rsidRPr="005534D4">
              <w:rPr>
                <w:rFonts w:ascii="Times New Roman" w:hAnsi="Times New Roman" w:cs="Times New Roman"/>
                <w:sz w:val="28"/>
                <w:szCs w:val="28"/>
              </w:rPr>
              <w:t>1945-46</w:t>
            </w:r>
          </w:p>
        </w:tc>
        <w:tc>
          <w:tcPr>
            <w:tcW w:w="0" w:type="auto"/>
            <w:hideMark/>
          </w:tcPr>
          <w:p w14:paraId="3BD44AED"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361,19</w:t>
            </w:r>
          </w:p>
        </w:tc>
        <w:tc>
          <w:tcPr>
            <w:tcW w:w="0" w:type="auto"/>
            <w:hideMark/>
          </w:tcPr>
          <w:p w14:paraId="5A4B4209"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233,92</w:t>
            </w:r>
          </w:p>
        </w:tc>
        <w:tc>
          <w:tcPr>
            <w:tcW w:w="0" w:type="auto"/>
            <w:hideMark/>
          </w:tcPr>
          <w:p w14:paraId="1431283E"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484,62</w:t>
            </w:r>
          </w:p>
        </w:tc>
        <w:tc>
          <w:tcPr>
            <w:tcW w:w="0" w:type="auto"/>
            <w:hideMark/>
          </w:tcPr>
          <w:p w14:paraId="3CE18540"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188,72</w:t>
            </w:r>
          </w:p>
        </w:tc>
        <w:tc>
          <w:tcPr>
            <w:tcW w:w="0" w:type="auto"/>
            <w:hideMark/>
          </w:tcPr>
          <w:p w14:paraId="32C1C0F7"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 123,43</w:t>
            </w:r>
          </w:p>
        </w:tc>
        <w:tc>
          <w:tcPr>
            <w:tcW w:w="0" w:type="auto"/>
            <w:hideMark/>
          </w:tcPr>
          <w:p w14:paraId="4E149FF7"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+ 45,20</w:t>
            </w:r>
          </w:p>
        </w:tc>
      </w:tr>
      <w:tr w:rsidR="003A52D4" w:rsidRPr="005534D4" w14:paraId="7F6FFC79" w14:textId="77777777" w:rsidTr="003A52D4">
        <w:trPr>
          <w:trHeight w:val="405"/>
        </w:trPr>
        <w:tc>
          <w:tcPr>
            <w:tcW w:w="0" w:type="auto"/>
            <w:hideMark/>
          </w:tcPr>
          <w:p w14:paraId="0F144B03" w14:textId="77777777" w:rsidR="003A52D4" w:rsidRPr="005534D4" w:rsidRDefault="003A52D4" w:rsidP="003A52D4">
            <w:pPr>
              <w:pStyle w:val="NoSpacing"/>
              <w:rPr>
                <w:rFonts w:ascii="Times New Roman" w:hAnsi="Times New Roman" w:cs="Times New Roman"/>
                <w:sz w:val="28"/>
                <w:szCs w:val="28"/>
              </w:rPr>
            </w:pPr>
            <w:r w:rsidRPr="005534D4">
              <w:rPr>
                <w:rFonts w:ascii="Times New Roman" w:hAnsi="Times New Roman" w:cs="Times New Roman"/>
                <w:sz w:val="28"/>
                <w:szCs w:val="28"/>
              </w:rPr>
              <w:t>1946-47</w:t>
            </w:r>
          </w:p>
        </w:tc>
        <w:tc>
          <w:tcPr>
            <w:tcW w:w="0" w:type="auto"/>
            <w:hideMark/>
          </w:tcPr>
          <w:p w14:paraId="188E65F1"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342,89</w:t>
            </w:r>
          </w:p>
        </w:tc>
        <w:tc>
          <w:tcPr>
            <w:tcW w:w="0" w:type="auto"/>
            <w:hideMark/>
          </w:tcPr>
          <w:p w14:paraId="29E99CB4"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246,26</w:t>
            </w:r>
          </w:p>
        </w:tc>
        <w:tc>
          <w:tcPr>
            <w:tcW w:w="0" w:type="auto"/>
            <w:hideMark/>
          </w:tcPr>
          <w:p w14:paraId="022D6A2E"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343,49</w:t>
            </w:r>
          </w:p>
        </w:tc>
        <w:tc>
          <w:tcPr>
            <w:tcW w:w="0" w:type="auto"/>
            <w:hideMark/>
          </w:tcPr>
          <w:p w14:paraId="234F1073"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234,82</w:t>
            </w:r>
          </w:p>
        </w:tc>
        <w:tc>
          <w:tcPr>
            <w:tcW w:w="0" w:type="auto"/>
            <w:hideMark/>
          </w:tcPr>
          <w:p w14:paraId="2B36C5ED"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 60</w:t>
            </w:r>
          </w:p>
        </w:tc>
        <w:tc>
          <w:tcPr>
            <w:tcW w:w="0" w:type="auto"/>
            <w:hideMark/>
          </w:tcPr>
          <w:p w14:paraId="6F53DDC7"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+ 11,44</w:t>
            </w:r>
          </w:p>
        </w:tc>
      </w:tr>
      <w:tr w:rsidR="003A52D4" w:rsidRPr="005534D4" w14:paraId="7ACF0412" w14:textId="77777777" w:rsidTr="003A52D4">
        <w:tc>
          <w:tcPr>
            <w:tcW w:w="0" w:type="auto"/>
            <w:hideMark/>
          </w:tcPr>
          <w:p w14:paraId="06359E6E" w14:textId="77777777" w:rsidR="003A52D4" w:rsidRPr="005534D4" w:rsidRDefault="003A52D4" w:rsidP="003A52D4">
            <w:pPr>
              <w:pStyle w:val="NoSpacing"/>
              <w:rPr>
                <w:rFonts w:ascii="Times New Roman" w:hAnsi="Times New Roman" w:cs="Times New Roman"/>
                <w:sz w:val="28"/>
                <w:szCs w:val="28"/>
              </w:rPr>
            </w:pPr>
          </w:p>
        </w:tc>
        <w:tc>
          <w:tcPr>
            <w:tcW w:w="0" w:type="auto"/>
            <w:hideMark/>
          </w:tcPr>
          <w:p w14:paraId="520B87CD" w14:textId="77777777" w:rsidR="003A52D4" w:rsidRPr="005534D4" w:rsidRDefault="003A52D4" w:rsidP="005534D4">
            <w:pPr>
              <w:pStyle w:val="NoSpacing"/>
              <w:jc w:val="center"/>
              <w:rPr>
                <w:rFonts w:ascii="Times New Roman" w:hAnsi="Times New Roman" w:cs="Times New Roman"/>
                <w:sz w:val="28"/>
                <w:szCs w:val="28"/>
              </w:rPr>
            </w:pPr>
          </w:p>
        </w:tc>
        <w:tc>
          <w:tcPr>
            <w:tcW w:w="0" w:type="auto"/>
            <w:hideMark/>
          </w:tcPr>
          <w:p w14:paraId="1F6592E6" w14:textId="77777777" w:rsidR="003A52D4" w:rsidRPr="005534D4" w:rsidRDefault="003A52D4" w:rsidP="005534D4">
            <w:pPr>
              <w:pStyle w:val="NoSpacing"/>
              <w:jc w:val="center"/>
              <w:rPr>
                <w:rFonts w:ascii="Times New Roman" w:hAnsi="Times New Roman" w:cs="Times New Roman"/>
                <w:sz w:val="28"/>
                <w:szCs w:val="28"/>
              </w:rPr>
            </w:pPr>
          </w:p>
        </w:tc>
        <w:tc>
          <w:tcPr>
            <w:tcW w:w="0" w:type="auto"/>
            <w:hideMark/>
          </w:tcPr>
          <w:p w14:paraId="16C149B7" w14:textId="77777777" w:rsidR="003A52D4" w:rsidRPr="005534D4" w:rsidRDefault="003A52D4" w:rsidP="005534D4">
            <w:pPr>
              <w:pStyle w:val="NoSpacing"/>
              <w:jc w:val="center"/>
              <w:rPr>
                <w:rFonts w:ascii="Times New Roman" w:hAnsi="Times New Roman" w:cs="Times New Roman"/>
                <w:sz w:val="28"/>
                <w:szCs w:val="28"/>
              </w:rPr>
            </w:pPr>
          </w:p>
        </w:tc>
        <w:tc>
          <w:tcPr>
            <w:tcW w:w="0" w:type="auto"/>
            <w:hideMark/>
          </w:tcPr>
          <w:p w14:paraId="1035A1E3" w14:textId="77777777" w:rsidR="003A52D4" w:rsidRPr="005534D4" w:rsidRDefault="003A52D4" w:rsidP="005534D4">
            <w:pPr>
              <w:pStyle w:val="NoSpacing"/>
              <w:jc w:val="center"/>
              <w:rPr>
                <w:rFonts w:ascii="Times New Roman" w:hAnsi="Times New Roman" w:cs="Times New Roman"/>
                <w:sz w:val="28"/>
                <w:szCs w:val="28"/>
              </w:rPr>
            </w:pPr>
          </w:p>
        </w:tc>
        <w:tc>
          <w:tcPr>
            <w:tcW w:w="0" w:type="auto"/>
            <w:hideMark/>
          </w:tcPr>
          <w:p w14:paraId="749041FA" w14:textId="77777777" w:rsidR="003A52D4" w:rsidRPr="005534D4" w:rsidRDefault="003A52D4" w:rsidP="005534D4">
            <w:pPr>
              <w:pStyle w:val="NoSpacing"/>
              <w:jc w:val="center"/>
              <w:rPr>
                <w:rFonts w:ascii="Times New Roman" w:hAnsi="Times New Roman" w:cs="Times New Roman"/>
                <w:sz w:val="28"/>
                <w:szCs w:val="28"/>
              </w:rPr>
            </w:pPr>
          </w:p>
        </w:tc>
        <w:tc>
          <w:tcPr>
            <w:tcW w:w="0" w:type="auto"/>
            <w:hideMark/>
          </w:tcPr>
          <w:p w14:paraId="5D3FFCB8" w14:textId="77777777" w:rsidR="003A52D4" w:rsidRPr="005534D4" w:rsidRDefault="003A52D4" w:rsidP="005534D4">
            <w:pPr>
              <w:pStyle w:val="NoSpacing"/>
              <w:jc w:val="center"/>
              <w:rPr>
                <w:rFonts w:ascii="Times New Roman" w:hAnsi="Times New Roman" w:cs="Times New Roman"/>
                <w:sz w:val="28"/>
                <w:szCs w:val="28"/>
              </w:rPr>
            </w:pPr>
          </w:p>
        </w:tc>
      </w:tr>
      <w:tr w:rsidR="003A52D4" w:rsidRPr="005534D4" w14:paraId="2E3BBE36" w14:textId="77777777" w:rsidTr="003A52D4">
        <w:trPr>
          <w:trHeight w:val="405"/>
        </w:trPr>
        <w:tc>
          <w:tcPr>
            <w:tcW w:w="0" w:type="auto"/>
            <w:hideMark/>
          </w:tcPr>
          <w:p w14:paraId="72DC0F96" w14:textId="77777777" w:rsidR="003A52D4" w:rsidRPr="005534D4" w:rsidRDefault="003A52D4" w:rsidP="003A52D4">
            <w:pPr>
              <w:pStyle w:val="NoSpacing"/>
              <w:rPr>
                <w:rFonts w:ascii="Times New Roman" w:hAnsi="Times New Roman" w:cs="Times New Roman"/>
                <w:sz w:val="28"/>
                <w:szCs w:val="28"/>
              </w:rPr>
            </w:pPr>
            <w:r w:rsidRPr="005534D4">
              <w:rPr>
                <w:rFonts w:ascii="Times New Roman" w:hAnsi="Times New Roman" w:cs="Times New Roman"/>
                <w:sz w:val="28"/>
                <w:szCs w:val="28"/>
              </w:rPr>
              <w:t>1948-49</w:t>
            </w:r>
          </w:p>
        </w:tc>
        <w:tc>
          <w:tcPr>
            <w:tcW w:w="0" w:type="auto"/>
            <w:hideMark/>
          </w:tcPr>
          <w:p w14:paraId="7F4EE0CE"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371,70(a)</w:t>
            </w:r>
          </w:p>
        </w:tc>
        <w:tc>
          <w:tcPr>
            <w:tcW w:w="0" w:type="auto"/>
            <w:hideMark/>
          </w:tcPr>
          <w:p w14:paraId="10132DA8"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256,45</w:t>
            </w:r>
          </w:p>
        </w:tc>
        <w:tc>
          <w:tcPr>
            <w:tcW w:w="0" w:type="auto"/>
            <w:hideMark/>
          </w:tcPr>
          <w:p w14:paraId="4ACB5262"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320,86(a)</w:t>
            </w:r>
          </w:p>
        </w:tc>
        <w:tc>
          <w:tcPr>
            <w:tcW w:w="0" w:type="auto"/>
            <w:hideMark/>
          </w:tcPr>
          <w:p w14:paraId="752456F6"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244,01</w:t>
            </w:r>
          </w:p>
        </w:tc>
        <w:tc>
          <w:tcPr>
            <w:tcW w:w="0" w:type="auto"/>
            <w:hideMark/>
          </w:tcPr>
          <w:p w14:paraId="0E2901A6"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+ 50,84</w:t>
            </w:r>
          </w:p>
        </w:tc>
        <w:tc>
          <w:tcPr>
            <w:tcW w:w="0" w:type="auto"/>
            <w:hideMark/>
          </w:tcPr>
          <w:p w14:paraId="5630EE88"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+ 13,60</w:t>
            </w:r>
          </w:p>
        </w:tc>
      </w:tr>
      <w:tr w:rsidR="003A52D4" w:rsidRPr="005534D4" w14:paraId="15D0B013" w14:textId="77777777" w:rsidTr="003A52D4">
        <w:trPr>
          <w:trHeight w:val="405"/>
        </w:trPr>
        <w:tc>
          <w:tcPr>
            <w:tcW w:w="0" w:type="auto"/>
            <w:hideMark/>
          </w:tcPr>
          <w:p w14:paraId="44FCD92F" w14:textId="77777777" w:rsidR="003A52D4" w:rsidRPr="005534D4" w:rsidRDefault="003A52D4" w:rsidP="003A52D4">
            <w:pPr>
              <w:pStyle w:val="NoSpacing"/>
              <w:rPr>
                <w:rFonts w:ascii="Times New Roman" w:hAnsi="Times New Roman" w:cs="Times New Roman"/>
                <w:sz w:val="28"/>
                <w:szCs w:val="28"/>
              </w:rPr>
            </w:pPr>
            <w:r w:rsidRPr="005534D4">
              <w:rPr>
                <w:rFonts w:ascii="Times New Roman" w:hAnsi="Times New Roman" w:cs="Times New Roman"/>
                <w:sz w:val="28"/>
                <w:szCs w:val="28"/>
              </w:rPr>
              <w:t>1949-50</w:t>
            </w:r>
          </w:p>
        </w:tc>
        <w:tc>
          <w:tcPr>
            <w:tcW w:w="0" w:type="auto"/>
            <w:hideMark/>
          </w:tcPr>
          <w:p w14:paraId="3324C96D"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350,38(a)</w:t>
            </w:r>
          </w:p>
        </w:tc>
        <w:tc>
          <w:tcPr>
            <w:tcW w:w="0" w:type="auto"/>
            <w:hideMark/>
          </w:tcPr>
          <w:p w14:paraId="25501CE9"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239,04</w:t>
            </w:r>
          </w:p>
        </w:tc>
        <w:tc>
          <w:tcPr>
            <w:tcW w:w="0" w:type="auto"/>
            <w:hideMark/>
          </w:tcPr>
          <w:p w14:paraId="0D71E6F9"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317,12(a)</w:t>
            </w:r>
          </w:p>
        </w:tc>
        <w:tc>
          <w:tcPr>
            <w:tcW w:w="0" w:type="auto"/>
            <w:hideMark/>
          </w:tcPr>
          <w:p w14:paraId="65B68724"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233,74</w:t>
            </w:r>
          </w:p>
        </w:tc>
        <w:tc>
          <w:tcPr>
            <w:tcW w:w="0" w:type="auto"/>
            <w:hideMark/>
          </w:tcPr>
          <w:p w14:paraId="266B621F"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+ 33,27</w:t>
            </w:r>
          </w:p>
        </w:tc>
        <w:tc>
          <w:tcPr>
            <w:tcW w:w="0" w:type="auto"/>
            <w:hideMark/>
          </w:tcPr>
          <w:p w14:paraId="00A00446"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+ 5,30</w:t>
            </w:r>
          </w:p>
        </w:tc>
      </w:tr>
      <w:tr w:rsidR="003A52D4" w:rsidRPr="005534D4" w14:paraId="08A30C84" w14:textId="77777777" w:rsidTr="003A52D4">
        <w:trPr>
          <w:trHeight w:val="426"/>
        </w:trPr>
        <w:tc>
          <w:tcPr>
            <w:tcW w:w="0" w:type="auto"/>
            <w:hideMark/>
          </w:tcPr>
          <w:p w14:paraId="01FF76B0" w14:textId="77777777" w:rsidR="003A52D4" w:rsidRPr="005534D4" w:rsidRDefault="003A52D4" w:rsidP="003A52D4">
            <w:pPr>
              <w:pStyle w:val="NoSpacing"/>
              <w:rPr>
                <w:rFonts w:ascii="Times New Roman" w:hAnsi="Times New Roman" w:cs="Times New Roman"/>
                <w:sz w:val="28"/>
                <w:szCs w:val="28"/>
              </w:rPr>
            </w:pPr>
            <w:r w:rsidRPr="005534D4">
              <w:rPr>
                <w:rFonts w:ascii="Times New Roman" w:hAnsi="Times New Roman" w:cs="Times New Roman"/>
                <w:sz w:val="28"/>
                <w:szCs w:val="28"/>
              </w:rPr>
              <w:t>1950-51</w:t>
            </w:r>
          </w:p>
        </w:tc>
        <w:tc>
          <w:tcPr>
            <w:tcW w:w="0" w:type="auto"/>
            <w:hideMark/>
          </w:tcPr>
          <w:p w14:paraId="4078FC3E"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410,66(a)</w:t>
            </w:r>
          </w:p>
        </w:tc>
        <w:tc>
          <w:tcPr>
            <w:tcW w:w="0" w:type="auto"/>
            <w:hideMark/>
          </w:tcPr>
          <w:p w14:paraId="7C719E7E"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382,90</w:t>
            </w:r>
          </w:p>
        </w:tc>
        <w:tc>
          <w:tcPr>
            <w:tcW w:w="0" w:type="auto"/>
            <w:hideMark/>
          </w:tcPr>
          <w:p w14:paraId="2DDA3745"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351,44(a)</w:t>
            </w:r>
          </w:p>
        </w:tc>
        <w:tc>
          <w:tcPr>
            <w:tcW w:w="0" w:type="auto"/>
            <w:hideMark/>
          </w:tcPr>
          <w:p w14:paraId="27871055"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380,61</w:t>
            </w:r>
          </w:p>
        </w:tc>
        <w:tc>
          <w:tcPr>
            <w:tcW w:w="0" w:type="auto"/>
            <w:hideMark/>
          </w:tcPr>
          <w:p w14:paraId="038A648D"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+ 59,22</w:t>
            </w:r>
          </w:p>
        </w:tc>
        <w:tc>
          <w:tcPr>
            <w:tcW w:w="0" w:type="auto"/>
            <w:hideMark/>
          </w:tcPr>
          <w:p w14:paraId="6F401643"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+ 2,29</w:t>
            </w:r>
          </w:p>
        </w:tc>
      </w:tr>
      <w:tr w:rsidR="003A52D4" w:rsidRPr="005534D4" w14:paraId="552384F0" w14:textId="77777777" w:rsidTr="003A52D4">
        <w:trPr>
          <w:trHeight w:val="405"/>
        </w:trPr>
        <w:tc>
          <w:tcPr>
            <w:tcW w:w="0" w:type="auto"/>
            <w:hideMark/>
          </w:tcPr>
          <w:p w14:paraId="7223E750" w14:textId="77777777" w:rsidR="003A52D4" w:rsidRPr="005534D4" w:rsidRDefault="003A52D4" w:rsidP="003A52D4">
            <w:pPr>
              <w:pStyle w:val="NoSpacing"/>
              <w:rPr>
                <w:rFonts w:ascii="Times New Roman" w:hAnsi="Times New Roman" w:cs="Times New Roman"/>
                <w:sz w:val="28"/>
                <w:szCs w:val="28"/>
              </w:rPr>
            </w:pPr>
            <w:r w:rsidRPr="005534D4">
              <w:rPr>
                <w:rFonts w:ascii="Times New Roman" w:hAnsi="Times New Roman" w:cs="Times New Roman"/>
                <w:sz w:val="28"/>
                <w:szCs w:val="28"/>
              </w:rPr>
              <w:t>1951-52</w:t>
            </w:r>
          </w:p>
        </w:tc>
        <w:tc>
          <w:tcPr>
            <w:tcW w:w="0" w:type="auto"/>
            <w:hideMark/>
          </w:tcPr>
          <w:p w14:paraId="666DCD37"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497,67(b)</w:t>
            </w:r>
          </w:p>
        </w:tc>
        <w:tc>
          <w:tcPr>
            <w:tcW w:w="0" w:type="auto"/>
            <w:hideMark/>
          </w:tcPr>
          <w:p w14:paraId="1D669937"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406,66(a)</w:t>
            </w:r>
          </w:p>
        </w:tc>
        <w:tc>
          <w:tcPr>
            <w:tcW w:w="0" w:type="auto"/>
            <w:hideMark/>
          </w:tcPr>
          <w:p w14:paraId="04108B7B"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405,06(b)</w:t>
            </w:r>
          </w:p>
        </w:tc>
        <w:tc>
          <w:tcPr>
            <w:tcW w:w="0" w:type="auto"/>
            <w:hideMark/>
          </w:tcPr>
          <w:p w14:paraId="09C39F84"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401,73(a)</w:t>
            </w:r>
          </w:p>
        </w:tc>
        <w:tc>
          <w:tcPr>
            <w:tcW w:w="0" w:type="auto"/>
            <w:hideMark/>
          </w:tcPr>
          <w:p w14:paraId="30CB366A"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+ 92,61</w:t>
            </w:r>
          </w:p>
        </w:tc>
        <w:tc>
          <w:tcPr>
            <w:tcW w:w="0" w:type="auto"/>
            <w:hideMark/>
          </w:tcPr>
          <w:p w14:paraId="7EF34178"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+ 4,93</w:t>
            </w:r>
          </w:p>
        </w:tc>
      </w:tr>
      <w:tr w:rsidR="003A52D4" w:rsidRPr="005534D4" w14:paraId="333B7625" w14:textId="77777777" w:rsidTr="003A52D4">
        <w:trPr>
          <w:trHeight w:val="405"/>
        </w:trPr>
        <w:tc>
          <w:tcPr>
            <w:tcW w:w="0" w:type="auto"/>
            <w:hideMark/>
          </w:tcPr>
          <w:p w14:paraId="4EAFDE34" w14:textId="77777777" w:rsidR="003A52D4" w:rsidRPr="005534D4" w:rsidRDefault="003A52D4" w:rsidP="003A52D4">
            <w:pPr>
              <w:pStyle w:val="NoSpacing"/>
              <w:rPr>
                <w:rFonts w:ascii="Times New Roman" w:hAnsi="Times New Roman" w:cs="Times New Roman"/>
                <w:sz w:val="28"/>
                <w:szCs w:val="28"/>
              </w:rPr>
            </w:pPr>
            <w:r w:rsidRPr="005534D4">
              <w:rPr>
                <w:rFonts w:ascii="Times New Roman" w:hAnsi="Times New Roman" w:cs="Times New Roman"/>
                <w:sz w:val="28"/>
                <w:szCs w:val="28"/>
              </w:rPr>
              <w:t>1952-53 (c)</w:t>
            </w:r>
          </w:p>
        </w:tc>
        <w:tc>
          <w:tcPr>
            <w:tcW w:w="0" w:type="auto"/>
            <w:hideMark/>
          </w:tcPr>
          <w:p w14:paraId="4BEC43C3"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404.98</w:t>
            </w:r>
          </w:p>
        </w:tc>
        <w:tc>
          <w:tcPr>
            <w:tcW w:w="0" w:type="auto"/>
            <w:hideMark/>
          </w:tcPr>
          <w:p w14:paraId="41F065A2"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415.99</w:t>
            </w:r>
          </w:p>
        </w:tc>
        <w:tc>
          <w:tcPr>
            <w:tcW w:w="0" w:type="auto"/>
            <w:hideMark/>
          </w:tcPr>
          <w:p w14:paraId="3E77D0DE"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401.25</w:t>
            </w:r>
          </w:p>
        </w:tc>
        <w:tc>
          <w:tcPr>
            <w:tcW w:w="0" w:type="auto"/>
            <w:hideMark/>
          </w:tcPr>
          <w:p w14:paraId="1594A666"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435.30</w:t>
            </w:r>
          </w:p>
        </w:tc>
        <w:tc>
          <w:tcPr>
            <w:tcW w:w="0" w:type="auto"/>
            <w:hideMark/>
          </w:tcPr>
          <w:p w14:paraId="02C0510E"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+ 3.73</w:t>
            </w:r>
          </w:p>
        </w:tc>
        <w:tc>
          <w:tcPr>
            <w:tcW w:w="0" w:type="auto"/>
            <w:hideMark/>
          </w:tcPr>
          <w:p w14:paraId="26F229D4" w14:textId="77777777" w:rsidR="003A52D4" w:rsidRPr="005534D4" w:rsidRDefault="003A52D4" w:rsidP="005534D4">
            <w:pPr>
              <w:pStyle w:val="NoSpacing"/>
              <w:jc w:val="center"/>
              <w:rPr>
                <w:rFonts w:ascii="Times New Roman" w:hAnsi="Times New Roman" w:cs="Times New Roman"/>
                <w:sz w:val="28"/>
                <w:szCs w:val="28"/>
              </w:rPr>
            </w:pPr>
            <w:r w:rsidRPr="005534D4">
              <w:rPr>
                <w:rFonts w:ascii="Times New Roman" w:hAnsi="Times New Roman" w:cs="Times New Roman"/>
                <w:sz w:val="28"/>
                <w:szCs w:val="28"/>
              </w:rPr>
              <w:t>— 19.31</w:t>
            </w:r>
          </w:p>
        </w:tc>
      </w:tr>
    </w:tbl>
    <w:p w14:paraId="0B3048E7" w14:textId="5DD33E7F" w:rsidR="003A52D4" w:rsidRPr="005534D4" w:rsidRDefault="003A52D4" w:rsidP="005534D4">
      <w:pPr>
        <w:pStyle w:val="Sources"/>
      </w:pPr>
      <w:r w:rsidRPr="005534D4">
        <w:t>Figures exclude transfers from/to Revenue Reserve Funds.</w:t>
      </w:r>
      <w:r w:rsidRPr="005534D4">
        <w:br/>
        <w:t>Figures upto and including 1946-47 relate to undivided India; later figures relate to the Indian Union. State figures from 1950-51 are inclusive of those of Part B States (except Jammu &amp; Kashmir).</w:t>
      </w:r>
    </w:p>
    <w:p w14:paraId="56698921" w14:textId="77777777" w:rsidR="003A52D4" w:rsidRPr="005534D4" w:rsidRDefault="003A52D4" w:rsidP="005534D4">
      <w:pPr>
        <w:pStyle w:val="Sources"/>
      </w:pPr>
      <w:r w:rsidRPr="005534D4">
        <w:t>(a) Provisional figures.</w:t>
      </w:r>
      <w:r w:rsidRPr="005534D4">
        <w:br/>
        <w:t>(b) Revised estimates.</w:t>
      </w:r>
      <w:r w:rsidRPr="005534D4">
        <w:br/>
        <w:t>(c) Budget estimates.</w:t>
      </w:r>
    </w:p>
    <w:p w14:paraId="42919FD6" w14:textId="75EE715D" w:rsidR="00D70AD3" w:rsidRPr="005534D4" w:rsidRDefault="00D70AD3">
      <w:pPr>
        <w:rPr>
          <w:rFonts w:ascii="Times New Roman" w:hAnsi="Times New Roman" w:cs="Times New Roman"/>
          <w:szCs w:val="24"/>
        </w:rPr>
      </w:pPr>
      <w:r w:rsidRPr="005534D4">
        <w:rPr>
          <w:rFonts w:ascii="Times New Roman" w:hAnsi="Times New Roman" w:cs="Times New Roman"/>
          <w:szCs w:val="24"/>
        </w:rPr>
        <w:br w:type="page"/>
      </w:r>
    </w:p>
    <w:p w14:paraId="05E079A1" w14:textId="77777777" w:rsidR="00F8495B" w:rsidRPr="005534D4" w:rsidRDefault="00F8495B" w:rsidP="0003452E">
      <w:pPr>
        <w:pStyle w:val="NoSpacing"/>
        <w:numPr>
          <w:ilvl w:val="0"/>
          <w:numId w:val="18"/>
        </w:numPr>
        <w:jc w:val="center"/>
        <w:rPr>
          <w:rFonts w:ascii="Times New Roman" w:hAnsi="Times New Roman" w:cs="Times New Roman"/>
          <w:b/>
          <w:bCs/>
          <w:szCs w:val="24"/>
        </w:rPr>
        <w:sectPr w:rsidR="00F8495B" w:rsidRPr="005534D4" w:rsidSect="00764594">
          <w:pgSz w:w="11906" w:h="16838"/>
          <w:pgMar w:top="1440" w:right="1274" w:bottom="1440" w:left="1134" w:header="708" w:footer="708" w:gutter="0"/>
          <w:cols w:space="708"/>
          <w:docGrid w:linePitch="360"/>
        </w:sectPr>
      </w:pPr>
    </w:p>
    <w:p w14:paraId="0975A6E1" w14:textId="7642E0BC" w:rsidR="00F8495B" w:rsidRPr="005534D4" w:rsidRDefault="005534D4" w:rsidP="0075507D">
      <w:pPr>
        <w:pStyle w:val="Heading3"/>
      </w:pPr>
      <w:bookmarkStart w:id="25" w:name="_Toc221007134"/>
      <w:r>
        <w:lastRenderedPageBreak/>
        <w:t xml:space="preserve">3. </w:t>
      </w:r>
      <w:r w:rsidR="00D70AD3" w:rsidRPr="005534D4">
        <w:t>Composition of Revenue and Expenditure</w:t>
      </w:r>
      <w:r w:rsidR="00F8495B" w:rsidRPr="005534D4">
        <w:t xml:space="preserve"> met from Revenue of the Government of India</w:t>
      </w:r>
      <w:bookmarkEnd w:id="25"/>
    </w:p>
    <w:p w14:paraId="104CA7BA" w14:textId="018FC0DC" w:rsidR="00D70AD3" w:rsidRPr="005534D4" w:rsidRDefault="00D70AD3" w:rsidP="00F8495B">
      <w:pPr>
        <w:pStyle w:val="NoSpacing"/>
        <w:ind w:left="720"/>
        <w:rPr>
          <w:rFonts w:ascii="Times New Roman" w:hAnsi="Times New Roman" w:cs="Times New Roman"/>
          <w:b/>
          <w:bCs/>
          <w:szCs w:val="24"/>
        </w:rPr>
      </w:pPr>
    </w:p>
    <w:p w14:paraId="4B85A798" w14:textId="77777777" w:rsidR="00F8495B" w:rsidRPr="005534D4" w:rsidRDefault="00F8495B" w:rsidP="00F8495B">
      <w:pPr>
        <w:pStyle w:val="NoSpacing"/>
        <w:jc w:val="center"/>
        <w:rPr>
          <w:rFonts w:ascii="Times New Roman" w:hAnsi="Times New Roman" w:cs="Times New Roman"/>
          <w:b/>
          <w:bCs/>
          <w:szCs w:val="24"/>
        </w:rPr>
      </w:pPr>
    </w:p>
    <w:tbl>
      <w:tblPr>
        <w:tblW w:w="15254" w:type="dxa"/>
        <w:jc w:val="center"/>
        <w:tblLook w:val="04A0" w:firstRow="1" w:lastRow="0" w:firstColumn="1" w:lastColumn="0" w:noHBand="0" w:noVBand="1"/>
      </w:tblPr>
      <w:tblGrid>
        <w:gridCol w:w="2998"/>
        <w:gridCol w:w="971"/>
        <w:gridCol w:w="971"/>
        <w:gridCol w:w="1189"/>
        <w:gridCol w:w="1189"/>
        <w:gridCol w:w="1189"/>
        <w:gridCol w:w="1189"/>
        <w:gridCol w:w="1189"/>
        <w:gridCol w:w="1189"/>
        <w:gridCol w:w="1590"/>
        <w:gridCol w:w="1590"/>
      </w:tblGrid>
      <w:tr w:rsidR="00F8495B" w:rsidRPr="005534D4" w14:paraId="54CDFB15" w14:textId="77777777" w:rsidTr="00390A1B">
        <w:trPr>
          <w:trHeight w:val="20"/>
          <w:jc w:val="center"/>
        </w:trPr>
        <w:tc>
          <w:tcPr>
            <w:tcW w:w="2998" w:type="dxa"/>
            <w:tcBorders>
              <w:top w:val="single" w:sz="4" w:space="0" w:color="auto"/>
              <w:left w:val="single" w:sz="4" w:space="0" w:color="auto"/>
              <w:bottom w:val="single" w:sz="4" w:space="0" w:color="auto"/>
              <w:right w:val="single" w:sz="4" w:space="0" w:color="auto"/>
            </w:tcBorders>
            <w:vAlign w:val="center"/>
            <w:hideMark/>
          </w:tcPr>
          <w:p w14:paraId="04DA41C7" w14:textId="015603A2" w:rsidR="00F8495B" w:rsidRPr="00390A1B" w:rsidRDefault="00F8495B" w:rsidP="00F8495B">
            <w:pPr>
              <w:spacing w:after="0" w:line="240" w:lineRule="auto"/>
              <w:jc w:val="center"/>
              <w:rPr>
                <w:rFonts w:ascii="Times New Roman" w:eastAsia="Times New Roman" w:hAnsi="Times New Roman" w:cs="Times New Roman"/>
                <w:b/>
                <w:bCs/>
                <w:color w:val="000000"/>
                <w:kern w:val="0"/>
                <w:sz w:val="28"/>
                <w:szCs w:val="28"/>
                <w:lang w:eastAsia="en-IN"/>
                <w14:ligatures w14:val="none"/>
              </w:rPr>
            </w:pPr>
          </w:p>
        </w:tc>
        <w:tc>
          <w:tcPr>
            <w:tcW w:w="971" w:type="dxa"/>
            <w:tcBorders>
              <w:top w:val="single" w:sz="4" w:space="0" w:color="auto"/>
              <w:left w:val="nil"/>
              <w:bottom w:val="single" w:sz="4" w:space="0" w:color="auto"/>
              <w:right w:val="single" w:sz="4" w:space="0" w:color="auto"/>
            </w:tcBorders>
            <w:vAlign w:val="center"/>
            <w:hideMark/>
          </w:tcPr>
          <w:p w14:paraId="441A2F22" w14:textId="77777777" w:rsidR="00F8495B" w:rsidRPr="00390A1B" w:rsidRDefault="00F8495B" w:rsidP="00F8495B">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390A1B">
              <w:rPr>
                <w:rFonts w:ascii="Times New Roman" w:eastAsia="Times New Roman" w:hAnsi="Times New Roman" w:cs="Times New Roman"/>
                <w:b/>
                <w:bCs/>
                <w:color w:val="000000"/>
                <w:kern w:val="0"/>
                <w:sz w:val="28"/>
                <w:szCs w:val="28"/>
                <w:lang w:eastAsia="en-IN"/>
                <w14:ligatures w14:val="none"/>
              </w:rPr>
              <w:t>1937-38</w:t>
            </w:r>
          </w:p>
        </w:tc>
        <w:tc>
          <w:tcPr>
            <w:tcW w:w="971" w:type="dxa"/>
            <w:tcBorders>
              <w:top w:val="single" w:sz="4" w:space="0" w:color="auto"/>
              <w:left w:val="nil"/>
              <w:bottom w:val="single" w:sz="4" w:space="0" w:color="auto"/>
              <w:right w:val="single" w:sz="4" w:space="0" w:color="auto"/>
            </w:tcBorders>
            <w:vAlign w:val="center"/>
            <w:hideMark/>
          </w:tcPr>
          <w:p w14:paraId="3B8EFBE6" w14:textId="77777777" w:rsidR="00F8495B" w:rsidRPr="00390A1B" w:rsidRDefault="00F8495B" w:rsidP="00F8495B">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390A1B">
              <w:rPr>
                <w:rFonts w:ascii="Times New Roman" w:eastAsia="Times New Roman" w:hAnsi="Times New Roman" w:cs="Times New Roman"/>
                <w:b/>
                <w:bCs/>
                <w:color w:val="000000"/>
                <w:kern w:val="0"/>
                <w:sz w:val="28"/>
                <w:szCs w:val="28"/>
                <w:lang w:eastAsia="en-IN"/>
                <w14:ligatures w14:val="none"/>
              </w:rPr>
              <w:t>1938-39</w:t>
            </w:r>
          </w:p>
        </w:tc>
        <w:tc>
          <w:tcPr>
            <w:tcW w:w="1189" w:type="dxa"/>
            <w:tcBorders>
              <w:top w:val="single" w:sz="4" w:space="0" w:color="auto"/>
              <w:left w:val="nil"/>
              <w:bottom w:val="single" w:sz="4" w:space="0" w:color="auto"/>
              <w:right w:val="single" w:sz="4" w:space="0" w:color="auto"/>
            </w:tcBorders>
            <w:vAlign w:val="center"/>
            <w:hideMark/>
          </w:tcPr>
          <w:p w14:paraId="77628A82" w14:textId="77777777" w:rsidR="00F8495B" w:rsidRPr="00390A1B" w:rsidRDefault="00F8495B" w:rsidP="00F8495B">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390A1B">
              <w:rPr>
                <w:rFonts w:ascii="Times New Roman" w:eastAsia="Times New Roman" w:hAnsi="Times New Roman" w:cs="Times New Roman"/>
                <w:b/>
                <w:bCs/>
                <w:color w:val="000000"/>
                <w:kern w:val="0"/>
                <w:sz w:val="28"/>
                <w:szCs w:val="28"/>
                <w:lang w:eastAsia="en-IN"/>
                <w14:ligatures w14:val="none"/>
              </w:rPr>
              <w:t>1944-45</w:t>
            </w:r>
          </w:p>
        </w:tc>
        <w:tc>
          <w:tcPr>
            <w:tcW w:w="1189" w:type="dxa"/>
            <w:tcBorders>
              <w:top w:val="single" w:sz="4" w:space="0" w:color="auto"/>
              <w:left w:val="nil"/>
              <w:bottom w:val="single" w:sz="4" w:space="0" w:color="auto"/>
              <w:right w:val="single" w:sz="4" w:space="0" w:color="auto"/>
            </w:tcBorders>
            <w:vAlign w:val="center"/>
            <w:hideMark/>
          </w:tcPr>
          <w:p w14:paraId="1A6882E8" w14:textId="77777777" w:rsidR="00F8495B" w:rsidRPr="00390A1B" w:rsidRDefault="00F8495B" w:rsidP="00F8495B">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390A1B">
              <w:rPr>
                <w:rFonts w:ascii="Times New Roman" w:eastAsia="Times New Roman" w:hAnsi="Times New Roman" w:cs="Times New Roman"/>
                <w:b/>
                <w:bCs/>
                <w:color w:val="000000"/>
                <w:kern w:val="0"/>
                <w:sz w:val="28"/>
                <w:szCs w:val="28"/>
                <w:lang w:eastAsia="en-IN"/>
                <w14:ligatures w14:val="none"/>
              </w:rPr>
              <w:t>1945-46</w:t>
            </w:r>
          </w:p>
        </w:tc>
        <w:tc>
          <w:tcPr>
            <w:tcW w:w="1189" w:type="dxa"/>
            <w:tcBorders>
              <w:top w:val="single" w:sz="4" w:space="0" w:color="auto"/>
              <w:left w:val="nil"/>
              <w:bottom w:val="single" w:sz="4" w:space="0" w:color="auto"/>
              <w:right w:val="single" w:sz="4" w:space="0" w:color="auto"/>
            </w:tcBorders>
            <w:vAlign w:val="center"/>
            <w:hideMark/>
          </w:tcPr>
          <w:p w14:paraId="3672C47D" w14:textId="77777777" w:rsidR="00F8495B" w:rsidRPr="00390A1B" w:rsidRDefault="00F8495B" w:rsidP="00F8495B">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390A1B">
              <w:rPr>
                <w:rFonts w:ascii="Times New Roman" w:eastAsia="Times New Roman" w:hAnsi="Times New Roman" w:cs="Times New Roman"/>
                <w:b/>
                <w:bCs/>
                <w:color w:val="000000"/>
                <w:kern w:val="0"/>
                <w:sz w:val="28"/>
                <w:szCs w:val="28"/>
                <w:lang w:eastAsia="en-IN"/>
                <w14:ligatures w14:val="none"/>
              </w:rPr>
              <w:t>1946-47</w:t>
            </w:r>
          </w:p>
        </w:tc>
        <w:tc>
          <w:tcPr>
            <w:tcW w:w="1189" w:type="dxa"/>
            <w:tcBorders>
              <w:top w:val="single" w:sz="4" w:space="0" w:color="auto"/>
              <w:left w:val="nil"/>
              <w:bottom w:val="single" w:sz="4" w:space="0" w:color="auto"/>
              <w:right w:val="single" w:sz="4" w:space="0" w:color="auto"/>
            </w:tcBorders>
            <w:vAlign w:val="center"/>
            <w:hideMark/>
          </w:tcPr>
          <w:p w14:paraId="6BE8D0D1" w14:textId="77777777" w:rsidR="00F8495B" w:rsidRPr="00390A1B" w:rsidRDefault="00F8495B" w:rsidP="00F8495B">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390A1B">
              <w:rPr>
                <w:rFonts w:ascii="Times New Roman" w:eastAsia="Times New Roman" w:hAnsi="Times New Roman" w:cs="Times New Roman"/>
                <w:b/>
                <w:bCs/>
                <w:color w:val="000000"/>
                <w:kern w:val="0"/>
                <w:sz w:val="28"/>
                <w:szCs w:val="28"/>
                <w:lang w:eastAsia="en-IN"/>
                <w14:ligatures w14:val="none"/>
              </w:rPr>
              <w:t>1948-49</w:t>
            </w:r>
          </w:p>
        </w:tc>
        <w:tc>
          <w:tcPr>
            <w:tcW w:w="1189" w:type="dxa"/>
            <w:tcBorders>
              <w:top w:val="single" w:sz="4" w:space="0" w:color="auto"/>
              <w:left w:val="nil"/>
              <w:bottom w:val="single" w:sz="4" w:space="0" w:color="auto"/>
              <w:right w:val="single" w:sz="4" w:space="0" w:color="auto"/>
            </w:tcBorders>
            <w:vAlign w:val="center"/>
            <w:hideMark/>
          </w:tcPr>
          <w:p w14:paraId="5D9FC0DC" w14:textId="77777777" w:rsidR="00F8495B" w:rsidRPr="00390A1B" w:rsidRDefault="00F8495B" w:rsidP="00F8495B">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390A1B">
              <w:rPr>
                <w:rFonts w:ascii="Times New Roman" w:eastAsia="Times New Roman" w:hAnsi="Times New Roman" w:cs="Times New Roman"/>
                <w:b/>
                <w:bCs/>
                <w:color w:val="000000"/>
                <w:kern w:val="0"/>
                <w:sz w:val="28"/>
                <w:szCs w:val="28"/>
                <w:lang w:eastAsia="en-IN"/>
                <w14:ligatures w14:val="none"/>
              </w:rPr>
              <w:t>1949-50</w:t>
            </w:r>
          </w:p>
        </w:tc>
        <w:tc>
          <w:tcPr>
            <w:tcW w:w="1189" w:type="dxa"/>
            <w:tcBorders>
              <w:top w:val="single" w:sz="4" w:space="0" w:color="auto"/>
              <w:left w:val="nil"/>
              <w:bottom w:val="single" w:sz="4" w:space="0" w:color="auto"/>
              <w:right w:val="single" w:sz="4" w:space="0" w:color="auto"/>
            </w:tcBorders>
            <w:vAlign w:val="center"/>
            <w:hideMark/>
          </w:tcPr>
          <w:p w14:paraId="54B69728" w14:textId="77777777" w:rsidR="00F8495B" w:rsidRPr="00390A1B" w:rsidRDefault="00F8495B" w:rsidP="00F8495B">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390A1B">
              <w:rPr>
                <w:rFonts w:ascii="Times New Roman" w:eastAsia="Times New Roman" w:hAnsi="Times New Roman" w:cs="Times New Roman"/>
                <w:b/>
                <w:bCs/>
                <w:color w:val="000000"/>
                <w:kern w:val="0"/>
                <w:sz w:val="28"/>
                <w:szCs w:val="28"/>
                <w:lang w:eastAsia="en-IN"/>
                <w14:ligatures w14:val="none"/>
              </w:rPr>
              <w:t>1950-51</w:t>
            </w:r>
          </w:p>
        </w:tc>
        <w:tc>
          <w:tcPr>
            <w:tcW w:w="1590" w:type="dxa"/>
            <w:tcBorders>
              <w:top w:val="single" w:sz="4" w:space="0" w:color="auto"/>
              <w:left w:val="nil"/>
              <w:bottom w:val="single" w:sz="4" w:space="0" w:color="auto"/>
              <w:right w:val="single" w:sz="4" w:space="0" w:color="auto"/>
            </w:tcBorders>
            <w:vAlign w:val="center"/>
            <w:hideMark/>
          </w:tcPr>
          <w:p w14:paraId="7BD1AE32" w14:textId="77777777" w:rsidR="00F8495B" w:rsidRPr="00390A1B" w:rsidRDefault="00F8495B" w:rsidP="00F8495B">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390A1B">
              <w:rPr>
                <w:rFonts w:ascii="Times New Roman" w:eastAsia="Times New Roman" w:hAnsi="Times New Roman" w:cs="Times New Roman"/>
                <w:b/>
                <w:bCs/>
                <w:color w:val="000000"/>
                <w:kern w:val="0"/>
                <w:sz w:val="28"/>
                <w:szCs w:val="28"/>
                <w:lang w:eastAsia="en-IN"/>
                <w14:ligatures w14:val="none"/>
              </w:rPr>
              <w:t>1951-52 (Revised Estimates)</w:t>
            </w:r>
          </w:p>
        </w:tc>
        <w:tc>
          <w:tcPr>
            <w:tcW w:w="1590" w:type="dxa"/>
            <w:tcBorders>
              <w:top w:val="single" w:sz="4" w:space="0" w:color="auto"/>
              <w:left w:val="nil"/>
              <w:bottom w:val="single" w:sz="4" w:space="0" w:color="auto"/>
              <w:right w:val="single" w:sz="4" w:space="0" w:color="auto"/>
            </w:tcBorders>
            <w:vAlign w:val="center"/>
            <w:hideMark/>
          </w:tcPr>
          <w:p w14:paraId="3614BE1C" w14:textId="77777777" w:rsidR="00F8495B" w:rsidRPr="00390A1B" w:rsidRDefault="00F8495B" w:rsidP="00F8495B">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390A1B">
              <w:rPr>
                <w:rFonts w:ascii="Times New Roman" w:eastAsia="Times New Roman" w:hAnsi="Times New Roman" w:cs="Times New Roman"/>
                <w:b/>
                <w:bCs/>
                <w:color w:val="000000"/>
                <w:kern w:val="0"/>
                <w:sz w:val="28"/>
                <w:szCs w:val="28"/>
                <w:lang w:eastAsia="en-IN"/>
                <w14:ligatures w14:val="none"/>
              </w:rPr>
              <w:t>1952-53 (Budget Estimates)</w:t>
            </w:r>
          </w:p>
        </w:tc>
      </w:tr>
      <w:tr w:rsidR="00390A1B" w:rsidRPr="005534D4" w14:paraId="1C3DAC58" w14:textId="77777777" w:rsidTr="00390A1B">
        <w:trPr>
          <w:trHeight w:val="20"/>
          <w:jc w:val="center"/>
        </w:trPr>
        <w:tc>
          <w:tcPr>
            <w:tcW w:w="2998" w:type="dxa"/>
            <w:tcBorders>
              <w:top w:val="nil"/>
              <w:left w:val="single" w:sz="4" w:space="0" w:color="auto"/>
              <w:bottom w:val="single" w:sz="4" w:space="0" w:color="auto"/>
              <w:right w:val="single" w:sz="4" w:space="0" w:color="auto"/>
            </w:tcBorders>
            <w:vAlign w:val="center"/>
          </w:tcPr>
          <w:p w14:paraId="02B23BAC" w14:textId="5BD611C7" w:rsidR="00390A1B" w:rsidRPr="00390A1B" w:rsidRDefault="00390A1B" w:rsidP="00390A1B">
            <w:pPr>
              <w:spacing w:after="0" w:line="240" w:lineRule="auto"/>
              <w:rPr>
                <w:rFonts w:ascii="Times New Roman" w:eastAsia="Times New Roman" w:hAnsi="Times New Roman" w:cs="Times New Roman"/>
                <w:color w:val="000000"/>
                <w:kern w:val="0"/>
                <w:sz w:val="28"/>
                <w:szCs w:val="28"/>
                <w:lang w:eastAsia="en-IN"/>
                <w14:ligatures w14:val="none"/>
              </w:rPr>
            </w:pPr>
            <w:r w:rsidRPr="00390A1B">
              <w:rPr>
                <w:rFonts w:ascii="Times New Roman" w:eastAsia="Times New Roman" w:hAnsi="Times New Roman" w:cs="Times New Roman"/>
                <w:color w:val="000000"/>
                <w:kern w:val="0"/>
                <w:sz w:val="28"/>
                <w:szCs w:val="28"/>
                <w:lang w:eastAsia="en-IN"/>
                <w14:ligatures w14:val="none"/>
              </w:rPr>
              <w:t>REVENUE—</w:t>
            </w:r>
          </w:p>
        </w:tc>
        <w:tc>
          <w:tcPr>
            <w:tcW w:w="971" w:type="dxa"/>
            <w:tcBorders>
              <w:top w:val="nil"/>
              <w:left w:val="nil"/>
              <w:bottom w:val="single" w:sz="4" w:space="0" w:color="auto"/>
              <w:right w:val="single" w:sz="4" w:space="0" w:color="auto"/>
            </w:tcBorders>
            <w:vAlign w:val="center"/>
          </w:tcPr>
          <w:p w14:paraId="0AA7DFBF" w14:textId="77777777" w:rsidR="00390A1B" w:rsidRPr="005534D4" w:rsidRDefault="00390A1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p>
        </w:tc>
        <w:tc>
          <w:tcPr>
            <w:tcW w:w="971" w:type="dxa"/>
            <w:tcBorders>
              <w:top w:val="nil"/>
              <w:left w:val="nil"/>
              <w:bottom w:val="single" w:sz="4" w:space="0" w:color="auto"/>
              <w:right w:val="single" w:sz="4" w:space="0" w:color="auto"/>
            </w:tcBorders>
            <w:vAlign w:val="center"/>
          </w:tcPr>
          <w:p w14:paraId="653F66F2" w14:textId="77777777" w:rsidR="00390A1B" w:rsidRPr="005534D4" w:rsidRDefault="00390A1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p>
        </w:tc>
        <w:tc>
          <w:tcPr>
            <w:tcW w:w="1189" w:type="dxa"/>
            <w:tcBorders>
              <w:top w:val="nil"/>
              <w:left w:val="nil"/>
              <w:bottom w:val="single" w:sz="4" w:space="0" w:color="auto"/>
              <w:right w:val="single" w:sz="4" w:space="0" w:color="auto"/>
            </w:tcBorders>
            <w:vAlign w:val="center"/>
          </w:tcPr>
          <w:p w14:paraId="4C5D4A77" w14:textId="77777777" w:rsidR="00390A1B" w:rsidRPr="005534D4" w:rsidRDefault="00390A1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p>
        </w:tc>
        <w:tc>
          <w:tcPr>
            <w:tcW w:w="1189" w:type="dxa"/>
            <w:tcBorders>
              <w:top w:val="nil"/>
              <w:left w:val="nil"/>
              <w:bottom w:val="single" w:sz="4" w:space="0" w:color="auto"/>
              <w:right w:val="single" w:sz="4" w:space="0" w:color="auto"/>
            </w:tcBorders>
            <w:vAlign w:val="center"/>
          </w:tcPr>
          <w:p w14:paraId="31FE8BC0" w14:textId="77777777" w:rsidR="00390A1B" w:rsidRPr="005534D4" w:rsidRDefault="00390A1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p>
        </w:tc>
        <w:tc>
          <w:tcPr>
            <w:tcW w:w="1189" w:type="dxa"/>
            <w:tcBorders>
              <w:top w:val="nil"/>
              <w:left w:val="nil"/>
              <w:bottom w:val="single" w:sz="4" w:space="0" w:color="auto"/>
              <w:right w:val="single" w:sz="4" w:space="0" w:color="auto"/>
            </w:tcBorders>
            <w:vAlign w:val="center"/>
          </w:tcPr>
          <w:p w14:paraId="0D441A65" w14:textId="77777777" w:rsidR="00390A1B" w:rsidRPr="005534D4" w:rsidRDefault="00390A1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p>
        </w:tc>
        <w:tc>
          <w:tcPr>
            <w:tcW w:w="1189" w:type="dxa"/>
            <w:tcBorders>
              <w:top w:val="nil"/>
              <w:left w:val="nil"/>
              <w:bottom w:val="single" w:sz="4" w:space="0" w:color="auto"/>
              <w:right w:val="single" w:sz="4" w:space="0" w:color="auto"/>
            </w:tcBorders>
            <w:vAlign w:val="center"/>
          </w:tcPr>
          <w:p w14:paraId="08B55FC6" w14:textId="77777777" w:rsidR="00390A1B" w:rsidRPr="005534D4" w:rsidRDefault="00390A1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p>
        </w:tc>
        <w:tc>
          <w:tcPr>
            <w:tcW w:w="1189" w:type="dxa"/>
            <w:tcBorders>
              <w:top w:val="nil"/>
              <w:left w:val="nil"/>
              <w:bottom w:val="single" w:sz="4" w:space="0" w:color="auto"/>
              <w:right w:val="single" w:sz="4" w:space="0" w:color="auto"/>
            </w:tcBorders>
            <w:vAlign w:val="center"/>
          </w:tcPr>
          <w:p w14:paraId="3127E28E" w14:textId="77777777" w:rsidR="00390A1B" w:rsidRPr="005534D4" w:rsidRDefault="00390A1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p>
        </w:tc>
        <w:tc>
          <w:tcPr>
            <w:tcW w:w="1189" w:type="dxa"/>
            <w:tcBorders>
              <w:top w:val="nil"/>
              <w:left w:val="nil"/>
              <w:bottom w:val="single" w:sz="4" w:space="0" w:color="auto"/>
              <w:right w:val="single" w:sz="4" w:space="0" w:color="auto"/>
            </w:tcBorders>
            <w:vAlign w:val="center"/>
          </w:tcPr>
          <w:p w14:paraId="622B4131" w14:textId="77777777" w:rsidR="00390A1B" w:rsidRPr="005534D4" w:rsidRDefault="00390A1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p>
        </w:tc>
        <w:tc>
          <w:tcPr>
            <w:tcW w:w="1590" w:type="dxa"/>
            <w:tcBorders>
              <w:top w:val="nil"/>
              <w:left w:val="nil"/>
              <w:bottom w:val="single" w:sz="4" w:space="0" w:color="auto"/>
              <w:right w:val="single" w:sz="4" w:space="0" w:color="auto"/>
            </w:tcBorders>
            <w:vAlign w:val="center"/>
          </w:tcPr>
          <w:p w14:paraId="3070EC50" w14:textId="77777777" w:rsidR="00390A1B" w:rsidRPr="005534D4" w:rsidRDefault="00390A1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p>
        </w:tc>
        <w:tc>
          <w:tcPr>
            <w:tcW w:w="1590" w:type="dxa"/>
            <w:tcBorders>
              <w:top w:val="nil"/>
              <w:left w:val="nil"/>
              <w:bottom w:val="single" w:sz="4" w:space="0" w:color="auto"/>
              <w:right w:val="single" w:sz="4" w:space="0" w:color="auto"/>
            </w:tcBorders>
            <w:vAlign w:val="center"/>
          </w:tcPr>
          <w:p w14:paraId="77268809" w14:textId="77777777" w:rsidR="00390A1B" w:rsidRPr="005534D4" w:rsidRDefault="00390A1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p>
        </w:tc>
      </w:tr>
      <w:tr w:rsidR="00F8495B" w:rsidRPr="005534D4" w14:paraId="50FDDA5E" w14:textId="77777777" w:rsidTr="00390A1B">
        <w:trPr>
          <w:trHeight w:val="20"/>
          <w:jc w:val="center"/>
        </w:trPr>
        <w:tc>
          <w:tcPr>
            <w:tcW w:w="2998" w:type="dxa"/>
            <w:tcBorders>
              <w:top w:val="nil"/>
              <w:left w:val="single" w:sz="4" w:space="0" w:color="auto"/>
              <w:bottom w:val="single" w:sz="4" w:space="0" w:color="auto"/>
              <w:right w:val="single" w:sz="4" w:space="0" w:color="auto"/>
            </w:tcBorders>
            <w:vAlign w:val="center"/>
            <w:hideMark/>
          </w:tcPr>
          <w:p w14:paraId="7D263655" w14:textId="77777777" w:rsidR="00F8495B" w:rsidRPr="005534D4" w:rsidRDefault="00F8495B" w:rsidP="00390A1B">
            <w:pPr>
              <w:spacing w:after="0" w:line="240" w:lineRule="auto"/>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Customs</w:t>
            </w:r>
          </w:p>
        </w:tc>
        <w:tc>
          <w:tcPr>
            <w:tcW w:w="971" w:type="dxa"/>
            <w:tcBorders>
              <w:top w:val="nil"/>
              <w:left w:val="nil"/>
              <w:bottom w:val="single" w:sz="4" w:space="0" w:color="auto"/>
              <w:right w:val="single" w:sz="4" w:space="0" w:color="auto"/>
            </w:tcBorders>
            <w:vAlign w:val="center"/>
            <w:hideMark/>
          </w:tcPr>
          <w:p w14:paraId="3DFF55B0"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43,11</w:t>
            </w:r>
          </w:p>
        </w:tc>
        <w:tc>
          <w:tcPr>
            <w:tcW w:w="971" w:type="dxa"/>
            <w:tcBorders>
              <w:top w:val="nil"/>
              <w:left w:val="nil"/>
              <w:bottom w:val="single" w:sz="4" w:space="0" w:color="auto"/>
              <w:right w:val="single" w:sz="4" w:space="0" w:color="auto"/>
            </w:tcBorders>
            <w:vAlign w:val="center"/>
            <w:hideMark/>
          </w:tcPr>
          <w:p w14:paraId="07870FB1"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40,51</w:t>
            </w:r>
          </w:p>
        </w:tc>
        <w:tc>
          <w:tcPr>
            <w:tcW w:w="1189" w:type="dxa"/>
            <w:tcBorders>
              <w:top w:val="nil"/>
              <w:left w:val="nil"/>
              <w:bottom w:val="single" w:sz="4" w:space="0" w:color="auto"/>
              <w:right w:val="single" w:sz="4" w:space="0" w:color="auto"/>
            </w:tcBorders>
            <w:vAlign w:val="center"/>
            <w:hideMark/>
          </w:tcPr>
          <w:p w14:paraId="6371A91A"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39,77</w:t>
            </w:r>
          </w:p>
        </w:tc>
        <w:tc>
          <w:tcPr>
            <w:tcW w:w="1189" w:type="dxa"/>
            <w:tcBorders>
              <w:top w:val="nil"/>
              <w:left w:val="nil"/>
              <w:bottom w:val="single" w:sz="4" w:space="0" w:color="auto"/>
              <w:right w:val="single" w:sz="4" w:space="0" w:color="auto"/>
            </w:tcBorders>
            <w:vAlign w:val="center"/>
            <w:hideMark/>
          </w:tcPr>
          <w:p w14:paraId="1A71464E"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73,61</w:t>
            </w:r>
          </w:p>
        </w:tc>
        <w:tc>
          <w:tcPr>
            <w:tcW w:w="1189" w:type="dxa"/>
            <w:tcBorders>
              <w:top w:val="nil"/>
              <w:left w:val="nil"/>
              <w:bottom w:val="single" w:sz="4" w:space="0" w:color="auto"/>
              <w:right w:val="single" w:sz="4" w:space="0" w:color="auto"/>
            </w:tcBorders>
            <w:vAlign w:val="center"/>
            <w:hideMark/>
          </w:tcPr>
          <w:p w14:paraId="06A2DB7B"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89,22</w:t>
            </w:r>
          </w:p>
        </w:tc>
        <w:tc>
          <w:tcPr>
            <w:tcW w:w="1189" w:type="dxa"/>
            <w:tcBorders>
              <w:top w:val="nil"/>
              <w:left w:val="nil"/>
              <w:bottom w:val="single" w:sz="4" w:space="0" w:color="auto"/>
              <w:right w:val="single" w:sz="4" w:space="0" w:color="auto"/>
            </w:tcBorders>
            <w:vAlign w:val="center"/>
            <w:hideMark/>
          </w:tcPr>
          <w:p w14:paraId="30CAB98D"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1,26,16</w:t>
            </w:r>
          </w:p>
        </w:tc>
        <w:tc>
          <w:tcPr>
            <w:tcW w:w="1189" w:type="dxa"/>
            <w:tcBorders>
              <w:top w:val="nil"/>
              <w:left w:val="nil"/>
              <w:bottom w:val="single" w:sz="4" w:space="0" w:color="auto"/>
              <w:right w:val="single" w:sz="4" w:space="0" w:color="auto"/>
            </w:tcBorders>
            <w:vAlign w:val="center"/>
            <w:hideMark/>
          </w:tcPr>
          <w:p w14:paraId="6C3D3514"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1,24,71</w:t>
            </w:r>
          </w:p>
        </w:tc>
        <w:tc>
          <w:tcPr>
            <w:tcW w:w="1189" w:type="dxa"/>
            <w:tcBorders>
              <w:top w:val="nil"/>
              <w:left w:val="nil"/>
              <w:bottom w:val="single" w:sz="4" w:space="0" w:color="auto"/>
              <w:right w:val="single" w:sz="4" w:space="0" w:color="auto"/>
            </w:tcBorders>
            <w:vAlign w:val="center"/>
            <w:hideMark/>
          </w:tcPr>
          <w:p w14:paraId="032A3ED3"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1,57,15</w:t>
            </w:r>
          </w:p>
        </w:tc>
        <w:tc>
          <w:tcPr>
            <w:tcW w:w="1590" w:type="dxa"/>
            <w:tcBorders>
              <w:top w:val="nil"/>
              <w:left w:val="nil"/>
              <w:bottom w:val="single" w:sz="4" w:space="0" w:color="auto"/>
              <w:right w:val="single" w:sz="4" w:space="0" w:color="auto"/>
            </w:tcBorders>
            <w:vAlign w:val="center"/>
            <w:hideMark/>
          </w:tcPr>
          <w:p w14:paraId="06B8D031"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2,32,00</w:t>
            </w:r>
          </w:p>
        </w:tc>
        <w:tc>
          <w:tcPr>
            <w:tcW w:w="1590" w:type="dxa"/>
            <w:tcBorders>
              <w:top w:val="nil"/>
              <w:left w:val="nil"/>
              <w:bottom w:val="single" w:sz="4" w:space="0" w:color="auto"/>
              <w:right w:val="single" w:sz="4" w:space="0" w:color="auto"/>
            </w:tcBorders>
            <w:vAlign w:val="center"/>
            <w:hideMark/>
          </w:tcPr>
          <w:p w14:paraId="7B17895E"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1,65,00</w:t>
            </w:r>
          </w:p>
        </w:tc>
      </w:tr>
      <w:tr w:rsidR="00F8495B" w:rsidRPr="005534D4" w14:paraId="0EAE7515" w14:textId="77777777" w:rsidTr="00390A1B">
        <w:trPr>
          <w:trHeight w:val="20"/>
          <w:jc w:val="center"/>
        </w:trPr>
        <w:tc>
          <w:tcPr>
            <w:tcW w:w="2998" w:type="dxa"/>
            <w:tcBorders>
              <w:top w:val="nil"/>
              <w:left w:val="single" w:sz="4" w:space="0" w:color="auto"/>
              <w:bottom w:val="single" w:sz="4" w:space="0" w:color="auto"/>
              <w:right w:val="single" w:sz="4" w:space="0" w:color="auto"/>
            </w:tcBorders>
            <w:vAlign w:val="center"/>
            <w:hideMark/>
          </w:tcPr>
          <w:p w14:paraId="35AF2330" w14:textId="77777777" w:rsidR="00F8495B" w:rsidRPr="005534D4" w:rsidRDefault="00F8495B" w:rsidP="00390A1B">
            <w:pPr>
              <w:spacing w:after="0" w:line="240" w:lineRule="auto"/>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Central Excise</w:t>
            </w:r>
          </w:p>
        </w:tc>
        <w:tc>
          <w:tcPr>
            <w:tcW w:w="971" w:type="dxa"/>
            <w:tcBorders>
              <w:top w:val="nil"/>
              <w:left w:val="nil"/>
              <w:bottom w:val="single" w:sz="4" w:space="0" w:color="auto"/>
              <w:right w:val="single" w:sz="4" w:space="0" w:color="auto"/>
            </w:tcBorders>
            <w:vAlign w:val="center"/>
            <w:hideMark/>
          </w:tcPr>
          <w:p w14:paraId="1AE5B684"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7,66</w:t>
            </w:r>
          </w:p>
        </w:tc>
        <w:tc>
          <w:tcPr>
            <w:tcW w:w="971" w:type="dxa"/>
            <w:tcBorders>
              <w:top w:val="nil"/>
              <w:left w:val="nil"/>
              <w:bottom w:val="single" w:sz="4" w:space="0" w:color="auto"/>
              <w:right w:val="single" w:sz="4" w:space="0" w:color="auto"/>
            </w:tcBorders>
            <w:vAlign w:val="center"/>
            <w:hideMark/>
          </w:tcPr>
          <w:p w14:paraId="7997A3C4"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8,66</w:t>
            </w:r>
          </w:p>
        </w:tc>
        <w:tc>
          <w:tcPr>
            <w:tcW w:w="1189" w:type="dxa"/>
            <w:tcBorders>
              <w:top w:val="nil"/>
              <w:left w:val="nil"/>
              <w:bottom w:val="single" w:sz="4" w:space="0" w:color="auto"/>
              <w:right w:val="single" w:sz="4" w:space="0" w:color="auto"/>
            </w:tcBorders>
            <w:vAlign w:val="center"/>
            <w:hideMark/>
          </w:tcPr>
          <w:p w14:paraId="497290C9"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38,14</w:t>
            </w:r>
          </w:p>
        </w:tc>
        <w:tc>
          <w:tcPr>
            <w:tcW w:w="1189" w:type="dxa"/>
            <w:tcBorders>
              <w:top w:val="nil"/>
              <w:left w:val="nil"/>
              <w:bottom w:val="single" w:sz="4" w:space="0" w:color="auto"/>
              <w:right w:val="single" w:sz="4" w:space="0" w:color="auto"/>
            </w:tcBorders>
            <w:vAlign w:val="center"/>
            <w:hideMark/>
          </w:tcPr>
          <w:p w14:paraId="4B294F27"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46,36</w:t>
            </w:r>
          </w:p>
        </w:tc>
        <w:tc>
          <w:tcPr>
            <w:tcW w:w="1189" w:type="dxa"/>
            <w:tcBorders>
              <w:top w:val="nil"/>
              <w:left w:val="nil"/>
              <w:bottom w:val="single" w:sz="4" w:space="0" w:color="auto"/>
              <w:right w:val="single" w:sz="4" w:space="0" w:color="auto"/>
            </w:tcBorders>
            <w:vAlign w:val="center"/>
            <w:hideMark/>
          </w:tcPr>
          <w:p w14:paraId="0ACE66BC"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43,03</w:t>
            </w:r>
          </w:p>
        </w:tc>
        <w:tc>
          <w:tcPr>
            <w:tcW w:w="1189" w:type="dxa"/>
            <w:tcBorders>
              <w:top w:val="nil"/>
              <w:left w:val="nil"/>
              <w:bottom w:val="single" w:sz="4" w:space="0" w:color="auto"/>
              <w:right w:val="single" w:sz="4" w:space="0" w:color="auto"/>
            </w:tcBorders>
            <w:vAlign w:val="center"/>
            <w:hideMark/>
          </w:tcPr>
          <w:p w14:paraId="2B47EC6D"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50,63</w:t>
            </w:r>
          </w:p>
        </w:tc>
        <w:tc>
          <w:tcPr>
            <w:tcW w:w="1189" w:type="dxa"/>
            <w:tcBorders>
              <w:top w:val="nil"/>
              <w:left w:val="nil"/>
              <w:bottom w:val="single" w:sz="4" w:space="0" w:color="auto"/>
              <w:right w:val="single" w:sz="4" w:space="0" w:color="auto"/>
            </w:tcBorders>
            <w:vAlign w:val="center"/>
            <w:hideMark/>
          </w:tcPr>
          <w:p w14:paraId="0145D8EF"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67,85</w:t>
            </w:r>
          </w:p>
        </w:tc>
        <w:tc>
          <w:tcPr>
            <w:tcW w:w="1189" w:type="dxa"/>
            <w:tcBorders>
              <w:top w:val="nil"/>
              <w:left w:val="nil"/>
              <w:bottom w:val="single" w:sz="4" w:space="0" w:color="auto"/>
              <w:right w:val="single" w:sz="4" w:space="0" w:color="auto"/>
            </w:tcBorders>
            <w:vAlign w:val="center"/>
            <w:hideMark/>
          </w:tcPr>
          <w:p w14:paraId="6F9FF94D"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67,54</w:t>
            </w:r>
          </w:p>
        </w:tc>
        <w:tc>
          <w:tcPr>
            <w:tcW w:w="1590" w:type="dxa"/>
            <w:tcBorders>
              <w:top w:val="nil"/>
              <w:left w:val="nil"/>
              <w:bottom w:val="single" w:sz="4" w:space="0" w:color="auto"/>
              <w:right w:val="single" w:sz="4" w:space="0" w:color="auto"/>
            </w:tcBorders>
            <w:vAlign w:val="center"/>
            <w:hideMark/>
          </w:tcPr>
          <w:p w14:paraId="672BECD1"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84,30</w:t>
            </w:r>
          </w:p>
        </w:tc>
        <w:tc>
          <w:tcPr>
            <w:tcW w:w="1590" w:type="dxa"/>
            <w:tcBorders>
              <w:top w:val="nil"/>
              <w:left w:val="nil"/>
              <w:bottom w:val="single" w:sz="4" w:space="0" w:color="auto"/>
              <w:right w:val="single" w:sz="4" w:space="0" w:color="auto"/>
            </w:tcBorders>
            <w:vAlign w:val="center"/>
            <w:hideMark/>
          </w:tcPr>
          <w:p w14:paraId="1B28FE3F"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86,00</w:t>
            </w:r>
          </w:p>
        </w:tc>
      </w:tr>
      <w:tr w:rsidR="00F8495B" w:rsidRPr="005534D4" w14:paraId="7F2EA0C8" w14:textId="77777777" w:rsidTr="00390A1B">
        <w:trPr>
          <w:trHeight w:val="20"/>
          <w:jc w:val="center"/>
        </w:trPr>
        <w:tc>
          <w:tcPr>
            <w:tcW w:w="2998" w:type="dxa"/>
            <w:tcBorders>
              <w:top w:val="nil"/>
              <w:left w:val="single" w:sz="4" w:space="0" w:color="auto"/>
              <w:bottom w:val="single" w:sz="4" w:space="0" w:color="auto"/>
              <w:right w:val="single" w:sz="4" w:space="0" w:color="auto"/>
            </w:tcBorders>
            <w:vAlign w:val="center"/>
            <w:hideMark/>
          </w:tcPr>
          <w:p w14:paraId="55CE50F6" w14:textId="77777777" w:rsidR="00F8495B" w:rsidRPr="005534D4" w:rsidRDefault="00F8495B" w:rsidP="00390A1B">
            <w:pPr>
              <w:spacing w:after="0" w:line="240" w:lineRule="auto"/>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Taxes on Income</w:t>
            </w:r>
          </w:p>
        </w:tc>
        <w:tc>
          <w:tcPr>
            <w:tcW w:w="971" w:type="dxa"/>
            <w:tcBorders>
              <w:top w:val="nil"/>
              <w:left w:val="nil"/>
              <w:bottom w:val="single" w:sz="4" w:space="0" w:color="auto"/>
              <w:right w:val="single" w:sz="4" w:space="0" w:color="auto"/>
            </w:tcBorders>
            <w:vAlign w:val="center"/>
            <w:hideMark/>
          </w:tcPr>
          <w:p w14:paraId="6704DF42"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15,83</w:t>
            </w:r>
          </w:p>
        </w:tc>
        <w:tc>
          <w:tcPr>
            <w:tcW w:w="971" w:type="dxa"/>
            <w:tcBorders>
              <w:top w:val="nil"/>
              <w:left w:val="nil"/>
              <w:bottom w:val="single" w:sz="4" w:space="0" w:color="auto"/>
              <w:right w:val="single" w:sz="4" w:space="0" w:color="auto"/>
            </w:tcBorders>
            <w:vAlign w:val="center"/>
            <w:hideMark/>
          </w:tcPr>
          <w:p w14:paraId="40F5C46A"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17,28</w:t>
            </w:r>
          </w:p>
        </w:tc>
        <w:tc>
          <w:tcPr>
            <w:tcW w:w="1189" w:type="dxa"/>
            <w:tcBorders>
              <w:top w:val="nil"/>
              <w:left w:val="nil"/>
              <w:bottom w:val="single" w:sz="4" w:space="0" w:color="auto"/>
              <w:right w:val="single" w:sz="4" w:space="0" w:color="auto"/>
            </w:tcBorders>
            <w:vAlign w:val="center"/>
            <w:hideMark/>
          </w:tcPr>
          <w:p w14:paraId="2F7CDD64"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1,91,30</w:t>
            </w:r>
          </w:p>
        </w:tc>
        <w:tc>
          <w:tcPr>
            <w:tcW w:w="1189" w:type="dxa"/>
            <w:tcBorders>
              <w:top w:val="nil"/>
              <w:left w:val="nil"/>
              <w:bottom w:val="single" w:sz="4" w:space="0" w:color="auto"/>
              <w:right w:val="single" w:sz="4" w:space="0" w:color="auto"/>
            </w:tcBorders>
            <w:vAlign w:val="center"/>
            <w:hideMark/>
          </w:tcPr>
          <w:p w14:paraId="644618B9"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1,77,63</w:t>
            </w:r>
          </w:p>
        </w:tc>
        <w:tc>
          <w:tcPr>
            <w:tcW w:w="1189" w:type="dxa"/>
            <w:tcBorders>
              <w:top w:val="nil"/>
              <w:left w:val="nil"/>
              <w:bottom w:val="single" w:sz="4" w:space="0" w:color="auto"/>
              <w:right w:val="single" w:sz="4" w:space="0" w:color="auto"/>
            </w:tcBorders>
            <w:vAlign w:val="center"/>
            <w:hideMark/>
          </w:tcPr>
          <w:p w14:paraId="702F516A"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1,60,59</w:t>
            </w:r>
          </w:p>
        </w:tc>
        <w:tc>
          <w:tcPr>
            <w:tcW w:w="1189" w:type="dxa"/>
            <w:tcBorders>
              <w:top w:val="nil"/>
              <w:left w:val="nil"/>
              <w:bottom w:val="single" w:sz="4" w:space="0" w:color="auto"/>
              <w:right w:val="single" w:sz="4" w:space="0" w:color="auto"/>
            </w:tcBorders>
            <w:vAlign w:val="center"/>
            <w:hideMark/>
          </w:tcPr>
          <w:p w14:paraId="62533209"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1,81,76</w:t>
            </w:r>
          </w:p>
        </w:tc>
        <w:tc>
          <w:tcPr>
            <w:tcW w:w="1189" w:type="dxa"/>
            <w:tcBorders>
              <w:top w:val="nil"/>
              <w:left w:val="nil"/>
              <w:bottom w:val="single" w:sz="4" w:space="0" w:color="auto"/>
              <w:right w:val="single" w:sz="4" w:space="0" w:color="auto"/>
            </w:tcBorders>
            <w:vAlign w:val="center"/>
            <w:hideMark/>
          </w:tcPr>
          <w:p w14:paraId="2CB37E14"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1,61,12</w:t>
            </w:r>
          </w:p>
        </w:tc>
        <w:tc>
          <w:tcPr>
            <w:tcW w:w="1189" w:type="dxa"/>
            <w:tcBorders>
              <w:top w:val="nil"/>
              <w:left w:val="nil"/>
              <w:bottom w:val="single" w:sz="4" w:space="0" w:color="auto"/>
              <w:right w:val="single" w:sz="4" w:space="0" w:color="auto"/>
            </w:tcBorders>
            <w:vAlign w:val="center"/>
            <w:hideMark/>
          </w:tcPr>
          <w:p w14:paraId="7CF893F0"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1,73,22</w:t>
            </w:r>
          </w:p>
        </w:tc>
        <w:tc>
          <w:tcPr>
            <w:tcW w:w="1590" w:type="dxa"/>
            <w:tcBorders>
              <w:top w:val="nil"/>
              <w:left w:val="nil"/>
              <w:bottom w:val="single" w:sz="4" w:space="0" w:color="auto"/>
              <w:right w:val="single" w:sz="4" w:space="0" w:color="auto"/>
            </w:tcBorders>
            <w:vAlign w:val="center"/>
            <w:hideMark/>
          </w:tcPr>
          <w:p w14:paraId="675053BF"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1,75,00</w:t>
            </w:r>
          </w:p>
        </w:tc>
        <w:tc>
          <w:tcPr>
            <w:tcW w:w="1590" w:type="dxa"/>
            <w:tcBorders>
              <w:top w:val="nil"/>
              <w:left w:val="nil"/>
              <w:bottom w:val="single" w:sz="4" w:space="0" w:color="auto"/>
              <w:right w:val="single" w:sz="4" w:space="0" w:color="auto"/>
            </w:tcBorders>
            <w:vAlign w:val="center"/>
            <w:hideMark/>
          </w:tcPr>
          <w:p w14:paraId="0FA9C671"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1,55,00</w:t>
            </w:r>
          </w:p>
        </w:tc>
      </w:tr>
      <w:tr w:rsidR="00F8495B" w:rsidRPr="005534D4" w14:paraId="12DBB93A" w14:textId="77777777" w:rsidTr="00390A1B">
        <w:trPr>
          <w:trHeight w:val="20"/>
          <w:jc w:val="center"/>
        </w:trPr>
        <w:tc>
          <w:tcPr>
            <w:tcW w:w="2998" w:type="dxa"/>
            <w:tcBorders>
              <w:top w:val="nil"/>
              <w:left w:val="single" w:sz="4" w:space="0" w:color="auto"/>
              <w:bottom w:val="single" w:sz="4" w:space="0" w:color="auto"/>
              <w:right w:val="single" w:sz="4" w:space="0" w:color="auto"/>
            </w:tcBorders>
            <w:vAlign w:val="center"/>
            <w:hideMark/>
          </w:tcPr>
          <w:p w14:paraId="3ADB20A7" w14:textId="77777777" w:rsidR="00F8495B" w:rsidRPr="005534D4" w:rsidRDefault="00F8495B" w:rsidP="00390A1B">
            <w:pPr>
              <w:spacing w:after="0" w:line="240" w:lineRule="auto"/>
              <w:rPr>
                <w:rFonts w:ascii="Times New Roman" w:eastAsia="Times New Roman" w:hAnsi="Times New Roman" w:cs="Times New Roman"/>
                <w:i/>
                <w:iCs/>
                <w:color w:val="000000"/>
                <w:kern w:val="0"/>
                <w:sz w:val="28"/>
                <w:szCs w:val="28"/>
                <w:lang w:eastAsia="en-IN"/>
                <w14:ligatures w14:val="none"/>
              </w:rPr>
            </w:pPr>
            <w:r w:rsidRPr="005534D4">
              <w:rPr>
                <w:rFonts w:ascii="Times New Roman" w:eastAsia="Times New Roman" w:hAnsi="Times New Roman" w:cs="Times New Roman"/>
                <w:i/>
                <w:iCs/>
                <w:color w:val="000000"/>
                <w:kern w:val="0"/>
                <w:sz w:val="28"/>
                <w:szCs w:val="28"/>
                <w:lang w:eastAsia="en-IN"/>
                <w14:ligatures w14:val="none"/>
              </w:rPr>
              <w:t>of which</w:t>
            </w:r>
          </w:p>
        </w:tc>
        <w:tc>
          <w:tcPr>
            <w:tcW w:w="971" w:type="dxa"/>
            <w:tcBorders>
              <w:top w:val="nil"/>
              <w:left w:val="nil"/>
              <w:bottom w:val="single" w:sz="4" w:space="0" w:color="auto"/>
              <w:right w:val="single" w:sz="4" w:space="0" w:color="auto"/>
            </w:tcBorders>
            <w:vAlign w:val="center"/>
            <w:hideMark/>
          </w:tcPr>
          <w:p w14:paraId="03807439" w14:textId="2A56EF3D"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p>
        </w:tc>
        <w:tc>
          <w:tcPr>
            <w:tcW w:w="971" w:type="dxa"/>
            <w:tcBorders>
              <w:top w:val="nil"/>
              <w:left w:val="nil"/>
              <w:bottom w:val="single" w:sz="4" w:space="0" w:color="auto"/>
              <w:right w:val="single" w:sz="4" w:space="0" w:color="auto"/>
            </w:tcBorders>
            <w:vAlign w:val="center"/>
            <w:hideMark/>
          </w:tcPr>
          <w:p w14:paraId="71F7621B" w14:textId="6424AE01"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p>
        </w:tc>
        <w:tc>
          <w:tcPr>
            <w:tcW w:w="1189" w:type="dxa"/>
            <w:tcBorders>
              <w:top w:val="nil"/>
              <w:left w:val="nil"/>
              <w:bottom w:val="single" w:sz="4" w:space="0" w:color="auto"/>
              <w:right w:val="single" w:sz="4" w:space="0" w:color="auto"/>
            </w:tcBorders>
            <w:vAlign w:val="center"/>
            <w:hideMark/>
          </w:tcPr>
          <w:p w14:paraId="3A7B96E0" w14:textId="6E345B11"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p>
        </w:tc>
        <w:tc>
          <w:tcPr>
            <w:tcW w:w="1189" w:type="dxa"/>
            <w:tcBorders>
              <w:top w:val="nil"/>
              <w:left w:val="nil"/>
              <w:bottom w:val="single" w:sz="4" w:space="0" w:color="auto"/>
              <w:right w:val="single" w:sz="4" w:space="0" w:color="auto"/>
            </w:tcBorders>
            <w:vAlign w:val="center"/>
            <w:hideMark/>
          </w:tcPr>
          <w:p w14:paraId="3257ECF6" w14:textId="69967AEF"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p>
        </w:tc>
        <w:tc>
          <w:tcPr>
            <w:tcW w:w="1189" w:type="dxa"/>
            <w:tcBorders>
              <w:top w:val="nil"/>
              <w:left w:val="nil"/>
              <w:bottom w:val="single" w:sz="4" w:space="0" w:color="auto"/>
              <w:right w:val="single" w:sz="4" w:space="0" w:color="auto"/>
            </w:tcBorders>
            <w:vAlign w:val="center"/>
            <w:hideMark/>
          </w:tcPr>
          <w:p w14:paraId="722A6E2F" w14:textId="4CF7020F"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p>
        </w:tc>
        <w:tc>
          <w:tcPr>
            <w:tcW w:w="1189" w:type="dxa"/>
            <w:tcBorders>
              <w:top w:val="nil"/>
              <w:left w:val="nil"/>
              <w:bottom w:val="single" w:sz="4" w:space="0" w:color="auto"/>
              <w:right w:val="single" w:sz="4" w:space="0" w:color="auto"/>
            </w:tcBorders>
            <w:vAlign w:val="center"/>
            <w:hideMark/>
          </w:tcPr>
          <w:p w14:paraId="60D1F297" w14:textId="3B16CE1E"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p>
        </w:tc>
        <w:tc>
          <w:tcPr>
            <w:tcW w:w="1189" w:type="dxa"/>
            <w:tcBorders>
              <w:top w:val="nil"/>
              <w:left w:val="nil"/>
              <w:bottom w:val="single" w:sz="4" w:space="0" w:color="auto"/>
              <w:right w:val="single" w:sz="4" w:space="0" w:color="auto"/>
            </w:tcBorders>
            <w:vAlign w:val="center"/>
            <w:hideMark/>
          </w:tcPr>
          <w:p w14:paraId="71546BE3" w14:textId="74EE387A"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p>
        </w:tc>
        <w:tc>
          <w:tcPr>
            <w:tcW w:w="1189" w:type="dxa"/>
            <w:tcBorders>
              <w:top w:val="nil"/>
              <w:left w:val="nil"/>
              <w:bottom w:val="single" w:sz="4" w:space="0" w:color="auto"/>
              <w:right w:val="single" w:sz="4" w:space="0" w:color="auto"/>
            </w:tcBorders>
            <w:vAlign w:val="center"/>
            <w:hideMark/>
          </w:tcPr>
          <w:p w14:paraId="4EBBC5EC" w14:textId="71F98984"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p>
        </w:tc>
        <w:tc>
          <w:tcPr>
            <w:tcW w:w="1590" w:type="dxa"/>
            <w:tcBorders>
              <w:top w:val="nil"/>
              <w:left w:val="nil"/>
              <w:bottom w:val="single" w:sz="4" w:space="0" w:color="auto"/>
              <w:right w:val="single" w:sz="4" w:space="0" w:color="auto"/>
            </w:tcBorders>
            <w:vAlign w:val="center"/>
            <w:hideMark/>
          </w:tcPr>
          <w:p w14:paraId="14A4BC4A" w14:textId="0D1D8E0F"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p>
        </w:tc>
        <w:tc>
          <w:tcPr>
            <w:tcW w:w="1590" w:type="dxa"/>
            <w:tcBorders>
              <w:top w:val="nil"/>
              <w:left w:val="nil"/>
              <w:bottom w:val="single" w:sz="4" w:space="0" w:color="auto"/>
              <w:right w:val="single" w:sz="4" w:space="0" w:color="auto"/>
            </w:tcBorders>
            <w:vAlign w:val="center"/>
            <w:hideMark/>
          </w:tcPr>
          <w:p w14:paraId="0ED81649" w14:textId="41DF87BA"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p>
        </w:tc>
      </w:tr>
      <w:tr w:rsidR="00F8495B" w:rsidRPr="005534D4" w14:paraId="11925901" w14:textId="77777777" w:rsidTr="00390A1B">
        <w:trPr>
          <w:trHeight w:val="20"/>
          <w:jc w:val="center"/>
        </w:trPr>
        <w:tc>
          <w:tcPr>
            <w:tcW w:w="2998" w:type="dxa"/>
            <w:tcBorders>
              <w:top w:val="nil"/>
              <w:left w:val="single" w:sz="4" w:space="0" w:color="auto"/>
              <w:bottom w:val="single" w:sz="4" w:space="0" w:color="auto"/>
              <w:right w:val="single" w:sz="4" w:space="0" w:color="auto"/>
            </w:tcBorders>
            <w:vAlign w:val="center"/>
            <w:hideMark/>
          </w:tcPr>
          <w:p w14:paraId="125D9D38" w14:textId="77777777" w:rsidR="00F8495B" w:rsidRPr="005534D4" w:rsidRDefault="00F8495B" w:rsidP="00390A1B">
            <w:pPr>
              <w:spacing w:after="0" w:line="240" w:lineRule="auto"/>
              <w:ind w:left="720"/>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 Corporation Tax</w:t>
            </w:r>
          </w:p>
        </w:tc>
        <w:tc>
          <w:tcPr>
            <w:tcW w:w="971" w:type="dxa"/>
            <w:tcBorders>
              <w:top w:val="nil"/>
              <w:left w:val="nil"/>
              <w:bottom w:val="single" w:sz="4" w:space="0" w:color="auto"/>
              <w:right w:val="single" w:sz="4" w:space="0" w:color="auto"/>
            </w:tcBorders>
            <w:vAlign w:val="center"/>
            <w:hideMark/>
          </w:tcPr>
          <w:p w14:paraId="2C653B32" w14:textId="57DECE89" w:rsidR="00F8495B" w:rsidRPr="005534D4" w:rsidRDefault="00C97C2C"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Pr>
                <w:rFonts w:ascii="Times New Roman" w:eastAsia="Times New Roman" w:hAnsi="Times New Roman" w:cs="Times New Roman"/>
                <w:color w:val="000000"/>
                <w:kern w:val="0"/>
                <w:sz w:val="28"/>
                <w:szCs w:val="28"/>
                <w:lang w:eastAsia="en-IN"/>
                <w14:ligatures w14:val="none"/>
              </w:rPr>
              <w:t>8</w:t>
            </w:r>
          </w:p>
        </w:tc>
        <w:tc>
          <w:tcPr>
            <w:tcW w:w="971" w:type="dxa"/>
            <w:tcBorders>
              <w:top w:val="nil"/>
              <w:left w:val="nil"/>
              <w:bottom w:val="single" w:sz="4" w:space="0" w:color="auto"/>
              <w:right w:val="single" w:sz="4" w:space="0" w:color="auto"/>
            </w:tcBorders>
            <w:vAlign w:val="center"/>
            <w:hideMark/>
          </w:tcPr>
          <w:p w14:paraId="429CBC70"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2,04</w:t>
            </w:r>
          </w:p>
        </w:tc>
        <w:tc>
          <w:tcPr>
            <w:tcW w:w="1189" w:type="dxa"/>
            <w:tcBorders>
              <w:top w:val="nil"/>
              <w:left w:val="nil"/>
              <w:bottom w:val="single" w:sz="4" w:space="0" w:color="auto"/>
              <w:right w:val="single" w:sz="4" w:space="0" w:color="auto"/>
            </w:tcBorders>
            <w:vAlign w:val="center"/>
            <w:hideMark/>
          </w:tcPr>
          <w:p w14:paraId="11F5F546"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83,65</w:t>
            </w:r>
          </w:p>
        </w:tc>
        <w:tc>
          <w:tcPr>
            <w:tcW w:w="1189" w:type="dxa"/>
            <w:tcBorders>
              <w:top w:val="nil"/>
              <w:left w:val="nil"/>
              <w:bottom w:val="single" w:sz="4" w:space="0" w:color="auto"/>
              <w:right w:val="single" w:sz="4" w:space="0" w:color="auto"/>
            </w:tcBorders>
            <w:vAlign w:val="center"/>
            <w:hideMark/>
          </w:tcPr>
          <w:p w14:paraId="23CF3714"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75,33</w:t>
            </w:r>
          </w:p>
        </w:tc>
        <w:tc>
          <w:tcPr>
            <w:tcW w:w="1189" w:type="dxa"/>
            <w:tcBorders>
              <w:top w:val="nil"/>
              <w:left w:val="nil"/>
              <w:bottom w:val="single" w:sz="4" w:space="0" w:color="auto"/>
              <w:right w:val="single" w:sz="4" w:space="0" w:color="auto"/>
            </w:tcBorders>
            <w:vAlign w:val="center"/>
            <w:hideMark/>
          </w:tcPr>
          <w:p w14:paraId="5F80BA07"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68,85</w:t>
            </w:r>
          </w:p>
        </w:tc>
        <w:tc>
          <w:tcPr>
            <w:tcW w:w="1189" w:type="dxa"/>
            <w:tcBorders>
              <w:top w:val="nil"/>
              <w:left w:val="nil"/>
              <w:bottom w:val="single" w:sz="4" w:space="0" w:color="auto"/>
              <w:right w:val="single" w:sz="4" w:space="0" w:color="auto"/>
            </w:tcBorders>
            <w:vAlign w:val="center"/>
            <w:hideMark/>
          </w:tcPr>
          <w:p w14:paraId="686D8E7C"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62,26</w:t>
            </w:r>
          </w:p>
        </w:tc>
        <w:tc>
          <w:tcPr>
            <w:tcW w:w="1189" w:type="dxa"/>
            <w:tcBorders>
              <w:top w:val="nil"/>
              <w:left w:val="nil"/>
              <w:bottom w:val="single" w:sz="4" w:space="0" w:color="auto"/>
              <w:right w:val="single" w:sz="4" w:space="0" w:color="auto"/>
            </w:tcBorders>
            <w:vAlign w:val="center"/>
            <w:hideMark/>
          </w:tcPr>
          <w:p w14:paraId="4E00131F"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39,53</w:t>
            </w:r>
          </w:p>
        </w:tc>
        <w:tc>
          <w:tcPr>
            <w:tcW w:w="1189" w:type="dxa"/>
            <w:tcBorders>
              <w:top w:val="nil"/>
              <w:left w:val="nil"/>
              <w:bottom w:val="single" w:sz="4" w:space="0" w:color="auto"/>
              <w:right w:val="single" w:sz="4" w:space="0" w:color="auto"/>
            </w:tcBorders>
            <w:vAlign w:val="center"/>
            <w:hideMark/>
          </w:tcPr>
          <w:p w14:paraId="73EA7190"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40,49</w:t>
            </w:r>
          </w:p>
        </w:tc>
        <w:tc>
          <w:tcPr>
            <w:tcW w:w="1590" w:type="dxa"/>
            <w:tcBorders>
              <w:top w:val="nil"/>
              <w:left w:val="nil"/>
              <w:bottom w:val="single" w:sz="4" w:space="0" w:color="auto"/>
              <w:right w:val="single" w:sz="4" w:space="0" w:color="auto"/>
            </w:tcBorders>
            <w:vAlign w:val="center"/>
            <w:hideMark/>
          </w:tcPr>
          <w:p w14:paraId="04139156"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37,55</w:t>
            </w:r>
          </w:p>
        </w:tc>
        <w:tc>
          <w:tcPr>
            <w:tcW w:w="1590" w:type="dxa"/>
            <w:tcBorders>
              <w:top w:val="nil"/>
              <w:left w:val="nil"/>
              <w:bottom w:val="single" w:sz="4" w:space="0" w:color="auto"/>
              <w:right w:val="single" w:sz="4" w:space="0" w:color="auto"/>
            </w:tcBorders>
            <w:vAlign w:val="center"/>
            <w:hideMark/>
          </w:tcPr>
          <w:p w14:paraId="7DBB32A1"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30,53</w:t>
            </w:r>
          </w:p>
        </w:tc>
      </w:tr>
      <w:tr w:rsidR="00F8495B" w:rsidRPr="005534D4" w14:paraId="5D92BB7A" w14:textId="77777777" w:rsidTr="00390A1B">
        <w:trPr>
          <w:trHeight w:val="20"/>
          <w:jc w:val="center"/>
        </w:trPr>
        <w:tc>
          <w:tcPr>
            <w:tcW w:w="2998" w:type="dxa"/>
            <w:tcBorders>
              <w:top w:val="nil"/>
              <w:left w:val="single" w:sz="4" w:space="0" w:color="auto"/>
              <w:bottom w:val="single" w:sz="4" w:space="0" w:color="auto"/>
              <w:right w:val="single" w:sz="4" w:space="0" w:color="auto"/>
            </w:tcBorders>
            <w:vAlign w:val="center"/>
            <w:hideMark/>
          </w:tcPr>
          <w:p w14:paraId="366D416C" w14:textId="77777777" w:rsidR="00F8495B" w:rsidRPr="005534D4" w:rsidRDefault="00F8495B" w:rsidP="00390A1B">
            <w:pPr>
              <w:spacing w:after="0" w:line="240" w:lineRule="auto"/>
              <w:ind w:left="720"/>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(2) Taxes on Income other than Corporation Tax</w:t>
            </w:r>
          </w:p>
        </w:tc>
        <w:tc>
          <w:tcPr>
            <w:tcW w:w="971" w:type="dxa"/>
            <w:tcBorders>
              <w:top w:val="nil"/>
              <w:left w:val="nil"/>
              <w:bottom w:val="single" w:sz="4" w:space="0" w:color="auto"/>
              <w:right w:val="single" w:sz="4" w:space="0" w:color="auto"/>
            </w:tcBorders>
            <w:vAlign w:val="center"/>
            <w:hideMark/>
          </w:tcPr>
          <w:p w14:paraId="18739FB5"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13,95</w:t>
            </w:r>
          </w:p>
        </w:tc>
        <w:tc>
          <w:tcPr>
            <w:tcW w:w="971" w:type="dxa"/>
            <w:tcBorders>
              <w:top w:val="nil"/>
              <w:left w:val="nil"/>
              <w:bottom w:val="single" w:sz="4" w:space="0" w:color="auto"/>
              <w:right w:val="single" w:sz="4" w:space="0" w:color="auto"/>
            </w:tcBorders>
            <w:vAlign w:val="center"/>
            <w:hideMark/>
          </w:tcPr>
          <w:p w14:paraId="26C2A392"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15,24</w:t>
            </w:r>
          </w:p>
        </w:tc>
        <w:tc>
          <w:tcPr>
            <w:tcW w:w="1189" w:type="dxa"/>
            <w:tcBorders>
              <w:top w:val="nil"/>
              <w:left w:val="nil"/>
              <w:bottom w:val="single" w:sz="4" w:space="0" w:color="auto"/>
              <w:right w:val="single" w:sz="4" w:space="0" w:color="auto"/>
            </w:tcBorders>
            <w:vAlign w:val="center"/>
            <w:hideMark/>
          </w:tcPr>
          <w:p w14:paraId="1409D017"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1,07,65</w:t>
            </w:r>
          </w:p>
        </w:tc>
        <w:tc>
          <w:tcPr>
            <w:tcW w:w="1189" w:type="dxa"/>
            <w:tcBorders>
              <w:top w:val="nil"/>
              <w:left w:val="nil"/>
              <w:bottom w:val="single" w:sz="4" w:space="0" w:color="auto"/>
              <w:right w:val="single" w:sz="4" w:space="0" w:color="auto"/>
            </w:tcBorders>
            <w:vAlign w:val="center"/>
            <w:hideMark/>
          </w:tcPr>
          <w:p w14:paraId="5780B0BC"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1,02,30</w:t>
            </w:r>
          </w:p>
        </w:tc>
        <w:tc>
          <w:tcPr>
            <w:tcW w:w="1189" w:type="dxa"/>
            <w:tcBorders>
              <w:top w:val="nil"/>
              <w:left w:val="nil"/>
              <w:bottom w:val="single" w:sz="4" w:space="0" w:color="auto"/>
              <w:right w:val="single" w:sz="4" w:space="0" w:color="auto"/>
            </w:tcBorders>
            <w:vAlign w:val="center"/>
            <w:hideMark/>
          </w:tcPr>
          <w:p w14:paraId="7F0906D7"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91,74</w:t>
            </w:r>
          </w:p>
        </w:tc>
        <w:tc>
          <w:tcPr>
            <w:tcW w:w="1189" w:type="dxa"/>
            <w:tcBorders>
              <w:top w:val="nil"/>
              <w:left w:val="nil"/>
              <w:bottom w:val="single" w:sz="4" w:space="0" w:color="auto"/>
              <w:right w:val="single" w:sz="4" w:space="0" w:color="auto"/>
            </w:tcBorders>
            <w:vAlign w:val="center"/>
            <w:hideMark/>
          </w:tcPr>
          <w:p w14:paraId="1858718D"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1,19,50</w:t>
            </w:r>
          </w:p>
        </w:tc>
        <w:tc>
          <w:tcPr>
            <w:tcW w:w="1189" w:type="dxa"/>
            <w:tcBorders>
              <w:top w:val="nil"/>
              <w:left w:val="nil"/>
              <w:bottom w:val="single" w:sz="4" w:space="0" w:color="auto"/>
              <w:right w:val="single" w:sz="4" w:space="0" w:color="auto"/>
            </w:tcBorders>
            <w:vAlign w:val="center"/>
            <w:hideMark/>
          </w:tcPr>
          <w:p w14:paraId="1408E30D"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1,21,59</w:t>
            </w:r>
          </w:p>
        </w:tc>
        <w:tc>
          <w:tcPr>
            <w:tcW w:w="1189" w:type="dxa"/>
            <w:tcBorders>
              <w:top w:val="nil"/>
              <w:left w:val="nil"/>
              <w:bottom w:val="single" w:sz="4" w:space="0" w:color="auto"/>
              <w:right w:val="single" w:sz="4" w:space="0" w:color="auto"/>
            </w:tcBorders>
            <w:vAlign w:val="center"/>
            <w:hideMark/>
          </w:tcPr>
          <w:p w14:paraId="33FB1F5F"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1,32,73</w:t>
            </w:r>
          </w:p>
        </w:tc>
        <w:tc>
          <w:tcPr>
            <w:tcW w:w="1590" w:type="dxa"/>
            <w:tcBorders>
              <w:top w:val="nil"/>
              <w:left w:val="nil"/>
              <w:bottom w:val="single" w:sz="4" w:space="0" w:color="auto"/>
              <w:right w:val="single" w:sz="4" w:space="0" w:color="auto"/>
            </w:tcBorders>
            <w:vAlign w:val="center"/>
            <w:hideMark/>
          </w:tcPr>
          <w:p w14:paraId="43EF5B73"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1,37,45</w:t>
            </w:r>
          </w:p>
        </w:tc>
        <w:tc>
          <w:tcPr>
            <w:tcW w:w="1590" w:type="dxa"/>
            <w:tcBorders>
              <w:top w:val="nil"/>
              <w:left w:val="nil"/>
              <w:bottom w:val="single" w:sz="4" w:space="0" w:color="auto"/>
              <w:right w:val="single" w:sz="4" w:space="0" w:color="auto"/>
            </w:tcBorders>
            <w:vAlign w:val="center"/>
            <w:hideMark/>
          </w:tcPr>
          <w:p w14:paraId="50941FBF"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1,24,47</w:t>
            </w:r>
          </w:p>
        </w:tc>
      </w:tr>
      <w:tr w:rsidR="00F8495B" w:rsidRPr="005534D4" w14:paraId="6C024584" w14:textId="77777777" w:rsidTr="00390A1B">
        <w:trPr>
          <w:trHeight w:val="20"/>
          <w:jc w:val="center"/>
        </w:trPr>
        <w:tc>
          <w:tcPr>
            <w:tcW w:w="2998" w:type="dxa"/>
            <w:tcBorders>
              <w:top w:val="nil"/>
              <w:left w:val="single" w:sz="4" w:space="0" w:color="auto"/>
              <w:bottom w:val="single" w:sz="4" w:space="0" w:color="auto"/>
              <w:right w:val="single" w:sz="4" w:space="0" w:color="auto"/>
            </w:tcBorders>
            <w:vAlign w:val="center"/>
            <w:hideMark/>
          </w:tcPr>
          <w:p w14:paraId="612F1009" w14:textId="77777777" w:rsidR="00F8495B" w:rsidRPr="005534D4" w:rsidRDefault="00F8495B" w:rsidP="00390A1B">
            <w:pPr>
              <w:spacing w:after="0" w:line="240" w:lineRule="auto"/>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Railways (a)</w:t>
            </w:r>
          </w:p>
        </w:tc>
        <w:tc>
          <w:tcPr>
            <w:tcW w:w="971" w:type="dxa"/>
            <w:tcBorders>
              <w:top w:val="nil"/>
              <w:left w:val="nil"/>
              <w:bottom w:val="single" w:sz="4" w:space="0" w:color="auto"/>
              <w:right w:val="single" w:sz="4" w:space="0" w:color="auto"/>
            </w:tcBorders>
            <w:vAlign w:val="center"/>
            <w:hideMark/>
          </w:tcPr>
          <w:p w14:paraId="65870581"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2,76</w:t>
            </w:r>
          </w:p>
        </w:tc>
        <w:tc>
          <w:tcPr>
            <w:tcW w:w="971" w:type="dxa"/>
            <w:tcBorders>
              <w:top w:val="nil"/>
              <w:left w:val="nil"/>
              <w:bottom w:val="single" w:sz="4" w:space="0" w:color="auto"/>
              <w:right w:val="single" w:sz="4" w:space="0" w:color="auto"/>
            </w:tcBorders>
            <w:vAlign w:val="center"/>
            <w:hideMark/>
          </w:tcPr>
          <w:p w14:paraId="07EB16B6"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11,37</w:t>
            </w:r>
          </w:p>
        </w:tc>
        <w:tc>
          <w:tcPr>
            <w:tcW w:w="1189" w:type="dxa"/>
            <w:tcBorders>
              <w:top w:val="nil"/>
              <w:left w:val="nil"/>
              <w:bottom w:val="single" w:sz="4" w:space="0" w:color="auto"/>
              <w:right w:val="single" w:sz="4" w:space="0" w:color="auto"/>
            </w:tcBorders>
            <w:vAlign w:val="center"/>
            <w:hideMark/>
          </w:tcPr>
          <w:p w14:paraId="60D2E65C"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32,00</w:t>
            </w:r>
          </w:p>
        </w:tc>
        <w:tc>
          <w:tcPr>
            <w:tcW w:w="1189" w:type="dxa"/>
            <w:tcBorders>
              <w:top w:val="nil"/>
              <w:left w:val="nil"/>
              <w:bottom w:val="single" w:sz="4" w:space="0" w:color="auto"/>
              <w:right w:val="single" w:sz="4" w:space="0" w:color="auto"/>
            </w:tcBorders>
            <w:vAlign w:val="center"/>
            <w:hideMark/>
          </w:tcPr>
          <w:p w14:paraId="15DC31A3"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32,00</w:t>
            </w:r>
          </w:p>
        </w:tc>
        <w:tc>
          <w:tcPr>
            <w:tcW w:w="1189" w:type="dxa"/>
            <w:tcBorders>
              <w:top w:val="nil"/>
              <w:left w:val="nil"/>
              <w:bottom w:val="single" w:sz="4" w:space="0" w:color="auto"/>
              <w:right w:val="single" w:sz="4" w:space="0" w:color="auto"/>
            </w:tcBorders>
            <w:vAlign w:val="center"/>
            <w:hideMark/>
          </w:tcPr>
          <w:p w14:paraId="3B69085E"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5,40</w:t>
            </w:r>
          </w:p>
        </w:tc>
        <w:tc>
          <w:tcPr>
            <w:tcW w:w="1189" w:type="dxa"/>
            <w:tcBorders>
              <w:top w:val="nil"/>
              <w:left w:val="nil"/>
              <w:bottom w:val="single" w:sz="4" w:space="0" w:color="auto"/>
              <w:right w:val="single" w:sz="4" w:space="0" w:color="auto"/>
            </w:tcBorders>
            <w:vAlign w:val="center"/>
            <w:hideMark/>
          </w:tcPr>
          <w:p w14:paraId="4772C2EF"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7,34</w:t>
            </w:r>
          </w:p>
        </w:tc>
        <w:tc>
          <w:tcPr>
            <w:tcW w:w="1189" w:type="dxa"/>
            <w:tcBorders>
              <w:top w:val="nil"/>
              <w:left w:val="nil"/>
              <w:bottom w:val="single" w:sz="4" w:space="0" w:color="auto"/>
              <w:right w:val="single" w:sz="4" w:space="0" w:color="auto"/>
            </w:tcBorders>
            <w:vAlign w:val="center"/>
            <w:hideMark/>
          </w:tcPr>
          <w:p w14:paraId="18AD1AED"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7,00</w:t>
            </w:r>
          </w:p>
        </w:tc>
        <w:tc>
          <w:tcPr>
            <w:tcW w:w="1189" w:type="dxa"/>
            <w:tcBorders>
              <w:top w:val="nil"/>
              <w:left w:val="nil"/>
              <w:bottom w:val="single" w:sz="4" w:space="0" w:color="auto"/>
              <w:right w:val="single" w:sz="4" w:space="0" w:color="auto"/>
            </w:tcBorders>
            <w:vAlign w:val="center"/>
            <w:hideMark/>
          </w:tcPr>
          <w:p w14:paraId="43EEB03E"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6,50</w:t>
            </w:r>
          </w:p>
        </w:tc>
        <w:tc>
          <w:tcPr>
            <w:tcW w:w="1590" w:type="dxa"/>
            <w:tcBorders>
              <w:top w:val="nil"/>
              <w:left w:val="nil"/>
              <w:bottom w:val="single" w:sz="4" w:space="0" w:color="auto"/>
              <w:right w:val="single" w:sz="4" w:space="0" w:color="auto"/>
            </w:tcBorders>
            <w:vAlign w:val="center"/>
            <w:hideMark/>
          </w:tcPr>
          <w:p w14:paraId="36EC1291"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7,34</w:t>
            </w:r>
          </w:p>
        </w:tc>
        <w:tc>
          <w:tcPr>
            <w:tcW w:w="1590" w:type="dxa"/>
            <w:tcBorders>
              <w:top w:val="nil"/>
              <w:left w:val="nil"/>
              <w:bottom w:val="single" w:sz="4" w:space="0" w:color="auto"/>
              <w:right w:val="single" w:sz="4" w:space="0" w:color="auto"/>
            </w:tcBorders>
            <w:vAlign w:val="center"/>
            <w:hideMark/>
          </w:tcPr>
          <w:p w14:paraId="19910890"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7,65</w:t>
            </w:r>
          </w:p>
        </w:tc>
      </w:tr>
      <w:tr w:rsidR="00F8495B" w:rsidRPr="005534D4" w14:paraId="6E079408" w14:textId="77777777" w:rsidTr="00390A1B">
        <w:trPr>
          <w:trHeight w:val="20"/>
          <w:jc w:val="center"/>
        </w:trPr>
        <w:tc>
          <w:tcPr>
            <w:tcW w:w="2998" w:type="dxa"/>
            <w:tcBorders>
              <w:top w:val="nil"/>
              <w:left w:val="single" w:sz="4" w:space="0" w:color="auto"/>
              <w:bottom w:val="single" w:sz="4" w:space="0" w:color="auto"/>
              <w:right w:val="single" w:sz="4" w:space="0" w:color="auto"/>
            </w:tcBorders>
            <w:vAlign w:val="center"/>
            <w:hideMark/>
          </w:tcPr>
          <w:p w14:paraId="2E31C48D" w14:textId="77777777" w:rsidR="00F8495B" w:rsidRPr="005534D4" w:rsidRDefault="00F8495B" w:rsidP="00390A1B">
            <w:pPr>
              <w:spacing w:after="0" w:line="240" w:lineRule="auto"/>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Posts and Telegraphs (a)</w:t>
            </w:r>
          </w:p>
        </w:tc>
        <w:tc>
          <w:tcPr>
            <w:tcW w:w="971" w:type="dxa"/>
            <w:tcBorders>
              <w:top w:val="nil"/>
              <w:left w:val="nil"/>
              <w:bottom w:val="single" w:sz="4" w:space="0" w:color="auto"/>
              <w:right w:val="single" w:sz="4" w:space="0" w:color="auto"/>
            </w:tcBorders>
            <w:vAlign w:val="center"/>
            <w:hideMark/>
          </w:tcPr>
          <w:p w14:paraId="464E28C5"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57</w:t>
            </w:r>
          </w:p>
        </w:tc>
        <w:tc>
          <w:tcPr>
            <w:tcW w:w="971" w:type="dxa"/>
            <w:tcBorders>
              <w:top w:val="nil"/>
              <w:left w:val="nil"/>
              <w:bottom w:val="single" w:sz="4" w:space="0" w:color="auto"/>
              <w:right w:val="single" w:sz="4" w:space="0" w:color="auto"/>
            </w:tcBorders>
            <w:vAlign w:val="center"/>
            <w:hideMark/>
          </w:tcPr>
          <w:p w14:paraId="3F7ED559"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19</w:t>
            </w:r>
          </w:p>
        </w:tc>
        <w:tc>
          <w:tcPr>
            <w:tcW w:w="1189" w:type="dxa"/>
            <w:tcBorders>
              <w:top w:val="nil"/>
              <w:left w:val="nil"/>
              <w:bottom w:val="single" w:sz="4" w:space="0" w:color="auto"/>
              <w:right w:val="single" w:sz="4" w:space="0" w:color="auto"/>
            </w:tcBorders>
            <w:vAlign w:val="center"/>
            <w:hideMark/>
          </w:tcPr>
          <w:p w14:paraId="7FCB919E"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10,25</w:t>
            </w:r>
          </w:p>
        </w:tc>
        <w:tc>
          <w:tcPr>
            <w:tcW w:w="1189" w:type="dxa"/>
            <w:tcBorders>
              <w:top w:val="nil"/>
              <w:left w:val="nil"/>
              <w:bottom w:val="single" w:sz="4" w:space="0" w:color="auto"/>
              <w:right w:val="single" w:sz="4" w:space="0" w:color="auto"/>
            </w:tcBorders>
            <w:vAlign w:val="center"/>
            <w:hideMark/>
          </w:tcPr>
          <w:p w14:paraId="3F9E55E1"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11,31</w:t>
            </w:r>
          </w:p>
        </w:tc>
        <w:tc>
          <w:tcPr>
            <w:tcW w:w="1189" w:type="dxa"/>
            <w:tcBorders>
              <w:top w:val="nil"/>
              <w:left w:val="nil"/>
              <w:bottom w:val="single" w:sz="4" w:space="0" w:color="auto"/>
              <w:right w:val="single" w:sz="4" w:space="0" w:color="auto"/>
            </w:tcBorders>
            <w:vAlign w:val="center"/>
            <w:hideMark/>
          </w:tcPr>
          <w:p w14:paraId="38517FC4"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5,16</w:t>
            </w:r>
          </w:p>
        </w:tc>
        <w:tc>
          <w:tcPr>
            <w:tcW w:w="1189" w:type="dxa"/>
            <w:tcBorders>
              <w:top w:val="nil"/>
              <w:left w:val="nil"/>
              <w:bottom w:val="single" w:sz="4" w:space="0" w:color="auto"/>
              <w:right w:val="single" w:sz="4" w:space="0" w:color="auto"/>
            </w:tcBorders>
            <w:vAlign w:val="center"/>
            <w:hideMark/>
          </w:tcPr>
          <w:p w14:paraId="299F52AE"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2,36</w:t>
            </w:r>
          </w:p>
        </w:tc>
        <w:tc>
          <w:tcPr>
            <w:tcW w:w="1189" w:type="dxa"/>
            <w:tcBorders>
              <w:top w:val="nil"/>
              <w:left w:val="nil"/>
              <w:bottom w:val="single" w:sz="4" w:space="0" w:color="auto"/>
              <w:right w:val="single" w:sz="4" w:space="0" w:color="auto"/>
            </w:tcBorders>
            <w:vAlign w:val="center"/>
            <w:hideMark/>
          </w:tcPr>
          <w:p w14:paraId="603393D5"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2,38</w:t>
            </w:r>
          </w:p>
        </w:tc>
        <w:tc>
          <w:tcPr>
            <w:tcW w:w="1189" w:type="dxa"/>
            <w:tcBorders>
              <w:top w:val="nil"/>
              <w:left w:val="nil"/>
              <w:bottom w:val="single" w:sz="4" w:space="0" w:color="auto"/>
              <w:right w:val="single" w:sz="4" w:space="0" w:color="auto"/>
            </w:tcBorders>
            <w:vAlign w:val="center"/>
            <w:hideMark/>
          </w:tcPr>
          <w:p w14:paraId="35BB3C2E"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3,98</w:t>
            </w:r>
          </w:p>
        </w:tc>
        <w:tc>
          <w:tcPr>
            <w:tcW w:w="1590" w:type="dxa"/>
            <w:tcBorders>
              <w:top w:val="nil"/>
              <w:left w:val="nil"/>
              <w:bottom w:val="single" w:sz="4" w:space="0" w:color="auto"/>
              <w:right w:val="single" w:sz="4" w:space="0" w:color="auto"/>
            </w:tcBorders>
            <w:vAlign w:val="center"/>
            <w:hideMark/>
          </w:tcPr>
          <w:p w14:paraId="6B007678"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3,87</w:t>
            </w:r>
          </w:p>
        </w:tc>
        <w:tc>
          <w:tcPr>
            <w:tcW w:w="1590" w:type="dxa"/>
            <w:tcBorders>
              <w:top w:val="nil"/>
              <w:left w:val="nil"/>
              <w:bottom w:val="single" w:sz="4" w:space="0" w:color="auto"/>
              <w:right w:val="single" w:sz="4" w:space="0" w:color="auto"/>
            </w:tcBorders>
            <w:vAlign w:val="center"/>
            <w:hideMark/>
          </w:tcPr>
          <w:p w14:paraId="0BCDB78F"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1,16</w:t>
            </w:r>
          </w:p>
        </w:tc>
      </w:tr>
      <w:tr w:rsidR="00F8495B" w:rsidRPr="005534D4" w14:paraId="5C3914E4" w14:textId="77777777" w:rsidTr="00390A1B">
        <w:trPr>
          <w:trHeight w:val="20"/>
          <w:jc w:val="center"/>
        </w:trPr>
        <w:tc>
          <w:tcPr>
            <w:tcW w:w="2998" w:type="dxa"/>
            <w:tcBorders>
              <w:top w:val="nil"/>
              <w:left w:val="single" w:sz="4" w:space="0" w:color="auto"/>
              <w:bottom w:val="single" w:sz="4" w:space="0" w:color="auto"/>
              <w:right w:val="single" w:sz="4" w:space="0" w:color="auto"/>
            </w:tcBorders>
            <w:vAlign w:val="center"/>
            <w:hideMark/>
          </w:tcPr>
          <w:p w14:paraId="33C6E1C1" w14:textId="77777777" w:rsidR="00F8495B" w:rsidRPr="005534D4" w:rsidRDefault="00F8495B" w:rsidP="00390A1B">
            <w:pPr>
              <w:spacing w:after="0" w:line="240" w:lineRule="auto"/>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Currency and Mint</w:t>
            </w:r>
          </w:p>
        </w:tc>
        <w:tc>
          <w:tcPr>
            <w:tcW w:w="971" w:type="dxa"/>
            <w:tcBorders>
              <w:top w:val="nil"/>
              <w:left w:val="nil"/>
              <w:bottom w:val="single" w:sz="4" w:space="0" w:color="auto"/>
              <w:right w:val="single" w:sz="4" w:space="0" w:color="auto"/>
            </w:tcBorders>
            <w:vAlign w:val="center"/>
            <w:hideMark/>
          </w:tcPr>
          <w:p w14:paraId="6FCF83D9"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75</w:t>
            </w:r>
          </w:p>
        </w:tc>
        <w:tc>
          <w:tcPr>
            <w:tcW w:w="971" w:type="dxa"/>
            <w:tcBorders>
              <w:top w:val="nil"/>
              <w:left w:val="nil"/>
              <w:bottom w:val="single" w:sz="4" w:space="0" w:color="auto"/>
              <w:right w:val="single" w:sz="4" w:space="0" w:color="auto"/>
            </w:tcBorders>
            <w:vAlign w:val="center"/>
            <w:hideMark/>
          </w:tcPr>
          <w:p w14:paraId="07021AC4"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58</w:t>
            </w:r>
          </w:p>
        </w:tc>
        <w:tc>
          <w:tcPr>
            <w:tcW w:w="1189" w:type="dxa"/>
            <w:tcBorders>
              <w:top w:val="nil"/>
              <w:left w:val="nil"/>
              <w:bottom w:val="single" w:sz="4" w:space="0" w:color="auto"/>
              <w:right w:val="single" w:sz="4" w:space="0" w:color="auto"/>
            </w:tcBorders>
            <w:vAlign w:val="center"/>
            <w:hideMark/>
          </w:tcPr>
          <w:p w14:paraId="76C97949"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12,46</w:t>
            </w:r>
          </w:p>
        </w:tc>
        <w:tc>
          <w:tcPr>
            <w:tcW w:w="1189" w:type="dxa"/>
            <w:tcBorders>
              <w:top w:val="nil"/>
              <w:left w:val="nil"/>
              <w:bottom w:val="single" w:sz="4" w:space="0" w:color="auto"/>
              <w:right w:val="single" w:sz="4" w:space="0" w:color="auto"/>
            </w:tcBorders>
            <w:vAlign w:val="center"/>
            <w:hideMark/>
          </w:tcPr>
          <w:p w14:paraId="2A3EEC8B"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16,75</w:t>
            </w:r>
          </w:p>
        </w:tc>
        <w:tc>
          <w:tcPr>
            <w:tcW w:w="1189" w:type="dxa"/>
            <w:tcBorders>
              <w:top w:val="nil"/>
              <w:left w:val="nil"/>
              <w:bottom w:val="single" w:sz="4" w:space="0" w:color="auto"/>
              <w:right w:val="single" w:sz="4" w:space="0" w:color="auto"/>
            </w:tcBorders>
            <w:vAlign w:val="center"/>
            <w:hideMark/>
          </w:tcPr>
          <w:p w14:paraId="4B055042"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15,57</w:t>
            </w:r>
          </w:p>
        </w:tc>
        <w:tc>
          <w:tcPr>
            <w:tcW w:w="1189" w:type="dxa"/>
            <w:tcBorders>
              <w:top w:val="nil"/>
              <w:left w:val="nil"/>
              <w:bottom w:val="single" w:sz="4" w:space="0" w:color="auto"/>
              <w:right w:val="single" w:sz="4" w:space="0" w:color="auto"/>
            </w:tcBorders>
            <w:vAlign w:val="center"/>
            <w:hideMark/>
          </w:tcPr>
          <w:p w14:paraId="25E4E3EC"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12,63</w:t>
            </w:r>
          </w:p>
        </w:tc>
        <w:tc>
          <w:tcPr>
            <w:tcW w:w="1189" w:type="dxa"/>
            <w:tcBorders>
              <w:top w:val="nil"/>
              <w:left w:val="nil"/>
              <w:bottom w:val="single" w:sz="4" w:space="0" w:color="auto"/>
              <w:right w:val="single" w:sz="4" w:space="0" w:color="auto"/>
            </w:tcBorders>
            <w:vAlign w:val="center"/>
            <w:hideMark/>
          </w:tcPr>
          <w:p w14:paraId="59089672"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11,22</w:t>
            </w:r>
          </w:p>
        </w:tc>
        <w:tc>
          <w:tcPr>
            <w:tcW w:w="1189" w:type="dxa"/>
            <w:tcBorders>
              <w:top w:val="nil"/>
              <w:left w:val="nil"/>
              <w:bottom w:val="single" w:sz="4" w:space="0" w:color="auto"/>
              <w:right w:val="single" w:sz="4" w:space="0" w:color="auto"/>
            </w:tcBorders>
            <w:vAlign w:val="center"/>
            <w:hideMark/>
          </w:tcPr>
          <w:p w14:paraId="398078B8"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12,27</w:t>
            </w:r>
          </w:p>
        </w:tc>
        <w:tc>
          <w:tcPr>
            <w:tcW w:w="1590" w:type="dxa"/>
            <w:tcBorders>
              <w:top w:val="nil"/>
              <w:left w:val="nil"/>
              <w:bottom w:val="single" w:sz="4" w:space="0" w:color="auto"/>
              <w:right w:val="single" w:sz="4" w:space="0" w:color="auto"/>
            </w:tcBorders>
            <w:vAlign w:val="center"/>
            <w:hideMark/>
          </w:tcPr>
          <w:p w14:paraId="10A3F480"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11,31</w:t>
            </w:r>
          </w:p>
        </w:tc>
        <w:tc>
          <w:tcPr>
            <w:tcW w:w="1590" w:type="dxa"/>
            <w:tcBorders>
              <w:top w:val="nil"/>
              <w:left w:val="nil"/>
              <w:bottom w:val="single" w:sz="4" w:space="0" w:color="auto"/>
              <w:right w:val="single" w:sz="4" w:space="0" w:color="auto"/>
            </w:tcBorders>
            <w:vAlign w:val="center"/>
            <w:hideMark/>
          </w:tcPr>
          <w:p w14:paraId="7CE79B2D"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10,39</w:t>
            </w:r>
          </w:p>
        </w:tc>
      </w:tr>
      <w:tr w:rsidR="00F8495B" w:rsidRPr="005534D4" w14:paraId="595F7C75" w14:textId="77777777" w:rsidTr="00390A1B">
        <w:trPr>
          <w:trHeight w:val="20"/>
          <w:jc w:val="center"/>
        </w:trPr>
        <w:tc>
          <w:tcPr>
            <w:tcW w:w="2998" w:type="dxa"/>
            <w:tcBorders>
              <w:top w:val="nil"/>
              <w:left w:val="single" w:sz="4" w:space="0" w:color="auto"/>
              <w:bottom w:val="single" w:sz="4" w:space="0" w:color="auto"/>
              <w:right w:val="single" w:sz="4" w:space="0" w:color="auto"/>
            </w:tcBorders>
            <w:vAlign w:val="center"/>
            <w:hideMark/>
          </w:tcPr>
          <w:p w14:paraId="14E35F4C" w14:textId="77777777" w:rsidR="00F8495B" w:rsidRPr="005534D4" w:rsidRDefault="00F8495B" w:rsidP="00390A1B">
            <w:pPr>
              <w:spacing w:after="0" w:line="240" w:lineRule="auto"/>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Other Heads</w:t>
            </w:r>
          </w:p>
        </w:tc>
        <w:tc>
          <w:tcPr>
            <w:tcW w:w="971" w:type="dxa"/>
            <w:tcBorders>
              <w:top w:val="nil"/>
              <w:left w:val="nil"/>
              <w:bottom w:val="single" w:sz="4" w:space="0" w:color="auto"/>
              <w:right w:val="single" w:sz="4" w:space="0" w:color="auto"/>
            </w:tcBorders>
            <w:vAlign w:val="center"/>
            <w:hideMark/>
          </w:tcPr>
          <w:p w14:paraId="71CBB2BC"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17,18</w:t>
            </w:r>
          </w:p>
        </w:tc>
        <w:tc>
          <w:tcPr>
            <w:tcW w:w="971" w:type="dxa"/>
            <w:tcBorders>
              <w:top w:val="nil"/>
              <w:left w:val="nil"/>
              <w:bottom w:val="single" w:sz="4" w:space="0" w:color="auto"/>
              <w:right w:val="single" w:sz="4" w:space="0" w:color="auto"/>
            </w:tcBorders>
            <w:vAlign w:val="center"/>
            <w:hideMark/>
          </w:tcPr>
          <w:p w14:paraId="2E94C51E"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7,43</w:t>
            </w:r>
          </w:p>
        </w:tc>
        <w:tc>
          <w:tcPr>
            <w:tcW w:w="1189" w:type="dxa"/>
            <w:tcBorders>
              <w:top w:val="nil"/>
              <w:left w:val="nil"/>
              <w:bottom w:val="single" w:sz="4" w:space="0" w:color="auto"/>
              <w:right w:val="single" w:sz="4" w:space="0" w:color="auto"/>
            </w:tcBorders>
            <w:vAlign w:val="center"/>
            <w:hideMark/>
          </w:tcPr>
          <w:p w14:paraId="1C5ADC41"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38,41</w:t>
            </w:r>
          </w:p>
        </w:tc>
        <w:tc>
          <w:tcPr>
            <w:tcW w:w="1189" w:type="dxa"/>
            <w:tcBorders>
              <w:top w:val="nil"/>
              <w:left w:val="nil"/>
              <w:bottom w:val="single" w:sz="4" w:space="0" w:color="auto"/>
              <w:right w:val="single" w:sz="4" w:space="0" w:color="auto"/>
            </w:tcBorders>
            <w:vAlign w:val="center"/>
            <w:hideMark/>
          </w:tcPr>
          <w:p w14:paraId="64C0609C"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32,28</w:t>
            </w:r>
          </w:p>
        </w:tc>
        <w:tc>
          <w:tcPr>
            <w:tcW w:w="1189" w:type="dxa"/>
            <w:tcBorders>
              <w:top w:val="nil"/>
              <w:left w:val="nil"/>
              <w:bottom w:val="single" w:sz="4" w:space="0" w:color="auto"/>
              <w:right w:val="single" w:sz="4" w:space="0" w:color="auto"/>
            </w:tcBorders>
            <w:vAlign w:val="center"/>
            <w:hideMark/>
          </w:tcPr>
          <w:p w14:paraId="434726F3"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53,79</w:t>
            </w:r>
          </w:p>
        </w:tc>
        <w:tc>
          <w:tcPr>
            <w:tcW w:w="1189" w:type="dxa"/>
            <w:tcBorders>
              <w:top w:val="nil"/>
              <w:left w:val="nil"/>
              <w:bottom w:val="single" w:sz="4" w:space="0" w:color="auto"/>
              <w:right w:val="single" w:sz="4" w:space="0" w:color="auto"/>
            </w:tcBorders>
            <w:vAlign w:val="center"/>
            <w:hideMark/>
          </w:tcPr>
          <w:p w14:paraId="1BAE0FCC"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32,61</w:t>
            </w:r>
          </w:p>
        </w:tc>
        <w:tc>
          <w:tcPr>
            <w:tcW w:w="1189" w:type="dxa"/>
            <w:tcBorders>
              <w:top w:val="nil"/>
              <w:left w:val="nil"/>
              <w:bottom w:val="single" w:sz="4" w:space="0" w:color="auto"/>
              <w:right w:val="single" w:sz="4" w:space="0" w:color="auto"/>
            </w:tcBorders>
            <w:vAlign w:val="center"/>
            <w:hideMark/>
          </w:tcPr>
          <w:p w14:paraId="7FA0BE93"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21,87</w:t>
            </w:r>
          </w:p>
        </w:tc>
        <w:tc>
          <w:tcPr>
            <w:tcW w:w="1189" w:type="dxa"/>
            <w:tcBorders>
              <w:top w:val="nil"/>
              <w:left w:val="nil"/>
              <w:bottom w:val="single" w:sz="4" w:space="0" w:color="auto"/>
              <w:right w:val="single" w:sz="4" w:space="0" w:color="auto"/>
            </w:tcBorders>
            <w:vAlign w:val="center"/>
            <w:hideMark/>
          </w:tcPr>
          <w:p w14:paraId="54BC19D1"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37,52</w:t>
            </w:r>
          </w:p>
        </w:tc>
        <w:tc>
          <w:tcPr>
            <w:tcW w:w="1590" w:type="dxa"/>
            <w:tcBorders>
              <w:top w:val="nil"/>
              <w:left w:val="nil"/>
              <w:bottom w:val="single" w:sz="4" w:space="0" w:color="auto"/>
              <w:right w:val="single" w:sz="4" w:space="0" w:color="auto"/>
            </w:tcBorders>
            <w:vAlign w:val="center"/>
            <w:hideMark/>
          </w:tcPr>
          <w:p w14:paraId="4F37500D"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36,55</w:t>
            </w:r>
          </w:p>
        </w:tc>
        <w:tc>
          <w:tcPr>
            <w:tcW w:w="1590" w:type="dxa"/>
            <w:tcBorders>
              <w:top w:val="nil"/>
              <w:left w:val="nil"/>
              <w:bottom w:val="single" w:sz="4" w:space="0" w:color="auto"/>
              <w:right w:val="single" w:sz="4" w:space="0" w:color="auto"/>
            </w:tcBorders>
            <w:vAlign w:val="center"/>
            <w:hideMark/>
          </w:tcPr>
          <w:p w14:paraId="1806D67F"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30,62</w:t>
            </w:r>
          </w:p>
        </w:tc>
      </w:tr>
      <w:tr w:rsidR="00F8495B" w:rsidRPr="005534D4" w14:paraId="64BF71F8" w14:textId="77777777" w:rsidTr="00390A1B">
        <w:trPr>
          <w:trHeight w:val="20"/>
          <w:jc w:val="center"/>
        </w:trPr>
        <w:tc>
          <w:tcPr>
            <w:tcW w:w="2998" w:type="dxa"/>
            <w:tcBorders>
              <w:top w:val="nil"/>
              <w:left w:val="single" w:sz="4" w:space="0" w:color="auto"/>
              <w:bottom w:val="single" w:sz="4" w:space="0" w:color="auto"/>
              <w:right w:val="single" w:sz="4" w:space="0" w:color="auto"/>
            </w:tcBorders>
            <w:vAlign w:val="center"/>
            <w:hideMark/>
          </w:tcPr>
          <w:p w14:paraId="3F3688CB" w14:textId="77777777" w:rsidR="00F8495B" w:rsidRPr="005534D4" w:rsidRDefault="00F8495B" w:rsidP="00390A1B">
            <w:pPr>
              <w:spacing w:after="0" w:line="240" w:lineRule="auto"/>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Deduct States' share of Income Tax</w:t>
            </w:r>
          </w:p>
        </w:tc>
        <w:tc>
          <w:tcPr>
            <w:tcW w:w="971" w:type="dxa"/>
            <w:tcBorders>
              <w:top w:val="nil"/>
              <w:left w:val="nil"/>
              <w:bottom w:val="single" w:sz="4" w:space="0" w:color="auto"/>
              <w:right w:val="single" w:sz="4" w:space="0" w:color="auto"/>
            </w:tcBorders>
            <w:vAlign w:val="center"/>
            <w:hideMark/>
          </w:tcPr>
          <w:p w14:paraId="2A2AA9FD"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—1,25</w:t>
            </w:r>
          </w:p>
        </w:tc>
        <w:tc>
          <w:tcPr>
            <w:tcW w:w="971" w:type="dxa"/>
            <w:tcBorders>
              <w:top w:val="nil"/>
              <w:left w:val="nil"/>
              <w:bottom w:val="single" w:sz="4" w:space="0" w:color="auto"/>
              <w:right w:val="single" w:sz="4" w:space="0" w:color="auto"/>
            </w:tcBorders>
            <w:vAlign w:val="center"/>
            <w:hideMark/>
          </w:tcPr>
          <w:p w14:paraId="41C82B5F"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—1,50</w:t>
            </w:r>
          </w:p>
        </w:tc>
        <w:tc>
          <w:tcPr>
            <w:tcW w:w="1189" w:type="dxa"/>
            <w:tcBorders>
              <w:top w:val="nil"/>
              <w:left w:val="nil"/>
              <w:bottom w:val="single" w:sz="4" w:space="0" w:color="auto"/>
              <w:right w:val="single" w:sz="4" w:space="0" w:color="auto"/>
            </w:tcBorders>
            <w:vAlign w:val="center"/>
            <w:hideMark/>
          </w:tcPr>
          <w:p w14:paraId="3734BAE5"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—26,56</w:t>
            </w:r>
          </w:p>
        </w:tc>
        <w:tc>
          <w:tcPr>
            <w:tcW w:w="1189" w:type="dxa"/>
            <w:tcBorders>
              <w:top w:val="nil"/>
              <w:left w:val="nil"/>
              <w:bottom w:val="single" w:sz="4" w:space="0" w:color="auto"/>
              <w:right w:val="single" w:sz="4" w:space="0" w:color="auto"/>
            </w:tcBorders>
            <w:vAlign w:val="center"/>
            <w:hideMark/>
          </w:tcPr>
          <w:p w14:paraId="7CF2C5CB"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—28,75</w:t>
            </w:r>
          </w:p>
        </w:tc>
        <w:tc>
          <w:tcPr>
            <w:tcW w:w="1189" w:type="dxa"/>
            <w:tcBorders>
              <w:top w:val="nil"/>
              <w:left w:val="nil"/>
              <w:bottom w:val="single" w:sz="4" w:space="0" w:color="auto"/>
              <w:right w:val="single" w:sz="4" w:space="0" w:color="auto"/>
            </w:tcBorders>
            <w:vAlign w:val="center"/>
            <w:hideMark/>
          </w:tcPr>
          <w:p w14:paraId="089AFE73"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—29,87</w:t>
            </w:r>
          </w:p>
        </w:tc>
        <w:tc>
          <w:tcPr>
            <w:tcW w:w="1189" w:type="dxa"/>
            <w:tcBorders>
              <w:top w:val="nil"/>
              <w:left w:val="nil"/>
              <w:bottom w:val="single" w:sz="4" w:space="0" w:color="auto"/>
              <w:right w:val="single" w:sz="4" w:space="0" w:color="auto"/>
            </w:tcBorders>
            <w:vAlign w:val="center"/>
            <w:hideMark/>
          </w:tcPr>
          <w:p w14:paraId="3D204570"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—41,79</w:t>
            </w:r>
          </w:p>
        </w:tc>
        <w:tc>
          <w:tcPr>
            <w:tcW w:w="1189" w:type="dxa"/>
            <w:tcBorders>
              <w:top w:val="nil"/>
              <w:left w:val="nil"/>
              <w:bottom w:val="single" w:sz="4" w:space="0" w:color="auto"/>
              <w:right w:val="single" w:sz="4" w:space="0" w:color="auto"/>
            </w:tcBorders>
            <w:vAlign w:val="center"/>
            <w:hideMark/>
          </w:tcPr>
          <w:p w14:paraId="1A14B45A"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—45,76</w:t>
            </w:r>
          </w:p>
        </w:tc>
        <w:tc>
          <w:tcPr>
            <w:tcW w:w="1189" w:type="dxa"/>
            <w:tcBorders>
              <w:top w:val="nil"/>
              <w:left w:val="nil"/>
              <w:bottom w:val="single" w:sz="4" w:space="0" w:color="auto"/>
              <w:right w:val="single" w:sz="4" w:space="0" w:color="auto"/>
            </w:tcBorders>
            <w:vAlign w:val="center"/>
            <w:hideMark/>
          </w:tcPr>
          <w:p w14:paraId="2757B24B"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—47,52</w:t>
            </w:r>
          </w:p>
        </w:tc>
        <w:tc>
          <w:tcPr>
            <w:tcW w:w="1590" w:type="dxa"/>
            <w:tcBorders>
              <w:top w:val="nil"/>
              <w:left w:val="nil"/>
              <w:bottom w:val="single" w:sz="4" w:space="0" w:color="auto"/>
              <w:right w:val="single" w:sz="4" w:space="0" w:color="auto"/>
            </w:tcBorders>
            <w:vAlign w:val="center"/>
            <w:hideMark/>
          </w:tcPr>
          <w:p w14:paraId="6A5FB9AA"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—52,70</w:t>
            </w:r>
          </w:p>
        </w:tc>
        <w:tc>
          <w:tcPr>
            <w:tcW w:w="1590" w:type="dxa"/>
            <w:tcBorders>
              <w:top w:val="nil"/>
              <w:left w:val="nil"/>
              <w:bottom w:val="single" w:sz="4" w:space="0" w:color="auto"/>
              <w:right w:val="single" w:sz="4" w:space="0" w:color="auto"/>
            </w:tcBorders>
            <w:vAlign w:val="center"/>
            <w:hideMark/>
          </w:tcPr>
          <w:p w14:paraId="7562A777"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—50,84</w:t>
            </w:r>
          </w:p>
        </w:tc>
      </w:tr>
      <w:tr w:rsidR="00F8495B" w:rsidRPr="005534D4" w14:paraId="7F5F822F" w14:textId="77777777" w:rsidTr="00390A1B">
        <w:trPr>
          <w:trHeight w:val="20"/>
          <w:jc w:val="center"/>
        </w:trPr>
        <w:tc>
          <w:tcPr>
            <w:tcW w:w="2998" w:type="dxa"/>
            <w:tcBorders>
              <w:top w:val="nil"/>
              <w:left w:val="single" w:sz="4" w:space="0" w:color="auto"/>
              <w:bottom w:val="single" w:sz="4" w:space="0" w:color="auto"/>
              <w:right w:val="single" w:sz="4" w:space="0" w:color="auto"/>
            </w:tcBorders>
            <w:vAlign w:val="center"/>
            <w:hideMark/>
          </w:tcPr>
          <w:p w14:paraId="1F842D1C" w14:textId="77777777" w:rsidR="00F8495B" w:rsidRPr="005534D4" w:rsidRDefault="00F8495B" w:rsidP="00390A1B">
            <w:pPr>
              <w:spacing w:after="0" w:line="240" w:lineRule="auto"/>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Total</w:t>
            </w:r>
          </w:p>
        </w:tc>
        <w:tc>
          <w:tcPr>
            <w:tcW w:w="971" w:type="dxa"/>
            <w:tcBorders>
              <w:top w:val="nil"/>
              <w:left w:val="nil"/>
              <w:bottom w:val="single" w:sz="4" w:space="0" w:color="auto"/>
              <w:right w:val="single" w:sz="4" w:space="0" w:color="auto"/>
            </w:tcBorders>
            <w:vAlign w:val="center"/>
            <w:hideMark/>
          </w:tcPr>
          <w:p w14:paraId="2CC341DF"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86,61</w:t>
            </w:r>
          </w:p>
        </w:tc>
        <w:tc>
          <w:tcPr>
            <w:tcW w:w="971" w:type="dxa"/>
            <w:tcBorders>
              <w:top w:val="nil"/>
              <w:left w:val="nil"/>
              <w:bottom w:val="single" w:sz="4" w:space="0" w:color="auto"/>
              <w:right w:val="single" w:sz="4" w:space="0" w:color="auto"/>
            </w:tcBorders>
            <w:vAlign w:val="center"/>
            <w:hideMark/>
          </w:tcPr>
          <w:p w14:paraId="59C2D26A"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84,52</w:t>
            </w:r>
          </w:p>
        </w:tc>
        <w:tc>
          <w:tcPr>
            <w:tcW w:w="1189" w:type="dxa"/>
            <w:tcBorders>
              <w:top w:val="nil"/>
              <w:left w:val="nil"/>
              <w:bottom w:val="single" w:sz="4" w:space="0" w:color="auto"/>
              <w:right w:val="single" w:sz="4" w:space="0" w:color="auto"/>
            </w:tcBorders>
            <w:vAlign w:val="center"/>
            <w:hideMark/>
          </w:tcPr>
          <w:p w14:paraId="220F1483"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3,35,72</w:t>
            </w:r>
          </w:p>
        </w:tc>
        <w:tc>
          <w:tcPr>
            <w:tcW w:w="1189" w:type="dxa"/>
            <w:tcBorders>
              <w:top w:val="nil"/>
              <w:left w:val="nil"/>
              <w:bottom w:val="single" w:sz="4" w:space="0" w:color="auto"/>
              <w:right w:val="single" w:sz="4" w:space="0" w:color="auto"/>
            </w:tcBorders>
            <w:vAlign w:val="center"/>
            <w:hideMark/>
          </w:tcPr>
          <w:p w14:paraId="37929D90"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3,61,19</w:t>
            </w:r>
          </w:p>
        </w:tc>
        <w:tc>
          <w:tcPr>
            <w:tcW w:w="1189" w:type="dxa"/>
            <w:tcBorders>
              <w:top w:val="nil"/>
              <w:left w:val="nil"/>
              <w:bottom w:val="single" w:sz="4" w:space="0" w:color="auto"/>
              <w:right w:val="single" w:sz="4" w:space="0" w:color="auto"/>
            </w:tcBorders>
            <w:vAlign w:val="center"/>
            <w:hideMark/>
          </w:tcPr>
          <w:p w14:paraId="0EB36B17"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3,42,89</w:t>
            </w:r>
          </w:p>
        </w:tc>
        <w:tc>
          <w:tcPr>
            <w:tcW w:w="1189" w:type="dxa"/>
            <w:tcBorders>
              <w:top w:val="nil"/>
              <w:left w:val="nil"/>
              <w:bottom w:val="single" w:sz="4" w:space="0" w:color="auto"/>
              <w:right w:val="single" w:sz="4" w:space="0" w:color="auto"/>
            </w:tcBorders>
            <w:vAlign w:val="center"/>
            <w:hideMark/>
          </w:tcPr>
          <w:p w14:paraId="142019AA"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3,71,70</w:t>
            </w:r>
          </w:p>
        </w:tc>
        <w:tc>
          <w:tcPr>
            <w:tcW w:w="1189" w:type="dxa"/>
            <w:tcBorders>
              <w:top w:val="nil"/>
              <w:left w:val="nil"/>
              <w:bottom w:val="single" w:sz="4" w:space="0" w:color="auto"/>
              <w:right w:val="single" w:sz="4" w:space="0" w:color="auto"/>
            </w:tcBorders>
            <w:vAlign w:val="center"/>
            <w:hideMark/>
          </w:tcPr>
          <w:p w14:paraId="2E854D19"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3,50,39</w:t>
            </w:r>
          </w:p>
        </w:tc>
        <w:tc>
          <w:tcPr>
            <w:tcW w:w="1189" w:type="dxa"/>
            <w:tcBorders>
              <w:top w:val="nil"/>
              <w:left w:val="nil"/>
              <w:bottom w:val="single" w:sz="4" w:space="0" w:color="auto"/>
              <w:right w:val="single" w:sz="4" w:space="0" w:color="auto"/>
            </w:tcBorders>
            <w:vAlign w:val="center"/>
            <w:hideMark/>
          </w:tcPr>
          <w:p w14:paraId="4AEB96B7"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4,10,66</w:t>
            </w:r>
          </w:p>
        </w:tc>
        <w:tc>
          <w:tcPr>
            <w:tcW w:w="1590" w:type="dxa"/>
            <w:tcBorders>
              <w:top w:val="nil"/>
              <w:left w:val="nil"/>
              <w:bottom w:val="single" w:sz="4" w:space="0" w:color="auto"/>
              <w:right w:val="single" w:sz="4" w:space="0" w:color="auto"/>
            </w:tcBorders>
            <w:vAlign w:val="center"/>
            <w:hideMark/>
          </w:tcPr>
          <w:p w14:paraId="4B01D421"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4,97,67</w:t>
            </w:r>
          </w:p>
        </w:tc>
        <w:tc>
          <w:tcPr>
            <w:tcW w:w="1590" w:type="dxa"/>
            <w:tcBorders>
              <w:top w:val="nil"/>
              <w:left w:val="nil"/>
              <w:bottom w:val="single" w:sz="4" w:space="0" w:color="auto"/>
              <w:right w:val="single" w:sz="4" w:space="0" w:color="auto"/>
            </w:tcBorders>
            <w:vAlign w:val="center"/>
            <w:hideMark/>
          </w:tcPr>
          <w:p w14:paraId="2033D42D"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4,04,98</w:t>
            </w:r>
          </w:p>
        </w:tc>
      </w:tr>
      <w:tr w:rsidR="00390A1B" w:rsidRPr="005534D4" w14:paraId="54425C97" w14:textId="77777777" w:rsidTr="00390A1B">
        <w:trPr>
          <w:trHeight w:val="20"/>
          <w:jc w:val="center"/>
        </w:trPr>
        <w:tc>
          <w:tcPr>
            <w:tcW w:w="2998" w:type="dxa"/>
            <w:tcBorders>
              <w:top w:val="nil"/>
              <w:left w:val="single" w:sz="4" w:space="0" w:color="auto"/>
              <w:bottom w:val="single" w:sz="4" w:space="0" w:color="auto"/>
              <w:right w:val="single" w:sz="4" w:space="0" w:color="auto"/>
            </w:tcBorders>
            <w:vAlign w:val="center"/>
          </w:tcPr>
          <w:p w14:paraId="76D66A48" w14:textId="77777777" w:rsidR="00390A1B" w:rsidRPr="005534D4" w:rsidRDefault="00390A1B" w:rsidP="00390A1B">
            <w:pPr>
              <w:spacing w:after="0" w:line="240" w:lineRule="auto"/>
              <w:rPr>
                <w:rFonts w:ascii="Times New Roman" w:eastAsia="Times New Roman" w:hAnsi="Times New Roman" w:cs="Times New Roman"/>
                <w:color w:val="000000"/>
                <w:kern w:val="0"/>
                <w:sz w:val="28"/>
                <w:szCs w:val="28"/>
                <w:lang w:eastAsia="en-IN"/>
                <w14:ligatures w14:val="none"/>
              </w:rPr>
            </w:pPr>
          </w:p>
        </w:tc>
        <w:tc>
          <w:tcPr>
            <w:tcW w:w="971" w:type="dxa"/>
            <w:tcBorders>
              <w:top w:val="nil"/>
              <w:left w:val="nil"/>
              <w:bottom w:val="single" w:sz="4" w:space="0" w:color="auto"/>
              <w:right w:val="single" w:sz="4" w:space="0" w:color="auto"/>
            </w:tcBorders>
            <w:vAlign w:val="center"/>
          </w:tcPr>
          <w:p w14:paraId="1AB84D2F" w14:textId="77777777" w:rsidR="00390A1B" w:rsidRPr="005534D4" w:rsidRDefault="00390A1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p>
        </w:tc>
        <w:tc>
          <w:tcPr>
            <w:tcW w:w="971" w:type="dxa"/>
            <w:tcBorders>
              <w:top w:val="nil"/>
              <w:left w:val="nil"/>
              <w:bottom w:val="single" w:sz="4" w:space="0" w:color="auto"/>
              <w:right w:val="single" w:sz="4" w:space="0" w:color="auto"/>
            </w:tcBorders>
            <w:vAlign w:val="center"/>
          </w:tcPr>
          <w:p w14:paraId="2B75D5D3" w14:textId="77777777" w:rsidR="00390A1B" w:rsidRPr="005534D4" w:rsidRDefault="00390A1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p>
        </w:tc>
        <w:tc>
          <w:tcPr>
            <w:tcW w:w="1189" w:type="dxa"/>
            <w:tcBorders>
              <w:top w:val="nil"/>
              <w:left w:val="nil"/>
              <w:bottom w:val="single" w:sz="4" w:space="0" w:color="auto"/>
              <w:right w:val="single" w:sz="4" w:space="0" w:color="auto"/>
            </w:tcBorders>
            <w:vAlign w:val="center"/>
          </w:tcPr>
          <w:p w14:paraId="6298B9A5" w14:textId="77777777" w:rsidR="00390A1B" w:rsidRPr="005534D4" w:rsidRDefault="00390A1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p>
        </w:tc>
        <w:tc>
          <w:tcPr>
            <w:tcW w:w="1189" w:type="dxa"/>
            <w:tcBorders>
              <w:top w:val="nil"/>
              <w:left w:val="nil"/>
              <w:bottom w:val="single" w:sz="4" w:space="0" w:color="auto"/>
              <w:right w:val="single" w:sz="4" w:space="0" w:color="auto"/>
            </w:tcBorders>
            <w:vAlign w:val="center"/>
          </w:tcPr>
          <w:p w14:paraId="1816DF69" w14:textId="77777777" w:rsidR="00390A1B" w:rsidRPr="005534D4" w:rsidRDefault="00390A1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p>
        </w:tc>
        <w:tc>
          <w:tcPr>
            <w:tcW w:w="1189" w:type="dxa"/>
            <w:tcBorders>
              <w:top w:val="nil"/>
              <w:left w:val="nil"/>
              <w:bottom w:val="single" w:sz="4" w:space="0" w:color="auto"/>
              <w:right w:val="single" w:sz="4" w:space="0" w:color="auto"/>
            </w:tcBorders>
            <w:vAlign w:val="center"/>
          </w:tcPr>
          <w:p w14:paraId="40858B46" w14:textId="77777777" w:rsidR="00390A1B" w:rsidRPr="005534D4" w:rsidRDefault="00390A1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p>
        </w:tc>
        <w:tc>
          <w:tcPr>
            <w:tcW w:w="1189" w:type="dxa"/>
            <w:tcBorders>
              <w:top w:val="nil"/>
              <w:left w:val="nil"/>
              <w:bottom w:val="single" w:sz="4" w:space="0" w:color="auto"/>
              <w:right w:val="single" w:sz="4" w:space="0" w:color="auto"/>
            </w:tcBorders>
            <w:vAlign w:val="center"/>
          </w:tcPr>
          <w:p w14:paraId="5E3CC4E2" w14:textId="77777777" w:rsidR="00390A1B" w:rsidRPr="005534D4" w:rsidRDefault="00390A1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p>
        </w:tc>
        <w:tc>
          <w:tcPr>
            <w:tcW w:w="1189" w:type="dxa"/>
            <w:tcBorders>
              <w:top w:val="nil"/>
              <w:left w:val="nil"/>
              <w:bottom w:val="single" w:sz="4" w:space="0" w:color="auto"/>
              <w:right w:val="single" w:sz="4" w:space="0" w:color="auto"/>
            </w:tcBorders>
            <w:vAlign w:val="center"/>
          </w:tcPr>
          <w:p w14:paraId="5C5A04BE" w14:textId="77777777" w:rsidR="00390A1B" w:rsidRPr="005534D4" w:rsidRDefault="00390A1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p>
        </w:tc>
        <w:tc>
          <w:tcPr>
            <w:tcW w:w="1189" w:type="dxa"/>
            <w:tcBorders>
              <w:top w:val="nil"/>
              <w:left w:val="nil"/>
              <w:bottom w:val="single" w:sz="4" w:space="0" w:color="auto"/>
              <w:right w:val="single" w:sz="4" w:space="0" w:color="auto"/>
            </w:tcBorders>
            <w:vAlign w:val="center"/>
          </w:tcPr>
          <w:p w14:paraId="0474C36B" w14:textId="77777777" w:rsidR="00390A1B" w:rsidRPr="005534D4" w:rsidRDefault="00390A1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p>
        </w:tc>
        <w:tc>
          <w:tcPr>
            <w:tcW w:w="1590" w:type="dxa"/>
            <w:tcBorders>
              <w:top w:val="nil"/>
              <w:left w:val="nil"/>
              <w:bottom w:val="single" w:sz="4" w:space="0" w:color="auto"/>
              <w:right w:val="single" w:sz="4" w:space="0" w:color="auto"/>
            </w:tcBorders>
            <w:vAlign w:val="center"/>
          </w:tcPr>
          <w:p w14:paraId="0E79A3E9" w14:textId="77777777" w:rsidR="00390A1B" w:rsidRPr="005534D4" w:rsidRDefault="00390A1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p>
        </w:tc>
        <w:tc>
          <w:tcPr>
            <w:tcW w:w="1590" w:type="dxa"/>
            <w:tcBorders>
              <w:top w:val="nil"/>
              <w:left w:val="nil"/>
              <w:bottom w:val="single" w:sz="4" w:space="0" w:color="auto"/>
              <w:right w:val="single" w:sz="4" w:space="0" w:color="auto"/>
            </w:tcBorders>
            <w:vAlign w:val="center"/>
          </w:tcPr>
          <w:p w14:paraId="6B91D26C" w14:textId="77777777" w:rsidR="00390A1B" w:rsidRPr="005534D4" w:rsidRDefault="00390A1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p>
        </w:tc>
      </w:tr>
      <w:tr w:rsidR="00F8495B" w:rsidRPr="005534D4" w14:paraId="10EA4CBF" w14:textId="77777777" w:rsidTr="00390A1B">
        <w:trPr>
          <w:trHeight w:val="20"/>
          <w:jc w:val="center"/>
        </w:trPr>
        <w:tc>
          <w:tcPr>
            <w:tcW w:w="2998" w:type="dxa"/>
            <w:tcBorders>
              <w:top w:val="nil"/>
              <w:left w:val="single" w:sz="4" w:space="0" w:color="auto"/>
              <w:bottom w:val="single" w:sz="4" w:space="0" w:color="auto"/>
              <w:right w:val="single" w:sz="4" w:space="0" w:color="auto"/>
            </w:tcBorders>
            <w:vAlign w:val="center"/>
            <w:hideMark/>
          </w:tcPr>
          <w:p w14:paraId="0E123BFD" w14:textId="77777777" w:rsidR="00F8495B" w:rsidRPr="005534D4" w:rsidRDefault="00F8495B" w:rsidP="00390A1B">
            <w:pPr>
              <w:spacing w:after="0" w:line="240" w:lineRule="auto"/>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EXPENDITURE—</w:t>
            </w:r>
          </w:p>
        </w:tc>
        <w:tc>
          <w:tcPr>
            <w:tcW w:w="971" w:type="dxa"/>
            <w:tcBorders>
              <w:top w:val="nil"/>
              <w:left w:val="nil"/>
              <w:bottom w:val="single" w:sz="4" w:space="0" w:color="auto"/>
              <w:right w:val="single" w:sz="4" w:space="0" w:color="auto"/>
            </w:tcBorders>
            <w:vAlign w:val="center"/>
            <w:hideMark/>
          </w:tcPr>
          <w:p w14:paraId="6C941693" w14:textId="3766BFD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p>
        </w:tc>
        <w:tc>
          <w:tcPr>
            <w:tcW w:w="971" w:type="dxa"/>
            <w:tcBorders>
              <w:top w:val="nil"/>
              <w:left w:val="nil"/>
              <w:bottom w:val="single" w:sz="4" w:space="0" w:color="auto"/>
              <w:right w:val="single" w:sz="4" w:space="0" w:color="auto"/>
            </w:tcBorders>
            <w:vAlign w:val="center"/>
            <w:hideMark/>
          </w:tcPr>
          <w:p w14:paraId="0832F20D" w14:textId="7BDA69B4"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p>
        </w:tc>
        <w:tc>
          <w:tcPr>
            <w:tcW w:w="1189" w:type="dxa"/>
            <w:tcBorders>
              <w:top w:val="nil"/>
              <w:left w:val="nil"/>
              <w:bottom w:val="single" w:sz="4" w:space="0" w:color="auto"/>
              <w:right w:val="single" w:sz="4" w:space="0" w:color="auto"/>
            </w:tcBorders>
            <w:vAlign w:val="center"/>
            <w:hideMark/>
          </w:tcPr>
          <w:p w14:paraId="257C9EE3" w14:textId="05160CFD"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p>
        </w:tc>
        <w:tc>
          <w:tcPr>
            <w:tcW w:w="1189" w:type="dxa"/>
            <w:tcBorders>
              <w:top w:val="nil"/>
              <w:left w:val="nil"/>
              <w:bottom w:val="single" w:sz="4" w:space="0" w:color="auto"/>
              <w:right w:val="single" w:sz="4" w:space="0" w:color="auto"/>
            </w:tcBorders>
            <w:vAlign w:val="center"/>
            <w:hideMark/>
          </w:tcPr>
          <w:p w14:paraId="38E82CDA" w14:textId="39FCFD48"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p>
        </w:tc>
        <w:tc>
          <w:tcPr>
            <w:tcW w:w="1189" w:type="dxa"/>
            <w:tcBorders>
              <w:top w:val="nil"/>
              <w:left w:val="nil"/>
              <w:bottom w:val="single" w:sz="4" w:space="0" w:color="auto"/>
              <w:right w:val="single" w:sz="4" w:space="0" w:color="auto"/>
            </w:tcBorders>
            <w:vAlign w:val="center"/>
            <w:hideMark/>
          </w:tcPr>
          <w:p w14:paraId="3E0D7E7D" w14:textId="398D95EA"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p>
        </w:tc>
        <w:tc>
          <w:tcPr>
            <w:tcW w:w="1189" w:type="dxa"/>
            <w:tcBorders>
              <w:top w:val="nil"/>
              <w:left w:val="nil"/>
              <w:bottom w:val="single" w:sz="4" w:space="0" w:color="auto"/>
              <w:right w:val="single" w:sz="4" w:space="0" w:color="auto"/>
            </w:tcBorders>
            <w:vAlign w:val="center"/>
            <w:hideMark/>
          </w:tcPr>
          <w:p w14:paraId="26BA4C57" w14:textId="07BCF4EC"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p>
        </w:tc>
        <w:tc>
          <w:tcPr>
            <w:tcW w:w="1189" w:type="dxa"/>
            <w:tcBorders>
              <w:top w:val="nil"/>
              <w:left w:val="nil"/>
              <w:bottom w:val="single" w:sz="4" w:space="0" w:color="auto"/>
              <w:right w:val="single" w:sz="4" w:space="0" w:color="auto"/>
            </w:tcBorders>
            <w:vAlign w:val="center"/>
            <w:hideMark/>
          </w:tcPr>
          <w:p w14:paraId="540F71A8" w14:textId="770CBD13"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p>
        </w:tc>
        <w:tc>
          <w:tcPr>
            <w:tcW w:w="1189" w:type="dxa"/>
            <w:tcBorders>
              <w:top w:val="nil"/>
              <w:left w:val="nil"/>
              <w:bottom w:val="single" w:sz="4" w:space="0" w:color="auto"/>
              <w:right w:val="single" w:sz="4" w:space="0" w:color="auto"/>
            </w:tcBorders>
            <w:vAlign w:val="center"/>
            <w:hideMark/>
          </w:tcPr>
          <w:p w14:paraId="6F8821E1" w14:textId="3EBE7CB6"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p>
        </w:tc>
        <w:tc>
          <w:tcPr>
            <w:tcW w:w="1590" w:type="dxa"/>
            <w:tcBorders>
              <w:top w:val="nil"/>
              <w:left w:val="nil"/>
              <w:bottom w:val="single" w:sz="4" w:space="0" w:color="auto"/>
              <w:right w:val="single" w:sz="4" w:space="0" w:color="auto"/>
            </w:tcBorders>
            <w:vAlign w:val="center"/>
            <w:hideMark/>
          </w:tcPr>
          <w:p w14:paraId="5488AB80" w14:textId="2CC320DE"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p>
        </w:tc>
        <w:tc>
          <w:tcPr>
            <w:tcW w:w="1590" w:type="dxa"/>
            <w:tcBorders>
              <w:top w:val="nil"/>
              <w:left w:val="nil"/>
              <w:bottom w:val="single" w:sz="4" w:space="0" w:color="auto"/>
              <w:right w:val="single" w:sz="4" w:space="0" w:color="auto"/>
            </w:tcBorders>
            <w:vAlign w:val="center"/>
            <w:hideMark/>
          </w:tcPr>
          <w:p w14:paraId="1A282398" w14:textId="54D0BAD1"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p>
        </w:tc>
      </w:tr>
      <w:tr w:rsidR="00F8495B" w:rsidRPr="005534D4" w14:paraId="26DA62AC" w14:textId="77777777" w:rsidTr="00390A1B">
        <w:trPr>
          <w:trHeight w:val="20"/>
          <w:jc w:val="center"/>
        </w:trPr>
        <w:tc>
          <w:tcPr>
            <w:tcW w:w="2998" w:type="dxa"/>
            <w:tcBorders>
              <w:top w:val="nil"/>
              <w:left w:val="single" w:sz="4" w:space="0" w:color="auto"/>
              <w:bottom w:val="single" w:sz="4" w:space="0" w:color="auto"/>
              <w:right w:val="single" w:sz="4" w:space="0" w:color="auto"/>
            </w:tcBorders>
            <w:vAlign w:val="center"/>
            <w:hideMark/>
          </w:tcPr>
          <w:p w14:paraId="078EFCA7" w14:textId="77777777" w:rsidR="00F8495B" w:rsidRPr="005534D4" w:rsidRDefault="00F8495B" w:rsidP="00390A1B">
            <w:pPr>
              <w:spacing w:after="0" w:line="240" w:lineRule="auto"/>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Defence Services (Net)</w:t>
            </w:r>
          </w:p>
        </w:tc>
        <w:tc>
          <w:tcPr>
            <w:tcW w:w="971" w:type="dxa"/>
            <w:tcBorders>
              <w:top w:val="nil"/>
              <w:left w:val="nil"/>
              <w:bottom w:val="single" w:sz="4" w:space="0" w:color="auto"/>
              <w:right w:val="single" w:sz="4" w:space="0" w:color="auto"/>
            </w:tcBorders>
            <w:vAlign w:val="center"/>
            <w:hideMark/>
          </w:tcPr>
          <w:p w14:paraId="137F4E2A"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47,35</w:t>
            </w:r>
          </w:p>
        </w:tc>
        <w:tc>
          <w:tcPr>
            <w:tcW w:w="971" w:type="dxa"/>
            <w:tcBorders>
              <w:top w:val="nil"/>
              <w:left w:val="nil"/>
              <w:bottom w:val="single" w:sz="4" w:space="0" w:color="auto"/>
              <w:right w:val="single" w:sz="4" w:space="0" w:color="auto"/>
            </w:tcBorders>
            <w:vAlign w:val="center"/>
            <w:hideMark/>
          </w:tcPr>
          <w:p w14:paraId="15E65D47"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46,18</w:t>
            </w:r>
          </w:p>
        </w:tc>
        <w:tc>
          <w:tcPr>
            <w:tcW w:w="1189" w:type="dxa"/>
            <w:tcBorders>
              <w:top w:val="nil"/>
              <w:left w:val="nil"/>
              <w:bottom w:val="single" w:sz="4" w:space="0" w:color="auto"/>
              <w:right w:val="single" w:sz="4" w:space="0" w:color="auto"/>
            </w:tcBorders>
            <w:vAlign w:val="center"/>
            <w:hideMark/>
          </w:tcPr>
          <w:p w14:paraId="4195333A"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3,95,49</w:t>
            </w:r>
          </w:p>
        </w:tc>
        <w:tc>
          <w:tcPr>
            <w:tcW w:w="1189" w:type="dxa"/>
            <w:tcBorders>
              <w:top w:val="nil"/>
              <w:left w:val="nil"/>
              <w:bottom w:val="single" w:sz="4" w:space="0" w:color="auto"/>
              <w:right w:val="single" w:sz="4" w:space="0" w:color="auto"/>
            </w:tcBorders>
            <w:vAlign w:val="center"/>
            <w:hideMark/>
          </w:tcPr>
          <w:p w14:paraId="13DB0806"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3,60,23</w:t>
            </w:r>
          </w:p>
        </w:tc>
        <w:tc>
          <w:tcPr>
            <w:tcW w:w="1189" w:type="dxa"/>
            <w:tcBorders>
              <w:top w:val="nil"/>
              <w:left w:val="nil"/>
              <w:bottom w:val="single" w:sz="4" w:space="0" w:color="auto"/>
              <w:right w:val="single" w:sz="4" w:space="0" w:color="auto"/>
            </w:tcBorders>
            <w:vAlign w:val="center"/>
            <w:hideMark/>
          </w:tcPr>
          <w:p w14:paraId="54CF7A63"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2,07,37</w:t>
            </w:r>
          </w:p>
        </w:tc>
        <w:tc>
          <w:tcPr>
            <w:tcW w:w="1189" w:type="dxa"/>
            <w:tcBorders>
              <w:top w:val="nil"/>
              <w:left w:val="nil"/>
              <w:bottom w:val="single" w:sz="4" w:space="0" w:color="auto"/>
              <w:right w:val="single" w:sz="4" w:space="0" w:color="auto"/>
            </w:tcBorders>
            <w:vAlign w:val="center"/>
            <w:hideMark/>
          </w:tcPr>
          <w:p w14:paraId="36970840"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1,46,05</w:t>
            </w:r>
          </w:p>
        </w:tc>
        <w:tc>
          <w:tcPr>
            <w:tcW w:w="1189" w:type="dxa"/>
            <w:tcBorders>
              <w:top w:val="nil"/>
              <w:left w:val="nil"/>
              <w:bottom w:val="single" w:sz="4" w:space="0" w:color="auto"/>
              <w:right w:val="single" w:sz="4" w:space="0" w:color="auto"/>
            </w:tcBorders>
            <w:vAlign w:val="center"/>
            <w:hideMark/>
          </w:tcPr>
          <w:p w14:paraId="5B244262"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1,48,86</w:t>
            </w:r>
          </w:p>
        </w:tc>
        <w:tc>
          <w:tcPr>
            <w:tcW w:w="1189" w:type="dxa"/>
            <w:tcBorders>
              <w:top w:val="nil"/>
              <w:left w:val="nil"/>
              <w:bottom w:val="single" w:sz="4" w:space="0" w:color="auto"/>
              <w:right w:val="single" w:sz="4" w:space="0" w:color="auto"/>
            </w:tcBorders>
            <w:vAlign w:val="center"/>
            <w:hideMark/>
          </w:tcPr>
          <w:p w14:paraId="1913A037"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1,64,13</w:t>
            </w:r>
          </w:p>
        </w:tc>
        <w:tc>
          <w:tcPr>
            <w:tcW w:w="1590" w:type="dxa"/>
            <w:tcBorders>
              <w:top w:val="nil"/>
              <w:left w:val="nil"/>
              <w:bottom w:val="single" w:sz="4" w:space="0" w:color="auto"/>
              <w:right w:val="single" w:sz="4" w:space="0" w:color="auto"/>
            </w:tcBorders>
            <w:vAlign w:val="center"/>
            <w:hideMark/>
          </w:tcPr>
          <w:p w14:paraId="20F62610"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1,81,24</w:t>
            </w:r>
          </w:p>
        </w:tc>
        <w:tc>
          <w:tcPr>
            <w:tcW w:w="1590" w:type="dxa"/>
            <w:tcBorders>
              <w:top w:val="nil"/>
              <w:left w:val="nil"/>
              <w:bottom w:val="single" w:sz="4" w:space="0" w:color="auto"/>
              <w:right w:val="single" w:sz="4" w:space="0" w:color="auto"/>
            </w:tcBorders>
            <w:vAlign w:val="center"/>
            <w:hideMark/>
          </w:tcPr>
          <w:p w14:paraId="1E1F039D"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1,97,95</w:t>
            </w:r>
          </w:p>
        </w:tc>
      </w:tr>
      <w:tr w:rsidR="00F8495B" w:rsidRPr="005534D4" w14:paraId="2690DA18" w14:textId="77777777" w:rsidTr="00390A1B">
        <w:trPr>
          <w:trHeight w:val="20"/>
          <w:jc w:val="center"/>
        </w:trPr>
        <w:tc>
          <w:tcPr>
            <w:tcW w:w="2998" w:type="dxa"/>
            <w:tcBorders>
              <w:top w:val="single" w:sz="4" w:space="0" w:color="auto"/>
              <w:left w:val="single" w:sz="4" w:space="0" w:color="auto"/>
              <w:bottom w:val="single" w:sz="4" w:space="0" w:color="auto"/>
              <w:right w:val="single" w:sz="4" w:space="0" w:color="auto"/>
            </w:tcBorders>
            <w:vAlign w:val="center"/>
            <w:hideMark/>
          </w:tcPr>
          <w:p w14:paraId="230822A6" w14:textId="77777777" w:rsidR="00F8495B" w:rsidRPr="005534D4" w:rsidRDefault="00F8495B" w:rsidP="00390A1B">
            <w:pPr>
              <w:spacing w:after="0" w:line="240" w:lineRule="auto"/>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lastRenderedPageBreak/>
              <w:t>Direct Demands on Revenue</w:t>
            </w:r>
          </w:p>
        </w:tc>
        <w:tc>
          <w:tcPr>
            <w:tcW w:w="971" w:type="dxa"/>
            <w:tcBorders>
              <w:top w:val="single" w:sz="4" w:space="0" w:color="auto"/>
              <w:left w:val="single" w:sz="4" w:space="0" w:color="auto"/>
              <w:bottom w:val="single" w:sz="4" w:space="0" w:color="auto"/>
              <w:right w:val="single" w:sz="4" w:space="0" w:color="auto"/>
            </w:tcBorders>
            <w:vAlign w:val="center"/>
            <w:hideMark/>
          </w:tcPr>
          <w:p w14:paraId="0A25FCB2"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3,73</w:t>
            </w:r>
          </w:p>
        </w:tc>
        <w:tc>
          <w:tcPr>
            <w:tcW w:w="971" w:type="dxa"/>
            <w:tcBorders>
              <w:top w:val="single" w:sz="4" w:space="0" w:color="auto"/>
              <w:left w:val="single" w:sz="4" w:space="0" w:color="auto"/>
              <w:bottom w:val="single" w:sz="4" w:space="0" w:color="auto"/>
              <w:right w:val="single" w:sz="4" w:space="0" w:color="auto"/>
            </w:tcBorders>
            <w:vAlign w:val="center"/>
            <w:hideMark/>
          </w:tcPr>
          <w:p w14:paraId="6E5BE997"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4,24</w:t>
            </w:r>
          </w:p>
        </w:tc>
        <w:tc>
          <w:tcPr>
            <w:tcW w:w="1189" w:type="dxa"/>
            <w:tcBorders>
              <w:top w:val="single" w:sz="4" w:space="0" w:color="auto"/>
              <w:left w:val="single" w:sz="4" w:space="0" w:color="auto"/>
              <w:bottom w:val="single" w:sz="4" w:space="0" w:color="auto"/>
              <w:right w:val="single" w:sz="4" w:space="0" w:color="auto"/>
            </w:tcBorders>
            <w:vAlign w:val="center"/>
            <w:hideMark/>
          </w:tcPr>
          <w:p w14:paraId="571D3725"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8,31</w:t>
            </w:r>
          </w:p>
        </w:tc>
        <w:tc>
          <w:tcPr>
            <w:tcW w:w="1189" w:type="dxa"/>
            <w:tcBorders>
              <w:top w:val="single" w:sz="4" w:space="0" w:color="auto"/>
              <w:left w:val="single" w:sz="4" w:space="0" w:color="auto"/>
              <w:bottom w:val="single" w:sz="4" w:space="0" w:color="auto"/>
              <w:right w:val="single" w:sz="4" w:space="0" w:color="auto"/>
            </w:tcBorders>
            <w:vAlign w:val="center"/>
            <w:hideMark/>
          </w:tcPr>
          <w:p w14:paraId="16D978DC"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9,67</w:t>
            </w:r>
          </w:p>
        </w:tc>
        <w:tc>
          <w:tcPr>
            <w:tcW w:w="1189" w:type="dxa"/>
            <w:tcBorders>
              <w:top w:val="single" w:sz="4" w:space="0" w:color="auto"/>
              <w:left w:val="single" w:sz="4" w:space="0" w:color="auto"/>
              <w:bottom w:val="single" w:sz="4" w:space="0" w:color="auto"/>
              <w:right w:val="single" w:sz="4" w:space="0" w:color="auto"/>
            </w:tcBorders>
            <w:vAlign w:val="center"/>
            <w:hideMark/>
          </w:tcPr>
          <w:p w14:paraId="2FFE5169"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10,37</w:t>
            </w:r>
          </w:p>
        </w:tc>
        <w:tc>
          <w:tcPr>
            <w:tcW w:w="1189" w:type="dxa"/>
            <w:tcBorders>
              <w:top w:val="single" w:sz="4" w:space="0" w:color="auto"/>
              <w:left w:val="single" w:sz="4" w:space="0" w:color="auto"/>
              <w:bottom w:val="single" w:sz="4" w:space="0" w:color="auto"/>
              <w:right w:val="single" w:sz="4" w:space="0" w:color="auto"/>
            </w:tcBorders>
            <w:vAlign w:val="center"/>
            <w:hideMark/>
          </w:tcPr>
          <w:p w14:paraId="4A85F98B"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8,62</w:t>
            </w:r>
          </w:p>
        </w:tc>
        <w:tc>
          <w:tcPr>
            <w:tcW w:w="1189" w:type="dxa"/>
            <w:tcBorders>
              <w:top w:val="single" w:sz="4" w:space="0" w:color="auto"/>
              <w:left w:val="single" w:sz="4" w:space="0" w:color="auto"/>
              <w:bottom w:val="single" w:sz="4" w:space="0" w:color="auto"/>
              <w:right w:val="single" w:sz="4" w:space="0" w:color="auto"/>
            </w:tcBorders>
            <w:vAlign w:val="center"/>
            <w:hideMark/>
          </w:tcPr>
          <w:p w14:paraId="10C31F84"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13,90</w:t>
            </w:r>
          </w:p>
        </w:tc>
        <w:tc>
          <w:tcPr>
            <w:tcW w:w="1189" w:type="dxa"/>
            <w:tcBorders>
              <w:top w:val="single" w:sz="4" w:space="0" w:color="auto"/>
              <w:left w:val="single" w:sz="4" w:space="0" w:color="auto"/>
              <w:bottom w:val="single" w:sz="4" w:space="0" w:color="auto"/>
              <w:right w:val="single" w:sz="4" w:space="0" w:color="auto"/>
            </w:tcBorders>
            <w:vAlign w:val="center"/>
            <w:hideMark/>
          </w:tcPr>
          <w:p w14:paraId="289CD283"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12,50</w:t>
            </w:r>
          </w:p>
        </w:tc>
        <w:tc>
          <w:tcPr>
            <w:tcW w:w="1590" w:type="dxa"/>
            <w:tcBorders>
              <w:top w:val="single" w:sz="4" w:space="0" w:color="auto"/>
              <w:left w:val="single" w:sz="4" w:space="0" w:color="auto"/>
              <w:bottom w:val="single" w:sz="4" w:space="0" w:color="auto"/>
              <w:right w:val="single" w:sz="4" w:space="0" w:color="auto"/>
            </w:tcBorders>
            <w:vAlign w:val="center"/>
            <w:hideMark/>
          </w:tcPr>
          <w:p w14:paraId="2344B0FA"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16,95</w:t>
            </w:r>
          </w:p>
        </w:tc>
        <w:tc>
          <w:tcPr>
            <w:tcW w:w="1590" w:type="dxa"/>
            <w:tcBorders>
              <w:top w:val="single" w:sz="4" w:space="0" w:color="auto"/>
              <w:left w:val="single" w:sz="4" w:space="0" w:color="auto"/>
              <w:bottom w:val="single" w:sz="4" w:space="0" w:color="auto"/>
              <w:right w:val="single" w:sz="4" w:space="0" w:color="auto"/>
            </w:tcBorders>
            <w:vAlign w:val="center"/>
            <w:hideMark/>
          </w:tcPr>
          <w:p w14:paraId="1D4621F1"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15,76</w:t>
            </w:r>
          </w:p>
        </w:tc>
      </w:tr>
      <w:tr w:rsidR="00F8495B" w:rsidRPr="005534D4" w14:paraId="6D535BAD" w14:textId="77777777" w:rsidTr="00390A1B">
        <w:trPr>
          <w:trHeight w:val="20"/>
          <w:jc w:val="center"/>
        </w:trPr>
        <w:tc>
          <w:tcPr>
            <w:tcW w:w="2998" w:type="dxa"/>
            <w:tcBorders>
              <w:top w:val="single" w:sz="4" w:space="0" w:color="auto"/>
              <w:left w:val="single" w:sz="4" w:space="0" w:color="auto"/>
              <w:bottom w:val="single" w:sz="4" w:space="0" w:color="auto"/>
              <w:right w:val="single" w:sz="4" w:space="0" w:color="auto"/>
            </w:tcBorders>
            <w:vAlign w:val="center"/>
            <w:hideMark/>
          </w:tcPr>
          <w:p w14:paraId="1E0B7F65" w14:textId="77777777" w:rsidR="00F8495B" w:rsidRPr="005534D4" w:rsidRDefault="00F8495B" w:rsidP="00390A1B">
            <w:pPr>
              <w:spacing w:after="0" w:line="240" w:lineRule="auto"/>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Debt Services (Net) (b)</w:t>
            </w:r>
          </w:p>
        </w:tc>
        <w:tc>
          <w:tcPr>
            <w:tcW w:w="971" w:type="dxa"/>
            <w:tcBorders>
              <w:top w:val="single" w:sz="4" w:space="0" w:color="auto"/>
              <w:left w:val="nil"/>
              <w:bottom w:val="single" w:sz="4" w:space="0" w:color="auto"/>
              <w:right w:val="single" w:sz="4" w:space="0" w:color="auto"/>
            </w:tcBorders>
            <w:vAlign w:val="center"/>
            <w:hideMark/>
          </w:tcPr>
          <w:p w14:paraId="3A2313C4"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15,00</w:t>
            </w:r>
          </w:p>
        </w:tc>
        <w:tc>
          <w:tcPr>
            <w:tcW w:w="971" w:type="dxa"/>
            <w:tcBorders>
              <w:top w:val="single" w:sz="4" w:space="0" w:color="auto"/>
              <w:left w:val="nil"/>
              <w:bottom w:val="single" w:sz="4" w:space="0" w:color="auto"/>
              <w:right w:val="single" w:sz="4" w:space="0" w:color="auto"/>
            </w:tcBorders>
            <w:vAlign w:val="center"/>
            <w:hideMark/>
          </w:tcPr>
          <w:p w14:paraId="6EBA2A61"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14,12</w:t>
            </w:r>
          </w:p>
        </w:tc>
        <w:tc>
          <w:tcPr>
            <w:tcW w:w="1189" w:type="dxa"/>
            <w:tcBorders>
              <w:top w:val="single" w:sz="4" w:space="0" w:color="auto"/>
              <w:left w:val="nil"/>
              <w:bottom w:val="single" w:sz="4" w:space="0" w:color="auto"/>
              <w:right w:val="single" w:sz="4" w:space="0" w:color="auto"/>
            </w:tcBorders>
            <w:vAlign w:val="center"/>
            <w:hideMark/>
          </w:tcPr>
          <w:p w14:paraId="76F8C5D1"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21,70</w:t>
            </w:r>
          </w:p>
        </w:tc>
        <w:tc>
          <w:tcPr>
            <w:tcW w:w="1189" w:type="dxa"/>
            <w:tcBorders>
              <w:top w:val="single" w:sz="4" w:space="0" w:color="auto"/>
              <w:left w:val="nil"/>
              <w:bottom w:val="single" w:sz="4" w:space="0" w:color="auto"/>
              <w:right w:val="single" w:sz="4" w:space="0" w:color="auto"/>
            </w:tcBorders>
            <w:vAlign w:val="center"/>
            <w:hideMark/>
          </w:tcPr>
          <w:p w14:paraId="40C9E96C"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33,62</w:t>
            </w:r>
          </w:p>
        </w:tc>
        <w:tc>
          <w:tcPr>
            <w:tcW w:w="1189" w:type="dxa"/>
            <w:tcBorders>
              <w:top w:val="single" w:sz="4" w:space="0" w:color="auto"/>
              <w:left w:val="nil"/>
              <w:bottom w:val="single" w:sz="4" w:space="0" w:color="auto"/>
              <w:right w:val="single" w:sz="4" w:space="0" w:color="auto"/>
            </w:tcBorders>
            <w:vAlign w:val="center"/>
            <w:hideMark/>
          </w:tcPr>
          <w:p w14:paraId="1D0CAFE0"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41,66</w:t>
            </w:r>
          </w:p>
        </w:tc>
        <w:tc>
          <w:tcPr>
            <w:tcW w:w="1189" w:type="dxa"/>
            <w:tcBorders>
              <w:top w:val="single" w:sz="4" w:space="0" w:color="auto"/>
              <w:left w:val="nil"/>
              <w:bottom w:val="single" w:sz="4" w:space="0" w:color="auto"/>
              <w:right w:val="single" w:sz="4" w:space="0" w:color="auto"/>
            </w:tcBorders>
            <w:vAlign w:val="center"/>
            <w:hideMark/>
          </w:tcPr>
          <w:p w14:paraId="0AC3DD79"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42,53</w:t>
            </w:r>
          </w:p>
        </w:tc>
        <w:tc>
          <w:tcPr>
            <w:tcW w:w="1189" w:type="dxa"/>
            <w:tcBorders>
              <w:top w:val="single" w:sz="4" w:space="0" w:color="auto"/>
              <w:left w:val="nil"/>
              <w:bottom w:val="single" w:sz="4" w:space="0" w:color="auto"/>
              <w:right w:val="single" w:sz="4" w:space="0" w:color="auto"/>
            </w:tcBorders>
            <w:vAlign w:val="center"/>
            <w:hideMark/>
          </w:tcPr>
          <w:p w14:paraId="17142E2C"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39,43</w:t>
            </w:r>
          </w:p>
        </w:tc>
        <w:tc>
          <w:tcPr>
            <w:tcW w:w="1189" w:type="dxa"/>
            <w:tcBorders>
              <w:top w:val="single" w:sz="4" w:space="0" w:color="auto"/>
              <w:left w:val="nil"/>
              <w:bottom w:val="single" w:sz="4" w:space="0" w:color="auto"/>
              <w:right w:val="single" w:sz="4" w:space="0" w:color="auto"/>
            </w:tcBorders>
            <w:vAlign w:val="center"/>
            <w:hideMark/>
          </w:tcPr>
          <w:p w14:paraId="7C3BFED6"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37,36</w:t>
            </w:r>
          </w:p>
        </w:tc>
        <w:tc>
          <w:tcPr>
            <w:tcW w:w="1590" w:type="dxa"/>
            <w:tcBorders>
              <w:top w:val="single" w:sz="4" w:space="0" w:color="auto"/>
              <w:left w:val="nil"/>
              <w:bottom w:val="single" w:sz="4" w:space="0" w:color="auto"/>
              <w:right w:val="single" w:sz="4" w:space="0" w:color="auto"/>
            </w:tcBorders>
            <w:vAlign w:val="center"/>
            <w:hideMark/>
          </w:tcPr>
          <w:p w14:paraId="24AC4211"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37,30</w:t>
            </w:r>
          </w:p>
        </w:tc>
        <w:tc>
          <w:tcPr>
            <w:tcW w:w="1590" w:type="dxa"/>
            <w:tcBorders>
              <w:top w:val="single" w:sz="4" w:space="0" w:color="auto"/>
              <w:left w:val="nil"/>
              <w:bottom w:val="single" w:sz="4" w:space="0" w:color="auto"/>
              <w:right w:val="single" w:sz="4" w:space="0" w:color="auto"/>
            </w:tcBorders>
            <w:vAlign w:val="center"/>
            <w:hideMark/>
          </w:tcPr>
          <w:p w14:paraId="7F6F566C"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36,16</w:t>
            </w:r>
          </w:p>
        </w:tc>
      </w:tr>
      <w:tr w:rsidR="00F8495B" w:rsidRPr="005534D4" w14:paraId="418E238F" w14:textId="77777777" w:rsidTr="00390A1B">
        <w:trPr>
          <w:trHeight w:val="20"/>
          <w:jc w:val="center"/>
        </w:trPr>
        <w:tc>
          <w:tcPr>
            <w:tcW w:w="2998" w:type="dxa"/>
            <w:tcBorders>
              <w:top w:val="nil"/>
              <w:left w:val="single" w:sz="4" w:space="0" w:color="auto"/>
              <w:bottom w:val="single" w:sz="4" w:space="0" w:color="auto"/>
              <w:right w:val="single" w:sz="4" w:space="0" w:color="auto"/>
            </w:tcBorders>
            <w:vAlign w:val="center"/>
            <w:hideMark/>
          </w:tcPr>
          <w:p w14:paraId="31F0F229" w14:textId="77777777" w:rsidR="00F8495B" w:rsidRPr="005534D4" w:rsidRDefault="00F8495B" w:rsidP="00390A1B">
            <w:pPr>
              <w:spacing w:after="0" w:line="240" w:lineRule="auto"/>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Civil Administration</w:t>
            </w:r>
          </w:p>
        </w:tc>
        <w:tc>
          <w:tcPr>
            <w:tcW w:w="971" w:type="dxa"/>
            <w:tcBorders>
              <w:top w:val="nil"/>
              <w:left w:val="nil"/>
              <w:bottom w:val="single" w:sz="4" w:space="0" w:color="auto"/>
              <w:right w:val="single" w:sz="4" w:space="0" w:color="auto"/>
            </w:tcBorders>
            <w:vAlign w:val="center"/>
            <w:hideMark/>
          </w:tcPr>
          <w:p w14:paraId="0386E18B"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10,44</w:t>
            </w:r>
          </w:p>
        </w:tc>
        <w:tc>
          <w:tcPr>
            <w:tcW w:w="971" w:type="dxa"/>
            <w:tcBorders>
              <w:top w:val="nil"/>
              <w:left w:val="nil"/>
              <w:bottom w:val="single" w:sz="4" w:space="0" w:color="auto"/>
              <w:right w:val="single" w:sz="4" w:space="0" w:color="auto"/>
            </w:tcBorders>
            <w:vAlign w:val="center"/>
            <w:hideMark/>
          </w:tcPr>
          <w:p w14:paraId="68875262"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10,90</w:t>
            </w:r>
          </w:p>
        </w:tc>
        <w:tc>
          <w:tcPr>
            <w:tcW w:w="1189" w:type="dxa"/>
            <w:tcBorders>
              <w:top w:val="nil"/>
              <w:left w:val="nil"/>
              <w:bottom w:val="single" w:sz="4" w:space="0" w:color="auto"/>
              <w:right w:val="single" w:sz="4" w:space="0" w:color="auto"/>
            </w:tcBorders>
            <w:vAlign w:val="center"/>
            <w:hideMark/>
          </w:tcPr>
          <w:p w14:paraId="2A705EFB"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24,02</w:t>
            </w:r>
          </w:p>
        </w:tc>
        <w:tc>
          <w:tcPr>
            <w:tcW w:w="1189" w:type="dxa"/>
            <w:tcBorders>
              <w:top w:val="nil"/>
              <w:left w:val="nil"/>
              <w:bottom w:val="single" w:sz="4" w:space="0" w:color="auto"/>
              <w:right w:val="single" w:sz="4" w:space="0" w:color="auto"/>
            </w:tcBorders>
            <w:vAlign w:val="center"/>
            <w:hideMark/>
          </w:tcPr>
          <w:p w14:paraId="33F893CF"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29,45</w:t>
            </w:r>
          </w:p>
        </w:tc>
        <w:tc>
          <w:tcPr>
            <w:tcW w:w="1189" w:type="dxa"/>
            <w:tcBorders>
              <w:top w:val="nil"/>
              <w:left w:val="nil"/>
              <w:bottom w:val="single" w:sz="4" w:space="0" w:color="auto"/>
              <w:right w:val="single" w:sz="4" w:space="0" w:color="auto"/>
            </w:tcBorders>
            <w:vAlign w:val="center"/>
            <w:hideMark/>
          </w:tcPr>
          <w:p w14:paraId="624B30C2"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39,68</w:t>
            </w:r>
          </w:p>
        </w:tc>
        <w:tc>
          <w:tcPr>
            <w:tcW w:w="1189" w:type="dxa"/>
            <w:tcBorders>
              <w:top w:val="nil"/>
              <w:left w:val="nil"/>
              <w:bottom w:val="single" w:sz="4" w:space="0" w:color="auto"/>
              <w:right w:val="single" w:sz="4" w:space="0" w:color="auto"/>
            </w:tcBorders>
            <w:vAlign w:val="center"/>
            <w:hideMark/>
          </w:tcPr>
          <w:p w14:paraId="799A6408"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35,56</w:t>
            </w:r>
          </w:p>
        </w:tc>
        <w:tc>
          <w:tcPr>
            <w:tcW w:w="1189" w:type="dxa"/>
            <w:tcBorders>
              <w:top w:val="nil"/>
              <w:left w:val="nil"/>
              <w:bottom w:val="single" w:sz="4" w:space="0" w:color="auto"/>
              <w:right w:val="single" w:sz="4" w:space="0" w:color="auto"/>
            </w:tcBorders>
            <w:vAlign w:val="center"/>
            <w:hideMark/>
          </w:tcPr>
          <w:p w14:paraId="32FC73C7"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39,30</w:t>
            </w:r>
          </w:p>
        </w:tc>
        <w:tc>
          <w:tcPr>
            <w:tcW w:w="1189" w:type="dxa"/>
            <w:tcBorders>
              <w:top w:val="nil"/>
              <w:left w:val="nil"/>
              <w:bottom w:val="single" w:sz="4" w:space="0" w:color="auto"/>
              <w:right w:val="single" w:sz="4" w:space="0" w:color="auto"/>
            </w:tcBorders>
            <w:vAlign w:val="center"/>
            <w:hideMark/>
          </w:tcPr>
          <w:p w14:paraId="19F2704A"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48,80</w:t>
            </w:r>
          </w:p>
        </w:tc>
        <w:tc>
          <w:tcPr>
            <w:tcW w:w="1590" w:type="dxa"/>
            <w:tcBorders>
              <w:top w:val="nil"/>
              <w:left w:val="nil"/>
              <w:bottom w:val="single" w:sz="4" w:space="0" w:color="auto"/>
              <w:right w:val="single" w:sz="4" w:space="0" w:color="auto"/>
            </w:tcBorders>
            <w:vAlign w:val="center"/>
            <w:hideMark/>
          </w:tcPr>
          <w:p w14:paraId="04CA75F1"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56,66</w:t>
            </w:r>
          </w:p>
        </w:tc>
        <w:tc>
          <w:tcPr>
            <w:tcW w:w="1590" w:type="dxa"/>
            <w:tcBorders>
              <w:top w:val="nil"/>
              <w:left w:val="nil"/>
              <w:bottom w:val="single" w:sz="4" w:space="0" w:color="auto"/>
              <w:right w:val="single" w:sz="4" w:space="0" w:color="auto"/>
            </w:tcBorders>
            <w:vAlign w:val="center"/>
            <w:hideMark/>
          </w:tcPr>
          <w:p w14:paraId="661B54B9"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55,98</w:t>
            </w:r>
          </w:p>
        </w:tc>
      </w:tr>
      <w:tr w:rsidR="00F8495B" w:rsidRPr="005534D4" w14:paraId="44DFD6B2" w14:textId="77777777" w:rsidTr="00390A1B">
        <w:trPr>
          <w:trHeight w:val="20"/>
          <w:jc w:val="center"/>
        </w:trPr>
        <w:tc>
          <w:tcPr>
            <w:tcW w:w="2998" w:type="dxa"/>
            <w:tcBorders>
              <w:top w:val="nil"/>
              <w:left w:val="single" w:sz="4" w:space="0" w:color="auto"/>
              <w:bottom w:val="single" w:sz="4" w:space="0" w:color="auto"/>
              <w:right w:val="single" w:sz="4" w:space="0" w:color="auto"/>
            </w:tcBorders>
            <w:vAlign w:val="center"/>
            <w:hideMark/>
          </w:tcPr>
          <w:p w14:paraId="04F70370" w14:textId="77777777" w:rsidR="00F8495B" w:rsidRPr="005534D4" w:rsidRDefault="00F8495B" w:rsidP="00390A1B">
            <w:pPr>
              <w:spacing w:after="0" w:line="240" w:lineRule="auto"/>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Civil Works (c)</w:t>
            </w:r>
          </w:p>
        </w:tc>
        <w:tc>
          <w:tcPr>
            <w:tcW w:w="971" w:type="dxa"/>
            <w:tcBorders>
              <w:top w:val="nil"/>
              <w:left w:val="nil"/>
              <w:bottom w:val="single" w:sz="4" w:space="0" w:color="auto"/>
              <w:right w:val="single" w:sz="4" w:space="0" w:color="auto"/>
            </w:tcBorders>
            <w:vAlign w:val="center"/>
            <w:hideMark/>
          </w:tcPr>
          <w:p w14:paraId="134B950A"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2,50</w:t>
            </w:r>
          </w:p>
        </w:tc>
        <w:tc>
          <w:tcPr>
            <w:tcW w:w="971" w:type="dxa"/>
            <w:tcBorders>
              <w:top w:val="nil"/>
              <w:left w:val="nil"/>
              <w:bottom w:val="single" w:sz="4" w:space="0" w:color="auto"/>
              <w:right w:val="single" w:sz="4" w:space="0" w:color="auto"/>
            </w:tcBorders>
            <w:vAlign w:val="center"/>
            <w:hideMark/>
          </w:tcPr>
          <w:p w14:paraId="55A160B2"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2,52</w:t>
            </w:r>
          </w:p>
        </w:tc>
        <w:tc>
          <w:tcPr>
            <w:tcW w:w="1189" w:type="dxa"/>
            <w:tcBorders>
              <w:top w:val="nil"/>
              <w:left w:val="nil"/>
              <w:bottom w:val="single" w:sz="4" w:space="0" w:color="auto"/>
              <w:right w:val="single" w:sz="4" w:space="0" w:color="auto"/>
            </w:tcBorders>
            <w:vAlign w:val="center"/>
            <w:hideMark/>
          </w:tcPr>
          <w:p w14:paraId="2B07721E"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—1,75</w:t>
            </w:r>
          </w:p>
        </w:tc>
        <w:tc>
          <w:tcPr>
            <w:tcW w:w="1189" w:type="dxa"/>
            <w:tcBorders>
              <w:top w:val="nil"/>
              <w:left w:val="nil"/>
              <w:bottom w:val="single" w:sz="4" w:space="0" w:color="auto"/>
              <w:right w:val="single" w:sz="4" w:space="0" w:color="auto"/>
            </w:tcBorders>
            <w:vAlign w:val="center"/>
            <w:hideMark/>
          </w:tcPr>
          <w:p w14:paraId="57B1C07D"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1,38</w:t>
            </w:r>
          </w:p>
        </w:tc>
        <w:tc>
          <w:tcPr>
            <w:tcW w:w="1189" w:type="dxa"/>
            <w:tcBorders>
              <w:top w:val="nil"/>
              <w:left w:val="nil"/>
              <w:bottom w:val="single" w:sz="4" w:space="0" w:color="auto"/>
              <w:right w:val="single" w:sz="4" w:space="0" w:color="auto"/>
            </w:tcBorders>
            <w:vAlign w:val="center"/>
            <w:hideMark/>
          </w:tcPr>
          <w:p w14:paraId="59326236"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5,63</w:t>
            </w:r>
          </w:p>
        </w:tc>
        <w:tc>
          <w:tcPr>
            <w:tcW w:w="1189" w:type="dxa"/>
            <w:tcBorders>
              <w:top w:val="nil"/>
              <w:left w:val="nil"/>
              <w:bottom w:val="single" w:sz="4" w:space="0" w:color="auto"/>
              <w:right w:val="single" w:sz="4" w:space="0" w:color="auto"/>
            </w:tcBorders>
            <w:vAlign w:val="center"/>
            <w:hideMark/>
          </w:tcPr>
          <w:p w14:paraId="7CEE938C"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6,61</w:t>
            </w:r>
          </w:p>
        </w:tc>
        <w:tc>
          <w:tcPr>
            <w:tcW w:w="1189" w:type="dxa"/>
            <w:tcBorders>
              <w:top w:val="nil"/>
              <w:left w:val="nil"/>
              <w:bottom w:val="single" w:sz="4" w:space="0" w:color="auto"/>
              <w:right w:val="single" w:sz="4" w:space="0" w:color="auto"/>
            </w:tcBorders>
            <w:vAlign w:val="center"/>
            <w:hideMark/>
          </w:tcPr>
          <w:p w14:paraId="679F4B35"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6,53</w:t>
            </w:r>
          </w:p>
        </w:tc>
        <w:tc>
          <w:tcPr>
            <w:tcW w:w="1189" w:type="dxa"/>
            <w:tcBorders>
              <w:top w:val="nil"/>
              <w:left w:val="nil"/>
              <w:bottom w:val="single" w:sz="4" w:space="0" w:color="auto"/>
              <w:right w:val="single" w:sz="4" w:space="0" w:color="auto"/>
            </w:tcBorders>
            <w:vAlign w:val="center"/>
            <w:hideMark/>
          </w:tcPr>
          <w:p w14:paraId="65151914"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10,38</w:t>
            </w:r>
          </w:p>
        </w:tc>
        <w:tc>
          <w:tcPr>
            <w:tcW w:w="1590" w:type="dxa"/>
            <w:tcBorders>
              <w:top w:val="nil"/>
              <w:left w:val="nil"/>
              <w:bottom w:val="single" w:sz="4" w:space="0" w:color="auto"/>
              <w:right w:val="single" w:sz="4" w:space="0" w:color="auto"/>
            </w:tcBorders>
            <w:vAlign w:val="center"/>
            <w:hideMark/>
          </w:tcPr>
          <w:p w14:paraId="756FF286"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13,25</w:t>
            </w:r>
          </w:p>
        </w:tc>
        <w:tc>
          <w:tcPr>
            <w:tcW w:w="1590" w:type="dxa"/>
            <w:tcBorders>
              <w:top w:val="nil"/>
              <w:left w:val="nil"/>
              <w:bottom w:val="single" w:sz="4" w:space="0" w:color="auto"/>
              <w:right w:val="single" w:sz="4" w:space="0" w:color="auto"/>
            </w:tcBorders>
            <w:vAlign w:val="center"/>
            <w:hideMark/>
          </w:tcPr>
          <w:p w14:paraId="62B7EBD9"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14,96</w:t>
            </w:r>
          </w:p>
        </w:tc>
      </w:tr>
      <w:tr w:rsidR="00F8495B" w:rsidRPr="005534D4" w14:paraId="14BFC2D4" w14:textId="77777777" w:rsidTr="00390A1B">
        <w:trPr>
          <w:trHeight w:val="20"/>
          <w:jc w:val="center"/>
        </w:trPr>
        <w:tc>
          <w:tcPr>
            <w:tcW w:w="2998" w:type="dxa"/>
            <w:tcBorders>
              <w:top w:val="nil"/>
              <w:left w:val="single" w:sz="4" w:space="0" w:color="auto"/>
              <w:bottom w:val="single" w:sz="4" w:space="0" w:color="auto"/>
              <w:right w:val="single" w:sz="4" w:space="0" w:color="auto"/>
            </w:tcBorders>
            <w:vAlign w:val="center"/>
            <w:hideMark/>
          </w:tcPr>
          <w:p w14:paraId="5A3C55F6" w14:textId="77777777" w:rsidR="00F8495B" w:rsidRPr="005534D4" w:rsidRDefault="00F8495B" w:rsidP="00390A1B">
            <w:pPr>
              <w:spacing w:after="0" w:line="240" w:lineRule="auto"/>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Contributions &amp; Miscellaneous Adjustments between Central and State Governments</w:t>
            </w:r>
          </w:p>
        </w:tc>
        <w:tc>
          <w:tcPr>
            <w:tcW w:w="971" w:type="dxa"/>
            <w:tcBorders>
              <w:top w:val="nil"/>
              <w:left w:val="nil"/>
              <w:bottom w:val="single" w:sz="4" w:space="0" w:color="auto"/>
              <w:right w:val="single" w:sz="4" w:space="0" w:color="auto"/>
            </w:tcBorders>
            <w:vAlign w:val="center"/>
            <w:hideMark/>
          </w:tcPr>
          <w:p w14:paraId="57BA9C67"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3,16</w:t>
            </w:r>
          </w:p>
        </w:tc>
        <w:tc>
          <w:tcPr>
            <w:tcW w:w="971" w:type="dxa"/>
            <w:tcBorders>
              <w:top w:val="nil"/>
              <w:left w:val="nil"/>
              <w:bottom w:val="single" w:sz="4" w:space="0" w:color="auto"/>
              <w:right w:val="single" w:sz="4" w:space="0" w:color="auto"/>
            </w:tcBorders>
            <w:vAlign w:val="center"/>
            <w:hideMark/>
          </w:tcPr>
          <w:p w14:paraId="2D0EF3AF"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3,06</w:t>
            </w:r>
          </w:p>
        </w:tc>
        <w:tc>
          <w:tcPr>
            <w:tcW w:w="1189" w:type="dxa"/>
            <w:tcBorders>
              <w:top w:val="nil"/>
              <w:left w:val="nil"/>
              <w:bottom w:val="single" w:sz="4" w:space="0" w:color="auto"/>
              <w:right w:val="single" w:sz="4" w:space="0" w:color="auto"/>
            </w:tcBorders>
            <w:vAlign w:val="center"/>
            <w:hideMark/>
          </w:tcPr>
          <w:p w14:paraId="31A7595E"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8,76</w:t>
            </w:r>
          </w:p>
        </w:tc>
        <w:tc>
          <w:tcPr>
            <w:tcW w:w="1189" w:type="dxa"/>
            <w:tcBorders>
              <w:top w:val="nil"/>
              <w:left w:val="nil"/>
              <w:bottom w:val="single" w:sz="4" w:space="0" w:color="auto"/>
              <w:right w:val="single" w:sz="4" w:space="0" w:color="auto"/>
            </w:tcBorders>
            <w:vAlign w:val="center"/>
            <w:hideMark/>
          </w:tcPr>
          <w:p w14:paraId="7C1C27FD"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9,74</w:t>
            </w:r>
          </w:p>
        </w:tc>
        <w:tc>
          <w:tcPr>
            <w:tcW w:w="1189" w:type="dxa"/>
            <w:tcBorders>
              <w:top w:val="nil"/>
              <w:left w:val="nil"/>
              <w:bottom w:val="single" w:sz="4" w:space="0" w:color="auto"/>
              <w:right w:val="single" w:sz="4" w:space="0" w:color="auto"/>
            </w:tcBorders>
            <w:vAlign w:val="center"/>
            <w:hideMark/>
          </w:tcPr>
          <w:p w14:paraId="5F3701A1"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1,72</w:t>
            </w:r>
          </w:p>
        </w:tc>
        <w:tc>
          <w:tcPr>
            <w:tcW w:w="1189" w:type="dxa"/>
            <w:tcBorders>
              <w:top w:val="nil"/>
              <w:left w:val="nil"/>
              <w:bottom w:val="single" w:sz="4" w:space="0" w:color="auto"/>
              <w:right w:val="single" w:sz="4" w:space="0" w:color="auto"/>
            </w:tcBorders>
            <w:vAlign w:val="center"/>
            <w:hideMark/>
          </w:tcPr>
          <w:p w14:paraId="5C466CE8"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2,96</w:t>
            </w:r>
          </w:p>
        </w:tc>
        <w:tc>
          <w:tcPr>
            <w:tcW w:w="1189" w:type="dxa"/>
            <w:tcBorders>
              <w:top w:val="nil"/>
              <w:left w:val="nil"/>
              <w:bottom w:val="single" w:sz="4" w:space="0" w:color="auto"/>
              <w:right w:val="single" w:sz="4" w:space="0" w:color="auto"/>
            </w:tcBorders>
            <w:vAlign w:val="center"/>
            <w:hideMark/>
          </w:tcPr>
          <w:p w14:paraId="14CCDDF2"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2,96</w:t>
            </w:r>
          </w:p>
        </w:tc>
        <w:tc>
          <w:tcPr>
            <w:tcW w:w="1189" w:type="dxa"/>
            <w:tcBorders>
              <w:top w:val="nil"/>
              <w:left w:val="nil"/>
              <w:bottom w:val="single" w:sz="4" w:space="0" w:color="auto"/>
              <w:right w:val="single" w:sz="4" w:space="0" w:color="auto"/>
            </w:tcBorders>
            <w:vAlign w:val="center"/>
            <w:hideMark/>
          </w:tcPr>
          <w:p w14:paraId="126B4257"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15,59</w:t>
            </w:r>
          </w:p>
        </w:tc>
        <w:tc>
          <w:tcPr>
            <w:tcW w:w="1590" w:type="dxa"/>
            <w:tcBorders>
              <w:top w:val="nil"/>
              <w:left w:val="nil"/>
              <w:bottom w:val="single" w:sz="4" w:space="0" w:color="auto"/>
              <w:right w:val="single" w:sz="4" w:space="0" w:color="auto"/>
            </w:tcBorders>
            <w:vAlign w:val="center"/>
            <w:hideMark/>
          </w:tcPr>
          <w:p w14:paraId="37DCCAA3"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18,08</w:t>
            </w:r>
          </w:p>
        </w:tc>
        <w:tc>
          <w:tcPr>
            <w:tcW w:w="1590" w:type="dxa"/>
            <w:tcBorders>
              <w:top w:val="nil"/>
              <w:left w:val="nil"/>
              <w:bottom w:val="single" w:sz="4" w:space="0" w:color="auto"/>
              <w:right w:val="single" w:sz="4" w:space="0" w:color="auto"/>
            </w:tcBorders>
            <w:vAlign w:val="center"/>
            <w:hideMark/>
          </w:tcPr>
          <w:p w14:paraId="2C56B08C"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20,28</w:t>
            </w:r>
          </w:p>
        </w:tc>
      </w:tr>
      <w:tr w:rsidR="00F8495B" w:rsidRPr="005534D4" w14:paraId="5D42F54C" w14:textId="77777777" w:rsidTr="00390A1B">
        <w:trPr>
          <w:trHeight w:val="20"/>
          <w:jc w:val="center"/>
        </w:trPr>
        <w:tc>
          <w:tcPr>
            <w:tcW w:w="2998" w:type="dxa"/>
            <w:tcBorders>
              <w:top w:val="nil"/>
              <w:left w:val="single" w:sz="4" w:space="0" w:color="auto"/>
              <w:bottom w:val="single" w:sz="4" w:space="0" w:color="auto"/>
              <w:right w:val="single" w:sz="4" w:space="0" w:color="auto"/>
            </w:tcBorders>
            <w:vAlign w:val="center"/>
            <w:hideMark/>
          </w:tcPr>
          <w:p w14:paraId="1BA1FBEF" w14:textId="77777777" w:rsidR="00F8495B" w:rsidRPr="005534D4" w:rsidRDefault="00F8495B" w:rsidP="00390A1B">
            <w:pPr>
              <w:spacing w:after="0" w:line="240" w:lineRule="auto"/>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Miscellaneous</w:t>
            </w:r>
          </w:p>
        </w:tc>
        <w:tc>
          <w:tcPr>
            <w:tcW w:w="971" w:type="dxa"/>
            <w:tcBorders>
              <w:top w:val="nil"/>
              <w:left w:val="nil"/>
              <w:bottom w:val="single" w:sz="4" w:space="0" w:color="auto"/>
              <w:right w:val="single" w:sz="4" w:space="0" w:color="auto"/>
            </w:tcBorders>
            <w:vAlign w:val="center"/>
            <w:hideMark/>
          </w:tcPr>
          <w:p w14:paraId="304ACD27"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3,91</w:t>
            </w:r>
          </w:p>
        </w:tc>
        <w:tc>
          <w:tcPr>
            <w:tcW w:w="971" w:type="dxa"/>
            <w:tcBorders>
              <w:top w:val="nil"/>
              <w:left w:val="nil"/>
              <w:bottom w:val="single" w:sz="4" w:space="0" w:color="auto"/>
              <w:right w:val="single" w:sz="4" w:space="0" w:color="auto"/>
            </w:tcBorders>
            <w:vAlign w:val="center"/>
            <w:hideMark/>
          </w:tcPr>
          <w:p w14:paraId="40AD1607"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3,63</w:t>
            </w:r>
          </w:p>
        </w:tc>
        <w:tc>
          <w:tcPr>
            <w:tcW w:w="1189" w:type="dxa"/>
            <w:tcBorders>
              <w:top w:val="nil"/>
              <w:left w:val="nil"/>
              <w:bottom w:val="single" w:sz="4" w:space="0" w:color="auto"/>
              <w:right w:val="single" w:sz="4" w:space="0" w:color="auto"/>
            </w:tcBorders>
            <w:vAlign w:val="center"/>
            <w:hideMark/>
          </w:tcPr>
          <w:p w14:paraId="4B32E19C"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6,49</w:t>
            </w:r>
          </w:p>
        </w:tc>
        <w:tc>
          <w:tcPr>
            <w:tcW w:w="1189" w:type="dxa"/>
            <w:tcBorders>
              <w:top w:val="nil"/>
              <w:left w:val="nil"/>
              <w:bottom w:val="single" w:sz="4" w:space="0" w:color="auto"/>
              <w:right w:val="single" w:sz="4" w:space="0" w:color="auto"/>
            </w:tcBorders>
            <w:vAlign w:val="center"/>
            <w:hideMark/>
          </w:tcPr>
          <w:p w14:paraId="7A05FA0E"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17,47</w:t>
            </w:r>
          </w:p>
        </w:tc>
        <w:tc>
          <w:tcPr>
            <w:tcW w:w="1189" w:type="dxa"/>
            <w:tcBorders>
              <w:top w:val="nil"/>
              <w:left w:val="nil"/>
              <w:bottom w:val="single" w:sz="4" w:space="0" w:color="auto"/>
              <w:right w:val="single" w:sz="4" w:space="0" w:color="auto"/>
            </w:tcBorders>
            <w:vAlign w:val="center"/>
            <w:hideMark/>
          </w:tcPr>
          <w:p w14:paraId="5256E9DD"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32,78</w:t>
            </w:r>
          </w:p>
        </w:tc>
        <w:tc>
          <w:tcPr>
            <w:tcW w:w="1189" w:type="dxa"/>
            <w:tcBorders>
              <w:top w:val="nil"/>
              <w:left w:val="nil"/>
              <w:bottom w:val="single" w:sz="4" w:space="0" w:color="auto"/>
              <w:right w:val="single" w:sz="4" w:space="0" w:color="auto"/>
            </w:tcBorders>
            <w:vAlign w:val="center"/>
            <w:hideMark/>
          </w:tcPr>
          <w:p w14:paraId="6B56AA02"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56,89</w:t>
            </w:r>
          </w:p>
        </w:tc>
        <w:tc>
          <w:tcPr>
            <w:tcW w:w="1189" w:type="dxa"/>
            <w:tcBorders>
              <w:top w:val="nil"/>
              <w:left w:val="nil"/>
              <w:bottom w:val="single" w:sz="4" w:space="0" w:color="auto"/>
              <w:right w:val="single" w:sz="4" w:space="0" w:color="auto"/>
            </w:tcBorders>
            <w:vAlign w:val="center"/>
            <w:hideMark/>
          </w:tcPr>
          <w:p w14:paraId="76C5100D"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52,44</w:t>
            </w:r>
          </w:p>
        </w:tc>
        <w:tc>
          <w:tcPr>
            <w:tcW w:w="1189" w:type="dxa"/>
            <w:tcBorders>
              <w:top w:val="nil"/>
              <w:left w:val="nil"/>
              <w:bottom w:val="single" w:sz="4" w:space="0" w:color="auto"/>
              <w:right w:val="single" w:sz="4" w:space="0" w:color="auto"/>
            </w:tcBorders>
            <w:vAlign w:val="center"/>
            <w:hideMark/>
          </w:tcPr>
          <w:p w14:paraId="0105B059"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52,88</w:t>
            </w:r>
          </w:p>
        </w:tc>
        <w:tc>
          <w:tcPr>
            <w:tcW w:w="1590" w:type="dxa"/>
            <w:tcBorders>
              <w:top w:val="nil"/>
              <w:left w:val="nil"/>
              <w:bottom w:val="single" w:sz="4" w:space="0" w:color="auto"/>
              <w:right w:val="single" w:sz="4" w:space="0" w:color="auto"/>
            </w:tcBorders>
            <w:vAlign w:val="center"/>
            <w:hideMark/>
          </w:tcPr>
          <w:p w14:paraId="524AEFEB"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66,44</w:t>
            </w:r>
          </w:p>
        </w:tc>
        <w:tc>
          <w:tcPr>
            <w:tcW w:w="1590" w:type="dxa"/>
            <w:tcBorders>
              <w:top w:val="nil"/>
              <w:left w:val="nil"/>
              <w:bottom w:val="single" w:sz="4" w:space="0" w:color="auto"/>
              <w:right w:val="single" w:sz="4" w:space="0" w:color="auto"/>
            </w:tcBorders>
            <w:vAlign w:val="center"/>
            <w:hideMark/>
          </w:tcPr>
          <w:p w14:paraId="1FE2DCF2"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40,93</w:t>
            </w:r>
          </w:p>
        </w:tc>
      </w:tr>
      <w:tr w:rsidR="00F8495B" w:rsidRPr="005534D4" w14:paraId="51FAA91B" w14:textId="77777777" w:rsidTr="00390A1B">
        <w:trPr>
          <w:trHeight w:val="20"/>
          <w:jc w:val="center"/>
        </w:trPr>
        <w:tc>
          <w:tcPr>
            <w:tcW w:w="2998" w:type="dxa"/>
            <w:tcBorders>
              <w:top w:val="nil"/>
              <w:left w:val="single" w:sz="4" w:space="0" w:color="auto"/>
              <w:bottom w:val="single" w:sz="4" w:space="0" w:color="auto"/>
              <w:right w:val="single" w:sz="4" w:space="0" w:color="auto"/>
            </w:tcBorders>
            <w:vAlign w:val="center"/>
            <w:hideMark/>
          </w:tcPr>
          <w:p w14:paraId="6CC94617" w14:textId="77777777" w:rsidR="00F8495B" w:rsidRPr="005534D4" w:rsidRDefault="00F8495B" w:rsidP="00390A1B">
            <w:pPr>
              <w:spacing w:after="0" w:line="240" w:lineRule="auto"/>
              <w:rPr>
                <w:rFonts w:ascii="Times New Roman" w:eastAsia="Times New Roman" w:hAnsi="Times New Roman" w:cs="Times New Roman"/>
                <w:i/>
                <w:iCs/>
                <w:color w:val="000000"/>
                <w:kern w:val="0"/>
                <w:sz w:val="28"/>
                <w:szCs w:val="28"/>
                <w:lang w:eastAsia="en-IN"/>
                <w14:ligatures w14:val="none"/>
              </w:rPr>
            </w:pPr>
            <w:r w:rsidRPr="005534D4">
              <w:rPr>
                <w:rFonts w:ascii="Times New Roman" w:eastAsia="Times New Roman" w:hAnsi="Times New Roman" w:cs="Times New Roman"/>
                <w:i/>
                <w:iCs/>
                <w:color w:val="000000"/>
                <w:kern w:val="0"/>
                <w:sz w:val="28"/>
                <w:szCs w:val="28"/>
                <w:lang w:eastAsia="en-IN"/>
                <w14:ligatures w14:val="none"/>
              </w:rPr>
              <w:t>of which</w:t>
            </w:r>
          </w:p>
        </w:tc>
        <w:tc>
          <w:tcPr>
            <w:tcW w:w="971" w:type="dxa"/>
            <w:tcBorders>
              <w:top w:val="nil"/>
              <w:left w:val="nil"/>
              <w:bottom w:val="single" w:sz="4" w:space="0" w:color="auto"/>
              <w:right w:val="single" w:sz="4" w:space="0" w:color="auto"/>
            </w:tcBorders>
            <w:vAlign w:val="center"/>
            <w:hideMark/>
          </w:tcPr>
          <w:p w14:paraId="0092C643" w14:textId="669BB96B"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p>
        </w:tc>
        <w:tc>
          <w:tcPr>
            <w:tcW w:w="971" w:type="dxa"/>
            <w:tcBorders>
              <w:top w:val="nil"/>
              <w:left w:val="nil"/>
              <w:bottom w:val="single" w:sz="4" w:space="0" w:color="auto"/>
              <w:right w:val="single" w:sz="4" w:space="0" w:color="auto"/>
            </w:tcBorders>
            <w:vAlign w:val="center"/>
            <w:hideMark/>
          </w:tcPr>
          <w:p w14:paraId="19CCAD04" w14:textId="7F25215F"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p>
        </w:tc>
        <w:tc>
          <w:tcPr>
            <w:tcW w:w="1189" w:type="dxa"/>
            <w:tcBorders>
              <w:top w:val="nil"/>
              <w:left w:val="nil"/>
              <w:bottom w:val="single" w:sz="4" w:space="0" w:color="auto"/>
              <w:right w:val="single" w:sz="4" w:space="0" w:color="auto"/>
            </w:tcBorders>
            <w:vAlign w:val="center"/>
            <w:hideMark/>
          </w:tcPr>
          <w:p w14:paraId="5C164087" w14:textId="4E7E421B"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p>
        </w:tc>
        <w:tc>
          <w:tcPr>
            <w:tcW w:w="1189" w:type="dxa"/>
            <w:tcBorders>
              <w:top w:val="nil"/>
              <w:left w:val="nil"/>
              <w:bottom w:val="single" w:sz="4" w:space="0" w:color="auto"/>
              <w:right w:val="single" w:sz="4" w:space="0" w:color="auto"/>
            </w:tcBorders>
            <w:vAlign w:val="center"/>
            <w:hideMark/>
          </w:tcPr>
          <w:p w14:paraId="5CB66AB9" w14:textId="5CBAE4BE"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p>
        </w:tc>
        <w:tc>
          <w:tcPr>
            <w:tcW w:w="1189" w:type="dxa"/>
            <w:tcBorders>
              <w:top w:val="nil"/>
              <w:left w:val="nil"/>
              <w:bottom w:val="single" w:sz="4" w:space="0" w:color="auto"/>
              <w:right w:val="single" w:sz="4" w:space="0" w:color="auto"/>
            </w:tcBorders>
            <w:vAlign w:val="center"/>
            <w:hideMark/>
          </w:tcPr>
          <w:p w14:paraId="5D291E1C" w14:textId="08E62C30"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p>
        </w:tc>
        <w:tc>
          <w:tcPr>
            <w:tcW w:w="1189" w:type="dxa"/>
            <w:tcBorders>
              <w:top w:val="nil"/>
              <w:left w:val="nil"/>
              <w:bottom w:val="single" w:sz="4" w:space="0" w:color="auto"/>
              <w:right w:val="single" w:sz="4" w:space="0" w:color="auto"/>
            </w:tcBorders>
            <w:vAlign w:val="center"/>
            <w:hideMark/>
          </w:tcPr>
          <w:p w14:paraId="0D750F63" w14:textId="0139D4C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p>
        </w:tc>
        <w:tc>
          <w:tcPr>
            <w:tcW w:w="1189" w:type="dxa"/>
            <w:tcBorders>
              <w:top w:val="nil"/>
              <w:left w:val="nil"/>
              <w:bottom w:val="single" w:sz="4" w:space="0" w:color="auto"/>
              <w:right w:val="single" w:sz="4" w:space="0" w:color="auto"/>
            </w:tcBorders>
            <w:vAlign w:val="center"/>
            <w:hideMark/>
          </w:tcPr>
          <w:p w14:paraId="5EDBFC10" w14:textId="22A497A2"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p>
        </w:tc>
        <w:tc>
          <w:tcPr>
            <w:tcW w:w="1189" w:type="dxa"/>
            <w:tcBorders>
              <w:top w:val="nil"/>
              <w:left w:val="nil"/>
              <w:bottom w:val="single" w:sz="4" w:space="0" w:color="auto"/>
              <w:right w:val="single" w:sz="4" w:space="0" w:color="auto"/>
            </w:tcBorders>
            <w:vAlign w:val="center"/>
            <w:hideMark/>
          </w:tcPr>
          <w:p w14:paraId="3861ED5F" w14:textId="1F59E451"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p>
        </w:tc>
        <w:tc>
          <w:tcPr>
            <w:tcW w:w="1590" w:type="dxa"/>
            <w:tcBorders>
              <w:top w:val="nil"/>
              <w:left w:val="nil"/>
              <w:bottom w:val="single" w:sz="4" w:space="0" w:color="auto"/>
              <w:right w:val="single" w:sz="4" w:space="0" w:color="auto"/>
            </w:tcBorders>
            <w:vAlign w:val="center"/>
            <w:hideMark/>
          </w:tcPr>
          <w:p w14:paraId="1FDC1D25" w14:textId="5698BAD3"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p>
        </w:tc>
        <w:tc>
          <w:tcPr>
            <w:tcW w:w="1590" w:type="dxa"/>
            <w:tcBorders>
              <w:top w:val="nil"/>
              <w:left w:val="nil"/>
              <w:bottom w:val="single" w:sz="4" w:space="0" w:color="auto"/>
              <w:right w:val="single" w:sz="4" w:space="0" w:color="auto"/>
            </w:tcBorders>
            <w:vAlign w:val="center"/>
            <w:hideMark/>
          </w:tcPr>
          <w:p w14:paraId="5A56E0CB" w14:textId="3C44061C"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p>
        </w:tc>
      </w:tr>
      <w:tr w:rsidR="00F8495B" w:rsidRPr="005534D4" w14:paraId="7DA8AFCE" w14:textId="77777777" w:rsidTr="00390A1B">
        <w:trPr>
          <w:trHeight w:val="20"/>
          <w:jc w:val="center"/>
        </w:trPr>
        <w:tc>
          <w:tcPr>
            <w:tcW w:w="2998" w:type="dxa"/>
            <w:tcBorders>
              <w:top w:val="nil"/>
              <w:left w:val="single" w:sz="4" w:space="0" w:color="auto"/>
              <w:bottom w:val="single" w:sz="4" w:space="0" w:color="auto"/>
              <w:right w:val="single" w:sz="4" w:space="0" w:color="auto"/>
            </w:tcBorders>
            <w:vAlign w:val="center"/>
            <w:hideMark/>
          </w:tcPr>
          <w:p w14:paraId="18365717" w14:textId="77777777" w:rsidR="00F8495B" w:rsidRPr="005534D4" w:rsidRDefault="00F8495B" w:rsidP="00390A1B">
            <w:pPr>
              <w:spacing w:after="0" w:line="240" w:lineRule="auto"/>
              <w:ind w:left="720"/>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Subsidy on food-grains</w:t>
            </w:r>
          </w:p>
        </w:tc>
        <w:tc>
          <w:tcPr>
            <w:tcW w:w="971" w:type="dxa"/>
            <w:tcBorders>
              <w:top w:val="nil"/>
              <w:left w:val="nil"/>
              <w:bottom w:val="single" w:sz="4" w:space="0" w:color="auto"/>
              <w:right w:val="single" w:sz="4" w:space="0" w:color="auto"/>
            </w:tcBorders>
            <w:vAlign w:val="center"/>
            <w:hideMark/>
          </w:tcPr>
          <w:p w14:paraId="77B7BE81"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w:t>
            </w:r>
          </w:p>
        </w:tc>
        <w:tc>
          <w:tcPr>
            <w:tcW w:w="971" w:type="dxa"/>
            <w:tcBorders>
              <w:top w:val="nil"/>
              <w:left w:val="nil"/>
              <w:bottom w:val="single" w:sz="4" w:space="0" w:color="auto"/>
              <w:right w:val="single" w:sz="4" w:space="0" w:color="auto"/>
            </w:tcBorders>
            <w:vAlign w:val="center"/>
            <w:hideMark/>
          </w:tcPr>
          <w:p w14:paraId="5F14610F"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w:t>
            </w:r>
          </w:p>
        </w:tc>
        <w:tc>
          <w:tcPr>
            <w:tcW w:w="1189" w:type="dxa"/>
            <w:tcBorders>
              <w:top w:val="nil"/>
              <w:left w:val="nil"/>
              <w:bottom w:val="single" w:sz="4" w:space="0" w:color="auto"/>
              <w:right w:val="single" w:sz="4" w:space="0" w:color="auto"/>
            </w:tcBorders>
            <w:vAlign w:val="center"/>
            <w:hideMark/>
          </w:tcPr>
          <w:p w14:paraId="2BDC6294"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w:t>
            </w:r>
          </w:p>
        </w:tc>
        <w:tc>
          <w:tcPr>
            <w:tcW w:w="1189" w:type="dxa"/>
            <w:tcBorders>
              <w:top w:val="nil"/>
              <w:left w:val="nil"/>
              <w:bottom w:val="single" w:sz="4" w:space="0" w:color="auto"/>
              <w:right w:val="single" w:sz="4" w:space="0" w:color="auto"/>
            </w:tcBorders>
            <w:vAlign w:val="center"/>
            <w:hideMark/>
          </w:tcPr>
          <w:p w14:paraId="40BE9158"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w:t>
            </w:r>
          </w:p>
        </w:tc>
        <w:tc>
          <w:tcPr>
            <w:tcW w:w="1189" w:type="dxa"/>
            <w:tcBorders>
              <w:top w:val="nil"/>
              <w:left w:val="nil"/>
              <w:bottom w:val="single" w:sz="4" w:space="0" w:color="auto"/>
              <w:right w:val="single" w:sz="4" w:space="0" w:color="auto"/>
            </w:tcBorders>
            <w:vAlign w:val="center"/>
            <w:hideMark/>
          </w:tcPr>
          <w:p w14:paraId="69DAC50B"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22,59</w:t>
            </w:r>
          </w:p>
        </w:tc>
        <w:tc>
          <w:tcPr>
            <w:tcW w:w="1189" w:type="dxa"/>
            <w:tcBorders>
              <w:top w:val="nil"/>
              <w:left w:val="nil"/>
              <w:bottom w:val="single" w:sz="4" w:space="0" w:color="auto"/>
              <w:right w:val="single" w:sz="4" w:space="0" w:color="auto"/>
            </w:tcBorders>
            <w:vAlign w:val="center"/>
            <w:hideMark/>
          </w:tcPr>
          <w:p w14:paraId="08C61C4E"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31,64</w:t>
            </w:r>
          </w:p>
        </w:tc>
        <w:tc>
          <w:tcPr>
            <w:tcW w:w="1189" w:type="dxa"/>
            <w:tcBorders>
              <w:top w:val="nil"/>
              <w:left w:val="nil"/>
              <w:bottom w:val="single" w:sz="4" w:space="0" w:color="auto"/>
              <w:right w:val="single" w:sz="4" w:space="0" w:color="auto"/>
            </w:tcBorders>
            <w:vAlign w:val="center"/>
            <w:hideMark/>
          </w:tcPr>
          <w:p w14:paraId="33387FA1"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27,54</w:t>
            </w:r>
          </w:p>
        </w:tc>
        <w:tc>
          <w:tcPr>
            <w:tcW w:w="1189" w:type="dxa"/>
            <w:tcBorders>
              <w:top w:val="nil"/>
              <w:left w:val="nil"/>
              <w:bottom w:val="single" w:sz="4" w:space="0" w:color="auto"/>
              <w:right w:val="single" w:sz="4" w:space="0" w:color="auto"/>
            </w:tcBorders>
            <w:vAlign w:val="center"/>
            <w:hideMark/>
          </w:tcPr>
          <w:p w14:paraId="19850C2C"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24,48</w:t>
            </w:r>
          </w:p>
        </w:tc>
        <w:tc>
          <w:tcPr>
            <w:tcW w:w="1590" w:type="dxa"/>
            <w:tcBorders>
              <w:top w:val="nil"/>
              <w:left w:val="nil"/>
              <w:bottom w:val="single" w:sz="4" w:space="0" w:color="auto"/>
              <w:right w:val="single" w:sz="4" w:space="0" w:color="auto"/>
            </w:tcBorders>
            <w:vAlign w:val="center"/>
            <w:hideMark/>
          </w:tcPr>
          <w:p w14:paraId="2030AECE"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38,66</w:t>
            </w:r>
          </w:p>
        </w:tc>
        <w:tc>
          <w:tcPr>
            <w:tcW w:w="1590" w:type="dxa"/>
            <w:tcBorders>
              <w:top w:val="nil"/>
              <w:left w:val="nil"/>
              <w:bottom w:val="single" w:sz="4" w:space="0" w:color="auto"/>
              <w:right w:val="single" w:sz="4" w:space="0" w:color="auto"/>
            </w:tcBorders>
            <w:vAlign w:val="center"/>
            <w:hideMark/>
          </w:tcPr>
          <w:p w14:paraId="06AEDEDE"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15,00</w:t>
            </w:r>
          </w:p>
        </w:tc>
      </w:tr>
      <w:tr w:rsidR="00F8495B" w:rsidRPr="005534D4" w14:paraId="0ECBA5A8" w14:textId="77777777" w:rsidTr="00390A1B">
        <w:trPr>
          <w:trHeight w:val="20"/>
          <w:jc w:val="center"/>
        </w:trPr>
        <w:tc>
          <w:tcPr>
            <w:tcW w:w="2998" w:type="dxa"/>
            <w:tcBorders>
              <w:top w:val="nil"/>
              <w:left w:val="single" w:sz="4" w:space="0" w:color="auto"/>
              <w:bottom w:val="single" w:sz="4" w:space="0" w:color="auto"/>
              <w:right w:val="single" w:sz="4" w:space="0" w:color="auto"/>
            </w:tcBorders>
            <w:vAlign w:val="center"/>
            <w:hideMark/>
          </w:tcPr>
          <w:p w14:paraId="4B6D64C7" w14:textId="77777777" w:rsidR="00F8495B" w:rsidRPr="005534D4" w:rsidRDefault="00F8495B" w:rsidP="00390A1B">
            <w:pPr>
              <w:spacing w:after="0" w:line="240" w:lineRule="auto"/>
              <w:ind w:left="720"/>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Expenditure on displaced persons</w:t>
            </w:r>
          </w:p>
        </w:tc>
        <w:tc>
          <w:tcPr>
            <w:tcW w:w="971" w:type="dxa"/>
            <w:tcBorders>
              <w:top w:val="nil"/>
              <w:left w:val="nil"/>
              <w:bottom w:val="single" w:sz="4" w:space="0" w:color="auto"/>
              <w:right w:val="single" w:sz="4" w:space="0" w:color="auto"/>
            </w:tcBorders>
            <w:vAlign w:val="center"/>
            <w:hideMark/>
          </w:tcPr>
          <w:p w14:paraId="3EBFF258"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w:t>
            </w:r>
          </w:p>
        </w:tc>
        <w:tc>
          <w:tcPr>
            <w:tcW w:w="971" w:type="dxa"/>
            <w:tcBorders>
              <w:top w:val="nil"/>
              <w:left w:val="nil"/>
              <w:bottom w:val="single" w:sz="4" w:space="0" w:color="auto"/>
              <w:right w:val="single" w:sz="4" w:space="0" w:color="auto"/>
            </w:tcBorders>
            <w:vAlign w:val="center"/>
            <w:hideMark/>
          </w:tcPr>
          <w:p w14:paraId="64C101D1"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w:t>
            </w:r>
          </w:p>
        </w:tc>
        <w:tc>
          <w:tcPr>
            <w:tcW w:w="1189" w:type="dxa"/>
            <w:tcBorders>
              <w:top w:val="nil"/>
              <w:left w:val="nil"/>
              <w:bottom w:val="single" w:sz="4" w:space="0" w:color="auto"/>
              <w:right w:val="single" w:sz="4" w:space="0" w:color="auto"/>
            </w:tcBorders>
            <w:vAlign w:val="center"/>
            <w:hideMark/>
          </w:tcPr>
          <w:p w14:paraId="5B6FA5B0"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w:t>
            </w:r>
          </w:p>
        </w:tc>
        <w:tc>
          <w:tcPr>
            <w:tcW w:w="1189" w:type="dxa"/>
            <w:tcBorders>
              <w:top w:val="nil"/>
              <w:left w:val="nil"/>
              <w:bottom w:val="single" w:sz="4" w:space="0" w:color="auto"/>
              <w:right w:val="single" w:sz="4" w:space="0" w:color="auto"/>
            </w:tcBorders>
            <w:vAlign w:val="center"/>
            <w:hideMark/>
          </w:tcPr>
          <w:p w14:paraId="653426F4"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w:t>
            </w:r>
          </w:p>
        </w:tc>
        <w:tc>
          <w:tcPr>
            <w:tcW w:w="1189" w:type="dxa"/>
            <w:tcBorders>
              <w:top w:val="nil"/>
              <w:left w:val="nil"/>
              <w:bottom w:val="single" w:sz="4" w:space="0" w:color="auto"/>
              <w:right w:val="single" w:sz="4" w:space="0" w:color="auto"/>
            </w:tcBorders>
            <w:vAlign w:val="center"/>
            <w:hideMark/>
          </w:tcPr>
          <w:p w14:paraId="1CC74C90"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w:t>
            </w:r>
          </w:p>
        </w:tc>
        <w:tc>
          <w:tcPr>
            <w:tcW w:w="1189" w:type="dxa"/>
            <w:tcBorders>
              <w:top w:val="nil"/>
              <w:left w:val="nil"/>
              <w:bottom w:val="single" w:sz="4" w:space="0" w:color="auto"/>
              <w:right w:val="single" w:sz="4" w:space="0" w:color="auto"/>
            </w:tcBorders>
            <w:vAlign w:val="center"/>
            <w:hideMark/>
          </w:tcPr>
          <w:p w14:paraId="24D0F5B3"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3,45</w:t>
            </w:r>
          </w:p>
        </w:tc>
        <w:tc>
          <w:tcPr>
            <w:tcW w:w="1189" w:type="dxa"/>
            <w:tcBorders>
              <w:top w:val="nil"/>
              <w:left w:val="nil"/>
              <w:bottom w:val="single" w:sz="4" w:space="0" w:color="auto"/>
              <w:right w:val="single" w:sz="4" w:space="0" w:color="auto"/>
            </w:tcBorders>
            <w:vAlign w:val="center"/>
            <w:hideMark/>
          </w:tcPr>
          <w:p w14:paraId="7F6E8F24"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12,28</w:t>
            </w:r>
          </w:p>
        </w:tc>
        <w:tc>
          <w:tcPr>
            <w:tcW w:w="1189" w:type="dxa"/>
            <w:tcBorders>
              <w:top w:val="nil"/>
              <w:left w:val="nil"/>
              <w:bottom w:val="single" w:sz="4" w:space="0" w:color="auto"/>
              <w:right w:val="single" w:sz="4" w:space="0" w:color="auto"/>
            </w:tcBorders>
            <w:vAlign w:val="center"/>
            <w:hideMark/>
          </w:tcPr>
          <w:p w14:paraId="4F766458"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8,74</w:t>
            </w:r>
          </w:p>
        </w:tc>
        <w:tc>
          <w:tcPr>
            <w:tcW w:w="1590" w:type="dxa"/>
            <w:tcBorders>
              <w:top w:val="nil"/>
              <w:left w:val="nil"/>
              <w:bottom w:val="single" w:sz="4" w:space="0" w:color="auto"/>
              <w:right w:val="single" w:sz="4" w:space="0" w:color="auto"/>
            </w:tcBorders>
            <w:vAlign w:val="center"/>
            <w:hideMark/>
          </w:tcPr>
          <w:p w14:paraId="0BF45F03"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13,83</w:t>
            </w:r>
          </w:p>
        </w:tc>
        <w:tc>
          <w:tcPr>
            <w:tcW w:w="1590" w:type="dxa"/>
            <w:tcBorders>
              <w:top w:val="nil"/>
              <w:left w:val="nil"/>
              <w:bottom w:val="single" w:sz="4" w:space="0" w:color="auto"/>
              <w:right w:val="single" w:sz="4" w:space="0" w:color="auto"/>
            </w:tcBorders>
            <w:vAlign w:val="center"/>
            <w:hideMark/>
          </w:tcPr>
          <w:p w14:paraId="38ED9DCD"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10,09</w:t>
            </w:r>
          </w:p>
        </w:tc>
      </w:tr>
      <w:tr w:rsidR="00F8495B" w:rsidRPr="005534D4" w14:paraId="27C45141" w14:textId="77777777" w:rsidTr="00390A1B">
        <w:trPr>
          <w:trHeight w:val="20"/>
          <w:jc w:val="center"/>
        </w:trPr>
        <w:tc>
          <w:tcPr>
            <w:tcW w:w="2998" w:type="dxa"/>
            <w:tcBorders>
              <w:top w:val="nil"/>
              <w:left w:val="single" w:sz="4" w:space="0" w:color="auto"/>
              <w:bottom w:val="single" w:sz="4" w:space="0" w:color="auto"/>
              <w:right w:val="single" w:sz="4" w:space="0" w:color="auto"/>
            </w:tcBorders>
            <w:vAlign w:val="center"/>
            <w:hideMark/>
          </w:tcPr>
          <w:p w14:paraId="359ECBE3" w14:textId="77777777" w:rsidR="00F8495B" w:rsidRPr="005534D4" w:rsidRDefault="00F8495B" w:rsidP="00390A1B">
            <w:pPr>
              <w:spacing w:after="0" w:line="240" w:lineRule="auto"/>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Extraordinary Items</w:t>
            </w:r>
          </w:p>
        </w:tc>
        <w:tc>
          <w:tcPr>
            <w:tcW w:w="971" w:type="dxa"/>
            <w:tcBorders>
              <w:top w:val="nil"/>
              <w:left w:val="nil"/>
              <w:bottom w:val="single" w:sz="4" w:space="0" w:color="auto"/>
              <w:right w:val="single" w:sz="4" w:space="0" w:color="auto"/>
            </w:tcBorders>
            <w:vAlign w:val="center"/>
            <w:hideMark/>
          </w:tcPr>
          <w:p w14:paraId="2800A39A"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3</w:t>
            </w:r>
          </w:p>
        </w:tc>
        <w:tc>
          <w:tcPr>
            <w:tcW w:w="971" w:type="dxa"/>
            <w:tcBorders>
              <w:top w:val="nil"/>
              <w:left w:val="nil"/>
              <w:bottom w:val="single" w:sz="4" w:space="0" w:color="auto"/>
              <w:right w:val="single" w:sz="4" w:space="0" w:color="auto"/>
            </w:tcBorders>
            <w:vAlign w:val="center"/>
            <w:hideMark/>
          </w:tcPr>
          <w:p w14:paraId="3B910025"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w:t>
            </w:r>
          </w:p>
        </w:tc>
        <w:tc>
          <w:tcPr>
            <w:tcW w:w="1189" w:type="dxa"/>
            <w:tcBorders>
              <w:top w:val="nil"/>
              <w:left w:val="nil"/>
              <w:bottom w:val="single" w:sz="4" w:space="0" w:color="auto"/>
              <w:right w:val="single" w:sz="4" w:space="0" w:color="auto"/>
            </w:tcBorders>
            <w:vAlign w:val="center"/>
            <w:hideMark/>
          </w:tcPr>
          <w:p w14:paraId="44BF63EF"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31,03</w:t>
            </w:r>
          </w:p>
        </w:tc>
        <w:tc>
          <w:tcPr>
            <w:tcW w:w="1189" w:type="dxa"/>
            <w:tcBorders>
              <w:top w:val="nil"/>
              <w:left w:val="nil"/>
              <w:bottom w:val="single" w:sz="4" w:space="0" w:color="auto"/>
              <w:right w:val="single" w:sz="4" w:space="0" w:color="auto"/>
            </w:tcBorders>
            <w:vAlign w:val="center"/>
            <w:hideMark/>
          </w:tcPr>
          <w:p w14:paraId="7D698F27"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21,37</w:t>
            </w:r>
          </w:p>
        </w:tc>
        <w:tc>
          <w:tcPr>
            <w:tcW w:w="1189" w:type="dxa"/>
            <w:tcBorders>
              <w:top w:val="nil"/>
              <w:left w:val="nil"/>
              <w:bottom w:val="single" w:sz="4" w:space="0" w:color="auto"/>
              <w:right w:val="single" w:sz="4" w:space="0" w:color="auto"/>
            </w:tcBorders>
            <w:vAlign w:val="center"/>
            <w:hideMark/>
          </w:tcPr>
          <w:p w14:paraId="55A5C85F"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2,47</w:t>
            </w:r>
          </w:p>
        </w:tc>
        <w:tc>
          <w:tcPr>
            <w:tcW w:w="1189" w:type="dxa"/>
            <w:tcBorders>
              <w:top w:val="nil"/>
              <w:left w:val="nil"/>
              <w:bottom w:val="single" w:sz="4" w:space="0" w:color="auto"/>
              <w:right w:val="single" w:sz="4" w:space="0" w:color="auto"/>
            </w:tcBorders>
            <w:vAlign w:val="center"/>
            <w:hideMark/>
          </w:tcPr>
          <w:p w14:paraId="5404D26E"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19,45</w:t>
            </w:r>
          </w:p>
        </w:tc>
        <w:tc>
          <w:tcPr>
            <w:tcW w:w="1189" w:type="dxa"/>
            <w:tcBorders>
              <w:top w:val="nil"/>
              <w:left w:val="nil"/>
              <w:bottom w:val="single" w:sz="4" w:space="0" w:color="auto"/>
              <w:right w:val="single" w:sz="4" w:space="0" w:color="auto"/>
            </w:tcBorders>
            <w:vAlign w:val="center"/>
            <w:hideMark/>
          </w:tcPr>
          <w:p w14:paraId="5809B1B5"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11,54</w:t>
            </w:r>
          </w:p>
        </w:tc>
        <w:tc>
          <w:tcPr>
            <w:tcW w:w="1189" w:type="dxa"/>
            <w:tcBorders>
              <w:top w:val="nil"/>
              <w:left w:val="nil"/>
              <w:bottom w:val="single" w:sz="4" w:space="0" w:color="auto"/>
              <w:right w:val="single" w:sz="4" w:space="0" w:color="auto"/>
            </w:tcBorders>
            <w:vAlign w:val="center"/>
            <w:hideMark/>
          </w:tcPr>
          <w:p w14:paraId="06F34E3D"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7,03</w:t>
            </w:r>
          </w:p>
        </w:tc>
        <w:tc>
          <w:tcPr>
            <w:tcW w:w="1590" w:type="dxa"/>
            <w:tcBorders>
              <w:top w:val="nil"/>
              <w:left w:val="nil"/>
              <w:bottom w:val="single" w:sz="4" w:space="0" w:color="auto"/>
              <w:right w:val="single" w:sz="4" w:space="0" w:color="auto"/>
            </w:tcBorders>
            <w:vAlign w:val="center"/>
            <w:hideMark/>
          </w:tcPr>
          <w:p w14:paraId="3F0D39B3"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12,06</w:t>
            </w:r>
          </w:p>
        </w:tc>
        <w:tc>
          <w:tcPr>
            <w:tcW w:w="1590" w:type="dxa"/>
            <w:tcBorders>
              <w:top w:val="nil"/>
              <w:left w:val="nil"/>
              <w:bottom w:val="single" w:sz="4" w:space="0" w:color="auto"/>
              <w:right w:val="single" w:sz="4" w:space="0" w:color="auto"/>
            </w:tcBorders>
            <w:vAlign w:val="center"/>
            <w:hideMark/>
          </w:tcPr>
          <w:p w14:paraId="796B6310"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15,86</w:t>
            </w:r>
          </w:p>
        </w:tc>
      </w:tr>
      <w:tr w:rsidR="00F8495B" w:rsidRPr="005534D4" w14:paraId="4D1FAA18" w14:textId="77777777" w:rsidTr="00390A1B">
        <w:trPr>
          <w:trHeight w:val="20"/>
          <w:jc w:val="center"/>
        </w:trPr>
        <w:tc>
          <w:tcPr>
            <w:tcW w:w="2998" w:type="dxa"/>
            <w:tcBorders>
              <w:top w:val="nil"/>
              <w:left w:val="single" w:sz="4" w:space="0" w:color="auto"/>
              <w:bottom w:val="single" w:sz="4" w:space="0" w:color="auto"/>
              <w:right w:val="single" w:sz="4" w:space="0" w:color="auto"/>
            </w:tcBorders>
            <w:vAlign w:val="center"/>
            <w:hideMark/>
          </w:tcPr>
          <w:p w14:paraId="316DE895" w14:textId="77777777" w:rsidR="00F8495B" w:rsidRPr="005534D4" w:rsidRDefault="00F8495B" w:rsidP="00390A1B">
            <w:pPr>
              <w:spacing w:after="0" w:line="240" w:lineRule="auto"/>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Other Heads</w:t>
            </w:r>
          </w:p>
        </w:tc>
        <w:tc>
          <w:tcPr>
            <w:tcW w:w="971" w:type="dxa"/>
            <w:tcBorders>
              <w:top w:val="nil"/>
              <w:left w:val="nil"/>
              <w:bottom w:val="single" w:sz="4" w:space="0" w:color="auto"/>
              <w:right w:val="single" w:sz="4" w:space="0" w:color="auto"/>
            </w:tcBorders>
            <w:vAlign w:val="center"/>
            <w:hideMark/>
          </w:tcPr>
          <w:p w14:paraId="608057EC"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49</w:t>
            </w:r>
          </w:p>
        </w:tc>
        <w:tc>
          <w:tcPr>
            <w:tcW w:w="971" w:type="dxa"/>
            <w:tcBorders>
              <w:top w:val="nil"/>
              <w:left w:val="nil"/>
              <w:bottom w:val="single" w:sz="4" w:space="0" w:color="auto"/>
              <w:right w:val="single" w:sz="4" w:space="0" w:color="auto"/>
            </w:tcBorders>
            <w:vAlign w:val="center"/>
            <w:hideMark/>
          </w:tcPr>
          <w:p w14:paraId="36B9D0A0"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49</w:t>
            </w:r>
          </w:p>
        </w:tc>
        <w:tc>
          <w:tcPr>
            <w:tcW w:w="1189" w:type="dxa"/>
            <w:tcBorders>
              <w:top w:val="nil"/>
              <w:left w:val="nil"/>
              <w:bottom w:val="single" w:sz="4" w:space="0" w:color="auto"/>
              <w:right w:val="single" w:sz="4" w:space="0" w:color="auto"/>
            </w:tcBorders>
            <w:vAlign w:val="center"/>
            <w:hideMark/>
          </w:tcPr>
          <w:p w14:paraId="11856671"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2,20</w:t>
            </w:r>
          </w:p>
        </w:tc>
        <w:tc>
          <w:tcPr>
            <w:tcW w:w="1189" w:type="dxa"/>
            <w:tcBorders>
              <w:top w:val="nil"/>
              <w:left w:val="nil"/>
              <w:bottom w:val="single" w:sz="4" w:space="0" w:color="auto"/>
              <w:right w:val="single" w:sz="4" w:space="0" w:color="auto"/>
            </w:tcBorders>
            <w:vAlign w:val="center"/>
            <w:hideMark/>
          </w:tcPr>
          <w:p w14:paraId="45B7A822"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1,70</w:t>
            </w:r>
          </w:p>
        </w:tc>
        <w:tc>
          <w:tcPr>
            <w:tcW w:w="1189" w:type="dxa"/>
            <w:tcBorders>
              <w:top w:val="nil"/>
              <w:left w:val="nil"/>
              <w:bottom w:val="single" w:sz="4" w:space="0" w:color="auto"/>
              <w:right w:val="single" w:sz="4" w:space="0" w:color="auto"/>
            </w:tcBorders>
            <w:vAlign w:val="center"/>
            <w:hideMark/>
          </w:tcPr>
          <w:p w14:paraId="31BA0B33"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1,81</w:t>
            </w:r>
          </w:p>
        </w:tc>
        <w:tc>
          <w:tcPr>
            <w:tcW w:w="1189" w:type="dxa"/>
            <w:tcBorders>
              <w:top w:val="nil"/>
              <w:left w:val="nil"/>
              <w:bottom w:val="single" w:sz="4" w:space="0" w:color="auto"/>
              <w:right w:val="single" w:sz="4" w:space="0" w:color="auto"/>
            </w:tcBorders>
            <w:vAlign w:val="center"/>
            <w:hideMark/>
          </w:tcPr>
          <w:p w14:paraId="494C7E1E"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2,19</w:t>
            </w:r>
          </w:p>
        </w:tc>
        <w:tc>
          <w:tcPr>
            <w:tcW w:w="1189" w:type="dxa"/>
            <w:tcBorders>
              <w:top w:val="nil"/>
              <w:left w:val="nil"/>
              <w:bottom w:val="single" w:sz="4" w:space="0" w:color="auto"/>
              <w:right w:val="single" w:sz="4" w:space="0" w:color="auto"/>
            </w:tcBorders>
            <w:vAlign w:val="center"/>
            <w:hideMark/>
          </w:tcPr>
          <w:p w14:paraId="168F0F88"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2,16</w:t>
            </w:r>
          </w:p>
        </w:tc>
        <w:tc>
          <w:tcPr>
            <w:tcW w:w="1189" w:type="dxa"/>
            <w:tcBorders>
              <w:top w:val="nil"/>
              <w:left w:val="nil"/>
              <w:bottom w:val="single" w:sz="4" w:space="0" w:color="auto"/>
              <w:right w:val="single" w:sz="4" w:space="0" w:color="auto"/>
            </w:tcBorders>
            <w:vAlign w:val="center"/>
            <w:hideMark/>
          </w:tcPr>
          <w:p w14:paraId="09538497"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2,77</w:t>
            </w:r>
          </w:p>
        </w:tc>
        <w:tc>
          <w:tcPr>
            <w:tcW w:w="1590" w:type="dxa"/>
            <w:tcBorders>
              <w:top w:val="nil"/>
              <w:left w:val="nil"/>
              <w:bottom w:val="single" w:sz="4" w:space="0" w:color="auto"/>
              <w:right w:val="single" w:sz="4" w:space="0" w:color="auto"/>
            </w:tcBorders>
            <w:vAlign w:val="center"/>
            <w:hideMark/>
          </w:tcPr>
          <w:p w14:paraId="64124076"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3,07</w:t>
            </w:r>
          </w:p>
        </w:tc>
        <w:tc>
          <w:tcPr>
            <w:tcW w:w="1590" w:type="dxa"/>
            <w:tcBorders>
              <w:top w:val="nil"/>
              <w:left w:val="nil"/>
              <w:bottom w:val="single" w:sz="4" w:space="0" w:color="auto"/>
              <w:right w:val="single" w:sz="4" w:space="0" w:color="auto"/>
            </w:tcBorders>
            <w:vAlign w:val="center"/>
            <w:hideMark/>
          </w:tcPr>
          <w:p w14:paraId="2B3FE422"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3,38</w:t>
            </w:r>
          </w:p>
        </w:tc>
      </w:tr>
      <w:tr w:rsidR="00F8495B" w:rsidRPr="005534D4" w14:paraId="72C7BBCA" w14:textId="77777777" w:rsidTr="00390A1B">
        <w:trPr>
          <w:trHeight w:val="20"/>
          <w:jc w:val="center"/>
        </w:trPr>
        <w:tc>
          <w:tcPr>
            <w:tcW w:w="2998" w:type="dxa"/>
            <w:tcBorders>
              <w:top w:val="nil"/>
              <w:left w:val="single" w:sz="4" w:space="0" w:color="auto"/>
              <w:bottom w:val="single" w:sz="4" w:space="0" w:color="auto"/>
              <w:right w:val="single" w:sz="4" w:space="0" w:color="auto"/>
            </w:tcBorders>
            <w:vAlign w:val="center"/>
            <w:hideMark/>
          </w:tcPr>
          <w:p w14:paraId="52CD27F8" w14:textId="77777777" w:rsidR="00F8495B" w:rsidRPr="005534D4" w:rsidRDefault="00F8495B" w:rsidP="00390A1B">
            <w:pPr>
              <w:spacing w:after="0" w:line="240" w:lineRule="auto"/>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Total</w:t>
            </w:r>
          </w:p>
        </w:tc>
        <w:tc>
          <w:tcPr>
            <w:tcW w:w="971" w:type="dxa"/>
            <w:tcBorders>
              <w:top w:val="nil"/>
              <w:left w:val="nil"/>
              <w:bottom w:val="single" w:sz="4" w:space="0" w:color="auto"/>
              <w:right w:val="single" w:sz="4" w:space="0" w:color="auto"/>
            </w:tcBorders>
            <w:vAlign w:val="center"/>
            <w:hideMark/>
          </w:tcPr>
          <w:p w14:paraId="2383395A"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86,61</w:t>
            </w:r>
          </w:p>
        </w:tc>
        <w:tc>
          <w:tcPr>
            <w:tcW w:w="971" w:type="dxa"/>
            <w:tcBorders>
              <w:top w:val="nil"/>
              <w:left w:val="nil"/>
              <w:bottom w:val="single" w:sz="4" w:space="0" w:color="auto"/>
              <w:right w:val="single" w:sz="4" w:space="0" w:color="auto"/>
            </w:tcBorders>
            <w:vAlign w:val="center"/>
            <w:hideMark/>
          </w:tcPr>
          <w:p w14:paraId="7C3BE684"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85,15</w:t>
            </w:r>
          </w:p>
        </w:tc>
        <w:tc>
          <w:tcPr>
            <w:tcW w:w="1189" w:type="dxa"/>
            <w:tcBorders>
              <w:top w:val="nil"/>
              <w:left w:val="nil"/>
              <w:bottom w:val="single" w:sz="4" w:space="0" w:color="auto"/>
              <w:right w:val="single" w:sz="4" w:space="0" w:color="auto"/>
            </w:tcBorders>
            <w:vAlign w:val="center"/>
            <w:hideMark/>
          </w:tcPr>
          <w:p w14:paraId="21075855"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4,96,26</w:t>
            </w:r>
          </w:p>
        </w:tc>
        <w:tc>
          <w:tcPr>
            <w:tcW w:w="1189" w:type="dxa"/>
            <w:tcBorders>
              <w:top w:val="nil"/>
              <w:left w:val="nil"/>
              <w:bottom w:val="single" w:sz="4" w:space="0" w:color="auto"/>
              <w:right w:val="single" w:sz="4" w:space="0" w:color="auto"/>
            </w:tcBorders>
            <w:vAlign w:val="center"/>
            <w:hideMark/>
          </w:tcPr>
          <w:p w14:paraId="31D46A74"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4,84,63</w:t>
            </w:r>
          </w:p>
        </w:tc>
        <w:tc>
          <w:tcPr>
            <w:tcW w:w="1189" w:type="dxa"/>
            <w:tcBorders>
              <w:top w:val="nil"/>
              <w:left w:val="nil"/>
              <w:bottom w:val="single" w:sz="4" w:space="0" w:color="auto"/>
              <w:right w:val="single" w:sz="4" w:space="0" w:color="auto"/>
            </w:tcBorders>
            <w:vAlign w:val="center"/>
            <w:hideMark/>
          </w:tcPr>
          <w:p w14:paraId="3D04B91C"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3,43,49</w:t>
            </w:r>
          </w:p>
        </w:tc>
        <w:tc>
          <w:tcPr>
            <w:tcW w:w="1189" w:type="dxa"/>
            <w:tcBorders>
              <w:top w:val="nil"/>
              <w:left w:val="nil"/>
              <w:bottom w:val="single" w:sz="4" w:space="0" w:color="auto"/>
              <w:right w:val="single" w:sz="4" w:space="0" w:color="auto"/>
            </w:tcBorders>
            <w:vAlign w:val="center"/>
            <w:hideMark/>
          </w:tcPr>
          <w:p w14:paraId="793E4042"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3,20,86</w:t>
            </w:r>
          </w:p>
        </w:tc>
        <w:tc>
          <w:tcPr>
            <w:tcW w:w="1189" w:type="dxa"/>
            <w:tcBorders>
              <w:top w:val="nil"/>
              <w:left w:val="nil"/>
              <w:bottom w:val="single" w:sz="4" w:space="0" w:color="auto"/>
              <w:right w:val="single" w:sz="4" w:space="0" w:color="auto"/>
            </w:tcBorders>
            <w:vAlign w:val="center"/>
            <w:hideMark/>
          </w:tcPr>
          <w:p w14:paraId="6434230E"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3,17,12</w:t>
            </w:r>
          </w:p>
        </w:tc>
        <w:tc>
          <w:tcPr>
            <w:tcW w:w="1189" w:type="dxa"/>
            <w:tcBorders>
              <w:top w:val="nil"/>
              <w:left w:val="nil"/>
              <w:bottom w:val="single" w:sz="4" w:space="0" w:color="auto"/>
              <w:right w:val="single" w:sz="4" w:space="0" w:color="auto"/>
            </w:tcBorders>
            <w:vAlign w:val="center"/>
            <w:hideMark/>
          </w:tcPr>
          <w:p w14:paraId="3F31AC53"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3,51,44</w:t>
            </w:r>
          </w:p>
        </w:tc>
        <w:tc>
          <w:tcPr>
            <w:tcW w:w="1590" w:type="dxa"/>
            <w:tcBorders>
              <w:top w:val="nil"/>
              <w:left w:val="nil"/>
              <w:bottom w:val="single" w:sz="4" w:space="0" w:color="auto"/>
              <w:right w:val="single" w:sz="4" w:space="0" w:color="auto"/>
            </w:tcBorders>
            <w:vAlign w:val="center"/>
            <w:hideMark/>
          </w:tcPr>
          <w:p w14:paraId="6FACB6A1"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4,05,06</w:t>
            </w:r>
          </w:p>
        </w:tc>
        <w:tc>
          <w:tcPr>
            <w:tcW w:w="1590" w:type="dxa"/>
            <w:tcBorders>
              <w:top w:val="nil"/>
              <w:left w:val="nil"/>
              <w:bottom w:val="single" w:sz="4" w:space="0" w:color="auto"/>
              <w:right w:val="single" w:sz="4" w:space="0" w:color="auto"/>
            </w:tcBorders>
            <w:vAlign w:val="center"/>
            <w:hideMark/>
          </w:tcPr>
          <w:p w14:paraId="4FE72D75"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4,01,25</w:t>
            </w:r>
          </w:p>
        </w:tc>
      </w:tr>
      <w:tr w:rsidR="00F8495B" w:rsidRPr="005534D4" w14:paraId="5E566E84" w14:textId="77777777" w:rsidTr="00390A1B">
        <w:trPr>
          <w:trHeight w:val="20"/>
          <w:jc w:val="center"/>
        </w:trPr>
        <w:tc>
          <w:tcPr>
            <w:tcW w:w="2998" w:type="dxa"/>
            <w:tcBorders>
              <w:top w:val="nil"/>
              <w:left w:val="single" w:sz="4" w:space="0" w:color="auto"/>
              <w:bottom w:val="single" w:sz="4" w:space="0" w:color="auto"/>
              <w:right w:val="single" w:sz="4" w:space="0" w:color="auto"/>
            </w:tcBorders>
            <w:vAlign w:val="center"/>
            <w:hideMark/>
          </w:tcPr>
          <w:p w14:paraId="737C2FDD" w14:textId="77777777" w:rsidR="00F8495B" w:rsidRPr="005534D4" w:rsidRDefault="00F8495B" w:rsidP="00390A1B">
            <w:pPr>
              <w:spacing w:after="0" w:line="240" w:lineRule="auto"/>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Surplus (+) or Deficit (—)</w:t>
            </w:r>
          </w:p>
        </w:tc>
        <w:tc>
          <w:tcPr>
            <w:tcW w:w="971" w:type="dxa"/>
            <w:tcBorders>
              <w:top w:val="nil"/>
              <w:left w:val="nil"/>
              <w:bottom w:val="single" w:sz="4" w:space="0" w:color="auto"/>
              <w:right w:val="single" w:sz="4" w:space="0" w:color="auto"/>
            </w:tcBorders>
            <w:vAlign w:val="center"/>
            <w:hideMark/>
          </w:tcPr>
          <w:p w14:paraId="7E45184F"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w:t>
            </w:r>
          </w:p>
        </w:tc>
        <w:tc>
          <w:tcPr>
            <w:tcW w:w="971" w:type="dxa"/>
            <w:tcBorders>
              <w:top w:val="nil"/>
              <w:left w:val="nil"/>
              <w:bottom w:val="single" w:sz="4" w:space="0" w:color="auto"/>
              <w:right w:val="single" w:sz="4" w:space="0" w:color="auto"/>
            </w:tcBorders>
            <w:vAlign w:val="center"/>
            <w:hideMark/>
          </w:tcPr>
          <w:p w14:paraId="3BC2859C"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—64</w:t>
            </w:r>
          </w:p>
        </w:tc>
        <w:tc>
          <w:tcPr>
            <w:tcW w:w="1189" w:type="dxa"/>
            <w:tcBorders>
              <w:top w:val="nil"/>
              <w:left w:val="nil"/>
              <w:bottom w:val="single" w:sz="4" w:space="0" w:color="auto"/>
              <w:right w:val="single" w:sz="4" w:space="0" w:color="auto"/>
            </w:tcBorders>
            <w:vAlign w:val="center"/>
            <w:hideMark/>
          </w:tcPr>
          <w:p w14:paraId="308C95B4"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—1,60,55</w:t>
            </w:r>
          </w:p>
        </w:tc>
        <w:tc>
          <w:tcPr>
            <w:tcW w:w="1189" w:type="dxa"/>
            <w:tcBorders>
              <w:top w:val="nil"/>
              <w:left w:val="nil"/>
              <w:bottom w:val="single" w:sz="4" w:space="0" w:color="auto"/>
              <w:right w:val="single" w:sz="4" w:space="0" w:color="auto"/>
            </w:tcBorders>
            <w:vAlign w:val="center"/>
            <w:hideMark/>
          </w:tcPr>
          <w:p w14:paraId="1C57E0AD"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—1,23,43</w:t>
            </w:r>
          </w:p>
        </w:tc>
        <w:tc>
          <w:tcPr>
            <w:tcW w:w="1189" w:type="dxa"/>
            <w:tcBorders>
              <w:top w:val="nil"/>
              <w:left w:val="nil"/>
              <w:bottom w:val="single" w:sz="4" w:space="0" w:color="auto"/>
              <w:right w:val="single" w:sz="4" w:space="0" w:color="auto"/>
            </w:tcBorders>
            <w:vAlign w:val="center"/>
            <w:hideMark/>
          </w:tcPr>
          <w:p w14:paraId="72530EDB"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—60</w:t>
            </w:r>
          </w:p>
        </w:tc>
        <w:tc>
          <w:tcPr>
            <w:tcW w:w="1189" w:type="dxa"/>
            <w:tcBorders>
              <w:top w:val="nil"/>
              <w:left w:val="nil"/>
              <w:bottom w:val="single" w:sz="4" w:space="0" w:color="auto"/>
              <w:right w:val="single" w:sz="4" w:space="0" w:color="auto"/>
            </w:tcBorders>
            <w:vAlign w:val="center"/>
            <w:hideMark/>
          </w:tcPr>
          <w:p w14:paraId="776DE8BB"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+50,84</w:t>
            </w:r>
          </w:p>
        </w:tc>
        <w:tc>
          <w:tcPr>
            <w:tcW w:w="1189" w:type="dxa"/>
            <w:tcBorders>
              <w:top w:val="nil"/>
              <w:left w:val="nil"/>
              <w:bottom w:val="single" w:sz="4" w:space="0" w:color="auto"/>
              <w:right w:val="single" w:sz="4" w:space="0" w:color="auto"/>
            </w:tcBorders>
            <w:vAlign w:val="center"/>
            <w:hideMark/>
          </w:tcPr>
          <w:p w14:paraId="4E8653D4"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+33,27</w:t>
            </w:r>
          </w:p>
        </w:tc>
        <w:tc>
          <w:tcPr>
            <w:tcW w:w="1189" w:type="dxa"/>
            <w:tcBorders>
              <w:top w:val="nil"/>
              <w:left w:val="nil"/>
              <w:bottom w:val="single" w:sz="4" w:space="0" w:color="auto"/>
              <w:right w:val="single" w:sz="4" w:space="0" w:color="auto"/>
            </w:tcBorders>
            <w:vAlign w:val="center"/>
            <w:hideMark/>
          </w:tcPr>
          <w:p w14:paraId="124ADCA3"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+59,22</w:t>
            </w:r>
          </w:p>
        </w:tc>
        <w:tc>
          <w:tcPr>
            <w:tcW w:w="1590" w:type="dxa"/>
            <w:tcBorders>
              <w:top w:val="nil"/>
              <w:left w:val="nil"/>
              <w:bottom w:val="single" w:sz="4" w:space="0" w:color="auto"/>
              <w:right w:val="single" w:sz="4" w:space="0" w:color="auto"/>
            </w:tcBorders>
            <w:vAlign w:val="center"/>
            <w:hideMark/>
          </w:tcPr>
          <w:p w14:paraId="5CFF0CEA"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+92,61</w:t>
            </w:r>
          </w:p>
        </w:tc>
        <w:tc>
          <w:tcPr>
            <w:tcW w:w="1590" w:type="dxa"/>
            <w:tcBorders>
              <w:top w:val="nil"/>
              <w:left w:val="nil"/>
              <w:bottom w:val="single" w:sz="4" w:space="0" w:color="auto"/>
              <w:right w:val="single" w:sz="4" w:space="0" w:color="auto"/>
            </w:tcBorders>
            <w:vAlign w:val="center"/>
            <w:hideMark/>
          </w:tcPr>
          <w:p w14:paraId="3F9F5396" w14:textId="77777777" w:rsidR="00F8495B" w:rsidRPr="005534D4" w:rsidRDefault="00F8495B" w:rsidP="00F8495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+3,73</w:t>
            </w:r>
          </w:p>
        </w:tc>
      </w:tr>
    </w:tbl>
    <w:p w14:paraId="750759FD" w14:textId="3D16923A" w:rsidR="00F8495B" w:rsidRPr="004F453F" w:rsidRDefault="00390A1B" w:rsidP="00F8495B">
      <w:pPr>
        <w:pStyle w:val="NoSpacing"/>
        <w:jc w:val="center"/>
        <w:rPr>
          <w:rFonts w:ascii="Times New Roman" w:hAnsi="Times New Roman" w:cs="Times New Roman"/>
          <w:szCs w:val="24"/>
        </w:rPr>
      </w:pPr>
      <w:r w:rsidRPr="004F453F">
        <w:rPr>
          <w:rFonts w:ascii="Times New Roman" w:hAnsi="Times New Roman" w:cs="Times New Roman"/>
          <w:szCs w:val="24"/>
          <w:highlight w:val="yellow"/>
        </w:rPr>
        <w:t>(a) ……</w:t>
      </w:r>
      <w:r w:rsidR="005534D4" w:rsidRPr="004F453F">
        <w:rPr>
          <w:rFonts w:ascii="Times New Roman" w:hAnsi="Times New Roman" w:cs="Times New Roman"/>
          <w:szCs w:val="24"/>
          <w:highlight w:val="yellow"/>
        </w:rPr>
        <w:t>(</w:t>
      </w:r>
      <w:r w:rsidR="005534D4" w:rsidRPr="004F453F">
        <w:rPr>
          <w:rFonts w:ascii="Times New Roman" w:hAnsi="Times New Roman" w:cs="Times New Roman"/>
          <w:szCs w:val="24"/>
        </w:rPr>
        <w:t>b) Including appropriations for reduc</w:t>
      </w:r>
      <w:r w:rsidR="00F8495B" w:rsidRPr="004F453F">
        <w:rPr>
          <w:rFonts w:ascii="Times New Roman" w:hAnsi="Times New Roman" w:cs="Times New Roman"/>
          <w:szCs w:val="24"/>
        </w:rPr>
        <w:t>tion or avoidance of debt. (c) Including Block grant for transfer to Central Road Fund.</w:t>
      </w:r>
    </w:p>
    <w:p w14:paraId="0FA6BF87" w14:textId="77777777" w:rsidR="00F8495B" w:rsidRPr="005534D4" w:rsidRDefault="00F8495B" w:rsidP="00F8495B">
      <w:pPr>
        <w:pStyle w:val="NoSpacing"/>
        <w:jc w:val="center"/>
        <w:rPr>
          <w:rFonts w:ascii="Times New Roman" w:hAnsi="Times New Roman" w:cs="Times New Roman"/>
          <w:b/>
          <w:bCs/>
          <w:szCs w:val="24"/>
        </w:rPr>
        <w:sectPr w:rsidR="00F8495B" w:rsidRPr="005534D4" w:rsidSect="00F8495B">
          <w:pgSz w:w="16838" w:h="11906" w:orient="landscape"/>
          <w:pgMar w:top="1134" w:right="1440" w:bottom="1440" w:left="1440" w:header="709" w:footer="709" w:gutter="0"/>
          <w:cols w:space="708"/>
          <w:docGrid w:linePitch="360"/>
        </w:sectPr>
      </w:pPr>
    </w:p>
    <w:p w14:paraId="493595A9" w14:textId="752A0687" w:rsidR="0094560F" w:rsidRPr="005534D4" w:rsidRDefault="005534D4" w:rsidP="0075507D">
      <w:pPr>
        <w:pStyle w:val="Heading3"/>
      </w:pPr>
      <w:bookmarkStart w:id="26" w:name="_Toc221007135"/>
      <w:r>
        <w:lastRenderedPageBreak/>
        <w:t xml:space="preserve">4. </w:t>
      </w:r>
      <w:r w:rsidR="00C40CC2" w:rsidRPr="005534D4">
        <w:t>Revenue and Expenditure of Part A and Part B States</w:t>
      </w:r>
      <w:r w:rsidR="0094560F" w:rsidRPr="005534D4">
        <w:t>—1950-51 to 1952-53</w:t>
      </w:r>
      <w:bookmarkEnd w:id="26"/>
    </w:p>
    <w:p w14:paraId="42E6B9D4" w14:textId="06C6CCE2" w:rsidR="0094560F" w:rsidRPr="005534D4" w:rsidRDefault="0094560F" w:rsidP="0094560F">
      <w:pPr>
        <w:pStyle w:val="NoSpacing"/>
        <w:jc w:val="center"/>
        <w:rPr>
          <w:rFonts w:ascii="Times New Roman" w:hAnsi="Times New Roman" w:cs="Times New Roman"/>
          <w:szCs w:val="24"/>
        </w:rPr>
      </w:pPr>
      <w:r w:rsidRPr="005534D4">
        <w:rPr>
          <w:rFonts w:ascii="Times New Roman" w:hAnsi="Times New Roman" w:cs="Times New Roman"/>
          <w:szCs w:val="24"/>
        </w:rPr>
        <w:t>Per Capita figures (in rupees) are given in italics along-side the figures for Total Revenue/Expenditure</w:t>
      </w:r>
    </w:p>
    <w:p w14:paraId="53E30789" w14:textId="77777777" w:rsidR="00C40CC2" w:rsidRPr="005534D4" w:rsidRDefault="00C40CC2" w:rsidP="00C40CC2">
      <w:pPr>
        <w:pStyle w:val="NoSpacing"/>
        <w:rPr>
          <w:rFonts w:ascii="Times New Roman" w:hAnsi="Times New Roman" w:cs="Times New Roman"/>
          <w:b/>
          <w:bCs/>
          <w:szCs w:val="24"/>
        </w:rPr>
      </w:pPr>
    </w:p>
    <w:tbl>
      <w:tblPr>
        <w:tblW w:w="14593" w:type="dxa"/>
        <w:jc w:val="center"/>
        <w:tblLook w:val="04A0" w:firstRow="1" w:lastRow="0" w:firstColumn="1" w:lastColumn="0" w:noHBand="0" w:noVBand="1"/>
      </w:tblPr>
      <w:tblGrid>
        <w:gridCol w:w="1701"/>
        <w:gridCol w:w="1244"/>
        <w:gridCol w:w="957"/>
        <w:gridCol w:w="1254"/>
        <w:gridCol w:w="956"/>
        <w:gridCol w:w="1163"/>
        <w:gridCol w:w="956"/>
        <w:gridCol w:w="1163"/>
        <w:gridCol w:w="956"/>
        <w:gridCol w:w="1163"/>
        <w:gridCol w:w="956"/>
        <w:gridCol w:w="1163"/>
        <w:gridCol w:w="955"/>
        <w:gridCol w:w="6"/>
      </w:tblGrid>
      <w:tr w:rsidR="00F7700C" w:rsidRPr="005534D4" w14:paraId="34A96676" w14:textId="77777777" w:rsidTr="00F7700C">
        <w:trPr>
          <w:trHeight w:val="20"/>
          <w:jc w:val="center"/>
        </w:trPr>
        <w:tc>
          <w:tcPr>
            <w:tcW w:w="1700" w:type="dxa"/>
            <w:tcBorders>
              <w:top w:val="single" w:sz="4" w:space="0" w:color="auto"/>
              <w:left w:val="single" w:sz="4" w:space="0" w:color="auto"/>
              <w:bottom w:val="single" w:sz="4" w:space="0" w:color="auto"/>
              <w:right w:val="single" w:sz="4" w:space="0" w:color="auto"/>
            </w:tcBorders>
            <w:vAlign w:val="center"/>
            <w:hideMark/>
          </w:tcPr>
          <w:p w14:paraId="72D0D2B5" w14:textId="0BC354CE" w:rsidR="00F7700C" w:rsidRPr="00C91D91" w:rsidRDefault="00F7700C" w:rsidP="00F7700C">
            <w:pPr>
              <w:spacing w:after="0" w:line="240" w:lineRule="auto"/>
              <w:jc w:val="center"/>
              <w:rPr>
                <w:rFonts w:ascii="Times New Roman" w:eastAsia="Times New Roman" w:hAnsi="Times New Roman" w:cs="Times New Roman"/>
                <w:b/>
                <w:bCs/>
                <w:color w:val="000000"/>
                <w:kern w:val="0"/>
                <w:sz w:val="28"/>
                <w:szCs w:val="28"/>
                <w:lang w:eastAsia="en-IN"/>
                <w14:ligatures w14:val="none"/>
              </w:rPr>
            </w:pPr>
          </w:p>
        </w:tc>
        <w:tc>
          <w:tcPr>
            <w:tcW w:w="4413" w:type="dxa"/>
            <w:gridSpan w:val="4"/>
            <w:tcBorders>
              <w:top w:val="single" w:sz="4" w:space="0" w:color="auto"/>
              <w:left w:val="nil"/>
              <w:bottom w:val="single" w:sz="4" w:space="0" w:color="auto"/>
              <w:right w:val="single" w:sz="4" w:space="0" w:color="auto"/>
            </w:tcBorders>
            <w:vAlign w:val="center"/>
            <w:hideMark/>
          </w:tcPr>
          <w:p w14:paraId="503062FD" w14:textId="77777777" w:rsidR="00F7700C" w:rsidRPr="00C91D91" w:rsidRDefault="00F7700C" w:rsidP="00F7700C">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C91D91">
              <w:rPr>
                <w:rFonts w:ascii="Times New Roman" w:eastAsia="Times New Roman" w:hAnsi="Times New Roman" w:cs="Times New Roman"/>
                <w:b/>
                <w:bCs/>
                <w:color w:val="000000"/>
                <w:kern w:val="0"/>
                <w:sz w:val="28"/>
                <w:szCs w:val="28"/>
                <w:lang w:eastAsia="en-IN"/>
                <w14:ligatures w14:val="none"/>
              </w:rPr>
              <w:t>1950-51 (Accounts)</w:t>
            </w:r>
          </w:p>
        </w:tc>
        <w:tc>
          <w:tcPr>
            <w:tcW w:w="4240" w:type="dxa"/>
            <w:gridSpan w:val="4"/>
            <w:tcBorders>
              <w:top w:val="single" w:sz="4" w:space="0" w:color="auto"/>
              <w:left w:val="nil"/>
              <w:bottom w:val="single" w:sz="4" w:space="0" w:color="auto"/>
              <w:right w:val="single" w:sz="4" w:space="0" w:color="auto"/>
            </w:tcBorders>
            <w:vAlign w:val="center"/>
            <w:hideMark/>
          </w:tcPr>
          <w:p w14:paraId="6B5259DA" w14:textId="77777777" w:rsidR="00F7700C" w:rsidRPr="00C91D91" w:rsidRDefault="00F7700C" w:rsidP="00F7700C">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C91D91">
              <w:rPr>
                <w:rFonts w:ascii="Times New Roman" w:eastAsia="Times New Roman" w:hAnsi="Times New Roman" w:cs="Times New Roman"/>
                <w:b/>
                <w:bCs/>
                <w:color w:val="000000"/>
                <w:kern w:val="0"/>
                <w:sz w:val="28"/>
                <w:szCs w:val="28"/>
                <w:lang w:eastAsia="en-IN"/>
                <w14:ligatures w14:val="none"/>
              </w:rPr>
              <w:t>1951-52 (Provisional Figures)</w:t>
            </w:r>
          </w:p>
        </w:tc>
        <w:tc>
          <w:tcPr>
            <w:tcW w:w="4240" w:type="dxa"/>
            <w:gridSpan w:val="5"/>
            <w:tcBorders>
              <w:top w:val="single" w:sz="4" w:space="0" w:color="auto"/>
              <w:left w:val="nil"/>
              <w:bottom w:val="single" w:sz="4" w:space="0" w:color="auto"/>
              <w:right w:val="single" w:sz="4" w:space="0" w:color="auto"/>
            </w:tcBorders>
            <w:vAlign w:val="center"/>
            <w:hideMark/>
          </w:tcPr>
          <w:p w14:paraId="514DE725" w14:textId="77777777" w:rsidR="00F7700C" w:rsidRPr="00C91D91" w:rsidRDefault="00F7700C" w:rsidP="00F7700C">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C91D91">
              <w:rPr>
                <w:rFonts w:ascii="Times New Roman" w:eastAsia="Times New Roman" w:hAnsi="Times New Roman" w:cs="Times New Roman"/>
                <w:b/>
                <w:bCs/>
                <w:color w:val="000000"/>
                <w:kern w:val="0"/>
                <w:sz w:val="28"/>
                <w:szCs w:val="28"/>
                <w:lang w:eastAsia="en-IN"/>
                <w14:ligatures w14:val="none"/>
              </w:rPr>
              <w:t>1952-53 (Budget Estimates)</w:t>
            </w:r>
          </w:p>
        </w:tc>
      </w:tr>
      <w:tr w:rsidR="00F7700C" w:rsidRPr="005534D4" w14:paraId="38010611" w14:textId="77777777" w:rsidTr="00F7700C">
        <w:trPr>
          <w:trHeight w:val="20"/>
          <w:jc w:val="center"/>
        </w:trPr>
        <w:tc>
          <w:tcPr>
            <w:tcW w:w="1700" w:type="dxa"/>
            <w:tcBorders>
              <w:top w:val="nil"/>
              <w:left w:val="single" w:sz="4" w:space="0" w:color="auto"/>
              <w:bottom w:val="single" w:sz="4" w:space="0" w:color="auto"/>
              <w:right w:val="single" w:sz="4" w:space="0" w:color="auto"/>
            </w:tcBorders>
            <w:vAlign w:val="center"/>
            <w:hideMark/>
          </w:tcPr>
          <w:p w14:paraId="61CC858C" w14:textId="5F9923F0" w:rsidR="00F7700C" w:rsidRPr="00C91D91" w:rsidRDefault="00F7700C" w:rsidP="00F7700C">
            <w:pPr>
              <w:spacing w:after="0" w:line="240" w:lineRule="auto"/>
              <w:jc w:val="center"/>
              <w:rPr>
                <w:rFonts w:ascii="Times New Roman" w:eastAsia="Times New Roman" w:hAnsi="Times New Roman" w:cs="Times New Roman"/>
                <w:b/>
                <w:bCs/>
                <w:color w:val="000000"/>
                <w:kern w:val="0"/>
                <w:sz w:val="28"/>
                <w:szCs w:val="28"/>
                <w:lang w:eastAsia="en-IN"/>
                <w14:ligatures w14:val="none"/>
              </w:rPr>
            </w:pPr>
          </w:p>
        </w:tc>
        <w:tc>
          <w:tcPr>
            <w:tcW w:w="2202" w:type="dxa"/>
            <w:gridSpan w:val="2"/>
            <w:tcBorders>
              <w:top w:val="single" w:sz="4" w:space="0" w:color="auto"/>
              <w:left w:val="nil"/>
              <w:bottom w:val="single" w:sz="4" w:space="0" w:color="auto"/>
              <w:right w:val="single" w:sz="4" w:space="0" w:color="auto"/>
            </w:tcBorders>
            <w:vAlign w:val="center"/>
            <w:hideMark/>
          </w:tcPr>
          <w:p w14:paraId="7E2C2D0A" w14:textId="77777777" w:rsidR="00F7700C" w:rsidRPr="00C91D91" w:rsidRDefault="00F7700C" w:rsidP="00F7700C">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C91D91">
              <w:rPr>
                <w:rFonts w:ascii="Times New Roman" w:eastAsia="Times New Roman" w:hAnsi="Times New Roman" w:cs="Times New Roman"/>
                <w:b/>
                <w:bCs/>
                <w:color w:val="000000"/>
                <w:kern w:val="0"/>
                <w:sz w:val="28"/>
                <w:szCs w:val="28"/>
                <w:lang w:eastAsia="en-IN"/>
                <w14:ligatures w14:val="none"/>
              </w:rPr>
              <w:t>Revenue</w:t>
            </w:r>
          </w:p>
        </w:tc>
        <w:tc>
          <w:tcPr>
            <w:tcW w:w="2211" w:type="dxa"/>
            <w:gridSpan w:val="2"/>
            <w:tcBorders>
              <w:top w:val="single" w:sz="4" w:space="0" w:color="auto"/>
              <w:left w:val="nil"/>
              <w:bottom w:val="single" w:sz="4" w:space="0" w:color="auto"/>
              <w:right w:val="single" w:sz="4" w:space="0" w:color="auto"/>
            </w:tcBorders>
            <w:vAlign w:val="center"/>
            <w:hideMark/>
          </w:tcPr>
          <w:p w14:paraId="7FC8C906" w14:textId="77777777" w:rsidR="00F7700C" w:rsidRPr="00C91D91" w:rsidRDefault="00F7700C" w:rsidP="00F7700C">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C91D91">
              <w:rPr>
                <w:rFonts w:ascii="Times New Roman" w:eastAsia="Times New Roman" w:hAnsi="Times New Roman" w:cs="Times New Roman"/>
                <w:b/>
                <w:bCs/>
                <w:color w:val="000000"/>
                <w:kern w:val="0"/>
                <w:sz w:val="28"/>
                <w:szCs w:val="28"/>
                <w:lang w:eastAsia="en-IN"/>
                <w14:ligatures w14:val="none"/>
              </w:rPr>
              <w:t>Expenditure</w:t>
            </w:r>
          </w:p>
        </w:tc>
        <w:tc>
          <w:tcPr>
            <w:tcW w:w="2120" w:type="dxa"/>
            <w:gridSpan w:val="2"/>
            <w:tcBorders>
              <w:top w:val="single" w:sz="4" w:space="0" w:color="auto"/>
              <w:left w:val="nil"/>
              <w:bottom w:val="single" w:sz="4" w:space="0" w:color="auto"/>
              <w:right w:val="single" w:sz="4" w:space="0" w:color="auto"/>
            </w:tcBorders>
            <w:vAlign w:val="center"/>
            <w:hideMark/>
          </w:tcPr>
          <w:p w14:paraId="54D4D6B3" w14:textId="77777777" w:rsidR="00F7700C" w:rsidRPr="00C91D91" w:rsidRDefault="00F7700C" w:rsidP="00F7700C">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C91D91">
              <w:rPr>
                <w:rFonts w:ascii="Times New Roman" w:eastAsia="Times New Roman" w:hAnsi="Times New Roman" w:cs="Times New Roman"/>
                <w:b/>
                <w:bCs/>
                <w:color w:val="000000"/>
                <w:kern w:val="0"/>
                <w:sz w:val="28"/>
                <w:szCs w:val="28"/>
                <w:lang w:eastAsia="en-IN"/>
                <w14:ligatures w14:val="none"/>
              </w:rPr>
              <w:t>Revenue</w:t>
            </w:r>
          </w:p>
        </w:tc>
        <w:tc>
          <w:tcPr>
            <w:tcW w:w="2120" w:type="dxa"/>
            <w:gridSpan w:val="2"/>
            <w:tcBorders>
              <w:top w:val="single" w:sz="4" w:space="0" w:color="auto"/>
              <w:left w:val="nil"/>
              <w:bottom w:val="single" w:sz="4" w:space="0" w:color="auto"/>
              <w:right w:val="single" w:sz="4" w:space="0" w:color="auto"/>
            </w:tcBorders>
            <w:vAlign w:val="center"/>
            <w:hideMark/>
          </w:tcPr>
          <w:p w14:paraId="043D840C" w14:textId="77777777" w:rsidR="00F7700C" w:rsidRPr="00C91D91" w:rsidRDefault="00F7700C" w:rsidP="00F7700C">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C91D91">
              <w:rPr>
                <w:rFonts w:ascii="Times New Roman" w:eastAsia="Times New Roman" w:hAnsi="Times New Roman" w:cs="Times New Roman"/>
                <w:b/>
                <w:bCs/>
                <w:color w:val="000000"/>
                <w:kern w:val="0"/>
                <w:sz w:val="28"/>
                <w:szCs w:val="28"/>
                <w:lang w:eastAsia="en-IN"/>
                <w14:ligatures w14:val="none"/>
              </w:rPr>
              <w:t>Expenditure</w:t>
            </w:r>
          </w:p>
        </w:tc>
        <w:tc>
          <w:tcPr>
            <w:tcW w:w="2120" w:type="dxa"/>
            <w:gridSpan w:val="2"/>
            <w:tcBorders>
              <w:top w:val="single" w:sz="4" w:space="0" w:color="auto"/>
              <w:left w:val="nil"/>
              <w:bottom w:val="single" w:sz="4" w:space="0" w:color="auto"/>
              <w:right w:val="single" w:sz="4" w:space="0" w:color="auto"/>
            </w:tcBorders>
            <w:vAlign w:val="center"/>
            <w:hideMark/>
          </w:tcPr>
          <w:p w14:paraId="46FF6CDE" w14:textId="77777777" w:rsidR="00F7700C" w:rsidRPr="00C91D91" w:rsidRDefault="00F7700C" w:rsidP="00F7700C">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C91D91">
              <w:rPr>
                <w:rFonts w:ascii="Times New Roman" w:eastAsia="Times New Roman" w:hAnsi="Times New Roman" w:cs="Times New Roman"/>
                <w:b/>
                <w:bCs/>
                <w:color w:val="000000"/>
                <w:kern w:val="0"/>
                <w:sz w:val="28"/>
                <w:szCs w:val="28"/>
                <w:lang w:eastAsia="en-IN"/>
                <w14:ligatures w14:val="none"/>
              </w:rPr>
              <w:t>Revenue</w:t>
            </w:r>
          </w:p>
        </w:tc>
        <w:tc>
          <w:tcPr>
            <w:tcW w:w="2120" w:type="dxa"/>
            <w:gridSpan w:val="3"/>
            <w:tcBorders>
              <w:top w:val="single" w:sz="4" w:space="0" w:color="auto"/>
              <w:left w:val="nil"/>
              <w:bottom w:val="single" w:sz="4" w:space="0" w:color="auto"/>
              <w:right w:val="single" w:sz="4" w:space="0" w:color="auto"/>
            </w:tcBorders>
            <w:vAlign w:val="center"/>
            <w:hideMark/>
          </w:tcPr>
          <w:p w14:paraId="50005671" w14:textId="77777777" w:rsidR="00F7700C" w:rsidRPr="00C91D91" w:rsidRDefault="00F7700C" w:rsidP="00F7700C">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C91D91">
              <w:rPr>
                <w:rFonts w:ascii="Times New Roman" w:eastAsia="Times New Roman" w:hAnsi="Times New Roman" w:cs="Times New Roman"/>
                <w:b/>
                <w:bCs/>
                <w:color w:val="000000"/>
                <w:kern w:val="0"/>
                <w:sz w:val="28"/>
                <w:szCs w:val="28"/>
                <w:lang w:eastAsia="en-IN"/>
                <w14:ligatures w14:val="none"/>
              </w:rPr>
              <w:t>Expenditure</w:t>
            </w:r>
          </w:p>
        </w:tc>
      </w:tr>
      <w:tr w:rsidR="00F7700C" w:rsidRPr="005534D4" w14:paraId="5BDD5C93" w14:textId="77777777" w:rsidTr="00F7700C">
        <w:trPr>
          <w:gridAfter w:val="1"/>
          <w:wAfter w:w="6" w:type="dxa"/>
          <w:trHeight w:val="20"/>
          <w:jc w:val="center"/>
        </w:trPr>
        <w:tc>
          <w:tcPr>
            <w:tcW w:w="1700" w:type="dxa"/>
            <w:tcBorders>
              <w:top w:val="nil"/>
              <w:left w:val="single" w:sz="4" w:space="0" w:color="auto"/>
              <w:bottom w:val="single" w:sz="4" w:space="0" w:color="auto"/>
              <w:right w:val="single" w:sz="4" w:space="0" w:color="auto"/>
            </w:tcBorders>
            <w:vAlign w:val="center"/>
            <w:hideMark/>
          </w:tcPr>
          <w:p w14:paraId="1A528BED"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Assam</w:t>
            </w:r>
          </w:p>
        </w:tc>
        <w:tc>
          <w:tcPr>
            <w:tcW w:w="1244" w:type="dxa"/>
            <w:tcBorders>
              <w:top w:val="nil"/>
              <w:left w:val="nil"/>
              <w:bottom w:val="single" w:sz="4" w:space="0" w:color="auto"/>
              <w:right w:val="single" w:sz="4" w:space="0" w:color="auto"/>
            </w:tcBorders>
            <w:vAlign w:val="center"/>
            <w:hideMark/>
          </w:tcPr>
          <w:p w14:paraId="6BCEBD17"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9,92</w:t>
            </w:r>
          </w:p>
        </w:tc>
        <w:tc>
          <w:tcPr>
            <w:tcW w:w="957" w:type="dxa"/>
            <w:tcBorders>
              <w:top w:val="nil"/>
              <w:left w:val="nil"/>
              <w:bottom w:val="single" w:sz="4" w:space="0" w:color="auto"/>
              <w:right w:val="single" w:sz="4" w:space="0" w:color="auto"/>
            </w:tcBorders>
            <w:vAlign w:val="center"/>
            <w:hideMark/>
          </w:tcPr>
          <w:p w14:paraId="75390BD2" w14:textId="397C1B9D" w:rsidR="00F7700C" w:rsidRPr="005534D4" w:rsidRDefault="00F7700C" w:rsidP="00F7700C">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5534D4">
              <w:rPr>
                <w:rFonts w:ascii="Times New Roman" w:eastAsia="Times New Roman" w:hAnsi="Times New Roman" w:cs="Times New Roman"/>
                <w:i/>
                <w:iCs/>
                <w:color w:val="000000"/>
                <w:kern w:val="0"/>
                <w:sz w:val="28"/>
                <w:szCs w:val="28"/>
                <w:lang w:eastAsia="en-IN"/>
                <w14:ligatures w14:val="none"/>
              </w:rPr>
              <w:t>11</w:t>
            </w:r>
            <w:r w:rsidR="00C97C2C">
              <w:rPr>
                <w:rFonts w:ascii="Times New Roman" w:eastAsia="Times New Roman" w:hAnsi="Times New Roman" w:cs="Times New Roman"/>
                <w:i/>
                <w:iCs/>
                <w:color w:val="000000"/>
                <w:kern w:val="0"/>
                <w:sz w:val="28"/>
                <w:szCs w:val="28"/>
                <w:lang w:eastAsia="en-IN"/>
                <w14:ligatures w14:val="none"/>
              </w:rPr>
              <w:t>.</w:t>
            </w:r>
            <w:r w:rsidRPr="005534D4">
              <w:rPr>
                <w:rFonts w:ascii="Times New Roman" w:eastAsia="Times New Roman" w:hAnsi="Times New Roman" w:cs="Times New Roman"/>
                <w:i/>
                <w:iCs/>
                <w:color w:val="000000"/>
                <w:kern w:val="0"/>
                <w:sz w:val="28"/>
                <w:szCs w:val="28"/>
                <w:lang w:eastAsia="en-IN"/>
                <w14:ligatures w14:val="none"/>
              </w:rPr>
              <w:t>0</w:t>
            </w:r>
          </w:p>
        </w:tc>
        <w:tc>
          <w:tcPr>
            <w:tcW w:w="1254" w:type="dxa"/>
            <w:tcBorders>
              <w:top w:val="nil"/>
              <w:left w:val="nil"/>
              <w:bottom w:val="single" w:sz="4" w:space="0" w:color="auto"/>
              <w:right w:val="single" w:sz="4" w:space="0" w:color="auto"/>
            </w:tcBorders>
            <w:vAlign w:val="center"/>
            <w:hideMark/>
          </w:tcPr>
          <w:p w14:paraId="288769DB"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9,28</w:t>
            </w:r>
          </w:p>
        </w:tc>
        <w:tc>
          <w:tcPr>
            <w:tcW w:w="956" w:type="dxa"/>
            <w:tcBorders>
              <w:top w:val="nil"/>
              <w:left w:val="nil"/>
              <w:bottom w:val="single" w:sz="4" w:space="0" w:color="auto"/>
              <w:right w:val="single" w:sz="4" w:space="0" w:color="auto"/>
            </w:tcBorders>
            <w:vAlign w:val="center"/>
            <w:hideMark/>
          </w:tcPr>
          <w:p w14:paraId="6DF4C60E" w14:textId="539BCB97" w:rsidR="00F7700C" w:rsidRPr="005534D4" w:rsidRDefault="00F7700C" w:rsidP="00F7700C">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5534D4">
              <w:rPr>
                <w:rFonts w:ascii="Times New Roman" w:eastAsia="Times New Roman" w:hAnsi="Times New Roman" w:cs="Times New Roman"/>
                <w:i/>
                <w:iCs/>
                <w:color w:val="000000"/>
                <w:kern w:val="0"/>
                <w:sz w:val="28"/>
                <w:szCs w:val="28"/>
                <w:lang w:eastAsia="en-IN"/>
                <w14:ligatures w14:val="none"/>
              </w:rPr>
              <w:t>10</w:t>
            </w:r>
            <w:r w:rsidR="00D33874">
              <w:rPr>
                <w:rFonts w:ascii="Times New Roman" w:eastAsia="Times New Roman" w:hAnsi="Times New Roman" w:cs="Times New Roman"/>
                <w:i/>
                <w:iCs/>
                <w:color w:val="000000"/>
                <w:kern w:val="0"/>
                <w:sz w:val="28"/>
                <w:szCs w:val="28"/>
                <w:lang w:eastAsia="en-IN"/>
                <w14:ligatures w14:val="none"/>
              </w:rPr>
              <w:t>.</w:t>
            </w:r>
            <w:r w:rsidRPr="005534D4">
              <w:rPr>
                <w:rFonts w:ascii="Times New Roman" w:eastAsia="Times New Roman" w:hAnsi="Times New Roman" w:cs="Times New Roman"/>
                <w:i/>
                <w:iCs/>
                <w:color w:val="000000"/>
                <w:kern w:val="0"/>
                <w:sz w:val="28"/>
                <w:szCs w:val="28"/>
                <w:lang w:eastAsia="en-IN"/>
                <w14:ligatures w14:val="none"/>
              </w:rPr>
              <w:t>3</w:t>
            </w:r>
          </w:p>
        </w:tc>
        <w:tc>
          <w:tcPr>
            <w:tcW w:w="1163" w:type="dxa"/>
            <w:tcBorders>
              <w:top w:val="nil"/>
              <w:left w:val="nil"/>
              <w:bottom w:val="single" w:sz="4" w:space="0" w:color="auto"/>
              <w:right w:val="single" w:sz="4" w:space="0" w:color="auto"/>
            </w:tcBorders>
            <w:vAlign w:val="center"/>
            <w:hideMark/>
          </w:tcPr>
          <w:p w14:paraId="625EFC92"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11,29</w:t>
            </w:r>
          </w:p>
        </w:tc>
        <w:tc>
          <w:tcPr>
            <w:tcW w:w="956" w:type="dxa"/>
            <w:tcBorders>
              <w:top w:val="nil"/>
              <w:left w:val="nil"/>
              <w:bottom w:val="single" w:sz="4" w:space="0" w:color="auto"/>
              <w:right w:val="single" w:sz="4" w:space="0" w:color="auto"/>
            </w:tcBorders>
            <w:vAlign w:val="center"/>
            <w:hideMark/>
          </w:tcPr>
          <w:p w14:paraId="710C660C"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12.5</w:t>
            </w:r>
          </w:p>
        </w:tc>
        <w:tc>
          <w:tcPr>
            <w:tcW w:w="1163" w:type="dxa"/>
            <w:tcBorders>
              <w:top w:val="nil"/>
              <w:left w:val="nil"/>
              <w:bottom w:val="single" w:sz="4" w:space="0" w:color="auto"/>
              <w:right w:val="single" w:sz="4" w:space="0" w:color="auto"/>
            </w:tcBorders>
            <w:vAlign w:val="center"/>
            <w:hideMark/>
          </w:tcPr>
          <w:p w14:paraId="03B3C19D"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10,90</w:t>
            </w:r>
          </w:p>
        </w:tc>
        <w:tc>
          <w:tcPr>
            <w:tcW w:w="956" w:type="dxa"/>
            <w:tcBorders>
              <w:top w:val="nil"/>
              <w:left w:val="nil"/>
              <w:bottom w:val="single" w:sz="4" w:space="0" w:color="auto"/>
              <w:right w:val="single" w:sz="4" w:space="0" w:color="auto"/>
            </w:tcBorders>
            <w:vAlign w:val="center"/>
            <w:hideMark/>
          </w:tcPr>
          <w:p w14:paraId="22176334"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12.1</w:t>
            </w:r>
          </w:p>
        </w:tc>
        <w:tc>
          <w:tcPr>
            <w:tcW w:w="1163" w:type="dxa"/>
            <w:tcBorders>
              <w:top w:val="nil"/>
              <w:left w:val="nil"/>
              <w:bottom w:val="single" w:sz="4" w:space="0" w:color="auto"/>
              <w:right w:val="single" w:sz="4" w:space="0" w:color="auto"/>
            </w:tcBorders>
            <w:vAlign w:val="center"/>
            <w:hideMark/>
          </w:tcPr>
          <w:p w14:paraId="76457A15"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10,05</w:t>
            </w:r>
          </w:p>
        </w:tc>
        <w:tc>
          <w:tcPr>
            <w:tcW w:w="956" w:type="dxa"/>
            <w:tcBorders>
              <w:top w:val="nil"/>
              <w:left w:val="nil"/>
              <w:bottom w:val="single" w:sz="4" w:space="0" w:color="auto"/>
              <w:right w:val="single" w:sz="4" w:space="0" w:color="auto"/>
            </w:tcBorders>
            <w:vAlign w:val="center"/>
            <w:hideMark/>
          </w:tcPr>
          <w:p w14:paraId="626980AC"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11.2</w:t>
            </w:r>
          </w:p>
        </w:tc>
        <w:tc>
          <w:tcPr>
            <w:tcW w:w="1163" w:type="dxa"/>
            <w:tcBorders>
              <w:top w:val="nil"/>
              <w:left w:val="nil"/>
              <w:bottom w:val="single" w:sz="4" w:space="0" w:color="auto"/>
              <w:right w:val="single" w:sz="4" w:space="0" w:color="auto"/>
            </w:tcBorders>
            <w:vAlign w:val="center"/>
            <w:hideMark/>
          </w:tcPr>
          <w:p w14:paraId="047A28DF"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12,60</w:t>
            </w:r>
          </w:p>
        </w:tc>
        <w:tc>
          <w:tcPr>
            <w:tcW w:w="956" w:type="dxa"/>
            <w:tcBorders>
              <w:top w:val="nil"/>
              <w:left w:val="nil"/>
              <w:bottom w:val="single" w:sz="4" w:space="0" w:color="auto"/>
              <w:right w:val="single" w:sz="4" w:space="0" w:color="auto"/>
            </w:tcBorders>
            <w:vAlign w:val="center"/>
            <w:hideMark/>
          </w:tcPr>
          <w:p w14:paraId="5D7E9314" w14:textId="3C1D1001"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14</w:t>
            </w:r>
            <w:r w:rsidR="000A74AC">
              <w:rPr>
                <w:rFonts w:ascii="Times New Roman" w:eastAsia="Times New Roman" w:hAnsi="Times New Roman" w:cs="Times New Roman"/>
                <w:color w:val="000000"/>
                <w:kern w:val="0"/>
                <w:sz w:val="28"/>
                <w:szCs w:val="28"/>
                <w:lang w:eastAsia="en-IN"/>
                <w14:ligatures w14:val="none"/>
              </w:rPr>
              <w:t>.0</w:t>
            </w:r>
          </w:p>
        </w:tc>
      </w:tr>
      <w:tr w:rsidR="00F7700C" w:rsidRPr="005534D4" w14:paraId="24B3E3C9" w14:textId="77777777" w:rsidTr="00F7700C">
        <w:trPr>
          <w:gridAfter w:val="1"/>
          <w:wAfter w:w="6" w:type="dxa"/>
          <w:trHeight w:val="20"/>
          <w:jc w:val="center"/>
        </w:trPr>
        <w:tc>
          <w:tcPr>
            <w:tcW w:w="1700" w:type="dxa"/>
            <w:tcBorders>
              <w:top w:val="nil"/>
              <w:left w:val="single" w:sz="4" w:space="0" w:color="auto"/>
              <w:bottom w:val="single" w:sz="4" w:space="0" w:color="auto"/>
              <w:right w:val="single" w:sz="4" w:space="0" w:color="auto"/>
            </w:tcBorders>
            <w:vAlign w:val="center"/>
            <w:hideMark/>
          </w:tcPr>
          <w:p w14:paraId="56356C56"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Bihar</w:t>
            </w:r>
          </w:p>
        </w:tc>
        <w:tc>
          <w:tcPr>
            <w:tcW w:w="1244" w:type="dxa"/>
            <w:tcBorders>
              <w:top w:val="nil"/>
              <w:left w:val="nil"/>
              <w:bottom w:val="single" w:sz="4" w:space="0" w:color="auto"/>
              <w:right w:val="single" w:sz="4" w:space="0" w:color="auto"/>
            </w:tcBorders>
            <w:vAlign w:val="center"/>
            <w:hideMark/>
          </w:tcPr>
          <w:p w14:paraId="5A89FF86"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28,97</w:t>
            </w:r>
          </w:p>
        </w:tc>
        <w:tc>
          <w:tcPr>
            <w:tcW w:w="957" w:type="dxa"/>
            <w:tcBorders>
              <w:top w:val="nil"/>
              <w:left w:val="nil"/>
              <w:bottom w:val="single" w:sz="4" w:space="0" w:color="auto"/>
              <w:right w:val="single" w:sz="4" w:space="0" w:color="auto"/>
            </w:tcBorders>
            <w:vAlign w:val="center"/>
            <w:hideMark/>
          </w:tcPr>
          <w:p w14:paraId="7B1CA12D" w14:textId="4142815F" w:rsidR="00F7700C" w:rsidRPr="005534D4" w:rsidRDefault="00F7700C" w:rsidP="00F7700C">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5534D4">
              <w:rPr>
                <w:rFonts w:ascii="Times New Roman" w:eastAsia="Times New Roman" w:hAnsi="Times New Roman" w:cs="Times New Roman"/>
                <w:i/>
                <w:iCs/>
                <w:color w:val="000000"/>
                <w:kern w:val="0"/>
                <w:sz w:val="28"/>
                <w:szCs w:val="28"/>
                <w:lang w:eastAsia="en-IN"/>
                <w14:ligatures w14:val="none"/>
              </w:rPr>
              <w:t>7</w:t>
            </w:r>
            <w:r w:rsidR="00C97C2C">
              <w:rPr>
                <w:rFonts w:ascii="Times New Roman" w:eastAsia="Times New Roman" w:hAnsi="Times New Roman" w:cs="Times New Roman"/>
                <w:i/>
                <w:iCs/>
                <w:color w:val="000000"/>
                <w:kern w:val="0"/>
                <w:sz w:val="28"/>
                <w:szCs w:val="28"/>
                <w:lang w:eastAsia="en-IN"/>
                <w14:ligatures w14:val="none"/>
              </w:rPr>
              <w:t>.</w:t>
            </w:r>
            <w:r w:rsidRPr="005534D4">
              <w:rPr>
                <w:rFonts w:ascii="Times New Roman" w:eastAsia="Times New Roman" w:hAnsi="Times New Roman" w:cs="Times New Roman"/>
                <w:i/>
                <w:iCs/>
                <w:color w:val="000000"/>
                <w:kern w:val="0"/>
                <w:sz w:val="28"/>
                <w:szCs w:val="28"/>
                <w:lang w:eastAsia="en-IN"/>
                <w14:ligatures w14:val="none"/>
              </w:rPr>
              <w:t>2</w:t>
            </w:r>
          </w:p>
        </w:tc>
        <w:tc>
          <w:tcPr>
            <w:tcW w:w="1254" w:type="dxa"/>
            <w:tcBorders>
              <w:top w:val="nil"/>
              <w:left w:val="nil"/>
              <w:bottom w:val="single" w:sz="4" w:space="0" w:color="auto"/>
              <w:right w:val="single" w:sz="4" w:space="0" w:color="auto"/>
            </w:tcBorders>
            <w:vAlign w:val="center"/>
            <w:hideMark/>
          </w:tcPr>
          <w:p w14:paraId="146031F6"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26,05</w:t>
            </w:r>
          </w:p>
        </w:tc>
        <w:tc>
          <w:tcPr>
            <w:tcW w:w="956" w:type="dxa"/>
            <w:tcBorders>
              <w:top w:val="nil"/>
              <w:left w:val="nil"/>
              <w:bottom w:val="single" w:sz="4" w:space="0" w:color="auto"/>
              <w:right w:val="single" w:sz="4" w:space="0" w:color="auto"/>
            </w:tcBorders>
            <w:vAlign w:val="center"/>
            <w:hideMark/>
          </w:tcPr>
          <w:p w14:paraId="49697286" w14:textId="5E6024E8" w:rsidR="00F7700C" w:rsidRPr="005534D4" w:rsidRDefault="00F7700C" w:rsidP="00F7700C">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5534D4">
              <w:rPr>
                <w:rFonts w:ascii="Times New Roman" w:eastAsia="Times New Roman" w:hAnsi="Times New Roman" w:cs="Times New Roman"/>
                <w:i/>
                <w:iCs/>
                <w:color w:val="000000"/>
                <w:kern w:val="0"/>
                <w:sz w:val="28"/>
                <w:szCs w:val="28"/>
                <w:lang w:eastAsia="en-IN"/>
                <w14:ligatures w14:val="none"/>
              </w:rPr>
              <w:t>6</w:t>
            </w:r>
            <w:r w:rsidR="00D33874">
              <w:rPr>
                <w:rFonts w:ascii="Times New Roman" w:eastAsia="Times New Roman" w:hAnsi="Times New Roman" w:cs="Times New Roman"/>
                <w:i/>
                <w:iCs/>
                <w:color w:val="000000"/>
                <w:kern w:val="0"/>
                <w:sz w:val="28"/>
                <w:szCs w:val="28"/>
                <w:lang w:eastAsia="en-IN"/>
                <w14:ligatures w14:val="none"/>
              </w:rPr>
              <w:t>.</w:t>
            </w:r>
            <w:r w:rsidRPr="005534D4">
              <w:rPr>
                <w:rFonts w:ascii="Times New Roman" w:eastAsia="Times New Roman" w:hAnsi="Times New Roman" w:cs="Times New Roman"/>
                <w:i/>
                <w:iCs/>
                <w:color w:val="000000"/>
                <w:kern w:val="0"/>
                <w:sz w:val="28"/>
                <w:szCs w:val="28"/>
                <w:lang w:eastAsia="en-IN"/>
                <w14:ligatures w14:val="none"/>
              </w:rPr>
              <w:t>5</w:t>
            </w:r>
          </w:p>
        </w:tc>
        <w:tc>
          <w:tcPr>
            <w:tcW w:w="1163" w:type="dxa"/>
            <w:tcBorders>
              <w:top w:val="nil"/>
              <w:left w:val="nil"/>
              <w:bottom w:val="single" w:sz="4" w:space="0" w:color="auto"/>
              <w:right w:val="single" w:sz="4" w:space="0" w:color="auto"/>
            </w:tcBorders>
            <w:vAlign w:val="center"/>
            <w:hideMark/>
          </w:tcPr>
          <w:p w14:paraId="6D5B5572"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28,23 (a)</w:t>
            </w:r>
          </w:p>
        </w:tc>
        <w:tc>
          <w:tcPr>
            <w:tcW w:w="956" w:type="dxa"/>
            <w:tcBorders>
              <w:top w:val="nil"/>
              <w:left w:val="nil"/>
              <w:bottom w:val="single" w:sz="4" w:space="0" w:color="auto"/>
              <w:right w:val="single" w:sz="4" w:space="0" w:color="auto"/>
            </w:tcBorders>
            <w:vAlign w:val="center"/>
            <w:hideMark/>
          </w:tcPr>
          <w:p w14:paraId="63E9DD4A" w14:textId="4BB7B726"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7</w:t>
            </w:r>
            <w:r w:rsidR="00353EE4">
              <w:rPr>
                <w:rFonts w:ascii="Times New Roman" w:eastAsia="Times New Roman" w:hAnsi="Times New Roman" w:cs="Times New Roman"/>
                <w:color w:val="000000"/>
                <w:kern w:val="0"/>
                <w:sz w:val="28"/>
                <w:szCs w:val="28"/>
                <w:lang w:eastAsia="en-IN"/>
                <w14:ligatures w14:val="none"/>
              </w:rPr>
              <w:t>.0</w:t>
            </w:r>
          </w:p>
        </w:tc>
        <w:tc>
          <w:tcPr>
            <w:tcW w:w="1163" w:type="dxa"/>
            <w:tcBorders>
              <w:top w:val="nil"/>
              <w:left w:val="nil"/>
              <w:bottom w:val="single" w:sz="4" w:space="0" w:color="auto"/>
              <w:right w:val="single" w:sz="4" w:space="0" w:color="auto"/>
            </w:tcBorders>
            <w:vAlign w:val="center"/>
            <w:hideMark/>
          </w:tcPr>
          <w:p w14:paraId="1DDB48DC"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32,73</w:t>
            </w:r>
          </w:p>
        </w:tc>
        <w:tc>
          <w:tcPr>
            <w:tcW w:w="956" w:type="dxa"/>
            <w:tcBorders>
              <w:top w:val="nil"/>
              <w:left w:val="nil"/>
              <w:bottom w:val="single" w:sz="4" w:space="0" w:color="auto"/>
              <w:right w:val="single" w:sz="4" w:space="0" w:color="auto"/>
            </w:tcBorders>
            <w:vAlign w:val="center"/>
            <w:hideMark/>
          </w:tcPr>
          <w:p w14:paraId="0086E5C2"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8.1</w:t>
            </w:r>
          </w:p>
        </w:tc>
        <w:tc>
          <w:tcPr>
            <w:tcW w:w="1163" w:type="dxa"/>
            <w:tcBorders>
              <w:top w:val="nil"/>
              <w:left w:val="nil"/>
              <w:bottom w:val="single" w:sz="4" w:space="0" w:color="auto"/>
              <w:right w:val="single" w:sz="4" w:space="0" w:color="auto"/>
            </w:tcBorders>
            <w:vAlign w:val="center"/>
            <w:hideMark/>
          </w:tcPr>
          <w:p w14:paraId="5229020A"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28,29 (b)</w:t>
            </w:r>
          </w:p>
        </w:tc>
        <w:tc>
          <w:tcPr>
            <w:tcW w:w="956" w:type="dxa"/>
            <w:tcBorders>
              <w:top w:val="nil"/>
              <w:left w:val="nil"/>
              <w:bottom w:val="single" w:sz="4" w:space="0" w:color="auto"/>
              <w:right w:val="single" w:sz="4" w:space="0" w:color="auto"/>
            </w:tcBorders>
            <w:vAlign w:val="center"/>
            <w:hideMark/>
          </w:tcPr>
          <w:p w14:paraId="0A402D2D" w14:textId="79F9CE3C"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7</w:t>
            </w:r>
            <w:r w:rsidR="000A74AC">
              <w:rPr>
                <w:rFonts w:ascii="Times New Roman" w:eastAsia="Times New Roman" w:hAnsi="Times New Roman" w:cs="Times New Roman"/>
                <w:color w:val="000000"/>
                <w:kern w:val="0"/>
                <w:sz w:val="28"/>
                <w:szCs w:val="28"/>
                <w:lang w:eastAsia="en-IN"/>
                <w14:ligatures w14:val="none"/>
              </w:rPr>
              <w:t>.0</w:t>
            </w:r>
          </w:p>
        </w:tc>
        <w:tc>
          <w:tcPr>
            <w:tcW w:w="1163" w:type="dxa"/>
            <w:tcBorders>
              <w:top w:val="nil"/>
              <w:left w:val="nil"/>
              <w:bottom w:val="single" w:sz="4" w:space="0" w:color="auto"/>
              <w:right w:val="single" w:sz="4" w:space="0" w:color="auto"/>
            </w:tcBorders>
            <w:vAlign w:val="center"/>
            <w:hideMark/>
          </w:tcPr>
          <w:p w14:paraId="5B11D9BC"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29,80</w:t>
            </w:r>
          </w:p>
        </w:tc>
        <w:tc>
          <w:tcPr>
            <w:tcW w:w="956" w:type="dxa"/>
            <w:tcBorders>
              <w:top w:val="nil"/>
              <w:left w:val="nil"/>
              <w:bottom w:val="single" w:sz="4" w:space="0" w:color="auto"/>
              <w:right w:val="single" w:sz="4" w:space="0" w:color="auto"/>
            </w:tcBorders>
            <w:vAlign w:val="center"/>
            <w:hideMark/>
          </w:tcPr>
          <w:p w14:paraId="56DAD896"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7.4</w:t>
            </w:r>
          </w:p>
        </w:tc>
      </w:tr>
      <w:tr w:rsidR="00F7700C" w:rsidRPr="005534D4" w14:paraId="25E7B697" w14:textId="77777777" w:rsidTr="00F7700C">
        <w:trPr>
          <w:gridAfter w:val="1"/>
          <w:wAfter w:w="6" w:type="dxa"/>
          <w:trHeight w:val="20"/>
          <w:jc w:val="center"/>
        </w:trPr>
        <w:tc>
          <w:tcPr>
            <w:tcW w:w="1700" w:type="dxa"/>
            <w:tcBorders>
              <w:top w:val="nil"/>
              <w:left w:val="single" w:sz="4" w:space="0" w:color="auto"/>
              <w:bottom w:val="single" w:sz="4" w:space="0" w:color="auto"/>
              <w:right w:val="single" w:sz="4" w:space="0" w:color="auto"/>
            </w:tcBorders>
            <w:vAlign w:val="center"/>
            <w:hideMark/>
          </w:tcPr>
          <w:p w14:paraId="24366213"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Bombay</w:t>
            </w:r>
          </w:p>
        </w:tc>
        <w:tc>
          <w:tcPr>
            <w:tcW w:w="1244" w:type="dxa"/>
            <w:tcBorders>
              <w:top w:val="nil"/>
              <w:left w:val="nil"/>
              <w:bottom w:val="single" w:sz="4" w:space="0" w:color="auto"/>
              <w:right w:val="single" w:sz="4" w:space="0" w:color="auto"/>
            </w:tcBorders>
            <w:vAlign w:val="center"/>
            <w:hideMark/>
          </w:tcPr>
          <w:p w14:paraId="555D3464"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60,31(c)</w:t>
            </w:r>
          </w:p>
        </w:tc>
        <w:tc>
          <w:tcPr>
            <w:tcW w:w="957" w:type="dxa"/>
            <w:tcBorders>
              <w:top w:val="nil"/>
              <w:left w:val="nil"/>
              <w:bottom w:val="single" w:sz="4" w:space="0" w:color="auto"/>
              <w:right w:val="single" w:sz="4" w:space="0" w:color="auto"/>
            </w:tcBorders>
            <w:vAlign w:val="center"/>
            <w:hideMark/>
          </w:tcPr>
          <w:p w14:paraId="73AFB0B9" w14:textId="0E84370D" w:rsidR="00F7700C" w:rsidRPr="005534D4" w:rsidRDefault="00F7700C" w:rsidP="00F7700C">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5534D4">
              <w:rPr>
                <w:rFonts w:ascii="Times New Roman" w:eastAsia="Times New Roman" w:hAnsi="Times New Roman" w:cs="Times New Roman"/>
                <w:i/>
                <w:iCs/>
                <w:color w:val="000000"/>
                <w:kern w:val="0"/>
                <w:sz w:val="28"/>
                <w:szCs w:val="28"/>
                <w:lang w:eastAsia="en-IN"/>
                <w14:ligatures w14:val="none"/>
              </w:rPr>
              <w:t>16</w:t>
            </w:r>
            <w:r w:rsidR="00C97C2C">
              <w:rPr>
                <w:rFonts w:ascii="Times New Roman" w:eastAsia="Times New Roman" w:hAnsi="Times New Roman" w:cs="Times New Roman"/>
                <w:i/>
                <w:iCs/>
                <w:color w:val="000000"/>
                <w:kern w:val="0"/>
                <w:sz w:val="28"/>
                <w:szCs w:val="28"/>
                <w:lang w:eastAsia="en-IN"/>
                <w14:ligatures w14:val="none"/>
              </w:rPr>
              <w:t>.</w:t>
            </w:r>
            <w:r w:rsidRPr="005534D4">
              <w:rPr>
                <w:rFonts w:ascii="Times New Roman" w:eastAsia="Times New Roman" w:hAnsi="Times New Roman" w:cs="Times New Roman"/>
                <w:i/>
                <w:iCs/>
                <w:color w:val="000000"/>
                <w:kern w:val="0"/>
                <w:sz w:val="28"/>
                <w:szCs w:val="28"/>
                <w:lang w:eastAsia="en-IN"/>
                <w14:ligatures w14:val="none"/>
              </w:rPr>
              <w:t>8</w:t>
            </w:r>
          </w:p>
        </w:tc>
        <w:tc>
          <w:tcPr>
            <w:tcW w:w="1254" w:type="dxa"/>
            <w:tcBorders>
              <w:top w:val="nil"/>
              <w:left w:val="nil"/>
              <w:bottom w:val="single" w:sz="4" w:space="0" w:color="auto"/>
              <w:right w:val="single" w:sz="4" w:space="0" w:color="auto"/>
            </w:tcBorders>
            <w:vAlign w:val="center"/>
            <w:hideMark/>
          </w:tcPr>
          <w:p w14:paraId="361BA597"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60,37(d)</w:t>
            </w:r>
          </w:p>
        </w:tc>
        <w:tc>
          <w:tcPr>
            <w:tcW w:w="956" w:type="dxa"/>
            <w:tcBorders>
              <w:top w:val="nil"/>
              <w:left w:val="nil"/>
              <w:bottom w:val="single" w:sz="4" w:space="0" w:color="auto"/>
              <w:right w:val="single" w:sz="4" w:space="0" w:color="auto"/>
            </w:tcBorders>
            <w:vAlign w:val="center"/>
            <w:hideMark/>
          </w:tcPr>
          <w:p w14:paraId="5DAC5969" w14:textId="7F51E4DE" w:rsidR="00F7700C" w:rsidRPr="005534D4" w:rsidRDefault="00F7700C" w:rsidP="00F7700C">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5534D4">
              <w:rPr>
                <w:rFonts w:ascii="Times New Roman" w:eastAsia="Times New Roman" w:hAnsi="Times New Roman" w:cs="Times New Roman"/>
                <w:i/>
                <w:iCs/>
                <w:color w:val="000000"/>
                <w:kern w:val="0"/>
                <w:sz w:val="28"/>
                <w:szCs w:val="28"/>
                <w:lang w:eastAsia="en-IN"/>
                <w14:ligatures w14:val="none"/>
              </w:rPr>
              <w:t>16</w:t>
            </w:r>
            <w:r w:rsidR="00D33874">
              <w:rPr>
                <w:rFonts w:ascii="Times New Roman" w:eastAsia="Times New Roman" w:hAnsi="Times New Roman" w:cs="Times New Roman"/>
                <w:i/>
                <w:iCs/>
                <w:color w:val="000000"/>
                <w:kern w:val="0"/>
                <w:sz w:val="28"/>
                <w:szCs w:val="28"/>
                <w:lang w:eastAsia="en-IN"/>
                <w14:ligatures w14:val="none"/>
              </w:rPr>
              <w:t>.</w:t>
            </w:r>
            <w:r w:rsidRPr="005534D4">
              <w:rPr>
                <w:rFonts w:ascii="Times New Roman" w:eastAsia="Times New Roman" w:hAnsi="Times New Roman" w:cs="Times New Roman"/>
                <w:i/>
                <w:iCs/>
                <w:color w:val="000000"/>
                <w:kern w:val="0"/>
                <w:sz w:val="28"/>
                <w:szCs w:val="28"/>
                <w:lang w:eastAsia="en-IN"/>
                <w14:ligatures w14:val="none"/>
              </w:rPr>
              <w:t>8</w:t>
            </w:r>
          </w:p>
        </w:tc>
        <w:tc>
          <w:tcPr>
            <w:tcW w:w="1163" w:type="dxa"/>
            <w:tcBorders>
              <w:top w:val="nil"/>
              <w:left w:val="nil"/>
              <w:bottom w:val="single" w:sz="4" w:space="0" w:color="auto"/>
              <w:right w:val="single" w:sz="4" w:space="0" w:color="auto"/>
            </w:tcBorders>
            <w:vAlign w:val="center"/>
            <w:hideMark/>
          </w:tcPr>
          <w:p w14:paraId="37EEFCE4"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60,45</w:t>
            </w:r>
          </w:p>
        </w:tc>
        <w:tc>
          <w:tcPr>
            <w:tcW w:w="956" w:type="dxa"/>
            <w:tcBorders>
              <w:top w:val="nil"/>
              <w:left w:val="nil"/>
              <w:bottom w:val="single" w:sz="4" w:space="0" w:color="auto"/>
              <w:right w:val="single" w:sz="4" w:space="0" w:color="auto"/>
            </w:tcBorders>
            <w:vAlign w:val="center"/>
            <w:hideMark/>
          </w:tcPr>
          <w:p w14:paraId="6668984F"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16.8</w:t>
            </w:r>
          </w:p>
        </w:tc>
        <w:tc>
          <w:tcPr>
            <w:tcW w:w="1163" w:type="dxa"/>
            <w:tcBorders>
              <w:top w:val="nil"/>
              <w:left w:val="nil"/>
              <w:bottom w:val="single" w:sz="4" w:space="0" w:color="auto"/>
              <w:right w:val="single" w:sz="4" w:space="0" w:color="auto"/>
            </w:tcBorders>
            <w:vAlign w:val="center"/>
            <w:hideMark/>
          </w:tcPr>
          <w:p w14:paraId="55A7F49A"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62,74</w:t>
            </w:r>
          </w:p>
        </w:tc>
        <w:tc>
          <w:tcPr>
            <w:tcW w:w="956" w:type="dxa"/>
            <w:tcBorders>
              <w:top w:val="nil"/>
              <w:left w:val="nil"/>
              <w:bottom w:val="single" w:sz="4" w:space="0" w:color="auto"/>
              <w:right w:val="single" w:sz="4" w:space="0" w:color="auto"/>
            </w:tcBorders>
            <w:vAlign w:val="center"/>
            <w:hideMark/>
          </w:tcPr>
          <w:p w14:paraId="275F92FC"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17.4</w:t>
            </w:r>
          </w:p>
        </w:tc>
        <w:tc>
          <w:tcPr>
            <w:tcW w:w="1163" w:type="dxa"/>
            <w:tcBorders>
              <w:top w:val="nil"/>
              <w:left w:val="nil"/>
              <w:bottom w:val="single" w:sz="4" w:space="0" w:color="auto"/>
              <w:right w:val="single" w:sz="4" w:space="0" w:color="auto"/>
            </w:tcBorders>
            <w:vAlign w:val="center"/>
            <w:hideMark/>
          </w:tcPr>
          <w:p w14:paraId="18969BA0"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65,03 (e)</w:t>
            </w:r>
          </w:p>
        </w:tc>
        <w:tc>
          <w:tcPr>
            <w:tcW w:w="956" w:type="dxa"/>
            <w:tcBorders>
              <w:top w:val="nil"/>
              <w:left w:val="nil"/>
              <w:bottom w:val="single" w:sz="4" w:space="0" w:color="auto"/>
              <w:right w:val="single" w:sz="4" w:space="0" w:color="auto"/>
            </w:tcBorders>
            <w:vAlign w:val="center"/>
            <w:hideMark/>
          </w:tcPr>
          <w:p w14:paraId="64DD06F0"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18.1</w:t>
            </w:r>
          </w:p>
        </w:tc>
        <w:tc>
          <w:tcPr>
            <w:tcW w:w="1163" w:type="dxa"/>
            <w:tcBorders>
              <w:top w:val="nil"/>
              <w:left w:val="nil"/>
              <w:bottom w:val="single" w:sz="4" w:space="0" w:color="auto"/>
              <w:right w:val="single" w:sz="4" w:space="0" w:color="auto"/>
            </w:tcBorders>
            <w:vAlign w:val="center"/>
            <w:hideMark/>
          </w:tcPr>
          <w:p w14:paraId="0E601FC6"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65,01 (f)</w:t>
            </w:r>
          </w:p>
        </w:tc>
        <w:tc>
          <w:tcPr>
            <w:tcW w:w="956" w:type="dxa"/>
            <w:tcBorders>
              <w:top w:val="nil"/>
              <w:left w:val="nil"/>
              <w:bottom w:val="single" w:sz="4" w:space="0" w:color="auto"/>
              <w:right w:val="single" w:sz="4" w:space="0" w:color="auto"/>
            </w:tcBorders>
            <w:vAlign w:val="center"/>
            <w:hideMark/>
          </w:tcPr>
          <w:p w14:paraId="18AFA8B4"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18.1</w:t>
            </w:r>
          </w:p>
        </w:tc>
      </w:tr>
      <w:tr w:rsidR="00F7700C" w:rsidRPr="005534D4" w14:paraId="0EC4E0AB" w14:textId="77777777" w:rsidTr="00F7700C">
        <w:trPr>
          <w:gridAfter w:val="1"/>
          <w:wAfter w:w="6" w:type="dxa"/>
          <w:trHeight w:val="20"/>
          <w:jc w:val="center"/>
        </w:trPr>
        <w:tc>
          <w:tcPr>
            <w:tcW w:w="1700" w:type="dxa"/>
            <w:tcBorders>
              <w:top w:val="nil"/>
              <w:left w:val="single" w:sz="4" w:space="0" w:color="auto"/>
              <w:bottom w:val="single" w:sz="4" w:space="0" w:color="auto"/>
              <w:right w:val="single" w:sz="4" w:space="0" w:color="auto"/>
            </w:tcBorders>
            <w:vAlign w:val="center"/>
            <w:hideMark/>
          </w:tcPr>
          <w:p w14:paraId="45549759"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Madhya Pradesh</w:t>
            </w:r>
          </w:p>
        </w:tc>
        <w:tc>
          <w:tcPr>
            <w:tcW w:w="1244" w:type="dxa"/>
            <w:tcBorders>
              <w:top w:val="nil"/>
              <w:left w:val="nil"/>
              <w:bottom w:val="single" w:sz="4" w:space="0" w:color="auto"/>
              <w:right w:val="single" w:sz="4" w:space="0" w:color="auto"/>
            </w:tcBorders>
            <w:vAlign w:val="center"/>
            <w:hideMark/>
          </w:tcPr>
          <w:p w14:paraId="593EF8AA"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19,20(g)</w:t>
            </w:r>
          </w:p>
        </w:tc>
        <w:tc>
          <w:tcPr>
            <w:tcW w:w="957" w:type="dxa"/>
            <w:tcBorders>
              <w:top w:val="nil"/>
              <w:left w:val="nil"/>
              <w:bottom w:val="single" w:sz="4" w:space="0" w:color="auto"/>
              <w:right w:val="single" w:sz="4" w:space="0" w:color="auto"/>
            </w:tcBorders>
            <w:vAlign w:val="center"/>
            <w:hideMark/>
          </w:tcPr>
          <w:p w14:paraId="5FD66899" w14:textId="29AB39B9" w:rsidR="00F7700C" w:rsidRPr="005534D4" w:rsidRDefault="00F7700C" w:rsidP="00F7700C">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5534D4">
              <w:rPr>
                <w:rFonts w:ascii="Times New Roman" w:eastAsia="Times New Roman" w:hAnsi="Times New Roman" w:cs="Times New Roman"/>
                <w:i/>
                <w:iCs/>
                <w:color w:val="000000"/>
                <w:kern w:val="0"/>
                <w:sz w:val="28"/>
                <w:szCs w:val="28"/>
                <w:lang w:eastAsia="en-IN"/>
                <w14:ligatures w14:val="none"/>
              </w:rPr>
              <w:t>9</w:t>
            </w:r>
            <w:r w:rsidR="00C97C2C">
              <w:rPr>
                <w:rFonts w:ascii="Times New Roman" w:eastAsia="Times New Roman" w:hAnsi="Times New Roman" w:cs="Times New Roman"/>
                <w:i/>
                <w:iCs/>
                <w:color w:val="000000"/>
                <w:kern w:val="0"/>
                <w:sz w:val="28"/>
                <w:szCs w:val="28"/>
                <w:lang w:eastAsia="en-IN"/>
                <w14:ligatures w14:val="none"/>
              </w:rPr>
              <w:t>.</w:t>
            </w:r>
            <w:r w:rsidRPr="005534D4">
              <w:rPr>
                <w:rFonts w:ascii="Times New Roman" w:eastAsia="Times New Roman" w:hAnsi="Times New Roman" w:cs="Times New Roman"/>
                <w:i/>
                <w:iCs/>
                <w:color w:val="000000"/>
                <w:kern w:val="0"/>
                <w:sz w:val="28"/>
                <w:szCs w:val="28"/>
                <w:lang w:eastAsia="en-IN"/>
                <w14:ligatures w14:val="none"/>
              </w:rPr>
              <w:t>1</w:t>
            </w:r>
          </w:p>
        </w:tc>
        <w:tc>
          <w:tcPr>
            <w:tcW w:w="1254" w:type="dxa"/>
            <w:tcBorders>
              <w:top w:val="nil"/>
              <w:left w:val="nil"/>
              <w:bottom w:val="single" w:sz="4" w:space="0" w:color="auto"/>
              <w:right w:val="single" w:sz="4" w:space="0" w:color="auto"/>
            </w:tcBorders>
            <w:vAlign w:val="center"/>
            <w:hideMark/>
          </w:tcPr>
          <w:p w14:paraId="3F77A36D"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16,74</w:t>
            </w:r>
          </w:p>
        </w:tc>
        <w:tc>
          <w:tcPr>
            <w:tcW w:w="956" w:type="dxa"/>
            <w:tcBorders>
              <w:top w:val="nil"/>
              <w:left w:val="nil"/>
              <w:bottom w:val="single" w:sz="4" w:space="0" w:color="auto"/>
              <w:right w:val="single" w:sz="4" w:space="0" w:color="auto"/>
            </w:tcBorders>
            <w:vAlign w:val="center"/>
            <w:hideMark/>
          </w:tcPr>
          <w:p w14:paraId="6BC57160" w14:textId="5FD9EA5B" w:rsidR="00F7700C" w:rsidRPr="005534D4" w:rsidRDefault="00F7700C" w:rsidP="00F7700C">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5534D4">
              <w:rPr>
                <w:rFonts w:ascii="Times New Roman" w:eastAsia="Times New Roman" w:hAnsi="Times New Roman" w:cs="Times New Roman"/>
                <w:i/>
                <w:iCs/>
                <w:color w:val="000000"/>
                <w:kern w:val="0"/>
                <w:sz w:val="28"/>
                <w:szCs w:val="28"/>
                <w:lang w:eastAsia="en-IN"/>
                <w14:ligatures w14:val="none"/>
              </w:rPr>
              <w:t>7</w:t>
            </w:r>
            <w:r w:rsidR="00D33874">
              <w:rPr>
                <w:rFonts w:ascii="Times New Roman" w:eastAsia="Times New Roman" w:hAnsi="Times New Roman" w:cs="Times New Roman"/>
                <w:i/>
                <w:iCs/>
                <w:color w:val="000000"/>
                <w:kern w:val="0"/>
                <w:sz w:val="28"/>
                <w:szCs w:val="28"/>
                <w:lang w:eastAsia="en-IN"/>
                <w14:ligatures w14:val="none"/>
              </w:rPr>
              <w:t>.</w:t>
            </w:r>
            <w:r w:rsidRPr="005534D4">
              <w:rPr>
                <w:rFonts w:ascii="Times New Roman" w:eastAsia="Times New Roman" w:hAnsi="Times New Roman" w:cs="Times New Roman"/>
                <w:i/>
                <w:iCs/>
                <w:color w:val="000000"/>
                <w:kern w:val="0"/>
                <w:sz w:val="28"/>
                <w:szCs w:val="28"/>
                <w:lang w:eastAsia="en-IN"/>
                <w14:ligatures w14:val="none"/>
              </w:rPr>
              <w:t>9</w:t>
            </w:r>
          </w:p>
        </w:tc>
        <w:tc>
          <w:tcPr>
            <w:tcW w:w="1163" w:type="dxa"/>
            <w:tcBorders>
              <w:top w:val="nil"/>
              <w:left w:val="nil"/>
              <w:bottom w:val="single" w:sz="4" w:space="0" w:color="auto"/>
              <w:right w:val="single" w:sz="4" w:space="0" w:color="auto"/>
            </w:tcBorders>
            <w:vAlign w:val="center"/>
            <w:hideMark/>
          </w:tcPr>
          <w:p w14:paraId="109B557B"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22,80 (h)</w:t>
            </w:r>
          </w:p>
        </w:tc>
        <w:tc>
          <w:tcPr>
            <w:tcW w:w="956" w:type="dxa"/>
            <w:tcBorders>
              <w:top w:val="nil"/>
              <w:left w:val="nil"/>
              <w:bottom w:val="single" w:sz="4" w:space="0" w:color="auto"/>
              <w:right w:val="single" w:sz="4" w:space="0" w:color="auto"/>
            </w:tcBorders>
            <w:vAlign w:val="center"/>
            <w:hideMark/>
          </w:tcPr>
          <w:p w14:paraId="322B0ED9"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10.8</w:t>
            </w:r>
          </w:p>
        </w:tc>
        <w:tc>
          <w:tcPr>
            <w:tcW w:w="1163" w:type="dxa"/>
            <w:tcBorders>
              <w:top w:val="nil"/>
              <w:left w:val="nil"/>
              <w:bottom w:val="single" w:sz="4" w:space="0" w:color="auto"/>
              <w:right w:val="single" w:sz="4" w:space="0" w:color="auto"/>
            </w:tcBorders>
            <w:vAlign w:val="center"/>
            <w:hideMark/>
          </w:tcPr>
          <w:p w14:paraId="38E57964"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18,17 (i)</w:t>
            </w:r>
          </w:p>
        </w:tc>
        <w:tc>
          <w:tcPr>
            <w:tcW w:w="956" w:type="dxa"/>
            <w:tcBorders>
              <w:top w:val="nil"/>
              <w:left w:val="nil"/>
              <w:bottom w:val="single" w:sz="4" w:space="0" w:color="auto"/>
              <w:right w:val="single" w:sz="4" w:space="0" w:color="auto"/>
            </w:tcBorders>
            <w:vAlign w:val="center"/>
            <w:hideMark/>
          </w:tcPr>
          <w:p w14:paraId="566ED402"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8.6</w:t>
            </w:r>
          </w:p>
        </w:tc>
        <w:tc>
          <w:tcPr>
            <w:tcW w:w="1163" w:type="dxa"/>
            <w:tcBorders>
              <w:top w:val="nil"/>
              <w:left w:val="nil"/>
              <w:bottom w:val="single" w:sz="4" w:space="0" w:color="auto"/>
              <w:right w:val="single" w:sz="4" w:space="0" w:color="auto"/>
            </w:tcBorders>
            <w:vAlign w:val="center"/>
            <w:hideMark/>
          </w:tcPr>
          <w:p w14:paraId="74C83308"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21,00 (j)</w:t>
            </w:r>
          </w:p>
        </w:tc>
        <w:tc>
          <w:tcPr>
            <w:tcW w:w="956" w:type="dxa"/>
            <w:tcBorders>
              <w:top w:val="nil"/>
              <w:left w:val="nil"/>
              <w:bottom w:val="single" w:sz="4" w:space="0" w:color="auto"/>
              <w:right w:val="single" w:sz="4" w:space="0" w:color="auto"/>
            </w:tcBorders>
            <w:vAlign w:val="center"/>
            <w:hideMark/>
          </w:tcPr>
          <w:p w14:paraId="3F5A9FBC"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9.9</w:t>
            </w:r>
          </w:p>
        </w:tc>
        <w:tc>
          <w:tcPr>
            <w:tcW w:w="1163" w:type="dxa"/>
            <w:tcBorders>
              <w:top w:val="nil"/>
              <w:left w:val="nil"/>
              <w:bottom w:val="single" w:sz="4" w:space="0" w:color="auto"/>
              <w:right w:val="single" w:sz="4" w:space="0" w:color="auto"/>
            </w:tcBorders>
            <w:vAlign w:val="center"/>
            <w:hideMark/>
          </w:tcPr>
          <w:p w14:paraId="12AEC372"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20,82</w:t>
            </w:r>
          </w:p>
        </w:tc>
        <w:tc>
          <w:tcPr>
            <w:tcW w:w="956" w:type="dxa"/>
            <w:tcBorders>
              <w:top w:val="nil"/>
              <w:left w:val="nil"/>
              <w:bottom w:val="single" w:sz="4" w:space="0" w:color="auto"/>
              <w:right w:val="single" w:sz="4" w:space="0" w:color="auto"/>
            </w:tcBorders>
            <w:vAlign w:val="center"/>
            <w:hideMark/>
          </w:tcPr>
          <w:p w14:paraId="558C9F37"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9.8</w:t>
            </w:r>
          </w:p>
        </w:tc>
      </w:tr>
      <w:tr w:rsidR="00F7700C" w:rsidRPr="005534D4" w14:paraId="5E8AF0DC" w14:textId="77777777" w:rsidTr="00F7700C">
        <w:trPr>
          <w:gridAfter w:val="1"/>
          <w:wAfter w:w="6" w:type="dxa"/>
          <w:trHeight w:val="20"/>
          <w:jc w:val="center"/>
        </w:trPr>
        <w:tc>
          <w:tcPr>
            <w:tcW w:w="1700" w:type="dxa"/>
            <w:tcBorders>
              <w:top w:val="nil"/>
              <w:left w:val="single" w:sz="4" w:space="0" w:color="auto"/>
              <w:bottom w:val="single" w:sz="4" w:space="0" w:color="auto"/>
              <w:right w:val="single" w:sz="4" w:space="0" w:color="auto"/>
            </w:tcBorders>
            <w:vAlign w:val="center"/>
            <w:hideMark/>
          </w:tcPr>
          <w:p w14:paraId="31EBB1E0"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Madras</w:t>
            </w:r>
          </w:p>
        </w:tc>
        <w:tc>
          <w:tcPr>
            <w:tcW w:w="1244" w:type="dxa"/>
            <w:tcBorders>
              <w:top w:val="nil"/>
              <w:left w:val="nil"/>
              <w:bottom w:val="single" w:sz="4" w:space="0" w:color="auto"/>
              <w:right w:val="single" w:sz="4" w:space="0" w:color="auto"/>
            </w:tcBorders>
            <w:vAlign w:val="center"/>
            <w:hideMark/>
          </w:tcPr>
          <w:p w14:paraId="3A13A93B"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58,16</w:t>
            </w:r>
          </w:p>
        </w:tc>
        <w:tc>
          <w:tcPr>
            <w:tcW w:w="957" w:type="dxa"/>
            <w:tcBorders>
              <w:top w:val="nil"/>
              <w:left w:val="nil"/>
              <w:bottom w:val="single" w:sz="4" w:space="0" w:color="auto"/>
              <w:right w:val="single" w:sz="4" w:space="0" w:color="auto"/>
            </w:tcBorders>
            <w:vAlign w:val="center"/>
            <w:hideMark/>
          </w:tcPr>
          <w:p w14:paraId="1F500185" w14:textId="2522FD0B" w:rsidR="00F7700C" w:rsidRPr="005534D4" w:rsidRDefault="00F7700C" w:rsidP="00F7700C">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5534D4">
              <w:rPr>
                <w:rFonts w:ascii="Times New Roman" w:eastAsia="Times New Roman" w:hAnsi="Times New Roman" w:cs="Times New Roman"/>
                <w:i/>
                <w:iCs/>
                <w:color w:val="000000"/>
                <w:kern w:val="0"/>
                <w:sz w:val="28"/>
                <w:szCs w:val="28"/>
                <w:lang w:eastAsia="en-IN"/>
                <w14:ligatures w14:val="none"/>
              </w:rPr>
              <w:t>10</w:t>
            </w:r>
            <w:r w:rsidR="00C97C2C">
              <w:rPr>
                <w:rFonts w:ascii="Times New Roman" w:eastAsia="Times New Roman" w:hAnsi="Times New Roman" w:cs="Times New Roman"/>
                <w:i/>
                <w:iCs/>
                <w:color w:val="000000"/>
                <w:kern w:val="0"/>
                <w:sz w:val="28"/>
                <w:szCs w:val="28"/>
                <w:lang w:eastAsia="en-IN"/>
                <w14:ligatures w14:val="none"/>
              </w:rPr>
              <w:t>.</w:t>
            </w:r>
            <w:r w:rsidRPr="005534D4">
              <w:rPr>
                <w:rFonts w:ascii="Times New Roman" w:eastAsia="Times New Roman" w:hAnsi="Times New Roman" w:cs="Times New Roman"/>
                <w:i/>
                <w:iCs/>
                <w:color w:val="000000"/>
                <w:kern w:val="0"/>
                <w:sz w:val="28"/>
                <w:szCs w:val="28"/>
                <w:lang w:eastAsia="en-IN"/>
                <w14:ligatures w14:val="none"/>
              </w:rPr>
              <w:t>2</w:t>
            </w:r>
          </w:p>
        </w:tc>
        <w:tc>
          <w:tcPr>
            <w:tcW w:w="1254" w:type="dxa"/>
            <w:tcBorders>
              <w:top w:val="nil"/>
              <w:left w:val="nil"/>
              <w:bottom w:val="single" w:sz="4" w:space="0" w:color="auto"/>
              <w:right w:val="single" w:sz="4" w:space="0" w:color="auto"/>
            </w:tcBorders>
            <w:vAlign w:val="center"/>
            <w:hideMark/>
          </w:tcPr>
          <w:p w14:paraId="5B5710EC"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59,45</w:t>
            </w:r>
          </w:p>
        </w:tc>
        <w:tc>
          <w:tcPr>
            <w:tcW w:w="956" w:type="dxa"/>
            <w:tcBorders>
              <w:top w:val="nil"/>
              <w:left w:val="nil"/>
              <w:bottom w:val="single" w:sz="4" w:space="0" w:color="auto"/>
              <w:right w:val="single" w:sz="4" w:space="0" w:color="auto"/>
            </w:tcBorders>
            <w:vAlign w:val="center"/>
            <w:hideMark/>
          </w:tcPr>
          <w:p w14:paraId="3631241F" w14:textId="7EAED302" w:rsidR="00F7700C" w:rsidRPr="005534D4" w:rsidRDefault="00F7700C" w:rsidP="00F7700C">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5534D4">
              <w:rPr>
                <w:rFonts w:ascii="Times New Roman" w:eastAsia="Times New Roman" w:hAnsi="Times New Roman" w:cs="Times New Roman"/>
                <w:i/>
                <w:iCs/>
                <w:color w:val="000000"/>
                <w:kern w:val="0"/>
                <w:sz w:val="28"/>
                <w:szCs w:val="28"/>
                <w:lang w:eastAsia="en-IN"/>
                <w14:ligatures w14:val="none"/>
              </w:rPr>
              <w:t>10</w:t>
            </w:r>
            <w:r w:rsidR="00353EE4">
              <w:rPr>
                <w:rFonts w:ascii="Times New Roman" w:eastAsia="Times New Roman" w:hAnsi="Times New Roman" w:cs="Times New Roman"/>
                <w:i/>
                <w:iCs/>
                <w:color w:val="000000"/>
                <w:kern w:val="0"/>
                <w:sz w:val="28"/>
                <w:szCs w:val="28"/>
                <w:lang w:eastAsia="en-IN"/>
                <w14:ligatures w14:val="none"/>
              </w:rPr>
              <w:t>.</w:t>
            </w:r>
            <w:r w:rsidRPr="005534D4">
              <w:rPr>
                <w:rFonts w:ascii="Times New Roman" w:eastAsia="Times New Roman" w:hAnsi="Times New Roman" w:cs="Times New Roman"/>
                <w:i/>
                <w:iCs/>
                <w:color w:val="000000"/>
                <w:kern w:val="0"/>
                <w:sz w:val="28"/>
                <w:szCs w:val="28"/>
                <w:lang w:eastAsia="en-IN"/>
                <w14:ligatures w14:val="none"/>
              </w:rPr>
              <w:t>4</w:t>
            </w:r>
          </w:p>
        </w:tc>
        <w:tc>
          <w:tcPr>
            <w:tcW w:w="1163" w:type="dxa"/>
            <w:tcBorders>
              <w:top w:val="nil"/>
              <w:left w:val="nil"/>
              <w:bottom w:val="single" w:sz="4" w:space="0" w:color="auto"/>
              <w:right w:val="single" w:sz="4" w:space="0" w:color="auto"/>
            </w:tcBorders>
            <w:vAlign w:val="center"/>
            <w:hideMark/>
          </w:tcPr>
          <w:p w14:paraId="164392CE"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59,65</w:t>
            </w:r>
          </w:p>
        </w:tc>
        <w:tc>
          <w:tcPr>
            <w:tcW w:w="956" w:type="dxa"/>
            <w:tcBorders>
              <w:top w:val="nil"/>
              <w:left w:val="nil"/>
              <w:bottom w:val="single" w:sz="4" w:space="0" w:color="auto"/>
              <w:right w:val="single" w:sz="4" w:space="0" w:color="auto"/>
            </w:tcBorders>
            <w:vAlign w:val="center"/>
            <w:hideMark/>
          </w:tcPr>
          <w:p w14:paraId="39639EA3"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10.5</w:t>
            </w:r>
          </w:p>
        </w:tc>
        <w:tc>
          <w:tcPr>
            <w:tcW w:w="1163" w:type="dxa"/>
            <w:tcBorders>
              <w:top w:val="nil"/>
              <w:left w:val="nil"/>
              <w:bottom w:val="single" w:sz="4" w:space="0" w:color="auto"/>
              <w:right w:val="single" w:sz="4" w:space="0" w:color="auto"/>
            </w:tcBorders>
            <w:vAlign w:val="center"/>
            <w:hideMark/>
          </w:tcPr>
          <w:p w14:paraId="3DC996BA"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63,72</w:t>
            </w:r>
          </w:p>
        </w:tc>
        <w:tc>
          <w:tcPr>
            <w:tcW w:w="956" w:type="dxa"/>
            <w:tcBorders>
              <w:top w:val="nil"/>
              <w:left w:val="nil"/>
              <w:bottom w:val="single" w:sz="4" w:space="0" w:color="auto"/>
              <w:right w:val="single" w:sz="4" w:space="0" w:color="auto"/>
            </w:tcBorders>
            <w:vAlign w:val="center"/>
            <w:hideMark/>
          </w:tcPr>
          <w:p w14:paraId="79A82A4B"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11.2</w:t>
            </w:r>
          </w:p>
        </w:tc>
        <w:tc>
          <w:tcPr>
            <w:tcW w:w="1163" w:type="dxa"/>
            <w:tcBorders>
              <w:top w:val="nil"/>
              <w:left w:val="nil"/>
              <w:bottom w:val="single" w:sz="4" w:space="0" w:color="auto"/>
              <w:right w:val="single" w:sz="4" w:space="0" w:color="auto"/>
            </w:tcBorders>
            <w:vAlign w:val="center"/>
            <w:hideMark/>
          </w:tcPr>
          <w:p w14:paraId="436B7F73"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64,46 (k)</w:t>
            </w:r>
          </w:p>
        </w:tc>
        <w:tc>
          <w:tcPr>
            <w:tcW w:w="956" w:type="dxa"/>
            <w:tcBorders>
              <w:top w:val="nil"/>
              <w:left w:val="nil"/>
              <w:bottom w:val="single" w:sz="4" w:space="0" w:color="auto"/>
              <w:right w:val="single" w:sz="4" w:space="0" w:color="auto"/>
            </w:tcBorders>
            <w:vAlign w:val="center"/>
            <w:hideMark/>
          </w:tcPr>
          <w:p w14:paraId="0E053087"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11.3</w:t>
            </w:r>
          </w:p>
        </w:tc>
        <w:tc>
          <w:tcPr>
            <w:tcW w:w="1163" w:type="dxa"/>
            <w:tcBorders>
              <w:top w:val="nil"/>
              <w:left w:val="nil"/>
              <w:bottom w:val="single" w:sz="4" w:space="0" w:color="auto"/>
              <w:right w:val="single" w:sz="4" w:space="0" w:color="auto"/>
            </w:tcBorders>
            <w:vAlign w:val="center"/>
            <w:hideMark/>
          </w:tcPr>
          <w:p w14:paraId="78236509"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65,34</w:t>
            </w:r>
          </w:p>
        </w:tc>
        <w:tc>
          <w:tcPr>
            <w:tcW w:w="956" w:type="dxa"/>
            <w:tcBorders>
              <w:top w:val="nil"/>
              <w:left w:val="nil"/>
              <w:bottom w:val="single" w:sz="4" w:space="0" w:color="auto"/>
              <w:right w:val="single" w:sz="4" w:space="0" w:color="auto"/>
            </w:tcBorders>
            <w:vAlign w:val="center"/>
            <w:hideMark/>
          </w:tcPr>
          <w:p w14:paraId="00E7FABE"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11.5</w:t>
            </w:r>
          </w:p>
        </w:tc>
      </w:tr>
      <w:tr w:rsidR="00F7700C" w:rsidRPr="005534D4" w14:paraId="1ECD33C4" w14:textId="77777777" w:rsidTr="00F7700C">
        <w:trPr>
          <w:gridAfter w:val="1"/>
          <w:wAfter w:w="6" w:type="dxa"/>
          <w:trHeight w:val="20"/>
          <w:jc w:val="center"/>
        </w:trPr>
        <w:tc>
          <w:tcPr>
            <w:tcW w:w="1700" w:type="dxa"/>
            <w:tcBorders>
              <w:top w:val="nil"/>
              <w:left w:val="single" w:sz="4" w:space="0" w:color="auto"/>
              <w:bottom w:val="single" w:sz="4" w:space="0" w:color="auto"/>
              <w:right w:val="single" w:sz="4" w:space="0" w:color="auto"/>
            </w:tcBorders>
            <w:vAlign w:val="center"/>
            <w:hideMark/>
          </w:tcPr>
          <w:p w14:paraId="13471DB7"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Orissa</w:t>
            </w:r>
          </w:p>
        </w:tc>
        <w:tc>
          <w:tcPr>
            <w:tcW w:w="1244" w:type="dxa"/>
            <w:tcBorders>
              <w:top w:val="nil"/>
              <w:left w:val="nil"/>
              <w:bottom w:val="single" w:sz="4" w:space="0" w:color="auto"/>
              <w:right w:val="single" w:sz="4" w:space="0" w:color="auto"/>
            </w:tcBorders>
            <w:vAlign w:val="center"/>
            <w:hideMark/>
          </w:tcPr>
          <w:p w14:paraId="2A4BA2BD"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10,31</w:t>
            </w:r>
          </w:p>
        </w:tc>
        <w:tc>
          <w:tcPr>
            <w:tcW w:w="957" w:type="dxa"/>
            <w:tcBorders>
              <w:top w:val="nil"/>
              <w:left w:val="nil"/>
              <w:bottom w:val="single" w:sz="4" w:space="0" w:color="auto"/>
              <w:right w:val="single" w:sz="4" w:space="0" w:color="auto"/>
            </w:tcBorders>
            <w:vAlign w:val="center"/>
            <w:hideMark/>
          </w:tcPr>
          <w:p w14:paraId="32AEFB69" w14:textId="5626A001" w:rsidR="00F7700C" w:rsidRPr="005534D4" w:rsidRDefault="00F7700C" w:rsidP="00F7700C">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5534D4">
              <w:rPr>
                <w:rFonts w:ascii="Times New Roman" w:eastAsia="Times New Roman" w:hAnsi="Times New Roman" w:cs="Times New Roman"/>
                <w:i/>
                <w:iCs/>
                <w:color w:val="000000"/>
                <w:kern w:val="0"/>
                <w:sz w:val="28"/>
                <w:szCs w:val="28"/>
                <w:lang w:eastAsia="en-IN"/>
                <w14:ligatures w14:val="none"/>
              </w:rPr>
              <w:t>7</w:t>
            </w:r>
            <w:r w:rsidR="00C97C2C">
              <w:rPr>
                <w:rFonts w:ascii="Times New Roman" w:eastAsia="Times New Roman" w:hAnsi="Times New Roman" w:cs="Times New Roman"/>
                <w:i/>
                <w:iCs/>
                <w:color w:val="000000"/>
                <w:kern w:val="0"/>
                <w:sz w:val="28"/>
                <w:szCs w:val="28"/>
                <w:lang w:eastAsia="en-IN"/>
                <w14:ligatures w14:val="none"/>
              </w:rPr>
              <w:t>.</w:t>
            </w:r>
            <w:r w:rsidRPr="005534D4">
              <w:rPr>
                <w:rFonts w:ascii="Times New Roman" w:eastAsia="Times New Roman" w:hAnsi="Times New Roman" w:cs="Times New Roman"/>
                <w:i/>
                <w:iCs/>
                <w:color w:val="000000"/>
                <w:kern w:val="0"/>
                <w:sz w:val="28"/>
                <w:szCs w:val="28"/>
                <w:lang w:eastAsia="en-IN"/>
                <w14:ligatures w14:val="none"/>
              </w:rPr>
              <w:t>1</w:t>
            </w:r>
          </w:p>
        </w:tc>
        <w:tc>
          <w:tcPr>
            <w:tcW w:w="1254" w:type="dxa"/>
            <w:tcBorders>
              <w:top w:val="nil"/>
              <w:left w:val="nil"/>
              <w:bottom w:val="single" w:sz="4" w:space="0" w:color="auto"/>
              <w:right w:val="single" w:sz="4" w:space="0" w:color="auto"/>
            </w:tcBorders>
            <w:vAlign w:val="center"/>
            <w:hideMark/>
          </w:tcPr>
          <w:p w14:paraId="7DEFC14F"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12,01</w:t>
            </w:r>
          </w:p>
        </w:tc>
        <w:tc>
          <w:tcPr>
            <w:tcW w:w="956" w:type="dxa"/>
            <w:tcBorders>
              <w:top w:val="nil"/>
              <w:left w:val="nil"/>
              <w:bottom w:val="single" w:sz="4" w:space="0" w:color="auto"/>
              <w:right w:val="single" w:sz="4" w:space="0" w:color="auto"/>
            </w:tcBorders>
            <w:vAlign w:val="center"/>
            <w:hideMark/>
          </w:tcPr>
          <w:p w14:paraId="71D7EF8E" w14:textId="223C1F33" w:rsidR="00F7700C" w:rsidRPr="005534D4" w:rsidRDefault="00F7700C" w:rsidP="00F7700C">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5534D4">
              <w:rPr>
                <w:rFonts w:ascii="Times New Roman" w:eastAsia="Times New Roman" w:hAnsi="Times New Roman" w:cs="Times New Roman"/>
                <w:i/>
                <w:iCs/>
                <w:color w:val="000000"/>
                <w:kern w:val="0"/>
                <w:sz w:val="28"/>
                <w:szCs w:val="28"/>
                <w:lang w:eastAsia="en-IN"/>
                <w14:ligatures w14:val="none"/>
              </w:rPr>
              <w:t>8</w:t>
            </w:r>
            <w:r w:rsidR="00D33874">
              <w:rPr>
                <w:rFonts w:ascii="Times New Roman" w:eastAsia="Times New Roman" w:hAnsi="Times New Roman" w:cs="Times New Roman"/>
                <w:i/>
                <w:iCs/>
                <w:color w:val="000000"/>
                <w:kern w:val="0"/>
                <w:sz w:val="28"/>
                <w:szCs w:val="28"/>
                <w:lang w:eastAsia="en-IN"/>
                <w14:ligatures w14:val="none"/>
              </w:rPr>
              <w:t>.</w:t>
            </w:r>
            <w:r w:rsidRPr="005534D4">
              <w:rPr>
                <w:rFonts w:ascii="Times New Roman" w:eastAsia="Times New Roman" w:hAnsi="Times New Roman" w:cs="Times New Roman"/>
                <w:i/>
                <w:iCs/>
                <w:color w:val="000000"/>
                <w:kern w:val="0"/>
                <w:sz w:val="28"/>
                <w:szCs w:val="28"/>
                <w:lang w:eastAsia="en-IN"/>
                <w14:ligatures w14:val="none"/>
              </w:rPr>
              <w:t>2</w:t>
            </w:r>
          </w:p>
        </w:tc>
        <w:tc>
          <w:tcPr>
            <w:tcW w:w="1163" w:type="dxa"/>
            <w:tcBorders>
              <w:top w:val="nil"/>
              <w:left w:val="nil"/>
              <w:bottom w:val="single" w:sz="4" w:space="0" w:color="auto"/>
              <w:right w:val="single" w:sz="4" w:space="0" w:color="auto"/>
            </w:tcBorders>
            <w:vAlign w:val="center"/>
            <w:hideMark/>
          </w:tcPr>
          <w:p w14:paraId="040DFE2B"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11,60</w:t>
            </w:r>
          </w:p>
        </w:tc>
        <w:tc>
          <w:tcPr>
            <w:tcW w:w="956" w:type="dxa"/>
            <w:tcBorders>
              <w:top w:val="nil"/>
              <w:left w:val="nil"/>
              <w:bottom w:val="single" w:sz="4" w:space="0" w:color="auto"/>
              <w:right w:val="single" w:sz="4" w:space="0" w:color="auto"/>
            </w:tcBorders>
            <w:vAlign w:val="center"/>
            <w:hideMark/>
          </w:tcPr>
          <w:p w14:paraId="27DC7A89"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7.9</w:t>
            </w:r>
          </w:p>
        </w:tc>
        <w:tc>
          <w:tcPr>
            <w:tcW w:w="1163" w:type="dxa"/>
            <w:tcBorders>
              <w:top w:val="nil"/>
              <w:left w:val="nil"/>
              <w:bottom w:val="single" w:sz="4" w:space="0" w:color="auto"/>
              <w:right w:val="single" w:sz="4" w:space="0" w:color="auto"/>
            </w:tcBorders>
            <w:vAlign w:val="center"/>
            <w:hideMark/>
          </w:tcPr>
          <w:p w14:paraId="5055951D"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10,85</w:t>
            </w:r>
          </w:p>
        </w:tc>
        <w:tc>
          <w:tcPr>
            <w:tcW w:w="956" w:type="dxa"/>
            <w:tcBorders>
              <w:top w:val="nil"/>
              <w:left w:val="nil"/>
              <w:bottom w:val="single" w:sz="4" w:space="0" w:color="auto"/>
              <w:right w:val="single" w:sz="4" w:space="0" w:color="auto"/>
            </w:tcBorders>
            <w:vAlign w:val="center"/>
            <w:hideMark/>
          </w:tcPr>
          <w:p w14:paraId="7E464DFA"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7.4</w:t>
            </w:r>
          </w:p>
        </w:tc>
        <w:tc>
          <w:tcPr>
            <w:tcW w:w="1163" w:type="dxa"/>
            <w:tcBorders>
              <w:top w:val="nil"/>
              <w:left w:val="nil"/>
              <w:bottom w:val="single" w:sz="4" w:space="0" w:color="auto"/>
              <w:right w:val="single" w:sz="4" w:space="0" w:color="auto"/>
            </w:tcBorders>
            <w:vAlign w:val="center"/>
            <w:hideMark/>
          </w:tcPr>
          <w:p w14:paraId="6A2A64DB"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11,78</w:t>
            </w:r>
          </w:p>
        </w:tc>
        <w:tc>
          <w:tcPr>
            <w:tcW w:w="956" w:type="dxa"/>
            <w:tcBorders>
              <w:top w:val="nil"/>
              <w:left w:val="nil"/>
              <w:bottom w:val="single" w:sz="4" w:space="0" w:color="auto"/>
              <w:right w:val="single" w:sz="4" w:space="0" w:color="auto"/>
            </w:tcBorders>
            <w:vAlign w:val="center"/>
            <w:hideMark/>
          </w:tcPr>
          <w:p w14:paraId="776C1B45"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8.1</w:t>
            </w:r>
          </w:p>
        </w:tc>
        <w:tc>
          <w:tcPr>
            <w:tcW w:w="1163" w:type="dxa"/>
            <w:tcBorders>
              <w:top w:val="nil"/>
              <w:left w:val="nil"/>
              <w:bottom w:val="single" w:sz="4" w:space="0" w:color="auto"/>
              <w:right w:val="single" w:sz="4" w:space="0" w:color="auto"/>
            </w:tcBorders>
            <w:vAlign w:val="center"/>
            <w:hideMark/>
          </w:tcPr>
          <w:p w14:paraId="095F0D9F"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11,68</w:t>
            </w:r>
          </w:p>
        </w:tc>
        <w:tc>
          <w:tcPr>
            <w:tcW w:w="956" w:type="dxa"/>
            <w:tcBorders>
              <w:top w:val="nil"/>
              <w:left w:val="nil"/>
              <w:bottom w:val="single" w:sz="4" w:space="0" w:color="auto"/>
              <w:right w:val="single" w:sz="4" w:space="0" w:color="auto"/>
            </w:tcBorders>
            <w:vAlign w:val="center"/>
            <w:hideMark/>
          </w:tcPr>
          <w:p w14:paraId="1E9A4170" w14:textId="0A90CC5A"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8</w:t>
            </w:r>
            <w:r w:rsidR="000A74AC">
              <w:rPr>
                <w:rFonts w:ascii="Times New Roman" w:eastAsia="Times New Roman" w:hAnsi="Times New Roman" w:cs="Times New Roman"/>
                <w:color w:val="000000"/>
                <w:kern w:val="0"/>
                <w:sz w:val="28"/>
                <w:szCs w:val="28"/>
                <w:lang w:eastAsia="en-IN"/>
                <w14:ligatures w14:val="none"/>
              </w:rPr>
              <w:t>.0</w:t>
            </w:r>
          </w:p>
        </w:tc>
      </w:tr>
      <w:tr w:rsidR="00F7700C" w:rsidRPr="005534D4" w14:paraId="3258B078" w14:textId="77777777" w:rsidTr="00F7700C">
        <w:trPr>
          <w:gridAfter w:val="1"/>
          <w:wAfter w:w="6" w:type="dxa"/>
          <w:trHeight w:val="20"/>
          <w:jc w:val="center"/>
        </w:trPr>
        <w:tc>
          <w:tcPr>
            <w:tcW w:w="1700" w:type="dxa"/>
            <w:tcBorders>
              <w:top w:val="nil"/>
              <w:left w:val="single" w:sz="4" w:space="0" w:color="auto"/>
              <w:bottom w:val="single" w:sz="4" w:space="0" w:color="auto"/>
              <w:right w:val="single" w:sz="4" w:space="0" w:color="auto"/>
            </w:tcBorders>
            <w:vAlign w:val="center"/>
            <w:hideMark/>
          </w:tcPr>
          <w:p w14:paraId="4147A405"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Punjab</w:t>
            </w:r>
          </w:p>
        </w:tc>
        <w:tc>
          <w:tcPr>
            <w:tcW w:w="1244" w:type="dxa"/>
            <w:tcBorders>
              <w:top w:val="nil"/>
              <w:left w:val="nil"/>
              <w:bottom w:val="single" w:sz="4" w:space="0" w:color="auto"/>
              <w:right w:val="single" w:sz="4" w:space="0" w:color="auto"/>
            </w:tcBorders>
            <w:vAlign w:val="center"/>
            <w:hideMark/>
          </w:tcPr>
          <w:p w14:paraId="746C2808"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16,87</w:t>
            </w:r>
          </w:p>
        </w:tc>
        <w:tc>
          <w:tcPr>
            <w:tcW w:w="957" w:type="dxa"/>
            <w:tcBorders>
              <w:top w:val="nil"/>
              <w:left w:val="nil"/>
              <w:bottom w:val="single" w:sz="4" w:space="0" w:color="auto"/>
              <w:right w:val="single" w:sz="4" w:space="0" w:color="auto"/>
            </w:tcBorders>
            <w:vAlign w:val="center"/>
            <w:hideMark/>
          </w:tcPr>
          <w:p w14:paraId="7448C166" w14:textId="66FEC884" w:rsidR="00F7700C" w:rsidRPr="005534D4" w:rsidRDefault="00F7700C" w:rsidP="00F7700C">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5534D4">
              <w:rPr>
                <w:rFonts w:ascii="Times New Roman" w:eastAsia="Times New Roman" w:hAnsi="Times New Roman" w:cs="Times New Roman"/>
                <w:i/>
                <w:iCs/>
                <w:color w:val="000000"/>
                <w:kern w:val="0"/>
                <w:sz w:val="28"/>
                <w:szCs w:val="28"/>
                <w:lang w:eastAsia="en-IN"/>
                <w14:ligatures w14:val="none"/>
              </w:rPr>
              <w:t>13</w:t>
            </w:r>
            <w:r w:rsidR="00C97C2C">
              <w:rPr>
                <w:rFonts w:ascii="Times New Roman" w:eastAsia="Times New Roman" w:hAnsi="Times New Roman" w:cs="Times New Roman"/>
                <w:i/>
                <w:iCs/>
                <w:color w:val="000000"/>
                <w:kern w:val="0"/>
                <w:sz w:val="28"/>
                <w:szCs w:val="28"/>
                <w:lang w:eastAsia="en-IN"/>
                <w14:ligatures w14:val="none"/>
              </w:rPr>
              <w:t>.</w:t>
            </w:r>
            <w:r w:rsidRPr="005534D4">
              <w:rPr>
                <w:rFonts w:ascii="Times New Roman" w:eastAsia="Times New Roman" w:hAnsi="Times New Roman" w:cs="Times New Roman"/>
                <w:i/>
                <w:iCs/>
                <w:color w:val="000000"/>
                <w:kern w:val="0"/>
                <w:sz w:val="28"/>
                <w:szCs w:val="28"/>
                <w:lang w:eastAsia="en-IN"/>
                <w14:ligatures w14:val="none"/>
              </w:rPr>
              <w:t>4</w:t>
            </w:r>
          </w:p>
        </w:tc>
        <w:tc>
          <w:tcPr>
            <w:tcW w:w="1254" w:type="dxa"/>
            <w:tcBorders>
              <w:top w:val="nil"/>
              <w:left w:val="nil"/>
              <w:bottom w:val="single" w:sz="4" w:space="0" w:color="auto"/>
              <w:right w:val="single" w:sz="4" w:space="0" w:color="auto"/>
            </w:tcBorders>
            <w:vAlign w:val="center"/>
            <w:hideMark/>
          </w:tcPr>
          <w:p w14:paraId="2630680F"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16,00</w:t>
            </w:r>
          </w:p>
        </w:tc>
        <w:tc>
          <w:tcPr>
            <w:tcW w:w="956" w:type="dxa"/>
            <w:tcBorders>
              <w:top w:val="nil"/>
              <w:left w:val="nil"/>
              <w:bottom w:val="single" w:sz="4" w:space="0" w:color="auto"/>
              <w:right w:val="single" w:sz="4" w:space="0" w:color="auto"/>
            </w:tcBorders>
            <w:vAlign w:val="center"/>
            <w:hideMark/>
          </w:tcPr>
          <w:p w14:paraId="2A14C09F" w14:textId="5C0B41DC" w:rsidR="00F7700C" w:rsidRPr="005534D4" w:rsidRDefault="00F7700C" w:rsidP="00F7700C">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5534D4">
              <w:rPr>
                <w:rFonts w:ascii="Times New Roman" w:eastAsia="Times New Roman" w:hAnsi="Times New Roman" w:cs="Times New Roman"/>
                <w:i/>
                <w:iCs/>
                <w:color w:val="000000"/>
                <w:kern w:val="0"/>
                <w:sz w:val="28"/>
                <w:szCs w:val="28"/>
                <w:lang w:eastAsia="en-IN"/>
                <w14:ligatures w14:val="none"/>
              </w:rPr>
              <w:t>12</w:t>
            </w:r>
            <w:r w:rsidR="00D33874">
              <w:rPr>
                <w:rFonts w:ascii="Times New Roman" w:eastAsia="Times New Roman" w:hAnsi="Times New Roman" w:cs="Times New Roman"/>
                <w:i/>
                <w:iCs/>
                <w:color w:val="000000"/>
                <w:kern w:val="0"/>
                <w:sz w:val="28"/>
                <w:szCs w:val="28"/>
                <w:lang w:eastAsia="en-IN"/>
                <w14:ligatures w14:val="none"/>
              </w:rPr>
              <w:t>.</w:t>
            </w:r>
            <w:r w:rsidRPr="005534D4">
              <w:rPr>
                <w:rFonts w:ascii="Times New Roman" w:eastAsia="Times New Roman" w:hAnsi="Times New Roman" w:cs="Times New Roman"/>
                <w:i/>
                <w:iCs/>
                <w:color w:val="000000"/>
                <w:kern w:val="0"/>
                <w:sz w:val="28"/>
                <w:szCs w:val="28"/>
                <w:lang w:eastAsia="en-IN"/>
                <w14:ligatures w14:val="none"/>
              </w:rPr>
              <w:t>7</w:t>
            </w:r>
          </w:p>
        </w:tc>
        <w:tc>
          <w:tcPr>
            <w:tcW w:w="1163" w:type="dxa"/>
            <w:tcBorders>
              <w:top w:val="nil"/>
              <w:left w:val="nil"/>
              <w:bottom w:val="single" w:sz="4" w:space="0" w:color="auto"/>
              <w:right w:val="single" w:sz="4" w:space="0" w:color="auto"/>
            </w:tcBorders>
            <w:vAlign w:val="center"/>
            <w:hideMark/>
          </w:tcPr>
          <w:p w14:paraId="792E5DF0"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17,80</w:t>
            </w:r>
          </w:p>
        </w:tc>
        <w:tc>
          <w:tcPr>
            <w:tcW w:w="956" w:type="dxa"/>
            <w:tcBorders>
              <w:top w:val="nil"/>
              <w:left w:val="nil"/>
              <w:bottom w:val="single" w:sz="4" w:space="0" w:color="auto"/>
              <w:right w:val="single" w:sz="4" w:space="0" w:color="auto"/>
            </w:tcBorders>
            <w:vAlign w:val="center"/>
            <w:hideMark/>
          </w:tcPr>
          <w:p w14:paraId="02D6B9A6"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14.1</w:t>
            </w:r>
          </w:p>
        </w:tc>
        <w:tc>
          <w:tcPr>
            <w:tcW w:w="1163" w:type="dxa"/>
            <w:tcBorders>
              <w:top w:val="nil"/>
              <w:left w:val="nil"/>
              <w:bottom w:val="single" w:sz="4" w:space="0" w:color="auto"/>
              <w:right w:val="single" w:sz="4" w:space="0" w:color="auto"/>
            </w:tcBorders>
            <w:vAlign w:val="center"/>
            <w:hideMark/>
          </w:tcPr>
          <w:p w14:paraId="029CD9B8"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16,49</w:t>
            </w:r>
          </w:p>
        </w:tc>
        <w:tc>
          <w:tcPr>
            <w:tcW w:w="956" w:type="dxa"/>
            <w:tcBorders>
              <w:top w:val="nil"/>
              <w:left w:val="nil"/>
              <w:bottom w:val="single" w:sz="4" w:space="0" w:color="auto"/>
              <w:right w:val="single" w:sz="4" w:space="0" w:color="auto"/>
            </w:tcBorders>
            <w:vAlign w:val="center"/>
            <w:hideMark/>
          </w:tcPr>
          <w:p w14:paraId="5659151A"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13.1</w:t>
            </w:r>
          </w:p>
        </w:tc>
        <w:tc>
          <w:tcPr>
            <w:tcW w:w="1163" w:type="dxa"/>
            <w:tcBorders>
              <w:top w:val="nil"/>
              <w:left w:val="nil"/>
              <w:bottom w:val="single" w:sz="4" w:space="0" w:color="auto"/>
              <w:right w:val="single" w:sz="4" w:space="0" w:color="auto"/>
            </w:tcBorders>
            <w:vAlign w:val="center"/>
            <w:hideMark/>
          </w:tcPr>
          <w:p w14:paraId="328B6C32"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17,05</w:t>
            </w:r>
          </w:p>
        </w:tc>
        <w:tc>
          <w:tcPr>
            <w:tcW w:w="956" w:type="dxa"/>
            <w:tcBorders>
              <w:top w:val="nil"/>
              <w:left w:val="nil"/>
              <w:bottom w:val="single" w:sz="4" w:space="0" w:color="auto"/>
              <w:right w:val="single" w:sz="4" w:space="0" w:color="auto"/>
            </w:tcBorders>
            <w:vAlign w:val="center"/>
            <w:hideMark/>
          </w:tcPr>
          <w:p w14:paraId="29C27FA0"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13.5</w:t>
            </w:r>
          </w:p>
        </w:tc>
        <w:tc>
          <w:tcPr>
            <w:tcW w:w="1163" w:type="dxa"/>
            <w:tcBorders>
              <w:top w:val="nil"/>
              <w:left w:val="nil"/>
              <w:bottom w:val="single" w:sz="4" w:space="0" w:color="auto"/>
              <w:right w:val="single" w:sz="4" w:space="0" w:color="auto"/>
            </w:tcBorders>
            <w:vAlign w:val="center"/>
            <w:hideMark/>
          </w:tcPr>
          <w:p w14:paraId="25A6DF37"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17,48</w:t>
            </w:r>
          </w:p>
        </w:tc>
        <w:tc>
          <w:tcPr>
            <w:tcW w:w="956" w:type="dxa"/>
            <w:tcBorders>
              <w:top w:val="nil"/>
              <w:left w:val="nil"/>
              <w:bottom w:val="single" w:sz="4" w:space="0" w:color="auto"/>
              <w:right w:val="single" w:sz="4" w:space="0" w:color="auto"/>
            </w:tcBorders>
            <w:vAlign w:val="center"/>
            <w:hideMark/>
          </w:tcPr>
          <w:p w14:paraId="0DCDFC67"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13.9</w:t>
            </w:r>
          </w:p>
        </w:tc>
      </w:tr>
      <w:tr w:rsidR="00F7700C" w:rsidRPr="005534D4" w14:paraId="7722D986" w14:textId="77777777" w:rsidTr="00F7700C">
        <w:trPr>
          <w:gridAfter w:val="1"/>
          <w:wAfter w:w="6" w:type="dxa"/>
          <w:trHeight w:val="20"/>
          <w:jc w:val="center"/>
        </w:trPr>
        <w:tc>
          <w:tcPr>
            <w:tcW w:w="1700" w:type="dxa"/>
            <w:tcBorders>
              <w:top w:val="nil"/>
              <w:left w:val="single" w:sz="4" w:space="0" w:color="auto"/>
              <w:bottom w:val="single" w:sz="4" w:space="0" w:color="auto"/>
              <w:right w:val="single" w:sz="4" w:space="0" w:color="auto"/>
            </w:tcBorders>
            <w:vAlign w:val="center"/>
            <w:hideMark/>
          </w:tcPr>
          <w:p w14:paraId="0F76B627"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Uttar Pradesh</w:t>
            </w:r>
          </w:p>
        </w:tc>
        <w:tc>
          <w:tcPr>
            <w:tcW w:w="1244" w:type="dxa"/>
            <w:tcBorders>
              <w:top w:val="nil"/>
              <w:left w:val="nil"/>
              <w:bottom w:val="single" w:sz="4" w:space="0" w:color="auto"/>
              <w:right w:val="single" w:sz="4" w:space="0" w:color="auto"/>
            </w:tcBorders>
            <w:vAlign w:val="center"/>
            <w:hideMark/>
          </w:tcPr>
          <w:p w14:paraId="58369F61"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51,89</w:t>
            </w:r>
          </w:p>
        </w:tc>
        <w:tc>
          <w:tcPr>
            <w:tcW w:w="957" w:type="dxa"/>
            <w:tcBorders>
              <w:top w:val="nil"/>
              <w:left w:val="nil"/>
              <w:bottom w:val="single" w:sz="4" w:space="0" w:color="auto"/>
              <w:right w:val="single" w:sz="4" w:space="0" w:color="auto"/>
            </w:tcBorders>
            <w:vAlign w:val="center"/>
            <w:hideMark/>
          </w:tcPr>
          <w:p w14:paraId="428D2255" w14:textId="7F900C0A" w:rsidR="00F7700C" w:rsidRPr="005534D4" w:rsidRDefault="00F7700C" w:rsidP="00F7700C">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5534D4">
              <w:rPr>
                <w:rFonts w:ascii="Times New Roman" w:eastAsia="Times New Roman" w:hAnsi="Times New Roman" w:cs="Times New Roman"/>
                <w:i/>
                <w:iCs/>
                <w:color w:val="000000"/>
                <w:kern w:val="0"/>
                <w:sz w:val="28"/>
                <w:szCs w:val="28"/>
                <w:lang w:eastAsia="en-IN"/>
                <w14:ligatures w14:val="none"/>
              </w:rPr>
              <w:t>8</w:t>
            </w:r>
            <w:r w:rsidR="00C97C2C">
              <w:rPr>
                <w:rFonts w:ascii="Times New Roman" w:eastAsia="Times New Roman" w:hAnsi="Times New Roman" w:cs="Times New Roman"/>
                <w:i/>
                <w:iCs/>
                <w:color w:val="000000"/>
                <w:kern w:val="0"/>
                <w:sz w:val="28"/>
                <w:szCs w:val="28"/>
                <w:lang w:eastAsia="en-IN"/>
                <w14:ligatures w14:val="none"/>
              </w:rPr>
              <w:t>.</w:t>
            </w:r>
            <w:r w:rsidRPr="005534D4">
              <w:rPr>
                <w:rFonts w:ascii="Times New Roman" w:eastAsia="Times New Roman" w:hAnsi="Times New Roman" w:cs="Times New Roman"/>
                <w:i/>
                <w:iCs/>
                <w:color w:val="000000"/>
                <w:kern w:val="0"/>
                <w:sz w:val="28"/>
                <w:szCs w:val="28"/>
                <w:lang w:eastAsia="en-IN"/>
                <w14:ligatures w14:val="none"/>
              </w:rPr>
              <w:t>2</w:t>
            </w:r>
          </w:p>
        </w:tc>
        <w:tc>
          <w:tcPr>
            <w:tcW w:w="1254" w:type="dxa"/>
            <w:tcBorders>
              <w:top w:val="nil"/>
              <w:left w:val="nil"/>
              <w:bottom w:val="single" w:sz="4" w:space="0" w:color="auto"/>
              <w:right w:val="single" w:sz="4" w:space="0" w:color="auto"/>
            </w:tcBorders>
            <w:vAlign w:val="center"/>
            <w:hideMark/>
          </w:tcPr>
          <w:p w14:paraId="3B6AE568"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51,84</w:t>
            </w:r>
          </w:p>
        </w:tc>
        <w:tc>
          <w:tcPr>
            <w:tcW w:w="956" w:type="dxa"/>
            <w:tcBorders>
              <w:top w:val="nil"/>
              <w:left w:val="nil"/>
              <w:bottom w:val="single" w:sz="4" w:space="0" w:color="auto"/>
              <w:right w:val="single" w:sz="4" w:space="0" w:color="auto"/>
            </w:tcBorders>
            <w:vAlign w:val="center"/>
            <w:hideMark/>
          </w:tcPr>
          <w:p w14:paraId="0EEF880C" w14:textId="5EA75278" w:rsidR="00F7700C" w:rsidRPr="005534D4" w:rsidRDefault="00F7700C" w:rsidP="00F7700C">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5534D4">
              <w:rPr>
                <w:rFonts w:ascii="Times New Roman" w:eastAsia="Times New Roman" w:hAnsi="Times New Roman" w:cs="Times New Roman"/>
                <w:i/>
                <w:iCs/>
                <w:color w:val="000000"/>
                <w:kern w:val="0"/>
                <w:sz w:val="28"/>
                <w:szCs w:val="28"/>
                <w:lang w:eastAsia="en-IN"/>
                <w14:ligatures w14:val="none"/>
              </w:rPr>
              <w:t>8</w:t>
            </w:r>
            <w:r w:rsidR="00D33874">
              <w:rPr>
                <w:rFonts w:ascii="Times New Roman" w:eastAsia="Times New Roman" w:hAnsi="Times New Roman" w:cs="Times New Roman"/>
                <w:i/>
                <w:iCs/>
                <w:color w:val="000000"/>
                <w:kern w:val="0"/>
                <w:sz w:val="28"/>
                <w:szCs w:val="28"/>
                <w:lang w:eastAsia="en-IN"/>
                <w14:ligatures w14:val="none"/>
              </w:rPr>
              <w:t>.</w:t>
            </w:r>
            <w:r w:rsidRPr="005534D4">
              <w:rPr>
                <w:rFonts w:ascii="Times New Roman" w:eastAsia="Times New Roman" w:hAnsi="Times New Roman" w:cs="Times New Roman"/>
                <w:i/>
                <w:iCs/>
                <w:color w:val="000000"/>
                <w:kern w:val="0"/>
                <w:sz w:val="28"/>
                <w:szCs w:val="28"/>
                <w:lang w:eastAsia="en-IN"/>
                <w14:ligatures w14:val="none"/>
              </w:rPr>
              <w:t>2</w:t>
            </w:r>
          </w:p>
        </w:tc>
        <w:tc>
          <w:tcPr>
            <w:tcW w:w="1163" w:type="dxa"/>
            <w:tcBorders>
              <w:top w:val="nil"/>
              <w:left w:val="nil"/>
              <w:bottom w:val="single" w:sz="4" w:space="0" w:color="auto"/>
              <w:right w:val="single" w:sz="4" w:space="0" w:color="auto"/>
            </w:tcBorders>
            <w:vAlign w:val="center"/>
            <w:hideMark/>
          </w:tcPr>
          <w:p w14:paraId="1642EFDB"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54,61</w:t>
            </w:r>
          </w:p>
        </w:tc>
        <w:tc>
          <w:tcPr>
            <w:tcW w:w="956" w:type="dxa"/>
            <w:tcBorders>
              <w:top w:val="nil"/>
              <w:left w:val="nil"/>
              <w:bottom w:val="single" w:sz="4" w:space="0" w:color="auto"/>
              <w:right w:val="single" w:sz="4" w:space="0" w:color="auto"/>
            </w:tcBorders>
            <w:vAlign w:val="center"/>
            <w:hideMark/>
          </w:tcPr>
          <w:p w14:paraId="20F86094"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8.6</w:t>
            </w:r>
          </w:p>
        </w:tc>
        <w:tc>
          <w:tcPr>
            <w:tcW w:w="1163" w:type="dxa"/>
            <w:tcBorders>
              <w:top w:val="nil"/>
              <w:left w:val="nil"/>
              <w:bottom w:val="single" w:sz="4" w:space="0" w:color="auto"/>
              <w:right w:val="single" w:sz="4" w:space="0" w:color="auto"/>
            </w:tcBorders>
            <w:vAlign w:val="center"/>
            <w:hideMark/>
          </w:tcPr>
          <w:p w14:paraId="739DD432"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54,42</w:t>
            </w:r>
          </w:p>
        </w:tc>
        <w:tc>
          <w:tcPr>
            <w:tcW w:w="956" w:type="dxa"/>
            <w:tcBorders>
              <w:top w:val="nil"/>
              <w:left w:val="nil"/>
              <w:bottom w:val="single" w:sz="4" w:space="0" w:color="auto"/>
              <w:right w:val="single" w:sz="4" w:space="0" w:color="auto"/>
            </w:tcBorders>
            <w:vAlign w:val="center"/>
            <w:hideMark/>
          </w:tcPr>
          <w:p w14:paraId="08E2787B"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8.6</w:t>
            </w:r>
          </w:p>
        </w:tc>
        <w:tc>
          <w:tcPr>
            <w:tcW w:w="1163" w:type="dxa"/>
            <w:tcBorders>
              <w:top w:val="nil"/>
              <w:left w:val="nil"/>
              <w:bottom w:val="single" w:sz="4" w:space="0" w:color="auto"/>
              <w:right w:val="single" w:sz="4" w:space="0" w:color="auto"/>
            </w:tcBorders>
            <w:vAlign w:val="center"/>
            <w:hideMark/>
          </w:tcPr>
          <w:p w14:paraId="7334B2F7"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60,99 (l)</w:t>
            </w:r>
          </w:p>
        </w:tc>
        <w:tc>
          <w:tcPr>
            <w:tcW w:w="956" w:type="dxa"/>
            <w:tcBorders>
              <w:top w:val="nil"/>
              <w:left w:val="nil"/>
              <w:bottom w:val="single" w:sz="4" w:space="0" w:color="auto"/>
              <w:right w:val="single" w:sz="4" w:space="0" w:color="auto"/>
            </w:tcBorders>
            <w:vAlign w:val="center"/>
            <w:hideMark/>
          </w:tcPr>
          <w:p w14:paraId="47C294FB"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9.7</w:t>
            </w:r>
          </w:p>
        </w:tc>
        <w:tc>
          <w:tcPr>
            <w:tcW w:w="1163" w:type="dxa"/>
            <w:tcBorders>
              <w:top w:val="nil"/>
              <w:left w:val="nil"/>
              <w:bottom w:val="single" w:sz="4" w:space="0" w:color="auto"/>
              <w:right w:val="single" w:sz="4" w:space="0" w:color="auto"/>
            </w:tcBorders>
            <w:vAlign w:val="center"/>
            <w:hideMark/>
          </w:tcPr>
          <w:p w14:paraId="0EDA46B7"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65,24 (l)</w:t>
            </w:r>
          </w:p>
        </w:tc>
        <w:tc>
          <w:tcPr>
            <w:tcW w:w="956" w:type="dxa"/>
            <w:tcBorders>
              <w:top w:val="nil"/>
              <w:left w:val="nil"/>
              <w:bottom w:val="single" w:sz="4" w:space="0" w:color="auto"/>
              <w:right w:val="single" w:sz="4" w:space="0" w:color="auto"/>
            </w:tcBorders>
            <w:vAlign w:val="center"/>
            <w:hideMark/>
          </w:tcPr>
          <w:p w14:paraId="66D792AD"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10.3</w:t>
            </w:r>
          </w:p>
        </w:tc>
      </w:tr>
      <w:tr w:rsidR="00F7700C" w:rsidRPr="005534D4" w14:paraId="79AD1632" w14:textId="77777777" w:rsidTr="00F7700C">
        <w:trPr>
          <w:gridAfter w:val="1"/>
          <w:wAfter w:w="6" w:type="dxa"/>
          <w:trHeight w:val="20"/>
          <w:jc w:val="center"/>
        </w:trPr>
        <w:tc>
          <w:tcPr>
            <w:tcW w:w="1700" w:type="dxa"/>
            <w:tcBorders>
              <w:top w:val="nil"/>
              <w:left w:val="single" w:sz="4" w:space="0" w:color="auto"/>
              <w:bottom w:val="single" w:sz="4" w:space="0" w:color="auto"/>
              <w:right w:val="single" w:sz="4" w:space="0" w:color="auto"/>
            </w:tcBorders>
            <w:vAlign w:val="center"/>
            <w:hideMark/>
          </w:tcPr>
          <w:p w14:paraId="0EFFF25A"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West Bengal</w:t>
            </w:r>
          </w:p>
        </w:tc>
        <w:tc>
          <w:tcPr>
            <w:tcW w:w="1244" w:type="dxa"/>
            <w:tcBorders>
              <w:top w:val="nil"/>
              <w:left w:val="nil"/>
              <w:bottom w:val="single" w:sz="4" w:space="0" w:color="auto"/>
              <w:right w:val="single" w:sz="4" w:space="0" w:color="auto"/>
            </w:tcBorders>
            <w:vAlign w:val="center"/>
            <w:hideMark/>
          </w:tcPr>
          <w:p w14:paraId="0C01262A"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34,30</w:t>
            </w:r>
          </w:p>
        </w:tc>
        <w:tc>
          <w:tcPr>
            <w:tcW w:w="957" w:type="dxa"/>
            <w:tcBorders>
              <w:top w:val="nil"/>
              <w:left w:val="nil"/>
              <w:bottom w:val="single" w:sz="4" w:space="0" w:color="auto"/>
              <w:right w:val="single" w:sz="4" w:space="0" w:color="auto"/>
            </w:tcBorders>
            <w:vAlign w:val="center"/>
            <w:hideMark/>
          </w:tcPr>
          <w:p w14:paraId="2321C6F7" w14:textId="0D9377CC" w:rsidR="00F7700C" w:rsidRPr="005534D4" w:rsidRDefault="00F7700C" w:rsidP="00F7700C">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5534D4">
              <w:rPr>
                <w:rFonts w:ascii="Times New Roman" w:eastAsia="Times New Roman" w:hAnsi="Times New Roman" w:cs="Times New Roman"/>
                <w:i/>
                <w:iCs/>
                <w:color w:val="000000"/>
                <w:kern w:val="0"/>
                <w:sz w:val="28"/>
                <w:szCs w:val="28"/>
                <w:lang w:eastAsia="en-IN"/>
                <w14:ligatures w14:val="none"/>
              </w:rPr>
              <w:t>13</w:t>
            </w:r>
            <w:r w:rsidR="00C97C2C">
              <w:rPr>
                <w:rFonts w:ascii="Times New Roman" w:eastAsia="Times New Roman" w:hAnsi="Times New Roman" w:cs="Times New Roman"/>
                <w:i/>
                <w:iCs/>
                <w:color w:val="000000"/>
                <w:kern w:val="0"/>
                <w:sz w:val="28"/>
                <w:szCs w:val="28"/>
                <w:lang w:eastAsia="en-IN"/>
                <w14:ligatures w14:val="none"/>
              </w:rPr>
              <w:t>.</w:t>
            </w:r>
            <w:r w:rsidRPr="005534D4">
              <w:rPr>
                <w:rFonts w:ascii="Times New Roman" w:eastAsia="Times New Roman" w:hAnsi="Times New Roman" w:cs="Times New Roman"/>
                <w:i/>
                <w:iCs/>
                <w:color w:val="000000"/>
                <w:kern w:val="0"/>
                <w:sz w:val="28"/>
                <w:szCs w:val="28"/>
                <w:lang w:eastAsia="en-IN"/>
                <w14:ligatures w14:val="none"/>
              </w:rPr>
              <w:t>8</w:t>
            </w:r>
          </w:p>
        </w:tc>
        <w:tc>
          <w:tcPr>
            <w:tcW w:w="1254" w:type="dxa"/>
            <w:tcBorders>
              <w:top w:val="nil"/>
              <w:left w:val="nil"/>
              <w:bottom w:val="single" w:sz="4" w:space="0" w:color="auto"/>
              <w:right w:val="single" w:sz="4" w:space="0" w:color="auto"/>
            </w:tcBorders>
            <w:vAlign w:val="center"/>
            <w:hideMark/>
          </w:tcPr>
          <w:p w14:paraId="61DAC3ED"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37,34</w:t>
            </w:r>
          </w:p>
        </w:tc>
        <w:tc>
          <w:tcPr>
            <w:tcW w:w="956" w:type="dxa"/>
            <w:tcBorders>
              <w:top w:val="nil"/>
              <w:left w:val="nil"/>
              <w:bottom w:val="single" w:sz="4" w:space="0" w:color="auto"/>
              <w:right w:val="single" w:sz="4" w:space="0" w:color="auto"/>
            </w:tcBorders>
            <w:vAlign w:val="center"/>
            <w:hideMark/>
          </w:tcPr>
          <w:p w14:paraId="209B3EE8" w14:textId="14224599" w:rsidR="00F7700C" w:rsidRPr="005534D4" w:rsidRDefault="00F7700C" w:rsidP="00F7700C">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5534D4">
              <w:rPr>
                <w:rFonts w:ascii="Times New Roman" w:eastAsia="Times New Roman" w:hAnsi="Times New Roman" w:cs="Times New Roman"/>
                <w:i/>
                <w:iCs/>
                <w:color w:val="000000"/>
                <w:kern w:val="0"/>
                <w:sz w:val="28"/>
                <w:szCs w:val="28"/>
                <w:lang w:eastAsia="en-IN"/>
                <w14:ligatures w14:val="none"/>
              </w:rPr>
              <w:t>15</w:t>
            </w:r>
            <w:r w:rsidR="00D33874">
              <w:rPr>
                <w:rFonts w:ascii="Times New Roman" w:eastAsia="Times New Roman" w:hAnsi="Times New Roman" w:cs="Times New Roman"/>
                <w:i/>
                <w:iCs/>
                <w:color w:val="000000"/>
                <w:kern w:val="0"/>
                <w:sz w:val="28"/>
                <w:szCs w:val="28"/>
                <w:lang w:eastAsia="en-IN"/>
                <w14:ligatures w14:val="none"/>
              </w:rPr>
              <w:t>.</w:t>
            </w:r>
            <w:r w:rsidRPr="005534D4">
              <w:rPr>
                <w:rFonts w:ascii="Times New Roman" w:eastAsia="Times New Roman" w:hAnsi="Times New Roman" w:cs="Times New Roman"/>
                <w:i/>
                <w:iCs/>
                <w:color w:val="000000"/>
                <w:kern w:val="0"/>
                <w:sz w:val="28"/>
                <w:szCs w:val="28"/>
                <w:lang w:eastAsia="en-IN"/>
                <w14:ligatures w14:val="none"/>
              </w:rPr>
              <w:t>1</w:t>
            </w:r>
          </w:p>
        </w:tc>
        <w:tc>
          <w:tcPr>
            <w:tcW w:w="1163" w:type="dxa"/>
            <w:tcBorders>
              <w:top w:val="nil"/>
              <w:left w:val="nil"/>
              <w:bottom w:val="single" w:sz="4" w:space="0" w:color="auto"/>
              <w:right w:val="single" w:sz="4" w:space="0" w:color="auto"/>
            </w:tcBorders>
            <w:vAlign w:val="center"/>
            <w:hideMark/>
          </w:tcPr>
          <w:p w14:paraId="7EC8FBA8"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38,58</w:t>
            </w:r>
          </w:p>
        </w:tc>
        <w:tc>
          <w:tcPr>
            <w:tcW w:w="956" w:type="dxa"/>
            <w:tcBorders>
              <w:top w:val="nil"/>
              <w:left w:val="nil"/>
              <w:bottom w:val="single" w:sz="4" w:space="0" w:color="auto"/>
              <w:right w:val="single" w:sz="4" w:space="0" w:color="auto"/>
            </w:tcBorders>
            <w:vAlign w:val="center"/>
            <w:hideMark/>
          </w:tcPr>
          <w:p w14:paraId="7F6B50C4"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15.6</w:t>
            </w:r>
          </w:p>
        </w:tc>
        <w:tc>
          <w:tcPr>
            <w:tcW w:w="1163" w:type="dxa"/>
            <w:tcBorders>
              <w:top w:val="nil"/>
              <w:left w:val="nil"/>
              <w:bottom w:val="single" w:sz="4" w:space="0" w:color="auto"/>
              <w:right w:val="single" w:sz="4" w:space="0" w:color="auto"/>
            </w:tcBorders>
            <w:vAlign w:val="center"/>
            <w:hideMark/>
          </w:tcPr>
          <w:p w14:paraId="53066F68"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37,39</w:t>
            </w:r>
          </w:p>
        </w:tc>
        <w:tc>
          <w:tcPr>
            <w:tcW w:w="956" w:type="dxa"/>
            <w:tcBorders>
              <w:top w:val="nil"/>
              <w:left w:val="nil"/>
              <w:bottom w:val="single" w:sz="4" w:space="0" w:color="auto"/>
              <w:right w:val="single" w:sz="4" w:space="0" w:color="auto"/>
            </w:tcBorders>
            <w:vAlign w:val="center"/>
            <w:hideMark/>
          </w:tcPr>
          <w:p w14:paraId="38ECBA87"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15.1</w:t>
            </w:r>
          </w:p>
        </w:tc>
        <w:tc>
          <w:tcPr>
            <w:tcW w:w="1163" w:type="dxa"/>
            <w:tcBorders>
              <w:top w:val="nil"/>
              <w:left w:val="nil"/>
              <w:bottom w:val="single" w:sz="4" w:space="0" w:color="auto"/>
              <w:right w:val="single" w:sz="4" w:space="0" w:color="auto"/>
            </w:tcBorders>
            <w:vAlign w:val="center"/>
            <w:hideMark/>
          </w:tcPr>
          <w:p w14:paraId="6CBCAD66"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36,37</w:t>
            </w:r>
          </w:p>
        </w:tc>
        <w:tc>
          <w:tcPr>
            <w:tcW w:w="956" w:type="dxa"/>
            <w:tcBorders>
              <w:top w:val="nil"/>
              <w:left w:val="nil"/>
              <w:bottom w:val="single" w:sz="4" w:space="0" w:color="auto"/>
              <w:right w:val="single" w:sz="4" w:space="0" w:color="auto"/>
            </w:tcBorders>
            <w:vAlign w:val="center"/>
            <w:hideMark/>
          </w:tcPr>
          <w:p w14:paraId="1D551286"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14.7</w:t>
            </w:r>
          </w:p>
        </w:tc>
        <w:tc>
          <w:tcPr>
            <w:tcW w:w="1163" w:type="dxa"/>
            <w:tcBorders>
              <w:top w:val="nil"/>
              <w:left w:val="nil"/>
              <w:bottom w:val="single" w:sz="4" w:space="0" w:color="auto"/>
              <w:right w:val="single" w:sz="4" w:space="0" w:color="auto"/>
            </w:tcBorders>
            <w:vAlign w:val="center"/>
            <w:hideMark/>
          </w:tcPr>
          <w:p w14:paraId="63B46AE1"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42,04</w:t>
            </w:r>
          </w:p>
        </w:tc>
        <w:tc>
          <w:tcPr>
            <w:tcW w:w="956" w:type="dxa"/>
            <w:tcBorders>
              <w:top w:val="nil"/>
              <w:left w:val="nil"/>
              <w:bottom w:val="single" w:sz="4" w:space="0" w:color="auto"/>
              <w:right w:val="single" w:sz="4" w:space="0" w:color="auto"/>
            </w:tcBorders>
            <w:vAlign w:val="center"/>
            <w:hideMark/>
          </w:tcPr>
          <w:p w14:paraId="1B752F87" w14:textId="1DF1FDD5"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17</w:t>
            </w:r>
            <w:r w:rsidR="000A74AC">
              <w:rPr>
                <w:rFonts w:ascii="Times New Roman" w:eastAsia="Times New Roman" w:hAnsi="Times New Roman" w:cs="Times New Roman"/>
                <w:color w:val="000000"/>
                <w:kern w:val="0"/>
                <w:sz w:val="28"/>
                <w:szCs w:val="28"/>
                <w:lang w:eastAsia="en-IN"/>
                <w14:ligatures w14:val="none"/>
              </w:rPr>
              <w:t>.0</w:t>
            </w:r>
          </w:p>
        </w:tc>
      </w:tr>
      <w:tr w:rsidR="00F7700C" w:rsidRPr="005534D4" w14:paraId="0598C1C5" w14:textId="77777777" w:rsidTr="00F7700C">
        <w:trPr>
          <w:gridAfter w:val="1"/>
          <w:wAfter w:w="6" w:type="dxa"/>
          <w:trHeight w:val="20"/>
          <w:jc w:val="center"/>
        </w:trPr>
        <w:tc>
          <w:tcPr>
            <w:tcW w:w="1700" w:type="dxa"/>
            <w:tcBorders>
              <w:top w:val="nil"/>
              <w:left w:val="single" w:sz="4" w:space="0" w:color="auto"/>
              <w:bottom w:val="single" w:sz="4" w:space="0" w:color="auto"/>
              <w:right w:val="single" w:sz="4" w:space="0" w:color="auto"/>
            </w:tcBorders>
            <w:vAlign w:val="center"/>
            <w:hideMark/>
          </w:tcPr>
          <w:p w14:paraId="0039794C"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Hyderabad</w:t>
            </w:r>
          </w:p>
        </w:tc>
        <w:tc>
          <w:tcPr>
            <w:tcW w:w="1244" w:type="dxa"/>
            <w:tcBorders>
              <w:top w:val="nil"/>
              <w:left w:val="nil"/>
              <w:bottom w:val="single" w:sz="4" w:space="0" w:color="auto"/>
              <w:right w:val="single" w:sz="4" w:space="0" w:color="auto"/>
            </w:tcBorders>
            <w:vAlign w:val="center"/>
            <w:hideMark/>
          </w:tcPr>
          <w:p w14:paraId="37EF1946"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26,18</w:t>
            </w:r>
          </w:p>
        </w:tc>
        <w:tc>
          <w:tcPr>
            <w:tcW w:w="957" w:type="dxa"/>
            <w:tcBorders>
              <w:top w:val="nil"/>
              <w:left w:val="nil"/>
              <w:bottom w:val="single" w:sz="4" w:space="0" w:color="auto"/>
              <w:right w:val="single" w:sz="4" w:space="0" w:color="auto"/>
            </w:tcBorders>
            <w:vAlign w:val="center"/>
            <w:hideMark/>
          </w:tcPr>
          <w:p w14:paraId="6AA962E7" w14:textId="37666489" w:rsidR="00F7700C" w:rsidRPr="005534D4" w:rsidRDefault="00F7700C" w:rsidP="00F7700C">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5534D4">
              <w:rPr>
                <w:rFonts w:ascii="Times New Roman" w:eastAsia="Times New Roman" w:hAnsi="Times New Roman" w:cs="Times New Roman"/>
                <w:i/>
                <w:iCs/>
                <w:color w:val="000000"/>
                <w:kern w:val="0"/>
                <w:sz w:val="28"/>
                <w:szCs w:val="28"/>
                <w:lang w:eastAsia="en-IN"/>
                <w14:ligatures w14:val="none"/>
              </w:rPr>
              <w:t>14</w:t>
            </w:r>
            <w:r w:rsidR="00C97C2C">
              <w:rPr>
                <w:rFonts w:ascii="Times New Roman" w:eastAsia="Times New Roman" w:hAnsi="Times New Roman" w:cs="Times New Roman"/>
                <w:i/>
                <w:iCs/>
                <w:color w:val="000000"/>
                <w:kern w:val="0"/>
                <w:sz w:val="28"/>
                <w:szCs w:val="28"/>
                <w:lang w:eastAsia="en-IN"/>
                <w14:ligatures w14:val="none"/>
              </w:rPr>
              <w:t>.</w:t>
            </w:r>
            <w:r w:rsidRPr="005534D4">
              <w:rPr>
                <w:rFonts w:ascii="Times New Roman" w:eastAsia="Times New Roman" w:hAnsi="Times New Roman" w:cs="Times New Roman"/>
                <w:i/>
                <w:iCs/>
                <w:color w:val="000000"/>
                <w:kern w:val="0"/>
                <w:sz w:val="28"/>
                <w:szCs w:val="28"/>
                <w:lang w:eastAsia="en-IN"/>
                <w14:ligatures w14:val="none"/>
              </w:rPr>
              <w:t>0</w:t>
            </w:r>
          </w:p>
        </w:tc>
        <w:tc>
          <w:tcPr>
            <w:tcW w:w="1254" w:type="dxa"/>
            <w:tcBorders>
              <w:top w:val="nil"/>
              <w:left w:val="nil"/>
              <w:bottom w:val="single" w:sz="4" w:space="0" w:color="auto"/>
              <w:right w:val="single" w:sz="4" w:space="0" w:color="auto"/>
            </w:tcBorders>
            <w:vAlign w:val="center"/>
            <w:hideMark/>
          </w:tcPr>
          <w:p w14:paraId="7F442349"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27,55</w:t>
            </w:r>
          </w:p>
        </w:tc>
        <w:tc>
          <w:tcPr>
            <w:tcW w:w="956" w:type="dxa"/>
            <w:tcBorders>
              <w:top w:val="nil"/>
              <w:left w:val="nil"/>
              <w:bottom w:val="single" w:sz="4" w:space="0" w:color="auto"/>
              <w:right w:val="single" w:sz="4" w:space="0" w:color="auto"/>
            </w:tcBorders>
            <w:vAlign w:val="center"/>
            <w:hideMark/>
          </w:tcPr>
          <w:p w14:paraId="740AB2E2" w14:textId="577ABE39" w:rsidR="00F7700C" w:rsidRPr="005534D4" w:rsidRDefault="00F7700C" w:rsidP="00F7700C">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5534D4">
              <w:rPr>
                <w:rFonts w:ascii="Times New Roman" w:eastAsia="Times New Roman" w:hAnsi="Times New Roman" w:cs="Times New Roman"/>
                <w:i/>
                <w:iCs/>
                <w:color w:val="000000"/>
                <w:kern w:val="0"/>
                <w:sz w:val="28"/>
                <w:szCs w:val="28"/>
                <w:lang w:eastAsia="en-IN"/>
                <w14:ligatures w14:val="none"/>
              </w:rPr>
              <w:t>14</w:t>
            </w:r>
            <w:r w:rsidR="00D33874">
              <w:rPr>
                <w:rFonts w:ascii="Times New Roman" w:eastAsia="Times New Roman" w:hAnsi="Times New Roman" w:cs="Times New Roman"/>
                <w:i/>
                <w:iCs/>
                <w:color w:val="000000"/>
                <w:kern w:val="0"/>
                <w:sz w:val="28"/>
                <w:szCs w:val="28"/>
                <w:lang w:eastAsia="en-IN"/>
                <w14:ligatures w14:val="none"/>
              </w:rPr>
              <w:t>.</w:t>
            </w:r>
            <w:r w:rsidRPr="005534D4">
              <w:rPr>
                <w:rFonts w:ascii="Times New Roman" w:eastAsia="Times New Roman" w:hAnsi="Times New Roman" w:cs="Times New Roman"/>
                <w:i/>
                <w:iCs/>
                <w:color w:val="000000"/>
                <w:kern w:val="0"/>
                <w:sz w:val="28"/>
                <w:szCs w:val="28"/>
                <w:lang w:eastAsia="en-IN"/>
                <w14:ligatures w14:val="none"/>
              </w:rPr>
              <w:t>7</w:t>
            </w:r>
          </w:p>
        </w:tc>
        <w:tc>
          <w:tcPr>
            <w:tcW w:w="1163" w:type="dxa"/>
            <w:tcBorders>
              <w:top w:val="nil"/>
              <w:left w:val="nil"/>
              <w:bottom w:val="single" w:sz="4" w:space="0" w:color="auto"/>
              <w:right w:val="single" w:sz="4" w:space="0" w:color="auto"/>
            </w:tcBorders>
            <w:vAlign w:val="center"/>
            <w:hideMark/>
          </w:tcPr>
          <w:p w14:paraId="597D829C"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29,09</w:t>
            </w:r>
          </w:p>
        </w:tc>
        <w:tc>
          <w:tcPr>
            <w:tcW w:w="956" w:type="dxa"/>
            <w:tcBorders>
              <w:top w:val="nil"/>
              <w:left w:val="nil"/>
              <w:bottom w:val="single" w:sz="4" w:space="0" w:color="auto"/>
              <w:right w:val="single" w:sz="4" w:space="0" w:color="auto"/>
            </w:tcBorders>
            <w:vAlign w:val="center"/>
            <w:hideMark/>
          </w:tcPr>
          <w:p w14:paraId="3F0873E9"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15.6</w:t>
            </w:r>
          </w:p>
        </w:tc>
        <w:tc>
          <w:tcPr>
            <w:tcW w:w="1163" w:type="dxa"/>
            <w:tcBorders>
              <w:top w:val="nil"/>
              <w:left w:val="nil"/>
              <w:bottom w:val="single" w:sz="4" w:space="0" w:color="auto"/>
              <w:right w:val="single" w:sz="4" w:space="0" w:color="auto"/>
            </w:tcBorders>
            <w:vAlign w:val="center"/>
            <w:hideMark/>
          </w:tcPr>
          <w:p w14:paraId="4253984C"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27,01</w:t>
            </w:r>
          </w:p>
        </w:tc>
        <w:tc>
          <w:tcPr>
            <w:tcW w:w="956" w:type="dxa"/>
            <w:tcBorders>
              <w:top w:val="nil"/>
              <w:left w:val="nil"/>
              <w:bottom w:val="single" w:sz="4" w:space="0" w:color="auto"/>
              <w:right w:val="single" w:sz="4" w:space="0" w:color="auto"/>
            </w:tcBorders>
            <w:vAlign w:val="center"/>
            <w:hideMark/>
          </w:tcPr>
          <w:p w14:paraId="1C066F9B"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14.4</w:t>
            </w:r>
          </w:p>
        </w:tc>
        <w:tc>
          <w:tcPr>
            <w:tcW w:w="1163" w:type="dxa"/>
            <w:tcBorders>
              <w:top w:val="nil"/>
              <w:left w:val="nil"/>
              <w:bottom w:val="single" w:sz="4" w:space="0" w:color="auto"/>
              <w:right w:val="single" w:sz="4" w:space="0" w:color="auto"/>
            </w:tcBorders>
            <w:vAlign w:val="center"/>
            <w:hideMark/>
          </w:tcPr>
          <w:p w14:paraId="3DF45889"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27,01 (m)</w:t>
            </w:r>
          </w:p>
        </w:tc>
        <w:tc>
          <w:tcPr>
            <w:tcW w:w="956" w:type="dxa"/>
            <w:tcBorders>
              <w:top w:val="nil"/>
              <w:left w:val="nil"/>
              <w:bottom w:val="single" w:sz="4" w:space="0" w:color="auto"/>
              <w:right w:val="single" w:sz="4" w:space="0" w:color="auto"/>
            </w:tcBorders>
            <w:vAlign w:val="center"/>
            <w:hideMark/>
          </w:tcPr>
          <w:p w14:paraId="61F567B1"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14.4</w:t>
            </w:r>
          </w:p>
        </w:tc>
        <w:tc>
          <w:tcPr>
            <w:tcW w:w="1163" w:type="dxa"/>
            <w:tcBorders>
              <w:top w:val="nil"/>
              <w:left w:val="nil"/>
              <w:bottom w:val="single" w:sz="4" w:space="0" w:color="auto"/>
              <w:right w:val="single" w:sz="4" w:space="0" w:color="auto"/>
            </w:tcBorders>
            <w:vAlign w:val="center"/>
            <w:hideMark/>
          </w:tcPr>
          <w:p w14:paraId="1E97EF08"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27,36</w:t>
            </w:r>
          </w:p>
        </w:tc>
        <w:tc>
          <w:tcPr>
            <w:tcW w:w="956" w:type="dxa"/>
            <w:tcBorders>
              <w:top w:val="nil"/>
              <w:left w:val="nil"/>
              <w:bottom w:val="single" w:sz="4" w:space="0" w:color="auto"/>
              <w:right w:val="single" w:sz="4" w:space="0" w:color="auto"/>
            </w:tcBorders>
            <w:vAlign w:val="center"/>
            <w:hideMark/>
          </w:tcPr>
          <w:p w14:paraId="45B9D7CE"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14.6</w:t>
            </w:r>
          </w:p>
        </w:tc>
      </w:tr>
      <w:tr w:rsidR="00F7700C" w:rsidRPr="005534D4" w14:paraId="2972660D" w14:textId="77777777" w:rsidTr="00F7700C">
        <w:trPr>
          <w:gridAfter w:val="1"/>
          <w:wAfter w:w="6" w:type="dxa"/>
          <w:trHeight w:val="20"/>
          <w:jc w:val="center"/>
        </w:trPr>
        <w:tc>
          <w:tcPr>
            <w:tcW w:w="1700" w:type="dxa"/>
            <w:tcBorders>
              <w:top w:val="nil"/>
              <w:left w:val="single" w:sz="4" w:space="0" w:color="auto"/>
              <w:bottom w:val="single" w:sz="4" w:space="0" w:color="auto"/>
              <w:right w:val="single" w:sz="4" w:space="0" w:color="auto"/>
            </w:tcBorders>
            <w:vAlign w:val="center"/>
            <w:hideMark/>
          </w:tcPr>
          <w:p w14:paraId="504E646D"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Madhya Bharat</w:t>
            </w:r>
          </w:p>
        </w:tc>
        <w:tc>
          <w:tcPr>
            <w:tcW w:w="1244" w:type="dxa"/>
            <w:tcBorders>
              <w:top w:val="nil"/>
              <w:left w:val="nil"/>
              <w:bottom w:val="single" w:sz="4" w:space="0" w:color="auto"/>
              <w:right w:val="single" w:sz="4" w:space="0" w:color="auto"/>
            </w:tcBorders>
            <w:vAlign w:val="center"/>
            <w:hideMark/>
          </w:tcPr>
          <w:p w14:paraId="6A6F9CD6"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10,38</w:t>
            </w:r>
          </w:p>
        </w:tc>
        <w:tc>
          <w:tcPr>
            <w:tcW w:w="957" w:type="dxa"/>
            <w:tcBorders>
              <w:top w:val="nil"/>
              <w:left w:val="nil"/>
              <w:bottom w:val="single" w:sz="4" w:space="0" w:color="auto"/>
              <w:right w:val="single" w:sz="4" w:space="0" w:color="auto"/>
            </w:tcBorders>
            <w:vAlign w:val="center"/>
            <w:hideMark/>
          </w:tcPr>
          <w:p w14:paraId="56E0A584" w14:textId="1BE34A5E" w:rsidR="00F7700C" w:rsidRPr="005534D4" w:rsidRDefault="00F7700C" w:rsidP="00F7700C">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5534D4">
              <w:rPr>
                <w:rFonts w:ascii="Times New Roman" w:eastAsia="Times New Roman" w:hAnsi="Times New Roman" w:cs="Times New Roman"/>
                <w:i/>
                <w:iCs/>
                <w:color w:val="000000"/>
                <w:kern w:val="0"/>
                <w:sz w:val="28"/>
                <w:szCs w:val="28"/>
                <w:lang w:eastAsia="en-IN"/>
                <w14:ligatures w14:val="none"/>
              </w:rPr>
              <w:t>13</w:t>
            </w:r>
            <w:r w:rsidR="00C97C2C">
              <w:rPr>
                <w:rFonts w:ascii="Times New Roman" w:eastAsia="Times New Roman" w:hAnsi="Times New Roman" w:cs="Times New Roman"/>
                <w:i/>
                <w:iCs/>
                <w:color w:val="000000"/>
                <w:kern w:val="0"/>
                <w:sz w:val="28"/>
                <w:szCs w:val="28"/>
                <w:lang w:eastAsia="en-IN"/>
                <w14:ligatures w14:val="none"/>
              </w:rPr>
              <w:t>.</w:t>
            </w:r>
            <w:r w:rsidRPr="005534D4">
              <w:rPr>
                <w:rFonts w:ascii="Times New Roman" w:eastAsia="Times New Roman" w:hAnsi="Times New Roman" w:cs="Times New Roman"/>
                <w:i/>
                <w:iCs/>
                <w:color w:val="000000"/>
                <w:kern w:val="0"/>
                <w:sz w:val="28"/>
                <w:szCs w:val="28"/>
                <w:lang w:eastAsia="en-IN"/>
                <w14:ligatures w14:val="none"/>
              </w:rPr>
              <w:t>0</w:t>
            </w:r>
          </w:p>
        </w:tc>
        <w:tc>
          <w:tcPr>
            <w:tcW w:w="1254" w:type="dxa"/>
            <w:tcBorders>
              <w:top w:val="nil"/>
              <w:left w:val="nil"/>
              <w:bottom w:val="single" w:sz="4" w:space="0" w:color="auto"/>
              <w:right w:val="single" w:sz="4" w:space="0" w:color="auto"/>
            </w:tcBorders>
            <w:vAlign w:val="center"/>
            <w:hideMark/>
          </w:tcPr>
          <w:p w14:paraId="033AA8C0"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11,77</w:t>
            </w:r>
          </w:p>
        </w:tc>
        <w:tc>
          <w:tcPr>
            <w:tcW w:w="956" w:type="dxa"/>
            <w:tcBorders>
              <w:top w:val="nil"/>
              <w:left w:val="nil"/>
              <w:bottom w:val="single" w:sz="4" w:space="0" w:color="auto"/>
              <w:right w:val="single" w:sz="4" w:space="0" w:color="auto"/>
            </w:tcBorders>
            <w:vAlign w:val="center"/>
            <w:hideMark/>
          </w:tcPr>
          <w:p w14:paraId="7C688186" w14:textId="31A60008" w:rsidR="00F7700C" w:rsidRPr="005534D4" w:rsidRDefault="00F7700C" w:rsidP="00F7700C">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5534D4">
              <w:rPr>
                <w:rFonts w:ascii="Times New Roman" w:eastAsia="Times New Roman" w:hAnsi="Times New Roman" w:cs="Times New Roman"/>
                <w:i/>
                <w:iCs/>
                <w:color w:val="000000"/>
                <w:kern w:val="0"/>
                <w:sz w:val="28"/>
                <w:szCs w:val="28"/>
                <w:lang w:eastAsia="en-IN"/>
                <w14:ligatures w14:val="none"/>
              </w:rPr>
              <w:t>14</w:t>
            </w:r>
            <w:r w:rsidR="00D33874">
              <w:rPr>
                <w:rFonts w:ascii="Times New Roman" w:eastAsia="Times New Roman" w:hAnsi="Times New Roman" w:cs="Times New Roman"/>
                <w:i/>
                <w:iCs/>
                <w:color w:val="000000"/>
                <w:kern w:val="0"/>
                <w:sz w:val="28"/>
                <w:szCs w:val="28"/>
                <w:lang w:eastAsia="en-IN"/>
                <w14:ligatures w14:val="none"/>
              </w:rPr>
              <w:t>.</w:t>
            </w:r>
            <w:r w:rsidRPr="005534D4">
              <w:rPr>
                <w:rFonts w:ascii="Times New Roman" w:eastAsia="Times New Roman" w:hAnsi="Times New Roman" w:cs="Times New Roman"/>
                <w:i/>
                <w:iCs/>
                <w:color w:val="000000"/>
                <w:kern w:val="0"/>
                <w:sz w:val="28"/>
                <w:szCs w:val="28"/>
                <w:lang w:eastAsia="en-IN"/>
                <w14:ligatures w14:val="none"/>
              </w:rPr>
              <w:t>7</w:t>
            </w:r>
          </w:p>
        </w:tc>
        <w:tc>
          <w:tcPr>
            <w:tcW w:w="1163" w:type="dxa"/>
            <w:tcBorders>
              <w:top w:val="nil"/>
              <w:left w:val="nil"/>
              <w:bottom w:val="single" w:sz="4" w:space="0" w:color="auto"/>
              <w:right w:val="single" w:sz="4" w:space="0" w:color="auto"/>
            </w:tcBorders>
            <w:vAlign w:val="center"/>
            <w:hideMark/>
          </w:tcPr>
          <w:p w14:paraId="503DDF3A"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11,36</w:t>
            </w:r>
          </w:p>
        </w:tc>
        <w:tc>
          <w:tcPr>
            <w:tcW w:w="956" w:type="dxa"/>
            <w:tcBorders>
              <w:top w:val="nil"/>
              <w:left w:val="nil"/>
              <w:bottom w:val="single" w:sz="4" w:space="0" w:color="auto"/>
              <w:right w:val="single" w:sz="4" w:space="0" w:color="auto"/>
            </w:tcBorders>
            <w:vAlign w:val="center"/>
            <w:hideMark/>
          </w:tcPr>
          <w:p w14:paraId="70A9940D"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14.2</w:t>
            </w:r>
          </w:p>
        </w:tc>
        <w:tc>
          <w:tcPr>
            <w:tcW w:w="1163" w:type="dxa"/>
            <w:tcBorders>
              <w:top w:val="nil"/>
              <w:left w:val="nil"/>
              <w:bottom w:val="single" w:sz="4" w:space="0" w:color="auto"/>
              <w:right w:val="single" w:sz="4" w:space="0" w:color="auto"/>
            </w:tcBorders>
            <w:vAlign w:val="center"/>
            <w:hideMark/>
          </w:tcPr>
          <w:p w14:paraId="34A1AAB6"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11,42</w:t>
            </w:r>
          </w:p>
        </w:tc>
        <w:tc>
          <w:tcPr>
            <w:tcW w:w="956" w:type="dxa"/>
            <w:tcBorders>
              <w:top w:val="nil"/>
              <w:left w:val="nil"/>
              <w:bottom w:val="single" w:sz="4" w:space="0" w:color="auto"/>
              <w:right w:val="single" w:sz="4" w:space="0" w:color="auto"/>
            </w:tcBorders>
            <w:vAlign w:val="center"/>
            <w:hideMark/>
          </w:tcPr>
          <w:p w14:paraId="391EE8DA"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14.3</w:t>
            </w:r>
          </w:p>
        </w:tc>
        <w:tc>
          <w:tcPr>
            <w:tcW w:w="1163" w:type="dxa"/>
            <w:tcBorders>
              <w:top w:val="nil"/>
              <w:left w:val="nil"/>
              <w:bottom w:val="single" w:sz="4" w:space="0" w:color="auto"/>
              <w:right w:val="single" w:sz="4" w:space="0" w:color="auto"/>
            </w:tcBorders>
            <w:vAlign w:val="center"/>
            <w:hideMark/>
          </w:tcPr>
          <w:p w14:paraId="71D7B9C6"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11,88 (n)</w:t>
            </w:r>
          </w:p>
        </w:tc>
        <w:tc>
          <w:tcPr>
            <w:tcW w:w="956" w:type="dxa"/>
            <w:tcBorders>
              <w:top w:val="nil"/>
              <w:left w:val="nil"/>
              <w:bottom w:val="single" w:sz="4" w:space="0" w:color="auto"/>
              <w:right w:val="single" w:sz="4" w:space="0" w:color="auto"/>
            </w:tcBorders>
            <w:vAlign w:val="center"/>
            <w:hideMark/>
          </w:tcPr>
          <w:p w14:paraId="7BFEE52D"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14.9</w:t>
            </w:r>
          </w:p>
        </w:tc>
        <w:tc>
          <w:tcPr>
            <w:tcW w:w="1163" w:type="dxa"/>
            <w:tcBorders>
              <w:top w:val="nil"/>
              <w:left w:val="nil"/>
              <w:bottom w:val="single" w:sz="4" w:space="0" w:color="auto"/>
              <w:right w:val="single" w:sz="4" w:space="0" w:color="auto"/>
            </w:tcBorders>
            <w:vAlign w:val="center"/>
            <w:hideMark/>
          </w:tcPr>
          <w:p w14:paraId="7CAAE01D"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13,18</w:t>
            </w:r>
          </w:p>
        </w:tc>
        <w:tc>
          <w:tcPr>
            <w:tcW w:w="956" w:type="dxa"/>
            <w:tcBorders>
              <w:top w:val="nil"/>
              <w:left w:val="nil"/>
              <w:bottom w:val="single" w:sz="4" w:space="0" w:color="auto"/>
              <w:right w:val="single" w:sz="4" w:space="0" w:color="auto"/>
            </w:tcBorders>
            <w:vAlign w:val="center"/>
            <w:hideMark/>
          </w:tcPr>
          <w:p w14:paraId="4264A09C"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16.5</w:t>
            </w:r>
          </w:p>
        </w:tc>
      </w:tr>
      <w:tr w:rsidR="00F7700C" w:rsidRPr="005534D4" w14:paraId="02512A06" w14:textId="77777777" w:rsidTr="00722903">
        <w:trPr>
          <w:gridAfter w:val="1"/>
          <w:wAfter w:w="6" w:type="dxa"/>
          <w:trHeight w:val="20"/>
          <w:jc w:val="center"/>
        </w:trPr>
        <w:tc>
          <w:tcPr>
            <w:tcW w:w="1700" w:type="dxa"/>
            <w:tcBorders>
              <w:top w:val="nil"/>
              <w:left w:val="single" w:sz="4" w:space="0" w:color="auto"/>
              <w:bottom w:val="single" w:sz="4" w:space="0" w:color="auto"/>
              <w:right w:val="single" w:sz="4" w:space="0" w:color="auto"/>
            </w:tcBorders>
            <w:vAlign w:val="center"/>
            <w:hideMark/>
          </w:tcPr>
          <w:p w14:paraId="24C1D159"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Mysore</w:t>
            </w:r>
          </w:p>
        </w:tc>
        <w:tc>
          <w:tcPr>
            <w:tcW w:w="1244" w:type="dxa"/>
            <w:tcBorders>
              <w:top w:val="nil"/>
              <w:left w:val="nil"/>
              <w:bottom w:val="single" w:sz="4" w:space="0" w:color="auto"/>
              <w:right w:val="single" w:sz="4" w:space="0" w:color="auto"/>
            </w:tcBorders>
            <w:vAlign w:val="center"/>
            <w:hideMark/>
          </w:tcPr>
          <w:p w14:paraId="3A8907E4"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14,40</w:t>
            </w:r>
          </w:p>
        </w:tc>
        <w:tc>
          <w:tcPr>
            <w:tcW w:w="957" w:type="dxa"/>
            <w:tcBorders>
              <w:top w:val="nil"/>
              <w:left w:val="nil"/>
              <w:bottom w:val="single" w:sz="4" w:space="0" w:color="auto"/>
              <w:right w:val="single" w:sz="4" w:space="0" w:color="auto"/>
            </w:tcBorders>
            <w:vAlign w:val="center"/>
            <w:hideMark/>
          </w:tcPr>
          <w:p w14:paraId="36009763" w14:textId="36F10EED" w:rsidR="00F7700C" w:rsidRPr="005534D4" w:rsidRDefault="00F7700C" w:rsidP="00F7700C">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5534D4">
              <w:rPr>
                <w:rFonts w:ascii="Times New Roman" w:eastAsia="Times New Roman" w:hAnsi="Times New Roman" w:cs="Times New Roman"/>
                <w:i/>
                <w:iCs/>
                <w:color w:val="000000"/>
                <w:kern w:val="0"/>
                <w:sz w:val="28"/>
                <w:szCs w:val="28"/>
                <w:lang w:eastAsia="en-IN"/>
                <w14:ligatures w14:val="none"/>
              </w:rPr>
              <w:t>15</w:t>
            </w:r>
            <w:r w:rsidR="00C97C2C">
              <w:rPr>
                <w:rFonts w:ascii="Times New Roman" w:eastAsia="Times New Roman" w:hAnsi="Times New Roman" w:cs="Times New Roman"/>
                <w:i/>
                <w:iCs/>
                <w:color w:val="000000"/>
                <w:kern w:val="0"/>
                <w:sz w:val="28"/>
                <w:szCs w:val="28"/>
                <w:lang w:eastAsia="en-IN"/>
                <w14:ligatures w14:val="none"/>
              </w:rPr>
              <w:t>.</w:t>
            </w:r>
            <w:r w:rsidRPr="005534D4">
              <w:rPr>
                <w:rFonts w:ascii="Times New Roman" w:eastAsia="Times New Roman" w:hAnsi="Times New Roman" w:cs="Times New Roman"/>
                <w:i/>
                <w:iCs/>
                <w:color w:val="000000"/>
                <w:kern w:val="0"/>
                <w:sz w:val="28"/>
                <w:szCs w:val="28"/>
                <w:lang w:eastAsia="en-IN"/>
                <w14:ligatures w14:val="none"/>
              </w:rPr>
              <w:t>8</w:t>
            </w:r>
          </w:p>
        </w:tc>
        <w:tc>
          <w:tcPr>
            <w:tcW w:w="1254" w:type="dxa"/>
            <w:tcBorders>
              <w:top w:val="nil"/>
              <w:left w:val="nil"/>
              <w:bottom w:val="single" w:sz="4" w:space="0" w:color="auto"/>
              <w:right w:val="single" w:sz="4" w:space="0" w:color="auto"/>
            </w:tcBorders>
            <w:vAlign w:val="center"/>
            <w:hideMark/>
          </w:tcPr>
          <w:p w14:paraId="4FBC7779"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13,52</w:t>
            </w:r>
          </w:p>
        </w:tc>
        <w:tc>
          <w:tcPr>
            <w:tcW w:w="956" w:type="dxa"/>
            <w:tcBorders>
              <w:top w:val="nil"/>
              <w:left w:val="nil"/>
              <w:bottom w:val="single" w:sz="4" w:space="0" w:color="auto"/>
              <w:right w:val="single" w:sz="4" w:space="0" w:color="auto"/>
            </w:tcBorders>
            <w:vAlign w:val="center"/>
            <w:hideMark/>
          </w:tcPr>
          <w:p w14:paraId="0C4033E1" w14:textId="0C148793" w:rsidR="00F7700C" w:rsidRPr="005534D4" w:rsidRDefault="00F7700C" w:rsidP="00F7700C">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5534D4">
              <w:rPr>
                <w:rFonts w:ascii="Times New Roman" w:eastAsia="Times New Roman" w:hAnsi="Times New Roman" w:cs="Times New Roman"/>
                <w:i/>
                <w:iCs/>
                <w:color w:val="000000"/>
                <w:kern w:val="0"/>
                <w:sz w:val="28"/>
                <w:szCs w:val="28"/>
                <w:lang w:eastAsia="en-IN"/>
                <w14:ligatures w14:val="none"/>
              </w:rPr>
              <w:t>14</w:t>
            </w:r>
            <w:r w:rsidR="00D33874">
              <w:rPr>
                <w:rFonts w:ascii="Times New Roman" w:eastAsia="Times New Roman" w:hAnsi="Times New Roman" w:cs="Times New Roman"/>
                <w:i/>
                <w:iCs/>
                <w:color w:val="000000"/>
                <w:kern w:val="0"/>
                <w:sz w:val="28"/>
                <w:szCs w:val="28"/>
                <w:lang w:eastAsia="en-IN"/>
                <w14:ligatures w14:val="none"/>
              </w:rPr>
              <w:t>.</w:t>
            </w:r>
            <w:r w:rsidRPr="005534D4">
              <w:rPr>
                <w:rFonts w:ascii="Times New Roman" w:eastAsia="Times New Roman" w:hAnsi="Times New Roman" w:cs="Times New Roman"/>
                <w:i/>
                <w:iCs/>
                <w:color w:val="000000"/>
                <w:kern w:val="0"/>
                <w:sz w:val="28"/>
                <w:szCs w:val="28"/>
                <w:lang w:eastAsia="en-IN"/>
                <w14:ligatures w14:val="none"/>
              </w:rPr>
              <w:t>9</w:t>
            </w:r>
          </w:p>
        </w:tc>
        <w:tc>
          <w:tcPr>
            <w:tcW w:w="1163" w:type="dxa"/>
            <w:tcBorders>
              <w:top w:val="nil"/>
              <w:left w:val="nil"/>
              <w:bottom w:val="single" w:sz="4" w:space="0" w:color="auto"/>
              <w:right w:val="single" w:sz="4" w:space="0" w:color="auto"/>
            </w:tcBorders>
            <w:vAlign w:val="center"/>
            <w:hideMark/>
          </w:tcPr>
          <w:p w14:paraId="1612E6D4"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14,22 (o)</w:t>
            </w:r>
          </w:p>
        </w:tc>
        <w:tc>
          <w:tcPr>
            <w:tcW w:w="956" w:type="dxa"/>
            <w:tcBorders>
              <w:top w:val="nil"/>
              <w:left w:val="nil"/>
              <w:bottom w:val="single" w:sz="4" w:space="0" w:color="auto"/>
              <w:right w:val="single" w:sz="4" w:space="0" w:color="auto"/>
            </w:tcBorders>
            <w:vAlign w:val="center"/>
            <w:hideMark/>
          </w:tcPr>
          <w:p w14:paraId="6E2E0D4F"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15.6</w:t>
            </w:r>
          </w:p>
        </w:tc>
        <w:tc>
          <w:tcPr>
            <w:tcW w:w="1163" w:type="dxa"/>
            <w:tcBorders>
              <w:top w:val="nil"/>
              <w:left w:val="nil"/>
              <w:bottom w:val="single" w:sz="4" w:space="0" w:color="auto"/>
              <w:right w:val="single" w:sz="4" w:space="0" w:color="auto"/>
            </w:tcBorders>
            <w:vAlign w:val="center"/>
            <w:hideMark/>
          </w:tcPr>
          <w:p w14:paraId="77C175AC"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13,37 (o)</w:t>
            </w:r>
          </w:p>
        </w:tc>
        <w:tc>
          <w:tcPr>
            <w:tcW w:w="956" w:type="dxa"/>
            <w:tcBorders>
              <w:top w:val="nil"/>
              <w:left w:val="nil"/>
              <w:bottom w:val="single" w:sz="4" w:space="0" w:color="auto"/>
              <w:right w:val="single" w:sz="4" w:space="0" w:color="auto"/>
            </w:tcBorders>
            <w:vAlign w:val="center"/>
            <w:hideMark/>
          </w:tcPr>
          <w:p w14:paraId="53CC4FEE"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14.7</w:t>
            </w:r>
          </w:p>
        </w:tc>
        <w:tc>
          <w:tcPr>
            <w:tcW w:w="1163" w:type="dxa"/>
            <w:tcBorders>
              <w:top w:val="nil"/>
              <w:left w:val="nil"/>
              <w:bottom w:val="single" w:sz="4" w:space="0" w:color="auto"/>
              <w:right w:val="single" w:sz="4" w:space="0" w:color="auto"/>
            </w:tcBorders>
            <w:vAlign w:val="center"/>
            <w:hideMark/>
          </w:tcPr>
          <w:p w14:paraId="60232E75"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14,99 (o)</w:t>
            </w:r>
          </w:p>
        </w:tc>
        <w:tc>
          <w:tcPr>
            <w:tcW w:w="956" w:type="dxa"/>
            <w:tcBorders>
              <w:top w:val="nil"/>
              <w:left w:val="nil"/>
              <w:bottom w:val="single" w:sz="4" w:space="0" w:color="auto"/>
              <w:right w:val="single" w:sz="4" w:space="0" w:color="auto"/>
            </w:tcBorders>
            <w:vAlign w:val="center"/>
            <w:hideMark/>
          </w:tcPr>
          <w:p w14:paraId="40BA25E8"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16.5</w:t>
            </w:r>
          </w:p>
        </w:tc>
        <w:tc>
          <w:tcPr>
            <w:tcW w:w="1163" w:type="dxa"/>
            <w:tcBorders>
              <w:top w:val="nil"/>
              <w:left w:val="nil"/>
              <w:bottom w:val="single" w:sz="4" w:space="0" w:color="auto"/>
              <w:right w:val="single" w:sz="4" w:space="0" w:color="auto"/>
            </w:tcBorders>
            <w:vAlign w:val="center"/>
            <w:hideMark/>
          </w:tcPr>
          <w:p w14:paraId="404D023C"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16,01 (o)</w:t>
            </w:r>
          </w:p>
        </w:tc>
        <w:tc>
          <w:tcPr>
            <w:tcW w:w="956" w:type="dxa"/>
            <w:tcBorders>
              <w:top w:val="nil"/>
              <w:left w:val="nil"/>
              <w:bottom w:val="single" w:sz="4" w:space="0" w:color="auto"/>
              <w:right w:val="single" w:sz="4" w:space="0" w:color="auto"/>
            </w:tcBorders>
            <w:vAlign w:val="center"/>
            <w:hideMark/>
          </w:tcPr>
          <w:p w14:paraId="655B802D"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17.6</w:t>
            </w:r>
          </w:p>
        </w:tc>
      </w:tr>
      <w:tr w:rsidR="00F7700C" w:rsidRPr="005534D4" w14:paraId="0719A914" w14:textId="77777777" w:rsidTr="00722903">
        <w:trPr>
          <w:gridAfter w:val="1"/>
          <w:wAfter w:w="6" w:type="dxa"/>
          <w:trHeight w:val="20"/>
          <w:jc w:val="center"/>
        </w:trPr>
        <w:tc>
          <w:tcPr>
            <w:tcW w:w="1700" w:type="dxa"/>
            <w:tcBorders>
              <w:top w:val="single" w:sz="4" w:space="0" w:color="auto"/>
              <w:left w:val="single" w:sz="4" w:space="0" w:color="auto"/>
              <w:bottom w:val="single" w:sz="4" w:space="0" w:color="auto"/>
              <w:right w:val="single" w:sz="4" w:space="0" w:color="auto"/>
            </w:tcBorders>
            <w:vAlign w:val="center"/>
            <w:hideMark/>
          </w:tcPr>
          <w:p w14:paraId="7EC5DC54"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lastRenderedPageBreak/>
              <w:t>Patiala and East Punjab States Union</w:t>
            </w:r>
          </w:p>
        </w:tc>
        <w:tc>
          <w:tcPr>
            <w:tcW w:w="1244" w:type="dxa"/>
            <w:tcBorders>
              <w:top w:val="single" w:sz="4" w:space="0" w:color="auto"/>
              <w:left w:val="single" w:sz="4" w:space="0" w:color="auto"/>
              <w:bottom w:val="single" w:sz="4" w:space="0" w:color="auto"/>
              <w:right w:val="single" w:sz="4" w:space="0" w:color="auto"/>
            </w:tcBorders>
            <w:vAlign w:val="center"/>
            <w:hideMark/>
          </w:tcPr>
          <w:p w14:paraId="07A26C8C"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5,63</w:t>
            </w:r>
          </w:p>
        </w:tc>
        <w:tc>
          <w:tcPr>
            <w:tcW w:w="957" w:type="dxa"/>
            <w:tcBorders>
              <w:top w:val="single" w:sz="4" w:space="0" w:color="auto"/>
              <w:left w:val="single" w:sz="4" w:space="0" w:color="auto"/>
              <w:bottom w:val="single" w:sz="4" w:space="0" w:color="auto"/>
              <w:right w:val="single" w:sz="4" w:space="0" w:color="auto"/>
            </w:tcBorders>
            <w:vAlign w:val="center"/>
            <w:hideMark/>
          </w:tcPr>
          <w:p w14:paraId="7D2ADBCC" w14:textId="6092DF63" w:rsidR="00F7700C" w:rsidRPr="005534D4" w:rsidRDefault="00F7700C" w:rsidP="00F7700C">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5534D4">
              <w:rPr>
                <w:rFonts w:ascii="Times New Roman" w:eastAsia="Times New Roman" w:hAnsi="Times New Roman" w:cs="Times New Roman"/>
                <w:i/>
                <w:iCs/>
                <w:color w:val="000000"/>
                <w:kern w:val="0"/>
                <w:sz w:val="28"/>
                <w:szCs w:val="28"/>
                <w:lang w:eastAsia="en-IN"/>
                <w14:ligatures w14:val="none"/>
              </w:rPr>
              <w:t>16</w:t>
            </w:r>
            <w:r w:rsidR="00C97C2C">
              <w:rPr>
                <w:rFonts w:ascii="Times New Roman" w:eastAsia="Times New Roman" w:hAnsi="Times New Roman" w:cs="Times New Roman"/>
                <w:i/>
                <w:iCs/>
                <w:color w:val="000000"/>
                <w:kern w:val="0"/>
                <w:sz w:val="28"/>
                <w:szCs w:val="28"/>
                <w:lang w:eastAsia="en-IN"/>
                <w14:ligatures w14:val="none"/>
              </w:rPr>
              <w:t>.</w:t>
            </w:r>
            <w:r w:rsidRPr="005534D4">
              <w:rPr>
                <w:rFonts w:ascii="Times New Roman" w:eastAsia="Times New Roman" w:hAnsi="Times New Roman" w:cs="Times New Roman"/>
                <w:i/>
                <w:iCs/>
                <w:color w:val="000000"/>
                <w:kern w:val="0"/>
                <w:sz w:val="28"/>
                <w:szCs w:val="28"/>
                <w:lang w:eastAsia="en-IN"/>
                <w14:ligatures w14:val="none"/>
              </w:rPr>
              <w:t>1</w:t>
            </w:r>
          </w:p>
        </w:tc>
        <w:tc>
          <w:tcPr>
            <w:tcW w:w="1254" w:type="dxa"/>
            <w:tcBorders>
              <w:top w:val="single" w:sz="4" w:space="0" w:color="auto"/>
              <w:left w:val="single" w:sz="4" w:space="0" w:color="auto"/>
              <w:bottom w:val="single" w:sz="4" w:space="0" w:color="auto"/>
              <w:right w:val="single" w:sz="4" w:space="0" w:color="auto"/>
            </w:tcBorders>
            <w:vAlign w:val="center"/>
            <w:hideMark/>
          </w:tcPr>
          <w:p w14:paraId="703F1000"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4,62</w:t>
            </w:r>
          </w:p>
        </w:tc>
        <w:tc>
          <w:tcPr>
            <w:tcW w:w="956" w:type="dxa"/>
            <w:tcBorders>
              <w:top w:val="single" w:sz="4" w:space="0" w:color="auto"/>
              <w:left w:val="single" w:sz="4" w:space="0" w:color="auto"/>
              <w:bottom w:val="single" w:sz="4" w:space="0" w:color="auto"/>
              <w:right w:val="single" w:sz="4" w:space="0" w:color="auto"/>
            </w:tcBorders>
            <w:vAlign w:val="center"/>
            <w:hideMark/>
          </w:tcPr>
          <w:p w14:paraId="3E55C99C" w14:textId="7B3F79C3" w:rsidR="00F7700C" w:rsidRPr="005534D4" w:rsidRDefault="00F7700C" w:rsidP="00F7700C">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5534D4">
              <w:rPr>
                <w:rFonts w:ascii="Times New Roman" w:eastAsia="Times New Roman" w:hAnsi="Times New Roman" w:cs="Times New Roman"/>
                <w:i/>
                <w:iCs/>
                <w:color w:val="000000"/>
                <w:kern w:val="0"/>
                <w:sz w:val="28"/>
                <w:szCs w:val="28"/>
                <w:lang w:eastAsia="en-IN"/>
                <w14:ligatures w14:val="none"/>
              </w:rPr>
              <w:t>13</w:t>
            </w:r>
            <w:r w:rsidR="00D33874">
              <w:rPr>
                <w:rFonts w:ascii="Times New Roman" w:eastAsia="Times New Roman" w:hAnsi="Times New Roman" w:cs="Times New Roman"/>
                <w:i/>
                <w:iCs/>
                <w:color w:val="000000"/>
                <w:kern w:val="0"/>
                <w:sz w:val="28"/>
                <w:szCs w:val="28"/>
                <w:lang w:eastAsia="en-IN"/>
                <w14:ligatures w14:val="none"/>
              </w:rPr>
              <w:t>.</w:t>
            </w:r>
            <w:r w:rsidRPr="005534D4">
              <w:rPr>
                <w:rFonts w:ascii="Times New Roman" w:eastAsia="Times New Roman" w:hAnsi="Times New Roman" w:cs="Times New Roman"/>
                <w:i/>
                <w:iCs/>
                <w:color w:val="000000"/>
                <w:kern w:val="0"/>
                <w:sz w:val="28"/>
                <w:szCs w:val="28"/>
                <w:lang w:eastAsia="en-IN"/>
                <w14:ligatures w14:val="none"/>
              </w:rPr>
              <w:t>2</w:t>
            </w:r>
          </w:p>
        </w:tc>
        <w:tc>
          <w:tcPr>
            <w:tcW w:w="1163" w:type="dxa"/>
            <w:tcBorders>
              <w:top w:val="single" w:sz="4" w:space="0" w:color="auto"/>
              <w:left w:val="single" w:sz="4" w:space="0" w:color="auto"/>
              <w:bottom w:val="single" w:sz="4" w:space="0" w:color="auto"/>
              <w:right w:val="single" w:sz="4" w:space="0" w:color="auto"/>
            </w:tcBorders>
            <w:vAlign w:val="center"/>
            <w:hideMark/>
          </w:tcPr>
          <w:p w14:paraId="7C243804"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5,96</w:t>
            </w:r>
          </w:p>
        </w:tc>
        <w:tc>
          <w:tcPr>
            <w:tcW w:w="956" w:type="dxa"/>
            <w:tcBorders>
              <w:top w:val="single" w:sz="4" w:space="0" w:color="auto"/>
              <w:left w:val="single" w:sz="4" w:space="0" w:color="auto"/>
              <w:bottom w:val="single" w:sz="4" w:space="0" w:color="auto"/>
              <w:right w:val="single" w:sz="4" w:space="0" w:color="auto"/>
            </w:tcBorders>
            <w:vAlign w:val="center"/>
            <w:hideMark/>
          </w:tcPr>
          <w:p w14:paraId="1485E332" w14:textId="60013011"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17</w:t>
            </w:r>
            <w:r w:rsidR="00353EE4">
              <w:rPr>
                <w:rFonts w:ascii="Times New Roman" w:eastAsia="Times New Roman" w:hAnsi="Times New Roman" w:cs="Times New Roman"/>
                <w:color w:val="000000"/>
                <w:kern w:val="0"/>
                <w:sz w:val="28"/>
                <w:szCs w:val="28"/>
                <w:lang w:eastAsia="en-IN"/>
                <w14:ligatures w14:val="none"/>
              </w:rPr>
              <w:t>.0</w:t>
            </w:r>
          </w:p>
        </w:tc>
        <w:tc>
          <w:tcPr>
            <w:tcW w:w="1163" w:type="dxa"/>
            <w:tcBorders>
              <w:top w:val="single" w:sz="4" w:space="0" w:color="auto"/>
              <w:left w:val="single" w:sz="4" w:space="0" w:color="auto"/>
              <w:bottom w:val="single" w:sz="4" w:space="0" w:color="auto"/>
              <w:right w:val="single" w:sz="4" w:space="0" w:color="auto"/>
            </w:tcBorders>
            <w:vAlign w:val="center"/>
            <w:hideMark/>
          </w:tcPr>
          <w:p w14:paraId="6F69C4CF"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4,64</w:t>
            </w:r>
          </w:p>
        </w:tc>
        <w:tc>
          <w:tcPr>
            <w:tcW w:w="956" w:type="dxa"/>
            <w:tcBorders>
              <w:top w:val="single" w:sz="4" w:space="0" w:color="auto"/>
              <w:left w:val="single" w:sz="4" w:space="0" w:color="auto"/>
              <w:bottom w:val="single" w:sz="4" w:space="0" w:color="auto"/>
              <w:right w:val="single" w:sz="4" w:space="0" w:color="auto"/>
            </w:tcBorders>
            <w:vAlign w:val="center"/>
            <w:hideMark/>
          </w:tcPr>
          <w:p w14:paraId="47B03CA0"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13.3</w:t>
            </w:r>
          </w:p>
        </w:tc>
        <w:tc>
          <w:tcPr>
            <w:tcW w:w="1163" w:type="dxa"/>
            <w:tcBorders>
              <w:top w:val="single" w:sz="4" w:space="0" w:color="auto"/>
              <w:left w:val="single" w:sz="4" w:space="0" w:color="auto"/>
              <w:bottom w:val="single" w:sz="4" w:space="0" w:color="auto"/>
              <w:right w:val="single" w:sz="4" w:space="0" w:color="auto"/>
            </w:tcBorders>
            <w:vAlign w:val="center"/>
            <w:hideMark/>
          </w:tcPr>
          <w:p w14:paraId="4F1290AE"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5,22</w:t>
            </w:r>
          </w:p>
        </w:tc>
        <w:tc>
          <w:tcPr>
            <w:tcW w:w="956" w:type="dxa"/>
            <w:tcBorders>
              <w:top w:val="single" w:sz="4" w:space="0" w:color="auto"/>
              <w:left w:val="single" w:sz="4" w:space="0" w:color="auto"/>
              <w:bottom w:val="single" w:sz="4" w:space="0" w:color="auto"/>
              <w:right w:val="single" w:sz="4" w:space="0" w:color="auto"/>
            </w:tcBorders>
            <w:vAlign w:val="center"/>
            <w:hideMark/>
          </w:tcPr>
          <w:p w14:paraId="164532CA"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14.9</w:t>
            </w:r>
          </w:p>
        </w:tc>
        <w:tc>
          <w:tcPr>
            <w:tcW w:w="1163" w:type="dxa"/>
            <w:tcBorders>
              <w:top w:val="single" w:sz="4" w:space="0" w:color="auto"/>
              <w:left w:val="single" w:sz="4" w:space="0" w:color="auto"/>
              <w:bottom w:val="single" w:sz="4" w:space="0" w:color="auto"/>
              <w:right w:val="single" w:sz="4" w:space="0" w:color="auto"/>
            </w:tcBorders>
            <w:vAlign w:val="center"/>
            <w:hideMark/>
          </w:tcPr>
          <w:p w14:paraId="77BA1F1C"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5,85</w:t>
            </w:r>
          </w:p>
        </w:tc>
        <w:tc>
          <w:tcPr>
            <w:tcW w:w="956" w:type="dxa"/>
            <w:tcBorders>
              <w:top w:val="single" w:sz="4" w:space="0" w:color="auto"/>
              <w:left w:val="single" w:sz="4" w:space="0" w:color="auto"/>
              <w:bottom w:val="single" w:sz="4" w:space="0" w:color="auto"/>
              <w:right w:val="single" w:sz="4" w:space="0" w:color="auto"/>
            </w:tcBorders>
            <w:vAlign w:val="center"/>
            <w:hideMark/>
          </w:tcPr>
          <w:p w14:paraId="3A486A10"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16.7</w:t>
            </w:r>
          </w:p>
        </w:tc>
      </w:tr>
      <w:tr w:rsidR="00F7700C" w:rsidRPr="005534D4" w14:paraId="2093267B" w14:textId="77777777" w:rsidTr="00722903">
        <w:trPr>
          <w:gridAfter w:val="1"/>
          <w:wAfter w:w="6" w:type="dxa"/>
          <w:trHeight w:val="20"/>
          <w:jc w:val="center"/>
        </w:trPr>
        <w:tc>
          <w:tcPr>
            <w:tcW w:w="1700" w:type="dxa"/>
            <w:tcBorders>
              <w:top w:val="single" w:sz="4" w:space="0" w:color="auto"/>
              <w:left w:val="single" w:sz="4" w:space="0" w:color="auto"/>
              <w:bottom w:val="single" w:sz="4" w:space="0" w:color="auto"/>
              <w:right w:val="single" w:sz="4" w:space="0" w:color="auto"/>
            </w:tcBorders>
            <w:vAlign w:val="center"/>
            <w:hideMark/>
          </w:tcPr>
          <w:p w14:paraId="7E781FC1"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Rajasthan</w:t>
            </w:r>
          </w:p>
        </w:tc>
        <w:tc>
          <w:tcPr>
            <w:tcW w:w="1244" w:type="dxa"/>
            <w:tcBorders>
              <w:top w:val="single" w:sz="4" w:space="0" w:color="auto"/>
              <w:left w:val="nil"/>
              <w:bottom w:val="single" w:sz="4" w:space="0" w:color="auto"/>
              <w:right w:val="single" w:sz="4" w:space="0" w:color="auto"/>
            </w:tcBorders>
            <w:vAlign w:val="center"/>
            <w:hideMark/>
          </w:tcPr>
          <w:p w14:paraId="616737DB"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14,61</w:t>
            </w:r>
          </w:p>
        </w:tc>
        <w:tc>
          <w:tcPr>
            <w:tcW w:w="957" w:type="dxa"/>
            <w:tcBorders>
              <w:top w:val="single" w:sz="4" w:space="0" w:color="auto"/>
              <w:left w:val="nil"/>
              <w:bottom w:val="single" w:sz="4" w:space="0" w:color="auto"/>
              <w:right w:val="single" w:sz="4" w:space="0" w:color="auto"/>
            </w:tcBorders>
            <w:vAlign w:val="center"/>
            <w:hideMark/>
          </w:tcPr>
          <w:p w14:paraId="4FD6B96E" w14:textId="7A7DB237" w:rsidR="00F7700C" w:rsidRPr="005534D4" w:rsidRDefault="00F7700C" w:rsidP="00F7700C">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5534D4">
              <w:rPr>
                <w:rFonts w:ascii="Times New Roman" w:eastAsia="Times New Roman" w:hAnsi="Times New Roman" w:cs="Times New Roman"/>
                <w:i/>
                <w:iCs/>
                <w:color w:val="000000"/>
                <w:kern w:val="0"/>
                <w:sz w:val="28"/>
                <w:szCs w:val="28"/>
                <w:lang w:eastAsia="en-IN"/>
                <w14:ligatures w14:val="none"/>
              </w:rPr>
              <w:t>9</w:t>
            </w:r>
            <w:r w:rsidR="00C97C2C">
              <w:rPr>
                <w:rFonts w:ascii="Times New Roman" w:eastAsia="Times New Roman" w:hAnsi="Times New Roman" w:cs="Times New Roman"/>
                <w:i/>
                <w:iCs/>
                <w:color w:val="000000"/>
                <w:kern w:val="0"/>
                <w:sz w:val="28"/>
                <w:szCs w:val="28"/>
                <w:lang w:eastAsia="en-IN"/>
                <w14:ligatures w14:val="none"/>
              </w:rPr>
              <w:t>.</w:t>
            </w:r>
            <w:r w:rsidRPr="005534D4">
              <w:rPr>
                <w:rFonts w:ascii="Times New Roman" w:eastAsia="Times New Roman" w:hAnsi="Times New Roman" w:cs="Times New Roman"/>
                <w:i/>
                <w:iCs/>
                <w:color w:val="000000"/>
                <w:kern w:val="0"/>
                <w:sz w:val="28"/>
                <w:szCs w:val="28"/>
                <w:lang w:eastAsia="en-IN"/>
                <w14:ligatures w14:val="none"/>
              </w:rPr>
              <w:t>5</w:t>
            </w:r>
          </w:p>
        </w:tc>
        <w:tc>
          <w:tcPr>
            <w:tcW w:w="1254" w:type="dxa"/>
            <w:tcBorders>
              <w:top w:val="single" w:sz="4" w:space="0" w:color="auto"/>
              <w:left w:val="nil"/>
              <w:bottom w:val="single" w:sz="4" w:space="0" w:color="auto"/>
              <w:right w:val="single" w:sz="4" w:space="0" w:color="auto"/>
            </w:tcBorders>
            <w:vAlign w:val="center"/>
            <w:hideMark/>
          </w:tcPr>
          <w:p w14:paraId="7B9487E0"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13,91</w:t>
            </w:r>
          </w:p>
        </w:tc>
        <w:tc>
          <w:tcPr>
            <w:tcW w:w="956" w:type="dxa"/>
            <w:tcBorders>
              <w:top w:val="single" w:sz="4" w:space="0" w:color="auto"/>
              <w:left w:val="nil"/>
              <w:bottom w:val="single" w:sz="4" w:space="0" w:color="auto"/>
              <w:right w:val="single" w:sz="4" w:space="0" w:color="auto"/>
            </w:tcBorders>
            <w:vAlign w:val="center"/>
            <w:hideMark/>
          </w:tcPr>
          <w:p w14:paraId="0C2D9131" w14:textId="22DE7229" w:rsidR="00F7700C" w:rsidRPr="005534D4" w:rsidRDefault="00F7700C" w:rsidP="00F7700C">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5534D4">
              <w:rPr>
                <w:rFonts w:ascii="Times New Roman" w:eastAsia="Times New Roman" w:hAnsi="Times New Roman" w:cs="Times New Roman"/>
                <w:i/>
                <w:iCs/>
                <w:color w:val="000000"/>
                <w:kern w:val="0"/>
                <w:sz w:val="28"/>
                <w:szCs w:val="28"/>
                <w:lang w:eastAsia="en-IN"/>
                <w14:ligatures w14:val="none"/>
              </w:rPr>
              <w:t>9</w:t>
            </w:r>
            <w:r w:rsidR="00D33874">
              <w:rPr>
                <w:rFonts w:ascii="Times New Roman" w:eastAsia="Times New Roman" w:hAnsi="Times New Roman" w:cs="Times New Roman"/>
                <w:i/>
                <w:iCs/>
                <w:color w:val="000000"/>
                <w:kern w:val="0"/>
                <w:sz w:val="28"/>
                <w:szCs w:val="28"/>
                <w:lang w:eastAsia="en-IN"/>
                <w14:ligatures w14:val="none"/>
              </w:rPr>
              <w:t>.</w:t>
            </w:r>
            <w:r w:rsidRPr="005534D4">
              <w:rPr>
                <w:rFonts w:ascii="Times New Roman" w:eastAsia="Times New Roman" w:hAnsi="Times New Roman" w:cs="Times New Roman"/>
                <w:i/>
                <w:iCs/>
                <w:color w:val="000000"/>
                <w:kern w:val="0"/>
                <w:sz w:val="28"/>
                <w:szCs w:val="28"/>
                <w:lang w:eastAsia="en-IN"/>
                <w14:ligatures w14:val="none"/>
              </w:rPr>
              <w:t>1</w:t>
            </w:r>
          </w:p>
        </w:tc>
        <w:tc>
          <w:tcPr>
            <w:tcW w:w="1163" w:type="dxa"/>
            <w:tcBorders>
              <w:top w:val="single" w:sz="4" w:space="0" w:color="auto"/>
              <w:left w:val="nil"/>
              <w:bottom w:val="single" w:sz="4" w:space="0" w:color="auto"/>
              <w:right w:val="single" w:sz="4" w:space="0" w:color="auto"/>
            </w:tcBorders>
            <w:vAlign w:val="center"/>
            <w:hideMark/>
          </w:tcPr>
          <w:p w14:paraId="4B27BF2B"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15,60</w:t>
            </w:r>
          </w:p>
        </w:tc>
        <w:tc>
          <w:tcPr>
            <w:tcW w:w="956" w:type="dxa"/>
            <w:tcBorders>
              <w:top w:val="single" w:sz="4" w:space="0" w:color="auto"/>
              <w:left w:val="nil"/>
              <w:bottom w:val="single" w:sz="4" w:space="0" w:color="auto"/>
              <w:right w:val="single" w:sz="4" w:space="0" w:color="auto"/>
            </w:tcBorders>
            <w:vAlign w:val="center"/>
            <w:hideMark/>
          </w:tcPr>
          <w:p w14:paraId="4EDDC191"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10.2</w:t>
            </w:r>
          </w:p>
        </w:tc>
        <w:tc>
          <w:tcPr>
            <w:tcW w:w="1163" w:type="dxa"/>
            <w:tcBorders>
              <w:top w:val="single" w:sz="4" w:space="0" w:color="auto"/>
              <w:left w:val="nil"/>
              <w:bottom w:val="single" w:sz="4" w:space="0" w:color="auto"/>
              <w:right w:val="single" w:sz="4" w:space="0" w:color="auto"/>
            </w:tcBorders>
            <w:vAlign w:val="center"/>
            <w:hideMark/>
          </w:tcPr>
          <w:p w14:paraId="2C57B590"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15,52</w:t>
            </w:r>
          </w:p>
        </w:tc>
        <w:tc>
          <w:tcPr>
            <w:tcW w:w="956" w:type="dxa"/>
            <w:tcBorders>
              <w:top w:val="single" w:sz="4" w:space="0" w:color="auto"/>
              <w:left w:val="nil"/>
              <w:bottom w:val="single" w:sz="4" w:space="0" w:color="auto"/>
              <w:right w:val="single" w:sz="4" w:space="0" w:color="auto"/>
            </w:tcBorders>
            <w:vAlign w:val="center"/>
            <w:hideMark/>
          </w:tcPr>
          <w:p w14:paraId="3BDD1FA4"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10.1</w:t>
            </w:r>
          </w:p>
        </w:tc>
        <w:tc>
          <w:tcPr>
            <w:tcW w:w="1163" w:type="dxa"/>
            <w:tcBorders>
              <w:top w:val="single" w:sz="4" w:space="0" w:color="auto"/>
              <w:left w:val="nil"/>
              <w:bottom w:val="single" w:sz="4" w:space="0" w:color="auto"/>
              <w:right w:val="single" w:sz="4" w:space="0" w:color="auto"/>
            </w:tcBorders>
            <w:vAlign w:val="center"/>
            <w:hideMark/>
          </w:tcPr>
          <w:p w14:paraId="2D13B79D"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16,32</w:t>
            </w:r>
          </w:p>
        </w:tc>
        <w:tc>
          <w:tcPr>
            <w:tcW w:w="956" w:type="dxa"/>
            <w:tcBorders>
              <w:top w:val="single" w:sz="4" w:space="0" w:color="auto"/>
              <w:left w:val="nil"/>
              <w:bottom w:val="single" w:sz="4" w:space="0" w:color="auto"/>
              <w:right w:val="single" w:sz="4" w:space="0" w:color="auto"/>
            </w:tcBorders>
            <w:vAlign w:val="center"/>
            <w:hideMark/>
          </w:tcPr>
          <w:p w14:paraId="6877BE20"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10.7</w:t>
            </w:r>
          </w:p>
        </w:tc>
        <w:tc>
          <w:tcPr>
            <w:tcW w:w="1163" w:type="dxa"/>
            <w:tcBorders>
              <w:top w:val="single" w:sz="4" w:space="0" w:color="auto"/>
              <w:left w:val="nil"/>
              <w:bottom w:val="single" w:sz="4" w:space="0" w:color="auto"/>
              <w:right w:val="single" w:sz="4" w:space="0" w:color="auto"/>
            </w:tcBorders>
            <w:vAlign w:val="center"/>
            <w:hideMark/>
          </w:tcPr>
          <w:p w14:paraId="54C5C563"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17,26</w:t>
            </w:r>
          </w:p>
        </w:tc>
        <w:tc>
          <w:tcPr>
            <w:tcW w:w="956" w:type="dxa"/>
            <w:tcBorders>
              <w:top w:val="single" w:sz="4" w:space="0" w:color="auto"/>
              <w:left w:val="nil"/>
              <w:bottom w:val="single" w:sz="4" w:space="0" w:color="auto"/>
              <w:right w:val="single" w:sz="4" w:space="0" w:color="auto"/>
            </w:tcBorders>
            <w:vAlign w:val="center"/>
            <w:hideMark/>
          </w:tcPr>
          <w:p w14:paraId="42325928"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11.3</w:t>
            </w:r>
          </w:p>
        </w:tc>
      </w:tr>
      <w:tr w:rsidR="00F7700C" w:rsidRPr="005534D4" w14:paraId="2543F4C4" w14:textId="77777777" w:rsidTr="00F7700C">
        <w:trPr>
          <w:gridAfter w:val="1"/>
          <w:wAfter w:w="6" w:type="dxa"/>
          <w:trHeight w:val="20"/>
          <w:jc w:val="center"/>
        </w:trPr>
        <w:tc>
          <w:tcPr>
            <w:tcW w:w="1700" w:type="dxa"/>
            <w:tcBorders>
              <w:top w:val="nil"/>
              <w:left w:val="single" w:sz="4" w:space="0" w:color="auto"/>
              <w:bottom w:val="single" w:sz="4" w:space="0" w:color="auto"/>
              <w:right w:val="single" w:sz="4" w:space="0" w:color="auto"/>
            </w:tcBorders>
            <w:vAlign w:val="center"/>
            <w:hideMark/>
          </w:tcPr>
          <w:p w14:paraId="4837F315"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Saurashtra</w:t>
            </w:r>
          </w:p>
        </w:tc>
        <w:tc>
          <w:tcPr>
            <w:tcW w:w="1244" w:type="dxa"/>
            <w:tcBorders>
              <w:top w:val="nil"/>
              <w:left w:val="nil"/>
              <w:bottom w:val="single" w:sz="4" w:space="0" w:color="auto"/>
              <w:right w:val="single" w:sz="4" w:space="0" w:color="auto"/>
            </w:tcBorders>
            <w:vAlign w:val="center"/>
            <w:hideMark/>
          </w:tcPr>
          <w:p w14:paraId="25754186"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7,77</w:t>
            </w:r>
          </w:p>
        </w:tc>
        <w:tc>
          <w:tcPr>
            <w:tcW w:w="957" w:type="dxa"/>
            <w:tcBorders>
              <w:top w:val="nil"/>
              <w:left w:val="nil"/>
              <w:bottom w:val="single" w:sz="4" w:space="0" w:color="auto"/>
              <w:right w:val="single" w:sz="4" w:space="0" w:color="auto"/>
            </w:tcBorders>
            <w:vAlign w:val="center"/>
            <w:hideMark/>
          </w:tcPr>
          <w:p w14:paraId="1E5F83CE" w14:textId="39EBA295" w:rsidR="00F7700C" w:rsidRPr="005534D4" w:rsidRDefault="00F7700C" w:rsidP="00F7700C">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5534D4">
              <w:rPr>
                <w:rFonts w:ascii="Times New Roman" w:eastAsia="Times New Roman" w:hAnsi="Times New Roman" w:cs="Times New Roman"/>
                <w:i/>
                <w:iCs/>
                <w:color w:val="000000"/>
                <w:kern w:val="0"/>
                <w:sz w:val="28"/>
                <w:szCs w:val="28"/>
                <w:lang w:eastAsia="en-IN"/>
                <w14:ligatures w14:val="none"/>
              </w:rPr>
              <w:t>19</w:t>
            </w:r>
            <w:r w:rsidR="00C97C2C">
              <w:rPr>
                <w:rFonts w:ascii="Times New Roman" w:eastAsia="Times New Roman" w:hAnsi="Times New Roman" w:cs="Times New Roman"/>
                <w:i/>
                <w:iCs/>
                <w:color w:val="000000"/>
                <w:kern w:val="0"/>
                <w:sz w:val="28"/>
                <w:szCs w:val="28"/>
                <w:lang w:eastAsia="en-IN"/>
                <w14:ligatures w14:val="none"/>
              </w:rPr>
              <w:t>.</w:t>
            </w:r>
            <w:r w:rsidRPr="005534D4">
              <w:rPr>
                <w:rFonts w:ascii="Times New Roman" w:eastAsia="Times New Roman" w:hAnsi="Times New Roman" w:cs="Times New Roman"/>
                <w:i/>
                <w:iCs/>
                <w:color w:val="000000"/>
                <w:kern w:val="0"/>
                <w:sz w:val="28"/>
                <w:szCs w:val="28"/>
                <w:lang w:eastAsia="en-IN"/>
                <w14:ligatures w14:val="none"/>
              </w:rPr>
              <w:t>0</w:t>
            </w:r>
          </w:p>
        </w:tc>
        <w:tc>
          <w:tcPr>
            <w:tcW w:w="1254" w:type="dxa"/>
            <w:tcBorders>
              <w:top w:val="nil"/>
              <w:left w:val="nil"/>
              <w:bottom w:val="single" w:sz="4" w:space="0" w:color="auto"/>
              <w:right w:val="single" w:sz="4" w:space="0" w:color="auto"/>
            </w:tcBorders>
            <w:vAlign w:val="center"/>
            <w:hideMark/>
          </w:tcPr>
          <w:p w14:paraId="51502C4F"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7,42</w:t>
            </w:r>
          </w:p>
        </w:tc>
        <w:tc>
          <w:tcPr>
            <w:tcW w:w="956" w:type="dxa"/>
            <w:tcBorders>
              <w:top w:val="nil"/>
              <w:left w:val="nil"/>
              <w:bottom w:val="single" w:sz="4" w:space="0" w:color="auto"/>
              <w:right w:val="single" w:sz="4" w:space="0" w:color="auto"/>
            </w:tcBorders>
            <w:vAlign w:val="center"/>
            <w:hideMark/>
          </w:tcPr>
          <w:p w14:paraId="0BC0AE91" w14:textId="68EB849E" w:rsidR="00F7700C" w:rsidRPr="005534D4" w:rsidRDefault="00F7700C" w:rsidP="00F7700C">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5534D4">
              <w:rPr>
                <w:rFonts w:ascii="Times New Roman" w:eastAsia="Times New Roman" w:hAnsi="Times New Roman" w:cs="Times New Roman"/>
                <w:i/>
                <w:iCs/>
                <w:color w:val="000000"/>
                <w:kern w:val="0"/>
                <w:sz w:val="28"/>
                <w:szCs w:val="28"/>
                <w:lang w:eastAsia="en-IN"/>
                <w14:ligatures w14:val="none"/>
              </w:rPr>
              <w:t>18</w:t>
            </w:r>
            <w:r w:rsidR="00D33874">
              <w:rPr>
                <w:rFonts w:ascii="Times New Roman" w:eastAsia="Times New Roman" w:hAnsi="Times New Roman" w:cs="Times New Roman"/>
                <w:i/>
                <w:iCs/>
                <w:color w:val="000000"/>
                <w:kern w:val="0"/>
                <w:sz w:val="28"/>
                <w:szCs w:val="28"/>
                <w:lang w:eastAsia="en-IN"/>
                <w14:ligatures w14:val="none"/>
              </w:rPr>
              <w:t>.</w:t>
            </w:r>
            <w:r w:rsidRPr="005534D4">
              <w:rPr>
                <w:rFonts w:ascii="Times New Roman" w:eastAsia="Times New Roman" w:hAnsi="Times New Roman" w:cs="Times New Roman"/>
                <w:i/>
                <w:iCs/>
                <w:color w:val="000000"/>
                <w:kern w:val="0"/>
                <w:sz w:val="28"/>
                <w:szCs w:val="28"/>
                <w:lang w:eastAsia="en-IN"/>
                <w14:ligatures w14:val="none"/>
              </w:rPr>
              <w:t>1</w:t>
            </w:r>
          </w:p>
        </w:tc>
        <w:tc>
          <w:tcPr>
            <w:tcW w:w="1163" w:type="dxa"/>
            <w:tcBorders>
              <w:top w:val="nil"/>
              <w:left w:val="nil"/>
              <w:bottom w:val="single" w:sz="4" w:space="0" w:color="auto"/>
              <w:right w:val="single" w:sz="4" w:space="0" w:color="auto"/>
            </w:tcBorders>
            <w:vAlign w:val="center"/>
            <w:hideMark/>
          </w:tcPr>
          <w:p w14:paraId="79F5984F"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7,52</w:t>
            </w:r>
          </w:p>
        </w:tc>
        <w:tc>
          <w:tcPr>
            <w:tcW w:w="956" w:type="dxa"/>
            <w:tcBorders>
              <w:top w:val="nil"/>
              <w:left w:val="nil"/>
              <w:bottom w:val="single" w:sz="4" w:space="0" w:color="auto"/>
              <w:right w:val="single" w:sz="4" w:space="0" w:color="auto"/>
            </w:tcBorders>
            <w:vAlign w:val="center"/>
            <w:hideMark/>
          </w:tcPr>
          <w:p w14:paraId="5DE11246"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18.3</w:t>
            </w:r>
          </w:p>
        </w:tc>
        <w:tc>
          <w:tcPr>
            <w:tcW w:w="1163" w:type="dxa"/>
            <w:tcBorders>
              <w:top w:val="nil"/>
              <w:left w:val="nil"/>
              <w:bottom w:val="single" w:sz="4" w:space="0" w:color="auto"/>
              <w:right w:val="single" w:sz="4" w:space="0" w:color="auto"/>
            </w:tcBorders>
            <w:vAlign w:val="center"/>
            <w:hideMark/>
          </w:tcPr>
          <w:p w14:paraId="1E86DFC6"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8,84</w:t>
            </w:r>
          </w:p>
        </w:tc>
        <w:tc>
          <w:tcPr>
            <w:tcW w:w="956" w:type="dxa"/>
            <w:tcBorders>
              <w:top w:val="nil"/>
              <w:left w:val="nil"/>
              <w:bottom w:val="single" w:sz="4" w:space="0" w:color="auto"/>
              <w:right w:val="single" w:sz="4" w:space="0" w:color="auto"/>
            </w:tcBorders>
            <w:vAlign w:val="center"/>
            <w:hideMark/>
          </w:tcPr>
          <w:p w14:paraId="37436853"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21.5</w:t>
            </w:r>
          </w:p>
        </w:tc>
        <w:tc>
          <w:tcPr>
            <w:tcW w:w="1163" w:type="dxa"/>
            <w:tcBorders>
              <w:top w:val="nil"/>
              <w:left w:val="nil"/>
              <w:bottom w:val="single" w:sz="4" w:space="0" w:color="auto"/>
              <w:right w:val="single" w:sz="4" w:space="0" w:color="auto"/>
            </w:tcBorders>
            <w:vAlign w:val="center"/>
            <w:hideMark/>
          </w:tcPr>
          <w:p w14:paraId="3006173D"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8,73</w:t>
            </w:r>
          </w:p>
        </w:tc>
        <w:tc>
          <w:tcPr>
            <w:tcW w:w="956" w:type="dxa"/>
            <w:tcBorders>
              <w:top w:val="nil"/>
              <w:left w:val="nil"/>
              <w:bottom w:val="single" w:sz="4" w:space="0" w:color="auto"/>
              <w:right w:val="single" w:sz="4" w:space="0" w:color="auto"/>
            </w:tcBorders>
            <w:vAlign w:val="center"/>
            <w:hideMark/>
          </w:tcPr>
          <w:p w14:paraId="74B645E4"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21.3</w:t>
            </w:r>
          </w:p>
        </w:tc>
        <w:tc>
          <w:tcPr>
            <w:tcW w:w="1163" w:type="dxa"/>
            <w:tcBorders>
              <w:top w:val="nil"/>
              <w:left w:val="nil"/>
              <w:bottom w:val="single" w:sz="4" w:space="0" w:color="auto"/>
              <w:right w:val="single" w:sz="4" w:space="0" w:color="auto"/>
            </w:tcBorders>
            <w:vAlign w:val="center"/>
            <w:hideMark/>
          </w:tcPr>
          <w:p w14:paraId="0FA427A7"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8,72</w:t>
            </w:r>
          </w:p>
        </w:tc>
        <w:tc>
          <w:tcPr>
            <w:tcW w:w="956" w:type="dxa"/>
            <w:tcBorders>
              <w:top w:val="nil"/>
              <w:left w:val="nil"/>
              <w:bottom w:val="single" w:sz="4" w:space="0" w:color="auto"/>
              <w:right w:val="single" w:sz="4" w:space="0" w:color="auto"/>
            </w:tcBorders>
            <w:vAlign w:val="center"/>
            <w:hideMark/>
          </w:tcPr>
          <w:p w14:paraId="2791F3D5"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21.3</w:t>
            </w:r>
          </w:p>
        </w:tc>
      </w:tr>
      <w:tr w:rsidR="00F7700C" w:rsidRPr="005534D4" w14:paraId="3F18205E" w14:textId="77777777" w:rsidTr="00F7700C">
        <w:trPr>
          <w:gridAfter w:val="1"/>
          <w:wAfter w:w="6" w:type="dxa"/>
          <w:trHeight w:val="20"/>
          <w:jc w:val="center"/>
        </w:trPr>
        <w:tc>
          <w:tcPr>
            <w:tcW w:w="1700" w:type="dxa"/>
            <w:tcBorders>
              <w:top w:val="nil"/>
              <w:left w:val="single" w:sz="4" w:space="0" w:color="auto"/>
              <w:bottom w:val="single" w:sz="4" w:space="0" w:color="auto"/>
              <w:right w:val="single" w:sz="4" w:space="0" w:color="auto"/>
            </w:tcBorders>
            <w:vAlign w:val="center"/>
            <w:hideMark/>
          </w:tcPr>
          <w:p w14:paraId="3B11DA7F"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Travancore-Cochin</w:t>
            </w:r>
          </w:p>
        </w:tc>
        <w:tc>
          <w:tcPr>
            <w:tcW w:w="1244" w:type="dxa"/>
            <w:tcBorders>
              <w:top w:val="nil"/>
              <w:left w:val="nil"/>
              <w:bottom w:val="single" w:sz="4" w:space="0" w:color="auto"/>
              <w:right w:val="single" w:sz="4" w:space="0" w:color="auto"/>
            </w:tcBorders>
            <w:vAlign w:val="center"/>
            <w:hideMark/>
          </w:tcPr>
          <w:p w14:paraId="36F80511"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13,99</w:t>
            </w:r>
          </w:p>
        </w:tc>
        <w:tc>
          <w:tcPr>
            <w:tcW w:w="957" w:type="dxa"/>
            <w:tcBorders>
              <w:top w:val="nil"/>
              <w:left w:val="nil"/>
              <w:bottom w:val="single" w:sz="4" w:space="0" w:color="auto"/>
              <w:right w:val="single" w:sz="4" w:space="0" w:color="auto"/>
            </w:tcBorders>
            <w:vAlign w:val="center"/>
            <w:hideMark/>
          </w:tcPr>
          <w:p w14:paraId="63E7293A" w14:textId="0F23FF08" w:rsidR="00F7700C" w:rsidRPr="005534D4" w:rsidRDefault="00F7700C" w:rsidP="00F7700C">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5534D4">
              <w:rPr>
                <w:rFonts w:ascii="Times New Roman" w:eastAsia="Times New Roman" w:hAnsi="Times New Roman" w:cs="Times New Roman"/>
                <w:i/>
                <w:iCs/>
                <w:color w:val="000000"/>
                <w:kern w:val="0"/>
                <w:sz w:val="28"/>
                <w:szCs w:val="28"/>
                <w:lang w:eastAsia="en-IN"/>
                <w14:ligatures w14:val="none"/>
              </w:rPr>
              <w:t>15</w:t>
            </w:r>
            <w:r w:rsidR="00C97C2C">
              <w:rPr>
                <w:rFonts w:ascii="Times New Roman" w:eastAsia="Times New Roman" w:hAnsi="Times New Roman" w:cs="Times New Roman"/>
                <w:i/>
                <w:iCs/>
                <w:color w:val="000000"/>
                <w:kern w:val="0"/>
                <w:sz w:val="28"/>
                <w:szCs w:val="28"/>
                <w:lang w:eastAsia="en-IN"/>
                <w14:ligatures w14:val="none"/>
              </w:rPr>
              <w:t>.</w:t>
            </w:r>
            <w:r w:rsidRPr="005534D4">
              <w:rPr>
                <w:rFonts w:ascii="Times New Roman" w:eastAsia="Times New Roman" w:hAnsi="Times New Roman" w:cs="Times New Roman"/>
                <w:i/>
                <w:iCs/>
                <w:color w:val="000000"/>
                <w:kern w:val="0"/>
                <w:sz w:val="28"/>
                <w:szCs w:val="28"/>
                <w:lang w:eastAsia="en-IN"/>
                <w14:ligatures w14:val="none"/>
              </w:rPr>
              <w:t>0</w:t>
            </w:r>
          </w:p>
        </w:tc>
        <w:tc>
          <w:tcPr>
            <w:tcW w:w="1254" w:type="dxa"/>
            <w:tcBorders>
              <w:top w:val="nil"/>
              <w:left w:val="nil"/>
              <w:bottom w:val="single" w:sz="4" w:space="0" w:color="auto"/>
              <w:right w:val="single" w:sz="4" w:space="0" w:color="auto"/>
            </w:tcBorders>
            <w:vAlign w:val="center"/>
            <w:hideMark/>
          </w:tcPr>
          <w:p w14:paraId="36257DEC"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12,74</w:t>
            </w:r>
          </w:p>
        </w:tc>
        <w:tc>
          <w:tcPr>
            <w:tcW w:w="956" w:type="dxa"/>
            <w:tcBorders>
              <w:top w:val="nil"/>
              <w:left w:val="nil"/>
              <w:bottom w:val="single" w:sz="4" w:space="0" w:color="auto"/>
              <w:right w:val="single" w:sz="4" w:space="0" w:color="auto"/>
            </w:tcBorders>
            <w:vAlign w:val="center"/>
            <w:hideMark/>
          </w:tcPr>
          <w:p w14:paraId="575C9722" w14:textId="2355E738" w:rsidR="00F7700C" w:rsidRPr="005534D4" w:rsidRDefault="00F7700C" w:rsidP="00F7700C">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5534D4">
              <w:rPr>
                <w:rFonts w:ascii="Times New Roman" w:eastAsia="Times New Roman" w:hAnsi="Times New Roman" w:cs="Times New Roman"/>
                <w:i/>
                <w:iCs/>
                <w:color w:val="000000"/>
                <w:kern w:val="0"/>
                <w:sz w:val="28"/>
                <w:szCs w:val="28"/>
                <w:lang w:eastAsia="en-IN"/>
                <w14:ligatures w14:val="none"/>
              </w:rPr>
              <w:t>13</w:t>
            </w:r>
            <w:r w:rsidR="00D33874">
              <w:rPr>
                <w:rFonts w:ascii="Times New Roman" w:eastAsia="Times New Roman" w:hAnsi="Times New Roman" w:cs="Times New Roman"/>
                <w:i/>
                <w:iCs/>
                <w:color w:val="000000"/>
                <w:kern w:val="0"/>
                <w:sz w:val="28"/>
                <w:szCs w:val="28"/>
                <w:lang w:eastAsia="en-IN"/>
                <w14:ligatures w14:val="none"/>
              </w:rPr>
              <w:t>.</w:t>
            </w:r>
            <w:r w:rsidRPr="005534D4">
              <w:rPr>
                <w:rFonts w:ascii="Times New Roman" w:eastAsia="Times New Roman" w:hAnsi="Times New Roman" w:cs="Times New Roman"/>
                <w:i/>
                <w:iCs/>
                <w:color w:val="000000"/>
                <w:kern w:val="0"/>
                <w:sz w:val="28"/>
                <w:szCs w:val="28"/>
                <w:lang w:eastAsia="en-IN"/>
                <w14:ligatures w14:val="none"/>
              </w:rPr>
              <w:t>7</w:t>
            </w:r>
          </w:p>
        </w:tc>
        <w:tc>
          <w:tcPr>
            <w:tcW w:w="1163" w:type="dxa"/>
            <w:tcBorders>
              <w:top w:val="nil"/>
              <w:left w:val="nil"/>
              <w:bottom w:val="single" w:sz="4" w:space="0" w:color="auto"/>
              <w:right w:val="single" w:sz="4" w:space="0" w:color="auto"/>
            </w:tcBorders>
            <w:vAlign w:val="center"/>
            <w:hideMark/>
          </w:tcPr>
          <w:p w14:paraId="161EC95F"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17,90</w:t>
            </w:r>
          </w:p>
        </w:tc>
        <w:tc>
          <w:tcPr>
            <w:tcW w:w="956" w:type="dxa"/>
            <w:tcBorders>
              <w:top w:val="nil"/>
              <w:left w:val="nil"/>
              <w:bottom w:val="single" w:sz="4" w:space="0" w:color="auto"/>
              <w:right w:val="single" w:sz="4" w:space="0" w:color="auto"/>
            </w:tcBorders>
            <w:vAlign w:val="center"/>
            <w:hideMark/>
          </w:tcPr>
          <w:p w14:paraId="36200912"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19.2</w:t>
            </w:r>
          </w:p>
        </w:tc>
        <w:tc>
          <w:tcPr>
            <w:tcW w:w="1163" w:type="dxa"/>
            <w:tcBorders>
              <w:top w:val="nil"/>
              <w:left w:val="nil"/>
              <w:bottom w:val="single" w:sz="4" w:space="0" w:color="auto"/>
              <w:right w:val="single" w:sz="4" w:space="0" w:color="auto"/>
            </w:tcBorders>
            <w:vAlign w:val="center"/>
            <w:hideMark/>
          </w:tcPr>
          <w:p w14:paraId="0608BCED"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13,52</w:t>
            </w:r>
          </w:p>
        </w:tc>
        <w:tc>
          <w:tcPr>
            <w:tcW w:w="956" w:type="dxa"/>
            <w:tcBorders>
              <w:top w:val="nil"/>
              <w:left w:val="nil"/>
              <w:bottom w:val="single" w:sz="4" w:space="0" w:color="auto"/>
              <w:right w:val="single" w:sz="4" w:space="0" w:color="auto"/>
            </w:tcBorders>
            <w:vAlign w:val="center"/>
            <w:hideMark/>
          </w:tcPr>
          <w:p w14:paraId="18448B38" w14:textId="56C1345D"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w:t>
            </w:r>
            <w:r w:rsidR="000A74AC">
              <w:rPr>
                <w:rFonts w:ascii="Times New Roman" w:eastAsia="Times New Roman" w:hAnsi="Times New Roman" w:cs="Times New Roman"/>
                <w:color w:val="000000"/>
                <w:kern w:val="0"/>
                <w:sz w:val="28"/>
                <w:szCs w:val="28"/>
                <w:lang w:eastAsia="en-IN"/>
                <w14:ligatures w14:val="none"/>
              </w:rPr>
              <w:t>7</w:t>
            </w:r>
            <w:r w:rsidRPr="005534D4">
              <w:rPr>
                <w:rFonts w:ascii="Times New Roman" w:eastAsia="Times New Roman" w:hAnsi="Times New Roman" w:cs="Times New Roman"/>
                <w:color w:val="000000"/>
                <w:kern w:val="0"/>
                <w:sz w:val="28"/>
                <w:szCs w:val="28"/>
                <w:lang w:eastAsia="en-IN"/>
                <w14:ligatures w14:val="none"/>
              </w:rPr>
              <w:t>.5</w:t>
            </w:r>
          </w:p>
        </w:tc>
        <w:tc>
          <w:tcPr>
            <w:tcW w:w="1163" w:type="dxa"/>
            <w:tcBorders>
              <w:top w:val="nil"/>
              <w:left w:val="nil"/>
              <w:bottom w:val="single" w:sz="4" w:space="0" w:color="auto"/>
              <w:right w:val="single" w:sz="4" w:space="0" w:color="auto"/>
            </w:tcBorders>
            <w:vAlign w:val="center"/>
            <w:hideMark/>
          </w:tcPr>
          <w:p w14:paraId="189DA2E3"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16,82 (p)</w:t>
            </w:r>
          </w:p>
        </w:tc>
        <w:tc>
          <w:tcPr>
            <w:tcW w:w="956" w:type="dxa"/>
            <w:tcBorders>
              <w:top w:val="nil"/>
              <w:left w:val="nil"/>
              <w:bottom w:val="single" w:sz="4" w:space="0" w:color="auto"/>
              <w:right w:val="single" w:sz="4" w:space="0" w:color="auto"/>
            </w:tcBorders>
            <w:vAlign w:val="center"/>
            <w:hideMark/>
          </w:tcPr>
          <w:p w14:paraId="727E9323"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18.1</w:t>
            </w:r>
          </w:p>
        </w:tc>
        <w:tc>
          <w:tcPr>
            <w:tcW w:w="1163" w:type="dxa"/>
            <w:tcBorders>
              <w:top w:val="nil"/>
              <w:left w:val="nil"/>
              <w:bottom w:val="single" w:sz="4" w:space="0" w:color="auto"/>
              <w:right w:val="single" w:sz="4" w:space="0" w:color="auto"/>
            </w:tcBorders>
            <w:vAlign w:val="center"/>
            <w:hideMark/>
          </w:tcPr>
          <w:p w14:paraId="7CDF9A26"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16,91</w:t>
            </w:r>
          </w:p>
        </w:tc>
        <w:tc>
          <w:tcPr>
            <w:tcW w:w="956" w:type="dxa"/>
            <w:tcBorders>
              <w:top w:val="nil"/>
              <w:left w:val="nil"/>
              <w:bottom w:val="single" w:sz="4" w:space="0" w:color="auto"/>
              <w:right w:val="single" w:sz="4" w:space="0" w:color="auto"/>
            </w:tcBorders>
            <w:vAlign w:val="center"/>
            <w:hideMark/>
          </w:tcPr>
          <w:p w14:paraId="2929AE80"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18.2</w:t>
            </w:r>
          </w:p>
        </w:tc>
      </w:tr>
      <w:tr w:rsidR="00F7700C" w:rsidRPr="005534D4" w14:paraId="67551748" w14:textId="77777777" w:rsidTr="00F7700C">
        <w:trPr>
          <w:gridAfter w:val="1"/>
          <w:wAfter w:w="6" w:type="dxa"/>
          <w:trHeight w:val="20"/>
          <w:jc w:val="center"/>
        </w:trPr>
        <w:tc>
          <w:tcPr>
            <w:tcW w:w="1700" w:type="dxa"/>
            <w:tcBorders>
              <w:top w:val="nil"/>
              <w:left w:val="single" w:sz="4" w:space="0" w:color="auto"/>
              <w:bottom w:val="single" w:sz="4" w:space="0" w:color="auto"/>
              <w:right w:val="single" w:sz="4" w:space="0" w:color="auto"/>
            </w:tcBorders>
            <w:vAlign w:val="center"/>
            <w:hideMark/>
          </w:tcPr>
          <w:p w14:paraId="1B9E9503"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TOTAL</w:t>
            </w:r>
          </w:p>
        </w:tc>
        <w:tc>
          <w:tcPr>
            <w:tcW w:w="1244" w:type="dxa"/>
            <w:tcBorders>
              <w:top w:val="nil"/>
              <w:left w:val="nil"/>
              <w:bottom w:val="single" w:sz="4" w:space="0" w:color="auto"/>
              <w:right w:val="single" w:sz="4" w:space="0" w:color="auto"/>
            </w:tcBorders>
            <w:vAlign w:val="center"/>
            <w:hideMark/>
          </w:tcPr>
          <w:p w14:paraId="2DC745EB"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3,82,90</w:t>
            </w:r>
          </w:p>
        </w:tc>
        <w:tc>
          <w:tcPr>
            <w:tcW w:w="957" w:type="dxa"/>
            <w:tcBorders>
              <w:top w:val="nil"/>
              <w:left w:val="nil"/>
              <w:bottom w:val="single" w:sz="4" w:space="0" w:color="auto"/>
              <w:right w:val="single" w:sz="4" w:space="0" w:color="auto"/>
            </w:tcBorders>
            <w:vAlign w:val="center"/>
            <w:hideMark/>
          </w:tcPr>
          <w:p w14:paraId="50D21A31" w14:textId="1B92F793" w:rsidR="00F7700C" w:rsidRPr="005534D4" w:rsidRDefault="00F7700C" w:rsidP="00F7700C">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5534D4">
              <w:rPr>
                <w:rFonts w:ascii="Times New Roman" w:eastAsia="Times New Roman" w:hAnsi="Times New Roman" w:cs="Times New Roman"/>
                <w:i/>
                <w:iCs/>
                <w:color w:val="000000"/>
                <w:kern w:val="0"/>
                <w:sz w:val="28"/>
                <w:szCs w:val="28"/>
                <w:lang w:eastAsia="en-IN"/>
                <w14:ligatures w14:val="none"/>
              </w:rPr>
              <w:t>11</w:t>
            </w:r>
            <w:r w:rsidR="00C97C2C">
              <w:rPr>
                <w:rFonts w:ascii="Times New Roman" w:eastAsia="Times New Roman" w:hAnsi="Times New Roman" w:cs="Times New Roman"/>
                <w:i/>
                <w:iCs/>
                <w:color w:val="000000"/>
                <w:kern w:val="0"/>
                <w:sz w:val="28"/>
                <w:szCs w:val="28"/>
                <w:lang w:eastAsia="en-IN"/>
                <w14:ligatures w14:val="none"/>
              </w:rPr>
              <w:t>.</w:t>
            </w:r>
            <w:r w:rsidRPr="005534D4">
              <w:rPr>
                <w:rFonts w:ascii="Times New Roman" w:eastAsia="Times New Roman" w:hAnsi="Times New Roman" w:cs="Times New Roman"/>
                <w:i/>
                <w:iCs/>
                <w:color w:val="000000"/>
                <w:kern w:val="0"/>
                <w:sz w:val="28"/>
                <w:szCs w:val="28"/>
                <w:lang w:eastAsia="en-IN"/>
                <w14:ligatures w14:val="none"/>
              </w:rPr>
              <w:t>0</w:t>
            </w:r>
          </w:p>
        </w:tc>
        <w:tc>
          <w:tcPr>
            <w:tcW w:w="1254" w:type="dxa"/>
            <w:tcBorders>
              <w:top w:val="nil"/>
              <w:left w:val="nil"/>
              <w:bottom w:val="single" w:sz="4" w:space="0" w:color="auto"/>
              <w:right w:val="single" w:sz="4" w:space="0" w:color="auto"/>
            </w:tcBorders>
            <w:vAlign w:val="center"/>
            <w:hideMark/>
          </w:tcPr>
          <w:p w14:paraId="2743B121"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3,80,61</w:t>
            </w:r>
          </w:p>
        </w:tc>
        <w:tc>
          <w:tcPr>
            <w:tcW w:w="956" w:type="dxa"/>
            <w:tcBorders>
              <w:top w:val="nil"/>
              <w:left w:val="nil"/>
              <w:bottom w:val="single" w:sz="4" w:space="0" w:color="auto"/>
              <w:right w:val="single" w:sz="4" w:space="0" w:color="auto"/>
            </w:tcBorders>
            <w:vAlign w:val="center"/>
            <w:hideMark/>
          </w:tcPr>
          <w:p w14:paraId="6AEF04F8" w14:textId="18790A3A" w:rsidR="00F7700C" w:rsidRPr="005534D4" w:rsidRDefault="00F7700C" w:rsidP="00F7700C">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5534D4">
              <w:rPr>
                <w:rFonts w:ascii="Times New Roman" w:eastAsia="Times New Roman" w:hAnsi="Times New Roman" w:cs="Times New Roman"/>
                <w:i/>
                <w:iCs/>
                <w:color w:val="000000"/>
                <w:kern w:val="0"/>
                <w:sz w:val="28"/>
                <w:szCs w:val="28"/>
                <w:lang w:eastAsia="en-IN"/>
                <w14:ligatures w14:val="none"/>
              </w:rPr>
              <w:t>11</w:t>
            </w:r>
            <w:r w:rsidR="00D33874">
              <w:rPr>
                <w:rFonts w:ascii="Times New Roman" w:eastAsia="Times New Roman" w:hAnsi="Times New Roman" w:cs="Times New Roman"/>
                <w:i/>
                <w:iCs/>
                <w:color w:val="000000"/>
                <w:kern w:val="0"/>
                <w:sz w:val="28"/>
                <w:szCs w:val="28"/>
                <w:lang w:eastAsia="en-IN"/>
                <w14:ligatures w14:val="none"/>
              </w:rPr>
              <w:t>.</w:t>
            </w:r>
            <w:r w:rsidRPr="005534D4">
              <w:rPr>
                <w:rFonts w:ascii="Times New Roman" w:eastAsia="Times New Roman" w:hAnsi="Times New Roman" w:cs="Times New Roman"/>
                <w:i/>
                <w:iCs/>
                <w:color w:val="000000"/>
                <w:kern w:val="0"/>
                <w:sz w:val="28"/>
                <w:szCs w:val="28"/>
                <w:lang w:eastAsia="en-IN"/>
                <w14:ligatures w14:val="none"/>
              </w:rPr>
              <w:t>0</w:t>
            </w:r>
          </w:p>
        </w:tc>
        <w:tc>
          <w:tcPr>
            <w:tcW w:w="1163" w:type="dxa"/>
            <w:tcBorders>
              <w:top w:val="nil"/>
              <w:left w:val="nil"/>
              <w:bottom w:val="single" w:sz="4" w:space="0" w:color="auto"/>
              <w:right w:val="single" w:sz="4" w:space="0" w:color="auto"/>
            </w:tcBorders>
            <w:vAlign w:val="center"/>
            <w:hideMark/>
          </w:tcPr>
          <w:p w14:paraId="6E9E90F5"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4,06,66</w:t>
            </w:r>
          </w:p>
        </w:tc>
        <w:tc>
          <w:tcPr>
            <w:tcW w:w="956" w:type="dxa"/>
            <w:tcBorders>
              <w:top w:val="nil"/>
              <w:left w:val="nil"/>
              <w:bottom w:val="single" w:sz="4" w:space="0" w:color="auto"/>
              <w:right w:val="single" w:sz="4" w:space="0" w:color="auto"/>
            </w:tcBorders>
            <w:vAlign w:val="center"/>
            <w:hideMark/>
          </w:tcPr>
          <w:p w14:paraId="542BF260"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11.7</w:t>
            </w:r>
          </w:p>
        </w:tc>
        <w:tc>
          <w:tcPr>
            <w:tcW w:w="1163" w:type="dxa"/>
            <w:tcBorders>
              <w:top w:val="nil"/>
              <w:left w:val="nil"/>
              <w:bottom w:val="single" w:sz="4" w:space="0" w:color="auto"/>
              <w:right w:val="single" w:sz="4" w:space="0" w:color="auto"/>
            </w:tcBorders>
            <w:vAlign w:val="center"/>
            <w:hideMark/>
          </w:tcPr>
          <w:p w14:paraId="34FE31F4"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40,1,73</w:t>
            </w:r>
          </w:p>
        </w:tc>
        <w:tc>
          <w:tcPr>
            <w:tcW w:w="956" w:type="dxa"/>
            <w:tcBorders>
              <w:top w:val="nil"/>
              <w:left w:val="nil"/>
              <w:bottom w:val="single" w:sz="4" w:space="0" w:color="auto"/>
              <w:right w:val="single" w:sz="4" w:space="0" w:color="auto"/>
            </w:tcBorders>
            <w:vAlign w:val="center"/>
            <w:hideMark/>
          </w:tcPr>
          <w:p w14:paraId="16CF38C2"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11.6</w:t>
            </w:r>
          </w:p>
        </w:tc>
        <w:tc>
          <w:tcPr>
            <w:tcW w:w="1163" w:type="dxa"/>
            <w:tcBorders>
              <w:top w:val="nil"/>
              <w:left w:val="nil"/>
              <w:bottom w:val="single" w:sz="4" w:space="0" w:color="auto"/>
              <w:right w:val="single" w:sz="4" w:space="0" w:color="auto"/>
            </w:tcBorders>
            <w:vAlign w:val="center"/>
            <w:hideMark/>
          </w:tcPr>
          <w:p w14:paraId="26C11929"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4,15,99</w:t>
            </w:r>
          </w:p>
        </w:tc>
        <w:tc>
          <w:tcPr>
            <w:tcW w:w="956" w:type="dxa"/>
            <w:tcBorders>
              <w:top w:val="nil"/>
              <w:left w:val="nil"/>
              <w:bottom w:val="single" w:sz="4" w:space="0" w:color="auto"/>
              <w:right w:val="single" w:sz="4" w:space="0" w:color="auto"/>
            </w:tcBorders>
            <w:vAlign w:val="center"/>
            <w:hideMark/>
          </w:tcPr>
          <w:p w14:paraId="58EEF397" w14:textId="18FCC0ED"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12</w:t>
            </w:r>
            <w:r w:rsidR="000A74AC">
              <w:rPr>
                <w:rFonts w:ascii="Times New Roman" w:eastAsia="Times New Roman" w:hAnsi="Times New Roman" w:cs="Times New Roman"/>
                <w:color w:val="000000"/>
                <w:kern w:val="0"/>
                <w:sz w:val="28"/>
                <w:szCs w:val="28"/>
                <w:lang w:eastAsia="en-IN"/>
                <w14:ligatures w14:val="none"/>
              </w:rPr>
              <w:t>.0</w:t>
            </w:r>
          </w:p>
        </w:tc>
        <w:tc>
          <w:tcPr>
            <w:tcW w:w="1163" w:type="dxa"/>
            <w:tcBorders>
              <w:top w:val="nil"/>
              <w:left w:val="nil"/>
              <w:bottom w:val="single" w:sz="4" w:space="0" w:color="auto"/>
              <w:right w:val="single" w:sz="4" w:space="0" w:color="auto"/>
            </w:tcBorders>
            <w:vAlign w:val="center"/>
            <w:hideMark/>
          </w:tcPr>
          <w:p w14:paraId="6203BC73"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4,35,30</w:t>
            </w:r>
          </w:p>
        </w:tc>
        <w:tc>
          <w:tcPr>
            <w:tcW w:w="956" w:type="dxa"/>
            <w:tcBorders>
              <w:top w:val="nil"/>
              <w:left w:val="nil"/>
              <w:bottom w:val="single" w:sz="4" w:space="0" w:color="auto"/>
              <w:right w:val="single" w:sz="4" w:space="0" w:color="auto"/>
            </w:tcBorders>
            <w:vAlign w:val="center"/>
            <w:hideMark/>
          </w:tcPr>
          <w:p w14:paraId="44616464" w14:textId="77777777" w:rsidR="00F7700C" w:rsidRPr="005534D4" w:rsidRDefault="00F7700C" w:rsidP="00F7700C">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534D4">
              <w:rPr>
                <w:rFonts w:ascii="Times New Roman" w:eastAsia="Times New Roman" w:hAnsi="Times New Roman" w:cs="Times New Roman"/>
                <w:color w:val="000000"/>
                <w:kern w:val="0"/>
                <w:sz w:val="28"/>
                <w:szCs w:val="28"/>
                <w:lang w:eastAsia="en-IN"/>
                <w14:ligatures w14:val="none"/>
              </w:rPr>
              <w:t>12.6</w:t>
            </w:r>
          </w:p>
        </w:tc>
      </w:tr>
    </w:tbl>
    <w:p w14:paraId="69DFC570" w14:textId="2F5157EC" w:rsidR="00C40CC2" w:rsidRPr="005534D4" w:rsidRDefault="00C40CC2" w:rsidP="00F7700C">
      <w:pPr>
        <w:pStyle w:val="NoSpacing"/>
        <w:jc w:val="center"/>
        <w:rPr>
          <w:rFonts w:ascii="Times New Roman" w:hAnsi="Times New Roman" w:cs="Times New Roman"/>
          <w:szCs w:val="24"/>
        </w:rPr>
      </w:pPr>
      <w:r w:rsidRPr="005534D4">
        <w:rPr>
          <w:rFonts w:ascii="Times New Roman" w:hAnsi="Times New Roman" w:cs="Times New Roman"/>
          <w:b/>
          <w:bCs/>
          <w:szCs w:val="24"/>
        </w:rPr>
        <w:t xml:space="preserve">                                                                    </w:t>
      </w:r>
    </w:p>
    <w:p w14:paraId="1DE76DA2" w14:textId="06845C3B" w:rsidR="00C40CC2" w:rsidRPr="005534D4" w:rsidRDefault="00C40CC2" w:rsidP="00C40CC2">
      <w:pPr>
        <w:pStyle w:val="NoSpacing"/>
        <w:rPr>
          <w:rFonts w:ascii="Times New Roman" w:hAnsi="Times New Roman" w:cs="Times New Roman"/>
          <w:szCs w:val="24"/>
        </w:rPr>
      </w:pPr>
      <w:r w:rsidRPr="005534D4">
        <w:rPr>
          <w:rFonts w:ascii="Times New Roman" w:hAnsi="Times New Roman" w:cs="Times New Roman"/>
          <w:szCs w:val="24"/>
        </w:rPr>
        <w:t>(a) Excludes Rs. 600 lakhs transferred from Revenue Reserve Fund.</w:t>
      </w:r>
      <w:r w:rsidRPr="005534D4">
        <w:rPr>
          <w:rFonts w:ascii="Times New Roman" w:hAnsi="Times New Roman" w:cs="Times New Roman"/>
          <w:szCs w:val="24"/>
        </w:rPr>
        <w:br/>
        <w:t>(b) Excludes Rs. 300 lakhs transferred from the Revenue Reserve Fund (Post-war</w:t>
      </w:r>
      <w:r w:rsidR="005534D4">
        <w:rPr>
          <w:rFonts w:ascii="Times New Roman" w:hAnsi="Times New Roman" w:cs="Times New Roman"/>
          <w:szCs w:val="24"/>
        </w:rPr>
        <w:t xml:space="preserve"> </w:t>
      </w:r>
      <w:r w:rsidR="005534D4" w:rsidRPr="005534D4">
        <w:rPr>
          <w:rFonts w:ascii="Times New Roman" w:hAnsi="Times New Roman" w:cs="Times New Roman"/>
          <w:szCs w:val="24"/>
        </w:rPr>
        <w:t>Reconstruction and Development Fund).</w:t>
      </w:r>
      <w:r w:rsidRPr="005534D4">
        <w:rPr>
          <w:rFonts w:ascii="Times New Roman" w:hAnsi="Times New Roman" w:cs="Times New Roman"/>
          <w:szCs w:val="24"/>
        </w:rPr>
        <w:br/>
        <w:t>(c) Excludes Rs. 400 lakhs transferred from Revenue Reserve Fund.</w:t>
      </w:r>
      <w:r w:rsidRPr="005534D4">
        <w:rPr>
          <w:rFonts w:ascii="Times New Roman" w:hAnsi="Times New Roman" w:cs="Times New Roman"/>
          <w:szCs w:val="24"/>
        </w:rPr>
        <w:br/>
        <w:t>(d) Excludes Rs. 400 lakhs transferred to Capital, corresponding to transfer to Revenue</w:t>
      </w:r>
      <w:r w:rsidR="005534D4">
        <w:rPr>
          <w:rFonts w:ascii="Times New Roman" w:hAnsi="Times New Roman" w:cs="Times New Roman"/>
          <w:szCs w:val="24"/>
        </w:rPr>
        <w:t xml:space="preserve"> </w:t>
      </w:r>
      <w:r w:rsidR="005534D4" w:rsidRPr="005534D4">
        <w:rPr>
          <w:rFonts w:ascii="Times New Roman" w:hAnsi="Times New Roman" w:cs="Times New Roman"/>
          <w:szCs w:val="24"/>
        </w:rPr>
        <w:t>of an equivalent amount from Revenue Reserve Fund.</w:t>
      </w:r>
      <w:r w:rsidRPr="005534D4">
        <w:rPr>
          <w:rFonts w:ascii="Times New Roman" w:hAnsi="Times New Roman" w:cs="Times New Roman"/>
          <w:szCs w:val="24"/>
        </w:rPr>
        <w:br/>
        <w:t>(e) Includes an estimated Rs. 450 lakhs from additional taxation; excludes Rs. 250 lakhs</w:t>
      </w:r>
      <w:r w:rsidR="005534D4">
        <w:rPr>
          <w:rFonts w:ascii="Times New Roman" w:hAnsi="Times New Roman" w:cs="Times New Roman"/>
          <w:szCs w:val="24"/>
        </w:rPr>
        <w:t xml:space="preserve"> </w:t>
      </w:r>
      <w:r w:rsidR="005534D4" w:rsidRPr="005534D4">
        <w:rPr>
          <w:rFonts w:ascii="Times New Roman" w:hAnsi="Times New Roman" w:cs="Times New Roman"/>
          <w:szCs w:val="24"/>
        </w:rPr>
        <w:t>transferred from Revenue Reserve Fund.</w:t>
      </w:r>
      <w:r w:rsidRPr="005534D4">
        <w:rPr>
          <w:rFonts w:ascii="Times New Roman" w:hAnsi="Times New Roman" w:cs="Times New Roman"/>
          <w:szCs w:val="24"/>
        </w:rPr>
        <w:br/>
        <w:t>(f) Excludes Rs. 250 lakhs transferred to Capital, corresponding to transfer to Revenue</w:t>
      </w:r>
      <w:r w:rsidR="005534D4">
        <w:rPr>
          <w:rFonts w:ascii="Times New Roman" w:hAnsi="Times New Roman" w:cs="Times New Roman"/>
          <w:szCs w:val="24"/>
        </w:rPr>
        <w:t xml:space="preserve"> </w:t>
      </w:r>
      <w:r w:rsidR="005534D4" w:rsidRPr="005534D4">
        <w:rPr>
          <w:rFonts w:ascii="Times New Roman" w:hAnsi="Times New Roman" w:cs="Times New Roman"/>
          <w:szCs w:val="24"/>
        </w:rPr>
        <w:t>of an equivalent amount from Revenue Reserve Fund.</w:t>
      </w:r>
      <w:r w:rsidRPr="005534D4">
        <w:rPr>
          <w:rFonts w:ascii="Times New Roman" w:hAnsi="Times New Roman" w:cs="Times New Roman"/>
          <w:szCs w:val="24"/>
        </w:rPr>
        <w:br/>
        <w:t>(g) Excludes Rs. 44 lakhs transferred from the Revenue Reserve Fund (Development</w:t>
      </w:r>
      <w:r w:rsidR="005534D4">
        <w:rPr>
          <w:rFonts w:ascii="Times New Roman" w:hAnsi="Times New Roman" w:cs="Times New Roman"/>
          <w:szCs w:val="24"/>
        </w:rPr>
        <w:t xml:space="preserve"> </w:t>
      </w:r>
      <w:r w:rsidR="005534D4" w:rsidRPr="005534D4">
        <w:rPr>
          <w:rFonts w:ascii="Times New Roman" w:hAnsi="Times New Roman" w:cs="Times New Roman"/>
          <w:szCs w:val="24"/>
        </w:rPr>
        <w:t>Fund).</w:t>
      </w:r>
      <w:r w:rsidRPr="005534D4">
        <w:rPr>
          <w:rFonts w:ascii="Times New Roman" w:hAnsi="Times New Roman" w:cs="Times New Roman"/>
          <w:szCs w:val="24"/>
        </w:rPr>
        <w:br/>
        <w:t>(h) Excludes Rs. 80 lakhs transferred from Revenue Reserve Fund.</w:t>
      </w:r>
      <w:r w:rsidRPr="005534D4">
        <w:rPr>
          <w:rFonts w:ascii="Times New Roman" w:hAnsi="Times New Roman" w:cs="Times New Roman"/>
          <w:szCs w:val="24"/>
        </w:rPr>
        <w:br/>
        <w:t>(i) Excludes Rs. 5 lakhs on account of transfer to Revenue Reserve Fund.</w:t>
      </w:r>
      <w:r w:rsidRPr="005534D4">
        <w:rPr>
          <w:rFonts w:ascii="Times New Roman" w:hAnsi="Times New Roman" w:cs="Times New Roman"/>
          <w:szCs w:val="24"/>
        </w:rPr>
        <w:br/>
        <w:t>(j) Excludes Rs. 90 lakhs transferred from Revenue Reserve Fund (Development</w:t>
      </w:r>
      <w:r w:rsidR="005534D4">
        <w:rPr>
          <w:rFonts w:ascii="Times New Roman" w:hAnsi="Times New Roman" w:cs="Times New Roman"/>
          <w:szCs w:val="24"/>
        </w:rPr>
        <w:t xml:space="preserve"> </w:t>
      </w:r>
      <w:r w:rsidR="005534D4" w:rsidRPr="005534D4">
        <w:rPr>
          <w:rFonts w:ascii="Times New Roman" w:hAnsi="Times New Roman" w:cs="Times New Roman"/>
          <w:szCs w:val="24"/>
        </w:rPr>
        <w:t>Fund).</w:t>
      </w:r>
      <w:r w:rsidRPr="005534D4">
        <w:rPr>
          <w:rFonts w:ascii="Times New Roman" w:hAnsi="Times New Roman" w:cs="Times New Roman"/>
          <w:szCs w:val="24"/>
        </w:rPr>
        <w:br/>
        <w:t>(k) Includes Revenue from additional taxation of Rs. 270 lakhs.</w:t>
      </w:r>
      <w:r w:rsidRPr="005534D4">
        <w:rPr>
          <w:rFonts w:ascii="Times New Roman" w:hAnsi="Times New Roman" w:cs="Times New Roman"/>
          <w:szCs w:val="24"/>
        </w:rPr>
        <w:br/>
        <w:t>(l) Includes addition to Land Revenue of Rs. 512 lakhs from Zamindari Abolition in</w:t>
      </w:r>
      <w:r w:rsidR="005534D4">
        <w:rPr>
          <w:rFonts w:ascii="Times New Roman" w:hAnsi="Times New Roman" w:cs="Times New Roman"/>
          <w:szCs w:val="24"/>
        </w:rPr>
        <w:t xml:space="preserve"> </w:t>
      </w:r>
      <w:r w:rsidR="005534D4" w:rsidRPr="005534D4">
        <w:rPr>
          <w:rFonts w:ascii="Times New Roman" w:hAnsi="Times New Roman" w:cs="Times New Roman"/>
          <w:szCs w:val="24"/>
        </w:rPr>
        <w:t>1952-53 ; expenditure includes additional expenditure in respect of Zamindari Abolition.</w:t>
      </w:r>
      <w:r w:rsidRPr="005534D4">
        <w:rPr>
          <w:rFonts w:ascii="Times New Roman" w:hAnsi="Times New Roman" w:cs="Times New Roman"/>
          <w:szCs w:val="24"/>
        </w:rPr>
        <w:br/>
        <w:t>(m) Includes additional taxation of Rs. 146 lakhs.</w:t>
      </w:r>
      <w:r w:rsidRPr="005534D4">
        <w:rPr>
          <w:rFonts w:ascii="Times New Roman" w:hAnsi="Times New Roman" w:cs="Times New Roman"/>
          <w:szCs w:val="24"/>
        </w:rPr>
        <w:br/>
        <w:t>(n) Excludes Rs. 115 lakhs withdrawn from Funds ear-marked for Development</w:t>
      </w:r>
      <w:r w:rsidR="005534D4">
        <w:rPr>
          <w:rFonts w:ascii="Times New Roman" w:hAnsi="Times New Roman" w:cs="Times New Roman"/>
          <w:szCs w:val="24"/>
        </w:rPr>
        <w:t xml:space="preserve"> </w:t>
      </w:r>
      <w:r w:rsidR="005534D4" w:rsidRPr="005534D4">
        <w:rPr>
          <w:rFonts w:ascii="Times New Roman" w:hAnsi="Times New Roman" w:cs="Times New Roman"/>
          <w:szCs w:val="24"/>
        </w:rPr>
        <w:t>Expenditure.</w:t>
      </w:r>
      <w:r w:rsidRPr="005534D4">
        <w:rPr>
          <w:rFonts w:ascii="Times New Roman" w:hAnsi="Times New Roman" w:cs="Times New Roman"/>
          <w:szCs w:val="24"/>
        </w:rPr>
        <w:br/>
        <w:t xml:space="preserve">(o) Only net figures of "Industries and Supplies" taken into account; that is, Revenue </w:t>
      </w:r>
      <w:r w:rsidR="005534D4" w:rsidRPr="005534D4">
        <w:rPr>
          <w:rFonts w:ascii="Times New Roman" w:hAnsi="Times New Roman" w:cs="Times New Roman"/>
          <w:szCs w:val="24"/>
        </w:rPr>
        <w:t xml:space="preserve">includes Gross Receipts under "Industries and Supplies" minus working expenses of </w:t>
      </w:r>
      <w:r w:rsidRPr="005534D4">
        <w:rPr>
          <w:rFonts w:ascii="Times New Roman" w:hAnsi="Times New Roman" w:cs="Times New Roman"/>
          <w:szCs w:val="24"/>
        </w:rPr>
        <w:t>Government Industrial and Commercial undertakings; expenditure accordingly excludes</w:t>
      </w:r>
      <w:r w:rsidRPr="005534D4">
        <w:rPr>
          <w:rFonts w:ascii="Times New Roman" w:hAnsi="Times New Roman" w:cs="Times New Roman"/>
          <w:szCs w:val="24"/>
        </w:rPr>
        <w:br/>
        <w:t>(p) Includes Rs. 2·63 lakhs on account of amount recoverable from the Centre, not</w:t>
      </w:r>
      <w:r w:rsidR="005534D4">
        <w:rPr>
          <w:rFonts w:ascii="Times New Roman" w:hAnsi="Times New Roman" w:cs="Times New Roman"/>
          <w:szCs w:val="24"/>
        </w:rPr>
        <w:t xml:space="preserve"> </w:t>
      </w:r>
      <w:r w:rsidR="005534D4" w:rsidRPr="005534D4">
        <w:rPr>
          <w:rFonts w:ascii="Times New Roman" w:hAnsi="Times New Roman" w:cs="Times New Roman"/>
          <w:szCs w:val="24"/>
        </w:rPr>
        <w:t>included under Revenue otherwise.</w:t>
      </w:r>
    </w:p>
    <w:p w14:paraId="12E06AAF" w14:textId="5CCC50D6" w:rsidR="0094560F" w:rsidRPr="005534D4" w:rsidRDefault="00C40CC2" w:rsidP="0094560F">
      <w:pPr>
        <w:pStyle w:val="NoSpacing"/>
        <w:rPr>
          <w:rFonts w:ascii="Times New Roman" w:hAnsi="Times New Roman" w:cs="Times New Roman"/>
          <w:szCs w:val="24"/>
        </w:rPr>
      </w:pPr>
      <w:r w:rsidRPr="005534D4">
        <w:rPr>
          <w:rFonts w:ascii="Times New Roman" w:hAnsi="Times New Roman" w:cs="Times New Roman"/>
          <w:b/>
          <w:bCs/>
          <w:szCs w:val="24"/>
        </w:rPr>
        <w:t>NOTE</w:t>
      </w:r>
      <w:r w:rsidRPr="005534D4">
        <w:rPr>
          <w:rFonts w:ascii="Times New Roman" w:hAnsi="Times New Roman" w:cs="Times New Roman"/>
          <w:szCs w:val="24"/>
        </w:rPr>
        <w:t>—Receipts from additional taxation included in revenue figures for 1952-53</w:t>
      </w:r>
      <w:r w:rsidR="005534D4">
        <w:rPr>
          <w:rFonts w:ascii="Times New Roman" w:hAnsi="Times New Roman" w:cs="Times New Roman"/>
          <w:szCs w:val="24"/>
        </w:rPr>
        <w:t xml:space="preserve"> </w:t>
      </w:r>
      <w:r w:rsidR="005534D4" w:rsidRPr="005534D4">
        <w:rPr>
          <w:rFonts w:ascii="Times New Roman" w:hAnsi="Times New Roman" w:cs="Times New Roman"/>
          <w:szCs w:val="24"/>
        </w:rPr>
        <w:t>are as given in the budget estimates for 1952-53. Yield from measures of additional taxa</w:t>
      </w:r>
      <w:r w:rsidR="005534D4">
        <w:rPr>
          <w:rFonts w:ascii="Times New Roman" w:hAnsi="Times New Roman" w:cs="Times New Roman"/>
          <w:szCs w:val="24"/>
        </w:rPr>
        <w:t>tion</w:t>
      </w:r>
      <w:r w:rsidRPr="005534D4">
        <w:rPr>
          <w:rFonts w:ascii="Times New Roman" w:hAnsi="Times New Roman" w:cs="Times New Roman"/>
          <w:szCs w:val="24"/>
        </w:rPr>
        <w:t xml:space="preserve"> in Uttar Pradesh are not included in the budget estimates of revenue.</w:t>
      </w:r>
    </w:p>
    <w:p w14:paraId="46697EB6" w14:textId="77777777" w:rsidR="0094560F" w:rsidRPr="005534D4" w:rsidRDefault="0094560F" w:rsidP="0094560F">
      <w:pPr>
        <w:rPr>
          <w:rFonts w:ascii="Times New Roman" w:hAnsi="Times New Roman" w:cs="Times New Roman"/>
          <w:szCs w:val="24"/>
        </w:rPr>
      </w:pPr>
      <w:r w:rsidRPr="005534D4">
        <w:rPr>
          <w:rFonts w:ascii="Times New Roman" w:hAnsi="Times New Roman" w:cs="Times New Roman"/>
          <w:szCs w:val="24"/>
        </w:rPr>
        <w:br w:type="page"/>
      </w:r>
    </w:p>
    <w:p w14:paraId="1A82066B" w14:textId="77777777" w:rsidR="0094560F" w:rsidRPr="005534D4" w:rsidRDefault="0094560F" w:rsidP="0094560F">
      <w:pPr>
        <w:tabs>
          <w:tab w:val="left" w:pos="3465"/>
        </w:tabs>
        <w:rPr>
          <w:rFonts w:ascii="Times New Roman" w:hAnsi="Times New Roman" w:cs="Times New Roman"/>
          <w:szCs w:val="24"/>
        </w:rPr>
        <w:sectPr w:rsidR="0094560F" w:rsidRPr="005534D4" w:rsidSect="0094560F">
          <w:pgSz w:w="16838" w:h="11906" w:orient="landscape"/>
          <w:pgMar w:top="1134" w:right="1440" w:bottom="1440" w:left="1440" w:header="709" w:footer="709" w:gutter="0"/>
          <w:cols w:space="708"/>
          <w:docGrid w:linePitch="360"/>
        </w:sectPr>
      </w:pPr>
    </w:p>
    <w:p w14:paraId="6D445CE2" w14:textId="52B9AB82" w:rsidR="00F87FB0" w:rsidRDefault="00266CCC" w:rsidP="0075507D">
      <w:pPr>
        <w:pStyle w:val="Heading3"/>
      </w:pPr>
      <w:bookmarkStart w:id="27" w:name="_Toc221007136"/>
      <w:r w:rsidRPr="005534D4">
        <w:lastRenderedPageBreak/>
        <w:t>5(a). Composition of Revenue of Part A and</w:t>
      </w:r>
      <w:r w:rsidR="00F87FB0">
        <w:t xml:space="preserve"> </w:t>
      </w:r>
      <w:r w:rsidR="00F87FB0" w:rsidRPr="005534D4">
        <w:t>Part B States under Main Heads—1950-51</w:t>
      </w:r>
      <w:bookmarkEnd w:id="27"/>
    </w:p>
    <w:p w14:paraId="7EC09346" w14:textId="463691DB" w:rsidR="00266CCC" w:rsidRPr="007506E5" w:rsidRDefault="00266CCC" w:rsidP="00F87FB0">
      <w:pPr>
        <w:pStyle w:val="NoSpacing"/>
        <w:jc w:val="center"/>
        <w:rPr>
          <w:rFonts w:ascii="Times New Roman" w:hAnsi="Times New Roman" w:cs="Times New Roman"/>
          <w:szCs w:val="24"/>
        </w:rPr>
      </w:pPr>
      <w:r w:rsidRPr="007506E5">
        <w:rPr>
          <w:rFonts w:ascii="Times New Roman" w:hAnsi="Times New Roman" w:cs="Times New Roman"/>
          <w:szCs w:val="24"/>
        </w:rPr>
        <w:t>Percentages of collections to the total Revenue of the</w:t>
      </w:r>
      <w:r w:rsidR="00F87FB0" w:rsidRPr="007506E5">
        <w:rPr>
          <w:rFonts w:ascii="Times New Roman" w:hAnsi="Times New Roman" w:cs="Times New Roman"/>
          <w:szCs w:val="24"/>
        </w:rPr>
        <w:t xml:space="preserve"> respective States are given against each head in </w:t>
      </w:r>
      <w:r w:rsidR="00C91D91">
        <w:rPr>
          <w:rFonts w:ascii="Times New Roman" w:hAnsi="Times New Roman" w:cs="Times New Roman"/>
          <w:szCs w:val="24"/>
        </w:rPr>
        <w:t>italics</w:t>
      </w:r>
      <w:r w:rsidR="000F3A66">
        <w:rPr>
          <w:rFonts w:ascii="Times New Roman" w:hAnsi="Times New Roman" w:cs="Times New Roman"/>
          <w:szCs w:val="24"/>
        </w:rPr>
        <w:t>.</w:t>
      </w:r>
    </w:p>
    <w:p w14:paraId="3CDEE6C5" w14:textId="116A9994" w:rsidR="00266CCC" w:rsidRDefault="00266CCC" w:rsidP="00266CCC">
      <w:pPr>
        <w:pStyle w:val="NoSpacing"/>
        <w:rPr>
          <w:rFonts w:ascii="Times New Roman" w:hAnsi="Times New Roman" w:cs="Times New Roman"/>
          <w:szCs w:val="24"/>
        </w:rPr>
      </w:pPr>
    </w:p>
    <w:tbl>
      <w:tblPr>
        <w:tblW w:w="14277" w:type="dxa"/>
        <w:tblLook w:val="04A0" w:firstRow="1" w:lastRow="0" w:firstColumn="1" w:lastColumn="0" w:noHBand="0" w:noVBand="1"/>
      </w:tblPr>
      <w:tblGrid>
        <w:gridCol w:w="1389"/>
        <w:gridCol w:w="1496"/>
        <w:gridCol w:w="1096"/>
        <w:gridCol w:w="870"/>
        <w:gridCol w:w="977"/>
        <w:gridCol w:w="1483"/>
        <w:gridCol w:w="1257"/>
        <w:gridCol w:w="870"/>
        <w:gridCol w:w="1096"/>
        <w:gridCol w:w="976"/>
        <w:gridCol w:w="936"/>
        <w:gridCol w:w="1096"/>
        <w:gridCol w:w="1096"/>
      </w:tblGrid>
      <w:tr w:rsidR="00F75806" w:rsidRPr="00F75806" w14:paraId="5AEB3C12" w14:textId="77777777" w:rsidTr="00C91D91">
        <w:trPr>
          <w:trHeight w:val="19"/>
        </w:trPr>
        <w:tc>
          <w:tcPr>
            <w:tcW w:w="1351" w:type="dxa"/>
            <w:tcBorders>
              <w:top w:val="single" w:sz="4" w:space="0" w:color="auto"/>
              <w:left w:val="single" w:sz="4" w:space="0" w:color="auto"/>
              <w:bottom w:val="single" w:sz="4" w:space="0" w:color="auto"/>
              <w:right w:val="single" w:sz="4" w:space="0" w:color="auto"/>
            </w:tcBorders>
            <w:vAlign w:val="center"/>
            <w:hideMark/>
          </w:tcPr>
          <w:p w14:paraId="63F6728B" w14:textId="6DC13A98" w:rsidR="00F75806" w:rsidRPr="00C91D91" w:rsidRDefault="00F75806" w:rsidP="00F75806">
            <w:pPr>
              <w:spacing w:after="0" w:line="240" w:lineRule="auto"/>
              <w:jc w:val="center"/>
              <w:rPr>
                <w:rFonts w:ascii="Aptos" w:eastAsia="Times New Roman" w:hAnsi="Aptos" w:cs="Times New Roman"/>
                <w:b/>
                <w:bCs/>
                <w:color w:val="000000"/>
                <w:kern w:val="0"/>
                <w:szCs w:val="24"/>
                <w:lang w:eastAsia="en-IN"/>
                <w14:ligatures w14:val="none"/>
              </w:rPr>
            </w:pPr>
          </w:p>
        </w:tc>
        <w:tc>
          <w:tcPr>
            <w:tcW w:w="1454" w:type="dxa"/>
            <w:tcBorders>
              <w:top w:val="single" w:sz="4" w:space="0" w:color="auto"/>
              <w:left w:val="nil"/>
              <w:bottom w:val="single" w:sz="4" w:space="0" w:color="auto"/>
              <w:right w:val="single" w:sz="4" w:space="0" w:color="auto"/>
            </w:tcBorders>
            <w:vAlign w:val="center"/>
            <w:hideMark/>
          </w:tcPr>
          <w:p w14:paraId="0095332A" w14:textId="77777777" w:rsidR="00F75806" w:rsidRPr="00C91D91" w:rsidRDefault="00F75806" w:rsidP="00F75806">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C91D91">
              <w:rPr>
                <w:rFonts w:ascii="Times New Roman" w:eastAsia="Times New Roman" w:hAnsi="Times New Roman" w:cs="Times New Roman"/>
                <w:b/>
                <w:bCs/>
                <w:color w:val="000000"/>
                <w:kern w:val="0"/>
                <w:szCs w:val="24"/>
                <w:lang w:eastAsia="en-IN"/>
                <w14:ligatures w14:val="none"/>
              </w:rPr>
              <w:t>Agricultural Income Tax</w:t>
            </w:r>
          </w:p>
        </w:tc>
        <w:tc>
          <w:tcPr>
            <w:tcW w:w="1070" w:type="dxa"/>
            <w:tcBorders>
              <w:top w:val="single" w:sz="4" w:space="0" w:color="auto"/>
              <w:left w:val="nil"/>
              <w:bottom w:val="single" w:sz="4" w:space="0" w:color="auto"/>
              <w:right w:val="single" w:sz="4" w:space="0" w:color="auto"/>
            </w:tcBorders>
            <w:vAlign w:val="center"/>
            <w:hideMark/>
          </w:tcPr>
          <w:p w14:paraId="76D87E9D" w14:textId="77777777" w:rsidR="00F75806" w:rsidRPr="00C91D91" w:rsidRDefault="00F75806" w:rsidP="00F75806">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C91D91">
              <w:rPr>
                <w:rFonts w:ascii="Times New Roman" w:eastAsia="Times New Roman" w:hAnsi="Times New Roman" w:cs="Times New Roman"/>
                <w:b/>
                <w:bCs/>
                <w:color w:val="000000"/>
                <w:kern w:val="0"/>
                <w:szCs w:val="24"/>
                <w:lang w:eastAsia="en-IN"/>
                <w14:ligatures w14:val="none"/>
              </w:rPr>
              <w:t>Land Revenue</w:t>
            </w:r>
          </w:p>
        </w:tc>
        <w:tc>
          <w:tcPr>
            <w:tcW w:w="851" w:type="dxa"/>
            <w:tcBorders>
              <w:top w:val="single" w:sz="4" w:space="0" w:color="auto"/>
              <w:left w:val="nil"/>
              <w:bottom w:val="single" w:sz="4" w:space="0" w:color="auto"/>
              <w:right w:val="single" w:sz="4" w:space="0" w:color="auto"/>
            </w:tcBorders>
            <w:vAlign w:val="center"/>
            <w:hideMark/>
          </w:tcPr>
          <w:p w14:paraId="6A7E3B41" w14:textId="77777777" w:rsidR="00F75806" w:rsidRPr="00C91D91" w:rsidRDefault="00F75806" w:rsidP="00F75806">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C91D91">
              <w:rPr>
                <w:rFonts w:ascii="Times New Roman" w:eastAsia="Times New Roman" w:hAnsi="Times New Roman" w:cs="Times New Roman"/>
                <w:b/>
                <w:bCs/>
                <w:color w:val="000000"/>
                <w:kern w:val="0"/>
                <w:szCs w:val="24"/>
                <w:lang w:eastAsia="en-IN"/>
                <w14:ligatures w14:val="none"/>
              </w:rPr>
              <w:t>State Excise</w:t>
            </w:r>
          </w:p>
        </w:tc>
        <w:tc>
          <w:tcPr>
            <w:tcW w:w="955" w:type="dxa"/>
            <w:tcBorders>
              <w:top w:val="single" w:sz="4" w:space="0" w:color="auto"/>
              <w:left w:val="nil"/>
              <w:bottom w:val="single" w:sz="4" w:space="0" w:color="auto"/>
              <w:right w:val="single" w:sz="4" w:space="0" w:color="auto"/>
            </w:tcBorders>
            <w:vAlign w:val="center"/>
            <w:hideMark/>
          </w:tcPr>
          <w:p w14:paraId="07B4197D" w14:textId="77777777" w:rsidR="00F75806" w:rsidRPr="00C91D91" w:rsidRDefault="00F75806" w:rsidP="00F75806">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C91D91">
              <w:rPr>
                <w:rFonts w:ascii="Times New Roman" w:eastAsia="Times New Roman" w:hAnsi="Times New Roman" w:cs="Times New Roman"/>
                <w:b/>
                <w:bCs/>
                <w:color w:val="000000"/>
                <w:kern w:val="0"/>
                <w:szCs w:val="24"/>
                <w:lang w:eastAsia="en-IN"/>
                <w14:ligatures w14:val="none"/>
              </w:rPr>
              <w:t>Stamps</w:t>
            </w:r>
          </w:p>
        </w:tc>
        <w:tc>
          <w:tcPr>
            <w:tcW w:w="1442" w:type="dxa"/>
            <w:tcBorders>
              <w:top w:val="single" w:sz="4" w:space="0" w:color="auto"/>
              <w:left w:val="nil"/>
              <w:bottom w:val="single" w:sz="4" w:space="0" w:color="auto"/>
              <w:right w:val="single" w:sz="4" w:space="0" w:color="auto"/>
            </w:tcBorders>
            <w:vAlign w:val="center"/>
            <w:hideMark/>
          </w:tcPr>
          <w:p w14:paraId="234280F7" w14:textId="77777777" w:rsidR="00F75806" w:rsidRPr="00C91D91" w:rsidRDefault="00F75806" w:rsidP="00F75806">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C91D91">
              <w:rPr>
                <w:rFonts w:ascii="Times New Roman" w:eastAsia="Times New Roman" w:hAnsi="Times New Roman" w:cs="Times New Roman"/>
                <w:b/>
                <w:bCs/>
                <w:color w:val="000000"/>
                <w:kern w:val="0"/>
                <w:szCs w:val="24"/>
                <w:lang w:eastAsia="en-IN"/>
                <w14:ligatures w14:val="none"/>
              </w:rPr>
              <w:t>Registration</w:t>
            </w:r>
          </w:p>
        </w:tc>
        <w:tc>
          <w:tcPr>
            <w:tcW w:w="1224" w:type="dxa"/>
            <w:tcBorders>
              <w:top w:val="single" w:sz="4" w:space="0" w:color="auto"/>
              <w:left w:val="nil"/>
              <w:bottom w:val="single" w:sz="4" w:space="0" w:color="auto"/>
              <w:right w:val="single" w:sz="4" w:space="0" w:color="auto"/>
            </w:tcBorders>
            <w:vAlign w:val="center"/>
            <w:hideMark/>
          </w:tcPr>
          <w:p w14:paraId="495A522E" w14:textId="77777777" w:rsidR="00F75806" w:rsidRPr="00C91D91" w:rsidRDefault="00F75806" w:rsidP="00F75806">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C91D91">
              <w:rPr>
                <w:rFonts w:ascii="Times New Roman" w:eastAsia="Times New Roman" w:hAnsi="Times New Roman" w:cs="Times New Roman"/>
                <w:b/>
                <w:bCs/>
                <w:color w:val="000000"/>
                <w:kern w:val="0"/>
                <w:szCs w:val="24"/>
                <w:lang w:eastAsia="en-IN"/>
                <w14:ligatures w14:val="none"/>
              </w:rPr>
              <w:t>Sales Taxes (including taxes on Motor Spirit)</w:t>
            </w:r>
          </w:p>
        </w:tc>
        <w:tc>
          <w:tcPr>
            <w:tcW w:w="851" w:type="dxa"/>
            <w:tcBorders>
              <w:top w:val="single" w:sz="4" w:space="0" w:color="auto"/>
              <w:left w:val="nil"/>
              <w:bottom w:val="single" w:sz="4" w:space="0" w:color="auto"/>
              <w:right w:val="single" w:sz="4" w:space="0" w:color="auto"/>
            </w:tcBorders>
            <w:vAlign w:val="center"/>
            <w:hideMark/>
          </w:tcPr>
          <w:p w14:paraId="290F8F5F" w14:textId="77777777" w:rsidR="00F75806" w:rsidRPr="00C91D91" w:rsidRDefault="00F75806" w:rsidP="00F75806">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C91D91">
              <w:rPr>
                <w:rFonts w:ascii="Times New Roman" w:eastAsia="Times New Roman" w:hAnsi="Times New Roman" w:cs="Times New Roman"/>
                <w:b/>
                <w:bCs/>
                <w:color w:val="000000"/>
                <w:kern w:val="0"/>
                <w:szCs w:val="24"/>
                <w:lang w:eastAsia="en-IN"/>
                <w14:ligatures w14:val="none"/>
              </w:rPr>
              <w:t>Other Taxes and Duties</w:t>
            </w:r>
          </w:p>
        </w:tc>
        <w:tc>
          <w:tcPr>
            <w:tcW w:w="1070" w:type="dxa"/>
            <w:tcBorders>
              <w:top w:val="single" w:sz="4" w:space="0" w:color="auto"/>
              <w:left w:val="nil"/>
              <w:bottom w:val="single" w:sz="4" w:space="0" w:color="auto"/>
              <w:right w:val="single" w:sz="4" w:space="0" w:color="auto"/>
            </w:tcBorders>
            <w:vAlign w:val="center"/>
            <w:hideMark/>
          </w:tcPr>
          <w:p w14:paraId="54FBEF20" w14:textId="77777777" w:rsidR="00F75806" w:rsidRPr="00C91D91" w:rsidRDefault="00F75806" w:rsidP="00F75806">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C91D91">
              <w:rPr>
                <w:rFonts w:ascii="Times New Roman" w:eastAsia="Times New Roman" w:hAnsi="Times New Roman" w:cs="Times New Roman"/>
                <w:b/>
                <w:bCs/>
                <w:color w:val="000000"/>
                <w:kern w:val="0"/>
                <w:szCs w:val="24"/>
                <w:lang w:eastAsia="en-IN"/>
                <w14:ligatures w14:val="none"/>
              </w:rPr>
              <w:t>Total tax Revenue (a)</w:t>
            </w:r>
          </w:p>
        </w:tc>
        <w:tc>
          <w:tcPr>
            <w:tcW w:w="954" w:type="dxa"/>
            <w:tcBorders>
              <w:top w:val="single" w:sz="4" w:space="0" w:color="auto"/>
              <w:left w:val="nil"/>
              <w:bottom w:val="single" w:sz="4" w:space="0" w:color="auto"/>
              <w:right w:val="single" w:sz="4" w:space="0" w:color="auto"/>
            </w:tcBorders>
            <w:vAlign w:val="center"/>
            <w:hideMark/>
          </w:tcPr>
          <w:p w14:paraId="601180A1" w14:textId="77777777" w:rsidR="00F75806" w:rsidRPr="00C91D91" w:rsidRDefault="00F75806" w:rsidP="00F75806">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C91D91">
              <w:rPr>
                <w:rFonts w:ascii="Times New Roman" w:eastAsia="Times New Roman" w:hAnsi="Times New Roman" w:cs="Times New Roman"/>
                <w:b/>
                <w:bCs/>
                <w:color w:val="000000"/>
                <w:kern w:val="0"/>
                <w:szCs w:val="24"/>
                <w:lang w:eastAsia="en-IN"/>
                <w14:ligatures w14:val="none"/>
              </w:rPr>
              <w:t>Income Tax Share</w:t>
            </w:r>
          </w:p>
        </w:tc>
        <w:tc>
          <w:tcPr>
            <w:tcW w:w="915" w:type="dxa"/>
            <w:tcBorders>
              <w:top w:val="single" w:sz="4" w:space="0" w:color="auto"/>
              <w:left w:val="nil"/>
              <w:bottom w:val="single" w:sz="4" w:space="0" w:color="auto"/>
              <w:right w:val="single" w:sz="4" w:space="0" w:color="auto"/>
            </w:tcBorders>
            <w:vAlign w:val="center"/>
            <w:hideMark/>
          </w:tcPr>
          <w:p w14:paraId="1A8090CF" w14:textId="77777777" w:rsidR="00F75806" w:rsidRPr="00C91D91" w:rsidRDefault="00F75806" w:rsidP="00F75806">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C91D91">
              <w:rPr>
                <w:rFonts w:ascii="Times New Roman" w:eastAsia="Times New Roman" w:hAnsi="Times New Roman" w:cs="Times New Roman"/>
                <w:b/>
                <w:bCs/>
                <w:color w:val="000000"/>
                <w:kern w:val="0"/>
                <w:szCs w:val="24"/>
                <w:lang w:eastAsia="en-IN"/>
                <w14:ligatures w14:val="none"/>
              </w:rPr>
              <w:t>Grants from the Centre</w:t>
            </w:r>
          </w:p>
        </w:tc>
        <w:tc>
          <w:tcPr>
            <w:tcW w:w="1070" w:type="dxa"/>
            <w:tcBorders>
              <w:top w:val="single" w:sz="4" w:space="0" w:color="auto"/>
              <w:left w:val="nil"/>
              <w:bottom w:val="single" w:sz="4" w:space="0" w:color="auto"/>
              <w:right w:val="single" w:sz="4" w:space="0" w:color="auto"/>
            </w:tcBorders>
            <w:vAlign w:val="center"/>
            <w:hideMark/>
          </w:tcPr>
          <w:p w14:paraId="51401364" w14:textId="77777777" w:rsidR="00F75806" w:rsidRPr="00C91D91" w:rsidRDefault="00F75806" w:rsidP="00F75806">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C91D91">
              <w:rPr>
                <w:rFonts w:ascii="Times New Roman" w:eastAsia="Times New Roman" w:hAnsi="Times New Roman" w:cs="Times New Roman"/>
                <w:b/>
                <w:bCs/>
                <w:color w:val="000000"/>
                <w:kern w:val="0"/>
                <w:szCs w:val="24"/>
                <w:lang w:eastAsia="en-IN"/>
                <w14:ligatures w14:val="none"/>
              </w:rPr>
              <w:t>Other Items of Revenue (b)</w:t>
            </w:r>
          </w:p>
        </w:tc>
        <w:tc>
          <w:tcPr>
            <w:tcW w:w="1070" w:type="dxa"/>
            <w:tcBorders>
              <w:top w:val="single" w:sz="4" w:space="0" w:color="auto"/>
              <w:left w:val="nil"/>
              <w:bottom w:val="single" w:sz="4" w:space="0" w:color="auto"/>
              <w:right w:val="single" w:sz="4" w:space="0" w:color="auto"/>
            </w:tcBorders>
            <w:vAlign w:val="center"/>
            <w:hideMark/>
          </w:tcPr>
          <w:p w14:paraId="2234B407" w14:textId="77777777" w:rsidR="00F75806" w:rsidRPr="00C91D91" w:rsidRDefault="00F75806" w:rsidP="00F75806">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C91D91">
              <w:rPr>
                <w:rFonts w:ascii="Times New Roman" w:eastAsia="Times New Roman" w:hAnsi="Times New Roman" w:cs="Times New Roman"/>
                <w:b/>
                <w:bCs/>
                <w:color w:val="000000"/>
                <w:kern w:val="0"/>
                <w:szCs w:val="24"/>
                <w:lang w:eastAsia="en-IN"/>
                <w14:ligatures w14:val="none"/>
              </w:rPr>
              <w:t>Total Revenue (b)</w:t>
            </w:r>
          </w:p>
        </w:tc>
      </w:tr>
      <w:tr w:rsidR="00F75806" w:rsidRPr="00F75806" w14:paraId="134E307D" w14:textId="77777777" w:rsidTr="00C91D91">
        <w:trPr>
          <w:trHeight w:val="19"/>
        </w:trPr>
        <w:tc>
          <w:tcPr>
            <w:tcW w:w="1351" w:type="dxa"/>
            <w:tcBorders>
              <w:top w:val="nil"/>
              <w:left w:val="single" w:sz="4" w:space="0" w:color="auto"/>
              <w:bottom w:val="single" w:sz="4" w:space="0" w:color="auto"/>
              <w:right w:val="single" w:sz="4" w:space="0" w:color="auto"/>
            </w:tcBorders>
            <w:vAlign w:val="center"/>
            <w:hideMark/>
          </w:tcPr>
          <w:p w14:paraId="0D6C5BFA"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Assam</w:t>
            </w:r>
          </w:p>
        </w:tc>
        <w:tc>
          <w:tcPr>
            <w:tcW w:w="1454" w:type="dxa"/>
            <w:tcBorders>
              <w:top w:val="nil"/>
              <w:left w:val="nil"/>
              <w:bottom w:val="single" w:sz="4" w:space="0" w:color="auto"/>
              <w:right w:val="single" w:sz="4" w:space="0" w:color="auto"/>
            </w:tcBorders>
            <w:vAlign w:val="center"/>
            <w:hideMark/>
          </w:tcPr>
          <w:p w14:paraId="11114CB5"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79</w:t>
            </w:r>
          </w:p>
        </w:tc>
        <w:tc>
          <w:tcPr>
            <w:tcW w:w="1070" w:type="dxa"/>
            <w:tcBorders>
              <w:top w:val="nil"/>
              <w:left w:val="nil"/>
              <w:bottom w:val="single" w:sz="4" w:space="0" w:color="auto"/>
              <w:right w:val="single" w:sz="4" w:space="0" w:color="auto"/>
            </w:tcBorders>
            <w:vAlign w:val="center"/>
            <w:hideMark/>
          </w:tcPr>
          <w:p w14:paraId="5FB868C9"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190</w:t>
            </w:r>
          </w:p>
        </w:tc>
        <w:tc>
          <w:tcPr>
            <w:tcW w:w="851" w:type="dxa"/>
            <w:tcBorders>
              <w:top w:val="nil"/>
              <w:left w:val="nil"/>
              <w:bottom w:val="single" w:sz="4" w:space="0" w:color="auto"/>
              <w:right w:val="single" w:sz="4" w:space="0" w:color="auto"/>
            </w:tcBorders>
            <w:vAlign w:val="center"/>
            <w:hideMark/>
          </w:tcPr>
          <w:p w14:paraId="4098C73A"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93</w:t>
            </w:r>
          </w:p>
        </w:tc>
        <w:tc>
          <w:tcPr>
            <w:tcW w:w="955" w:type="dxa"/>
            <w:tcBorders>
              <w:top w:val="nil"/>
              <w:left w:val="nil"/>
              <w:bottom w:val="single" w:sz="4" w:space="0" w:color="auto"/>
              <w:right w:val="single" w:sz="4" w:space="0" w:color="auto"/>
            </w:tcBorders>
            <w:vAlign w:val="center"/>
            <w:hideMark/>
          </w:tcPr>
          <w:p w14:paraId="401FDE9A"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24</w:t>
            </w:r>
          </w:p>
        </w:tc>
        <w:tc>
          <w:tcPr>
            <w:tcW w:w="1442" w:type="dxa"/>
            <w:tcBorders>
              <w:top w:val="nil"/>
              <w:left w:val="nil"/>
              <w:bottom w:val="single" w:sz="4" w:space="0" w:color="auto"/>
              <w:right w:val="single" w:sz="4" w:space="0" w:color="auto"/>
            </w:tcBorders>
            <w:vAlign w:val="center"/>
            <w:hideMark/>
          </w:tcPr>
          <w:p w14:paraId="21AB8E51"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3</w:t>
            </w:r>
          </w:p>
        </w:tc>
        <w:tc>
          <w:tcPr>
            <w:tcW w:w="1224" w:type="dxa"/>
            <w:tcBorders>
              <w:top w:val="nil"/>
              <w:left w:val="nil"/>
              <w:bottom w:val="single" w:sz="4" w:space="0" w:color="auto"/>
              <w:right w:val="single" w:sz="4" w:space="0" w:color="auto"/>
            </w:tcBorders>
            <w:vAlign w:val="center"/>
            <w:hideMark/>
          </w:tcPr>
          <w:p w14:paraId="4D7F8122"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73</w:t>
            </w:r>
          </w:p>
        </w:tc>
        <w:tc>
          <w:tcPr>
            <w:tcW w:w="851" w:type="dxa"/>
            <w:tcBorders>
              <w:top w:val="nil"/>
              <w:left w:val="nil"/>
              <w:bottom w:val="single" w:sz="4" w:space="0" w:color="auto"/>
              <w:right w:val="single" w:sz="4" w:space="0" w:color="auto"/>
            </w:tcBorders>
            <w:vAlign w:val="center"/>
            <w:hideMark/>
          </w:tcPr>
          <w:p w14:paraId="2F89C8AC"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45</w:t>
            </w:r>
          </w:p>
        </w:tc>
        <w:tc>
          <w:tcPr>
            <w:tcW w:w="1070" w:type="dxa"/>
            <w:tcBorders>
              <w:top w:val="nil"/>
              <w:left w:val="nil"/>
              <w:bottom w:val="single" w:sz="4" w:space="0" w:color="auto"/>
              <w:right w:val="single" w:sz="4" w:space="0" w:color="auto"/>
            </w:tcBorders>
            <w:vAlign w:val="center"/>
            <w:hideMark/>
          </w:tcPr>
          <w:p w14:paraId="53E447B9"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507</w:t>
            </w:r>
          </w:p>
        </w:tc>
        <w:tc>
          <w:tcPr>
            <w:tcW w:w="954" w:type="dxa"/>
            <w:tcBorders>
              <w:top w:val="nil"/>
              <w:left w:val="nil"/>
              <w:bottom w:val="single" w:sz="4" w:space="0" w:color="auto"/>
              <w:right w:val="single" w:sz="4" w:space="0" w:color="auto"/>
            </w:tcBorders>
            <w:vAlign w:val="center"/>
            <w:hideMark/>
          </w:tcPr>
          <w:p w14:paraId="77A06ADB"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142</w:t>
            </w:r>
          </w:p>
        </w:tc>
        <w:tc>
          <w:tcPr>
            <w:tcW w:w="915" w:type="dxa"/>
            <w:tcBorders>
              <w:top w:val="nil"/>
              <w:left w:val="nil"/>
              <w:bottom w:val="single" w:sz="4" w:space="0" w:color="auto"/>
              <w:right w:val="single" w:sz="4" w:space="0" w:color="auto"/>
            </w:tcBorders>
            <w:vAlign w:val="center"/>
            <w:hideMark/>
          </w:tcPr>
          <w:p w14:paraId="60304DEA"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116</w:t>
            </w:r>
          </w:p>
        </w:tc>
        <w:tc>
          <w:tcPr>
            <w:tcW w:w="1070" w:type="dxa"/>
            <w:tcBorders>
              <w:top w:val="nil"/>
              <w:left w:val="nil"/>
              <w:bottom w:val="single" w:sz="4" w:space="0" w:color="auto"/>
              <w:right w:val="single" w:sz="4" w:space="0" w:color="auto"/>
            </w:tcBorders>
            <w:vAlign w:val="center"/>
            <w:hideMark/>
          </w:tcPr>
          <w:p w14:paraId="3829FBAD"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227</w:t>
            </w:r>
          </w:p>
        </w:tc>
        <w:tc>
          <w:tcPr>
            <w:tcW w:w="1070" w:type="dxa"/>
            <w:tcBorders>
              <w:top w:val="nil"/>
              <w:left w:val="nil"/>
              <w:bottom w:val="single" w:sz="4" w:space="0" w:color="auto"/>
              <w:right w:val="single" w:sz="4" w:space="0" w:color="auto"/>
            </w:tcBorders>
            <w:vAlign w:val="center"/>
            <w:hideMark/>
          </w:tcPr>
          <w:p w14:paraId="3DA8E461"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992</w:t>
            </w:r>
          </w:p>
        </w:tc>
      </w:tr>
      <w:tr w:rsidR="00F75806" w:rsidRPr="00F75806" w14:paraId="0F8772E3" w14:textId="77777777" w:rsidTr="00C91D91">
        <w:trPr>
          <w:trHeight w:val="19"/>
        </w:trPr>
        <w:tc>
          <w:tcPr>
            <w:tcW w:w="1351" w:type="dxa"/>
            <w:tcBorders>
              <w:top w:val="nil"/>
              <w:left w:val="single" w:sz="4" w:space="0" w:color="auto"/>
              <w:bottom w:val="single" w:sz="4" w:space="0" w:color="auto"/>
              <w:right w:val="single" w:sz="4" w:space="0" w:color="auto"/>
            </w:tcBorders>
            <w:vAlign w:val="center"/>
            <w:hideMark/>
          </w:tcPr>
          <w:p w14:paraId="39A6D752" w14:textId="28F1CD5C" w:rsidR="00F75806" w:rsidRPr="00F75806" w:rsidRDefault="00F75806" w:rsidP="00F75806">
            <w:pPr>
              <w:spacing w:after="0" w:line="240" w:lineRule="auto"/>
              <w:jc w:val="center"/>
              <w:rPr>
                <w:rFonts w:ascii="Aptos" w:eastAsia="Times New Roman" w:hAnsi="Aptos" w:cs="Times New Roman"/>
                <w:color w:val="000000"/>
                <w:kern w:val="0"/>
                <w:szCs w:val="24"/>
                <w:lang w:eastAsia="en-IN"/>
                <w14:ligatures w14:val="none"/>
              </w:rPr>
            </w:pPr>
          </w:p>
        </w:tc>
        <w:tc>
          <w:tcPr>
            <w:tcW w:w="1454" w:type="dxa"/>
            <w:tcBorders>
              <w:top w:val="nil"/>
              <w:left w:val="nil"/>
              <w:bottom w:val="single" w:sz="4" w:space="0" w:color="auto"/>
              <w:right w:val="single" w:sz="4" w:space="0" w:color="auto"/>
            </w:tcBorders>
            <w:vAlign w:val="center"/>
            <w:hideMark/>
          </w:tcPr>
          <w:p w14:paraId="509F2933" w14:textId="3380E03B"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8</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0</w:t>
            </w:r>
          </w:p>
        </w:tc>
        <w:tc>
          <w:tcPr>
            <w:tcW w:w="1070" w:type="dxa"/>
            <w:tcBorders>
              <w:top w:val="nil"/>
              <w:left w:val="nil"/>
              <w:bottom w:val="single" w:sz="4" w:space="0" w:color="auto"/>
              <w:right w:val="single" w:sz="4" w:space="0" w:color="auto"/>
            </w:tcBorders>
            <w:vAlign w:val="center"/>
            <w:hideMark/>
          </w:tcPr>
          <w:p w14:paraId="04FC5D27" w14:textId="722701C2"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19</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1</w:t>
            </w:r>
          </w:p>
        </w:tc>
        <w:tc>
          <w:tcPr>
            <w:tcW w:w="851" w:type="dxa"/>
            <w:tcBorders>
              <w:top w:val="nil"/>
              <w:left w:val="nil"/>
              <w:bottom w:val="single" w:sz="4" w:space="0" w:color="auto"/>
              <w:right w:val="single" w:sz="4" w:space="0" w:color="auto"/>
            </w:tcBorders>
            <w:vAlign w:val="center"/>
            <w:hideMark/>
          </w:tcPr>
          <w:p w14:paraId="608E498D" w14:textId="5D7B76DF"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9</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4</w:t>
            </w:r>
          </w:p>
        </w:tc>
        <w:tc>
          <w:tcPr>
            <w:tcW w:w="955" w:type="dxa"/>
            <w:tcBorders>
              <w:top w:val="nil"/>
              <w:left w:val="nil"/>
              <w:bottom w:val="single" w:sz="4" w:space="0" w:color="auto"/>
              <w:right w:val="single" w:sz="4" w:space="0" w:color="auto"/>
            </w:tcBorders>
            <w:vAlign w:val="center"/>
            <w:hideMark/>
          </w:tcPr>
          <w:p w14:paraId="4DA8A2C1" w14:textId="648C2B8A"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2</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4</w:t>
            </w:r>
          </w:p>
        </w:tc>
        <w:tc>
          <w:tcPr>
            <w:tcW w:w="1442" w:type="dxa"/>
            <w:tcBorders>
              <w:top w:val="nil"/>
              <w:left w:val="nil"/>
              <w:bottom w:val="single" w:sz="4" w:space="0" w:color="auto"/>
              <w:right w:val="single" w:sz="4" w:space="0" w:color="auto"/>
            </w:tcBorders>
            <w:vAlign w:val="center"/>
            <w:hideMark/>
          </w:tcPr>
          <w:p w14:paraId="59789B9B" w14:textId="05C2517F"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0</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3</w:t>
            </w:r>
          </w:p>
        </w:tc>
        <w:tc>
          <w:tcPr>
            <w:tcW w:w="1224" w:type="dxa"/>
            <w:tcBorders>
              <w:top w:val="nil"/>
              <w:left w:val="nil"/>
              <w:bottom w:val="single" w:sz="4" w:space="0" w:color="auto"/>
              <w:right w:val="single" w:sz="4" w:space="0" w:color="auto"/>
            </w:tcBorders>
            <w:vAlign w:val="center"/>
            <w:hideMark/>
          </w:tcPr>
          <w:p w14:paraId="02F66CD1" w14:textId="706F47DD"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7</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4</w:t>
            </w:r>
          </w:p>
        </w:tc>
        <w:tc>
          <w:tcPr>
            <w:tcW w:w="851" w:type="dxa"/>
            <w:tcBorders>
              <w:top w:val="nil"/>
              <w:left w:val="nil"/>
              <w:bottom w:val="single" w:sz="4" w:space="0" w:color="auto"/>
              <w:right w:val="single" w:sz="4" w:space="0" w:color="auto"/>
            </w:tcBorders>
            <w:vAlign w:val="center"/>
            <w:hideMark/>
          </w:tcPr>
          <w:p w14:paraId="42B949CB" w14:textId="7824D75A"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4</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5</w:t>
            </w:r>
          </w:p>
        </w:tc>
        <w:tc>
          <w:tcPr>
            <w:tcW w:w="1070" w:type="dxa"/>
            <w:tcBorders>
              <w:top w:val="nil"/>
              <w:left w:val="nil"/>
              <w:bottom w:val="single" w:sz="4" w:space="0" w:color="auto"/>
              <w:right w:val="single" w:sz="4" w:space="0" w:color="auto"/>
            </w:tcBorders>
            <w:vAlign w:val="center"/>
            <w:hideMark/>
          </w:tcPr>
          <w:p w14:paraId="5950CF9B" w14:textId="38669174"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51</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1</w:t>
            </w:r>
          </w:p>
        </w:tc>
        <w:tc>
          <w:tcPr>
            <w:tcW w:w="954" w:type="dxa"/>
            <w:tcBorders>
              <w:top w:val="nil"/>
              <w:left w:val="nil"/>
              <w:bottom w:val="single" w:sz="4" w:space="0" w:color="auto"/>
              <w:right w:val="single" w:sz="4" w:space="0" w:color="auto"/>
            </w:tcBorders>
            <w:vAlign w:val="center"/>
            <w:hideMark/>
          </w:tcPr>
          <w:p w14:paraId="0C395C81" w14:textId="51E6EF6C"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14</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3</w:t>
            </w:r>
          </w:p>
        </w:tc>
        <w:tc>
          <w:tcPr>
            <w:tcW w:w="915" w:type="dxa"/>
            <w:tcBorders>
              <w:top w:val="nil"/>
              <w:left w:val="nil"/>
              <w:bottom w:val="single" w:sz="4" w:space="0" w:color="auto"/>
              <w:right w:val="single" w:sz="4" w:space="0" w:color="auto"/>
            </w:tcBorders>
            <w:vAlign w:val="center"/>
            <w:hideMark/>
          </w:tcPr>
          <w:p w14:paraId="0F9E899F" w14:textId="237BEBBC"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11</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7</w:t>
            </w:r>
          </w:p>
        </w:tc>
        <w:tc>
          <w:tcPr>
            <w:tcW w:w="1070" w:type="dxa"/>
            <w:tcBorders>
              <w:top w:val="nil"/>
              <w:left w:val="nil"/>
              <w:bottom w:val="single" w:sz="4" w:space="0" w:color="auto"/>
              <w:right w:val="single" w:sz="4" w:space="0" w:color="auto"/>
            </w:tcBorders>
            <w:vAlign w:val="center"/>
            <w:hideMark/>
          </w:tcPr>
          <w:p w14:paraId="50125A8C" w14:textId="640F5B8B"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22</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9</w:t>
            </w:r>
          </w:p>
        </w:tc>
        <w:tc>
          <w:tcPr>
            <w:tcW w:w="1070" w:type="dxa"/>
            <w:tcBorders>
              <w:top w:val="nil"/>
              <w:left w:val="nil"/>
              <w:bottom w:val="single" w:sz="4" w:space="0" w:color="auto"/>
              <w:right w:val="single" w:sz="4" w:space="0" w:color="auto"/>
            </w:tcBorders>
            <w:vAlign w:val="center"/>
            <w:hideMark/>
          </w:tcPr>
          <w:p w14:paraId="6B289921" w14:textId="5F600AE0" w:rsidR="00F75806" w:rsidRPr="00F75806" w:rsidRDefault="00F75806" w:rsidP="00F75806">
            <w:pPr>
              <w:spacing w:after="0" w:line="240" w:lineRule="auto"/>
              <w:jc w:val="center"/>
              <w:rPr>
                <w:rFonts w:ascii="Aptos" w:eastAsia="Times New Roman" w:hAnsi="Aptos" w:cs="Times New Roman"/>
                <w:color w:val="000000"/>
                <w:kern w:val="0"/>
                <w:szCs w:val="24"/>
                <w:lang w:eastAsia="en-IN"/>
                <w14:ligatures w14:val="none"/>
              </w:rPr>
            </w:pPr>
          </w:p>
        </w:tc>
      </w:tr>
      <w:tr w:rsidR="00F75806" w:rsidRPr="00F75806" w14:paraId="04C57EB0" w14:textId="77777777" w:rsidTr="00C91D91">
        <w:trPr>
          <w:trHeight w:val="19"/>
        </w:trPr>
        <w:tc>
          <w:tcPr>
            <w:tcW w:w="1351" w:type="dxa"/>
            <w:tcBorders>
              <w:top w:val="nil"/>
              <w:left w:val="single" w:sz="4" w:space="0" w:color="auto"/>
              <w:bottom w:val="single" w:sz="4" w:space="0" w:color="auto"/>
              <w:right w:val="single" w:sz="4" w:space="0" w:color="auto"/>
            </w:tcBorders>
            <w:vAlign w:val="center"/>
            <w:hideMark/>
          </w:tcPr>
          <w:p w14:paraId="5A4F3785"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Bihar</w:t>
            </w:r>
          </w:p>
        </w:tc>
        <w:tc>
          <w:tcPr>
            <w:tcW w:w="1454" w:type="dxa"/>
            <w:tcBorders>
              <w:top w:val="nil"/>
              <w:left w:val="nil"/>
              <w:bottom w:val="single" w:sz="4" w:space="0" w:color="auto"/>
              <w:right w:val="single" w:sz="4" w:space="0" w:color="auto"/>
            </w:tcBorders>
            <w:vAlign w:val="center"/>
            <w:hideMark/>
          </w:tcPr>
          <w:p w14:paraId="2C11C6FA"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69</w:t>
            </w:r>
          </w:p>
        </w:tc>
        <w:tc>
          <w:tcPr>
            <w:tcW w:w="1070" w:type="dxa"/>
            <w:tcBorders>
              <w:top w:val="nil"/>
              <w:left w:val="nil"/>
              <w:bottom w:val="single" w:sz="4" w:space="0" w:color="auto"/>
              <w:right w:val="single" w:sz="4" w:space="0" w:color="auto"/>
            </w:tcBorders>
            <w:vAlign w:val="center"/>
            <w:hideMark/>
          </w:tcPr>
          <w:p w14:paraId="410B409C"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159</w:t>
            </w:r>
          </w:p>
        </w:tc>
        <w:tc>
          <w:tcPr>
            <w:tcW w:w="851" w:type="dxa"/>
            <w:tcBorders>
              <w:top w:val="nil"/>
              <w:left w:val="nil"/>
              <w:bottom w:val="single" w:sz="4" w:space="0" w:color="auto"/>
              <w:right w:val="single" w:sz="4" w:space="0" w:color="auto"/>
            </w:tcBorders>
            <w:vAlign w:val="center"/>
            <w:hideMark/>
          </w:tcPr>
          <w:p w14:paraId="67BA67B4"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526</w:t>
            </w:r>
          </w:p>
        </w:tc>
        <w:tc>
          <w:tcPr>
            <w:tcW w:w="955" w:type="dxa"/>
            <w:tcBorders>
              <w:top w:val="nil"/>
              <w:left w:val="nil"/>
              <w:bottom w:val="single" w:sz="4" w:space="0" w:color="auto"/>
              <w:right w:val="single" w:sz="4" w:space="0" w:color="auto"/>
            </w:tcBorders>
            <w:vAlign w:val="center"/>
            <w:hideMark/>
          </w:tcPr>
          <w:p w14:paraId="752945B8"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248</w:t>
            </w:r>
          </w:p>
        </w:tc>
        <w:tc>
          <w:tcPr>
            <w:tcW w:w="1442" w:type="dxa"/>
            <w:tcBorders>
              <w:top w:val="nil"/>
              <w:left w:val="nil"/>
              <w:bottom w:val="single" w:sz="4" w:space="0" w:color="auto"/>
              <w:right w:val="single" w:sz="4" w:space="0" w:color="auto"/>
            </w:tcBorders>
            <w:vAlign w:val="center"/>
            <w:hideMark/>
          </w:tcPr>
          <w:p w14:paraId="4B64A22C"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67</w:t>
            </w:r>
          </w:p>
        </w:tc>
        <w:tc>
          <w:tcPr>
            <w:tcW w:w="1224" w:type="dxa"/>
            <w:tcBorders>
              <w:top w:val="nil"/>
              <w:left w:val="nil"/>
              <w:bottom w:val="single" w:sz="4" w:space="0" w:color="auto"/>
              <w:right w:val="single" w:sz="4" w:space="0" w:color="auto"/>
            </w:tcBorders>
            <w:vAlign w:val="center"/>
            <w:hideMark/>
          </w:tcPr>
          <w:p w14:paraId="6EAE5569"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440</w:t>
            </w:r>
          </w:p>
        </w:tc>
        <w:tc>
          <w:tcPr>
            <w:tcW w:w="851" w:type="dxa"/>
            <w:tcBorders>
              <w:top w:val="nil"/>
              <w:left w:val="nil"/>
              <w:bottom w:val="single" w:sz="4" w:space="0" w:color="auto"/>
              <w:right w:val="single" w:sz="4" w:space="0" w:color="auto"/>
            </w:tcBorders>
            <w:vAlign w:val="center"/>
            <w:hideMark/>
          </w:tcPr>
          <w:p w14:paraId="310F9EC6"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63</w:t>
            </w:r>
          </w:p>
        </w:tc>
        <w:tc>
          <w:tcPr>
            <w:tcW w:w="1070" w:type="dxa"/>
            <w:tcBorders>
              <w:top w:val="nil"/>
              <w:left w:val="nil"/>
              <w:bottom w:val="single" w:sz="4" w:space="0" w:color="auto"/>
              <w:right w:val="single" w:sz="4" w:space="0" w:color="auto"/>
            </w:tcBorders>
            <w:vAlign w:val="center"/>
            <w:hideMark/>
          </w:tcPr>
          <w:p w14:paraId="3F4ACEB2"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1573</w:t>
            </w:r>
          </w:p>
        </w:tc>
        <w:tc>
          <w:tcPr>
            <w:tcW w:w="954" w:type="dxa"/>
            <w:tcBorders>
              <w:top w:val="nil"/>
              <w:left w:val="nil"/>
              <w:bottom w:val="single" w:sz="4" w:space="0" w:color="auto"/>
              <w:right w:val="single" w:sz="4" w:space="0" w:color="auto"/>
            </w:tcBorders>
            <w:vAlign w:val="center"/>
            <w:hideMark/>
          </w:tcPr>
          <w:p w14:paraId="33E8686B"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592</w:t>
            </w:r>
          </w:p>
        </w:tc>
        <w:tc>
          <w:tcPr>
            <w:tcW w:w="915" w:type="dxa"/>
            <w:tcBorders>
              <w:top w:val="nil"/>
              <w:left w:val="nil"/>
              <w:bottom w:val="single" w:sz="4" w:space="0" w:color="auto"/>
              <w:right w:val="single" w:sz="4" w:space="0" w:color="auto"/>
            </w:tcBorders>
            <w:vAlign w:val="center"/>
            <w:hideMark/>
          </w:tcPr>
          <w:p w14:paraId="75FA9DF8"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230</w:t>
            </w:r>
          </w:p>
        </w:tc>
        <w:tc>
          <w:tcPr>
            <w:tcW w:w="1070" w:type="dxa"/>
            <w:tcBorders>
              <w:top w:val="nil"/>
              <w:left w:val="nil"/>
              <w:bottom w:val="single" w:sz="4" w:space="0" w:color="auto"/>
              <w:right w:val="single" w:sz="4" w:space="0" w:color="auto"/>
            </w:tcBorders>
            <w:vAlign w:val="center"/>
            <w:hideMark/>
          </w:tcPr>
          <w:p w14:paraId="2A8B2FC7"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502</w:t>
            </w:r>
          </w:p>
        </w:tc>
        <w:tc>
          <w:tcPr>
            <w:tcW w:w="1070" w:type="dxa"/>
            <w:tcBorders>
              <w:top w:val="nil"/>
              <w:left w:val="nil"/>
              <w:bottom w:val="single" w:sz="4" w:space="0" w:color="auto"/>
              <w:right w:val="single" w:sz="4" w:space="0" w:color="auto"/>
            </w:tcBorders>
            <w:vAlign w:val="center"/>
            <w:hideMark/>
          </w:tcPr>
          <w:p w14:paraId="38B4A25C"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2897</w:t>
            </w:r>
          </w:p>
        </w:tc>
      </w:tr>
      <w:tr w:rsidR="00F75806" w:rsidRPr="00F75806" w14:paraId="6C99B3BE" w14:textId="77777777" w:rsidTr="00C91D91">
        <w:trPr>
          <w:trHeight w:val="19"/>
        </w:trPr>
        <w:tc>
          <w:tcPr>
            <w:tcW w:w="1351" w:type="dxa"/>
            <w:tcBorders>
              <w:top w:val="nil"/>
              <w:left w:val="single" w:sz="4" w:space="0" w:color="auto"/>
              <w:bottom w:val="single" w:sz="4" w:space="0" w:color="auto"/>
              <w:right w:val="single" w:sz="4" w:space="0" w:color="auto"/>
            </w:tcBorders>
            <w:vAlign w:val="center"/>
            <w:hideMark/>
          </w:tcPr>
          <w:p w14:paraId="2799E28E" w14:textId="028E2605" w:rsidR="00F75806" w:rsidRPr="00F75806" w:rsidRDefault="00F75806" w:rsidP="00F75806">
            <w:pPr>
              <w:spacing w:after="0" w:line="240" w:lineRule="auto"/>
              <w:jc w:val="center"/>
              <w:rPr>
                <w:rFonts w:ascii="Aptos" w:eastAsia="Times New Roman" w:hAnsi="Aptos" w:cs="Times New Roman"/>
                <w:color w:val="000000"/>
                <w:kern w:val="0"/>
                <w:szCs w:val="24"/>
                <w:lang w:eastAsia="en-IN"/>
                <w14:ligatures w14:val="none"/>
              </w:rPr>
            </w:pPr>
          </w:p>
        </w:tc>
        <w:tc>
          <w:tcPr>
            <w:tcW w:w="1454" w:type="dxa"/>
            <w:tcBorders>
              <w:top w:val="nil"/>
              <w:left w:val="nil"/>
              <w:bottom w:val="single" w:sz="4" w:space="0" w:color="auto"/>
              <w:right w:val="single" w:sz="4" w:space="0" w:color="auto"/>
            </w:tcBorders>
            <w:vAlign w:val="center"/>
            <w:hideMark/>
          </w:tcPr>
          <w:p w14:paraId="55953967" w14:textId="3C37D1F1"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2</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4</w:t>
            </w:r>
          </w:p>
        </w:tc>
        <w:tc>
          <w:tcPr>
            <w:tcW w:w="1070" w:type="dxa"/>
            <w:tcBorders>
              <w:top w:val="nil"/>
              <w:left w:val="nil"/>
              <w:bottom w:val="single" w:sz="4" w:space="0" w:color="auto"/>
              <w:right w:val="single" w:sz="4" w:space="0" w:color="auto"/>
            </w:tcBorders>
            <w:vAlign w:val="center"/>
            <w:hideMark/>
          </w:tcPr>
          <w:p w14:paraId="58C7F9C3" w14:textId="447DDA59"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5</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5</w:t>
            </w:r>
          </w:p>
        </w:tc>
        <w:tc>
          <w:tcPr>
            <w:tcW w:w="851" w:type="dxa"/>
            <w:tcBorders>
              <w:top w:val="nil"/>
              <w:left w:val="nil"/>
              <w:bottom w:val="single" w:sz="4" w:space="0" w:color="auto"/>
              <w:right w:val="single" w:sz="4" w:space="0" w:color="auto"/>
            </w:tcBorders>
            <w:vAlign w:val="center"/>
            <w:hideMark/>
          </w:tcPr>
          <w:p w14:paraId="0AC58369" w14:textId="2B2E7355"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18</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2</w:t>
            </w:r>
          </w:p>
        </w:tc>
        <w:tc>
          <w:tcPr>
            <w:tcW w:w="955" w:type="dxa"/>
            <w:tcBorders>
              <w:top w:val="nil"/>
              <w:left w:val="nil"/>
              <w:bottom w:val="single" w:sz="4" w:space="0" w:color="auto"/>
              <w:right w:val="single" w:sz="4" w:space="0" w:color="auto"/>
            </w:tcBorders>
            <w:vAlign w:val="center"/>
            <w:hideMark/>
          </w:tcPr>
          <w:p w14:paraId="564F1741" w14:textId="300B460B"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8</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5</w:t>
            </w:r>
          </w:p>
        </w:tc>
        <w:tc>
          <w:tcPr>
            <w:tcW w:w="1442" w:type="dxa"/>
            <w:tcBorders>
              <w:top w:val="nil"/>
              <w:left w:val="nil"/>
              <w:bottom w:val="single" w:sz="4" w:space="0" w:color="auto"/>
              <w:right w:val="single" w:sz="4" w:space="0" w:color="auto"/>
            </w:tcBorders>
            <w:vAlign w:val="center"/>
            <w:hideMark/>
          </w:tcPr>
          <w:p w14:paraId="333BF6B9" w14:textId="3B8AD662"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2</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3</w:t>
            </w:r>
          </w:p>
        </w:tc>
        <w:tc>
          <w:tcPr>
            <w:tcW w:w="1224" w:type="dxa"/>
            <w:tcBorders>
              <w:top w:val="nil"/>
              <w:left w:val="nil"/>
              <w:bottom w:val="single" w:sz="4" w:space="0" w:color="auto"/>
              <w:right w:val="single" w:sz="4" w:space="0" w:color="auto"/>
            </w:tcBorders>
            <w:vAlign w:val="center"/>
            <w:hideMark/>
          </w:tcPr>
          <w:p w14:paraId="1E74F671" w14:textId="584F44E4"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15</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2</w:t>
            </w:r>
          </w:p>
        </w:tc>
        <w:tc>
          <w:tcPr>
            <w:tcW w:w="851" w:type="dxa"/>
            <w:tcBorders>
              <w:top w:val="nil"/>
              <w:left w:val="nil"/>
              <w:bottom w:val="single" w:sz="4" w:space="0" w:color="auto"/>
              <w:right w:val="single" w:sz="4" w:space="0" w:color="auto"/>
            </w:tcBorders>
            <w:vAlign w:val="center"/>
            <w:hideMark/>
          </w:tcPr>
          <w:p w14:paraId="081F21B9" w14:textId="7412D01E"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2</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2</w:t>
            </w:r>
          </w:p>
        </w:tc>
        <w:tc>
          <w:tcPr>
            <w:tcW w:w="1070" w:type="dxa"/>
            <w:tcBorders>
              <w:top w:val="nil"/>
              <w:left w:val="nil"/>
              <w:bottom w:val="single" w:sz="4" w:space="0" w:color="auto"/>
              <w:right w:val="single" w:sz="4" w:space="0" w:color="auto"/>
            </w:tcBorders>
            <w:vAlign w:val="center"/>
            <w:hideMark/>
          </w:tcPr>
          <w:p w14:paraId="2D5D736D" w14:textId="10C70151"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54</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3</w:t>
            </w:r>
          </w:p>
        </w:tc>
        <w:tc>
          <w:tcPr>
            <w:tcW w:w="954" w:type="dxa"/>
            <w:tcBorders>
              <w:top w:val="nil"/>
              <w:left w:val="nil"/>
              <w:bottom w:val="single" w:sz="4" w:space="0" w:color="auto"/>
              <w:right w:val="single" w:sz="4" w:space="0" w:color="auto"/>
            </w:tcBorders>
            <w:vAlign w:val="center"/>
            <w:hideMark/>
          </w:tcPr>
          <w:p w14:paraId="7521DF6E" w14:textId="3D8A41FD"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20</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4_</w:t>
            </w:r>
          </w:p>
        </w:tc>
        <w:tc>
          <w:tcPr>
            <w:tcW w:w="915" w:type="dxa"/>
            <w:tcBorders>
              <w:top w:val="nil"/>
              <w:left w:val="nil"/>
              <w:bottom w:val="single" w:sz="4" w:space="0" w:color="auto"/>
              <w:right w:val="single" w:sz="4" w:space="0" w:color="auto"/>
            </w:tcBorders>
            <w:vAlign w:val="center"/>
            <w:hideMark/>
          </w:tcPr>
          <w:p w14:paraId="2F858010" w14:textId="7C125E46"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8</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0</w:t>
            </w:r>
          </w:p>
        </w:tc>
        <w:tc>
          <w:tcPr>
            <w:tcW w:w="1070" w:type="dxa"/>
            <w:tcBorders>
              <w:top w:val="nil"/>
              <w:left w:val="nil"/>
              <w:bottom w:val="single" w:sz="4" w:space="0" w:color="auto"/>
              <w:right w:val="single" w:sz="4" w:space="0" w:color="auto"/>
            </w:tcBorders>
            <w:vAlign w:val="center"/>
            <w:hideMark/>
          </w:tcPr>
          <w:p w14:paraId="2F8EBE74" w14:textId="67B79BB0"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17</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3</w:t>
            </w:r>
          </w:p>
        </w:tc>
        <w:tc>
          <w:tcPr>
            <w:tcW w:w="1070" w:type="dxa"/>
            <w:tcBorders>
              <w:top w:val="nil"/>
              <w:left w:val="nil"/>
              <w:bottom w:val="single" w:sz="4" w:space="0" w:color="auto"/>
              <w:right w:val="single" w:sz="4" w:space="0" w:color="auto"/>
            </w:tcBorders>
            <w:vAlign w:val="center"/>
            <w:hideMark/>
          </w:tcPr>
          <w:p w14:paraId="122D3D6A" w14:textId="22553DD9" w:rsidR="00F75806" w:rsidRPr="00F75806" w:rsidRDefault="00F75806" w:rsidP="00F75806">
            <w:pPr>
              <w:spacing w:after="0" w:line="240" w:lineRule="auto"/>
              <w:jc w:val="center"/>
              <w:rPr>
                <w:rFonts w:ascii="Aptos" w:eastAsia="Times New Roman" w:hAnsi="Aptos" w:cs="Times New Roman"/>
                <w:color w:val="000000"/>
                <w:kern w:val="0"/>
                <w:szCs w:val="24"/>
                <w:lang w:eastAsia="en-IN"/>
                <w14:ligatures w14:val="none"/>
              </w:rPr>
            </w:pPr>
          </w:p>
        </w:tc>
      </w:tr>
      <w:tr w:rsidR="00F75806" w:rsidRPr="00F75806" w14:paraId="5ED1E530" w14:textId="77777777" w:rsidTr="00C91D91">
        <w:trPr>
          <w:trHeight w:val="19"/>
        </w:trPr>
        <w:tc>
          <w:tcPr>
            <w:tcW w:w="1351" w:type="dxa"/>
            <w:tcBorders>
              <w:top w:val="nil"/>
              <w:left w:val="single" w:sz="4" w:space="0" w:color="auto"/>
              <w:bottom w:val="single" w:sz="4" w:space="0" w:color="auto"/>
              <w:right w:val="single" w:sz="4" w:space="0" w:color="auto"/>
            </w:tcBorders>
            <w:vAlign w:val="center"/>
            <w:hideMark/>
          </w:tcPr>
          <w:p w14:paraId="5F916E9E"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Bombay</w:t>
            </w:r>
          </w:p>
        </w:tc>
        <w:tc>
          <w:tcPr>
            <w:tcW w:w="1454" w:type="dxa"/>
            <w:tcBorders>
              <w:top w:val="nil"/>
              <w:left w:val="nil"/>
              <w:bottom w:val="single" w:sz="4" w:space="0" w:color="auto"/>
              <w:right w:val="single" w:sz="4" w:space="0" w:color="auto"/>
            </w:tcBorders>
            <w:vAlign w:val="center"/>
            <w:hideMark/>
          </w:tcPr>
          <w:p w14:paraId="694D8122"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w:t>
            </w:r>
          </w:p>
        </w:tc>
        <w:tc>
          <w:tcPr>
            <w:tcW w:w="1070" w:type="dxa"/>
            <w:tcBorders>
              <w:top w:val="nil"/>
              <w:left w:val="nil"/>
              <w:bottom w:val="single" w:sz="4" w:space="0" w:color="auto"/>
              <w:right w:val="single" w:sz="4" w:space="0" w:color="auto"/>
            </w:tcBorders>
            <w:vAlign w:val="center"/>
            <w:hideMark/>
          </w:tcPr>
          <w:p w14:paraId="5D5FD81B"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631</w:t>
            </w:r>
          </w:p>
        </w:tc>
        <w:tc>
          <w:tcPr>
            <w:tcW w:w="851" w:type="dxa"/>
            <w:tcBorders>
              <w:top w:val="nil"/>
              <w:left w:val="nil"/>
              <w:bottom w:val="single" w:sz="4" w:space="0" w:color="auto"/>
              <w:right w:val="single" w:sz="4" w:space="0" w:color="auto"/>
            </w:tcBorders>
            <w:vAlign w:val="center"/>
            <w:hideMark/>
          </w:tcPr>
          <w:p w14:paraId="40F26D15"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107</w:t>
            </w:r>
          </w:p>
        </w:tc>
        <w:tc>
          <w:tcPr>
            <w:tcW w:w="955" w:type="dxa"/>
            <w:tcBorders>
              <w:top w:val="nil"/>
              <w:left w:val="nil"/>
              <w:bottom w:val="single" w:sz="4" w:space="0" w:color="auto"/>
              <w:right w:val="single" w:sz="4" w:space="0" w:color="auto"/>
            </w:tcBorders>
            <w:vAlign w:val="center"/>
            <w:hideMark/>
          </w:tcPr>
          <w:p w14:paraId="2F4FA056"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410</w:t>
            </w:r>
          </w:p>
        </w:tc>
        <w:tc>
          <w:tcPr>
            <w:tcW w:w="1442" w:type="dxa"/>
            <w:tcBorders>
              <w:top w:val="nil"/>
              <w:left w:val="nil"/>
              <w:bottom w:val="single" w:sz="4" w:space="0" w:color="auto"/>
              <w:right w:val="single" w:sz="4" w:space="0" w:color="auto"/>
            </w:tcBorders>
            <w:vAlign w:val="center"/>
            <w:hideMark/>
          </w:tcPr>
          <w:p w14:paraId="1CC6D7B0"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32</w:t>
            </w:r>
          </w:p>
        </w:tc>
        <w:tc>
          <w:tcPr>
            <w:tcW w:w="1224" w:type="dxa"/>
            <w:tcBorders>
              <w:top w:val="nil"/>
              <w:left w:val="nil"/>
              <w:bottom w:val="single" w:sz="4" w:space="0" w:color="auto"/>
              <w:right w:val="single" w:sz="4" w:space="0" w:color="auto"/>
            </w:tcBorders>
            <w:vAlign w:val="center"/>
            <w:hideMark/>
          </w:tcPr>
          <w:p w14:paraId="134D499E"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1518</w:t>
            </w:r>
          </w:p>
        </w:tc>
        <w:tc>
          <w:tcPr>
            <w:tcW w:w="851" w:type="dxa"/>
            <w:tcBorders>
              <w:top w:val="nil"/>
              <w:left w:val="nil"/>
              <w:bottom w:val="single" w:sz="4" w:space="0" w:color="auto"/>
              <w:right w:val="single" w:sz="4" w:space="0" w:color="auto"/>
            </w:tcBorders>
            <w:vAlign w:val="center"/>
            <w:hideMark/>
          </w:tcPr>
          <w:p w14:paraId="170DDB3D"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891</w:t>
            </w:r>
          </w:p>
        </w:tc>
        <w:tc>
          <w:tcPr>
            <w:tcW w:w="1070" w:type="dxa"/>
            <w:tcBorders>
              <w:top w:val="nil"/>
              <w:left w:val="nil"/>
              <w:bottom w:val="single" w:sz="4" w:space="0" w:color="auto"/>
              <w:right w:val="single" w:sz="4" w:space="0" w:color="auto"/>
            </w:tcBorders>
            <w:vAlign w:val="center"/>
            <w:hideMark/>
          </w:tcPr>
          <w:p w14:paraId="09A0666A"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3589</w:t>
            </w:r>
          </w:p>
        </w:tc>
        <w:tc>
          <w:tcPr>
            <w:tcW w:w="954" w:type="dxa"/>
            <w:tcBorders>
              <w:top w:val="nil"/>
              <w:left w:val="nil"/>
              <w:bottom w:val="single" w:sz="4" w:space="0" w:color="auto"/>
              <w:right w:val="single" w:sz="4" w:space="0" w:color="auto"/>
            </w:tcBorders>
            <w:vAlign w:val="center"/>
            <w:hideMark/>
          </w:tcPr>
          <w:p w14:paraId="6985AD46"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995</w:t>
            </w:r>
          </w:p>
        </w:tc>
        <w:tc>
          <w:tcPr>
            <w:tcW w:w="915" w:type="dxa"/>
            <w:tcBorders>
              <w:top w:val="nil"/>
              <w:left w:val="nil"/>
              <w:bottom w:val="single" w:sz="4" w:space="0" w:color="auto"/>
              <w:right w:val="single" w:sz="4" w:space="0" w:color="auto"/>
            </w:tcBorders>
            <w:vAlign w:val="center"/>
            <w:hideMark/>
          </w:tcPr>
          <w:p w14:paraId="48553C2F"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145</w:t>
            </w:r>
          </w:p>
        </w:tc>
        <w:tc>
          <w:tcPr>
            <w:tcW w:w="1070" w:type="dxa"/>
            <w:tcBorders>
              <w:top w:val="nil"/>
              <w:left w:val="nil"/>
              <w:bottom w:val="single" w:sz="4" w:space="0" w:color="auto"/>
              <w:right w:val="single" w:sz="4" w:space="0" w:color="auto"/>
            </w:tcBorders>
            <w:vAlign w:val="center"/>
            <w:hideMark/>
          </w:tcPr>
          <w:p w14:paraId="08F2A42E"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1302</w:t>
            </w:r>
          </w:p>
        </w:tc>
        <w:tc>
          <w:tcPr>
            <w:tcW w:w="1070" w:type="dxa"/>
            <w:tcBorders>
              <w:top w:val="nil"/>
              <w:left w:val="nil"/>
              <w:bottom w:val="single" w:sz="4" w:space="0" w:color="auto"/>
              <w:right w:val="single" w:sz="4" w:space="0" w:color="auto"/>
            </w:tcBorders>
            <w:vAlign w:val="center"/>
            <w:hideMark/>
          </w:tcPr>
          <w:p w14:paraId="5F9128AA"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6031</w:t>
            </w:r>
          </w:p>
        </w:tc>
      </w:tr>
      <w:tr w:rsidR="00F75806" w:rsidRPr="00F75806" w14:paraId="37FEC15F" w14:textId="77777777" w:rsidTr="00C91D91">
        <w:trPr>
          <w:trHeight w:val="19"/>
        </w:trPr>
        <w:tc>
          <w:tcPr>
            <w:tcW w:w="1351" w:type="dxa"/>
            <w:tcBorders>
              <w:top w:val="nil"/>
              <w:left w:val="single" w:sz="4" w:space="0" w:color="auto"/>
              <w:bottom w:val="single" w:sz="4" w:space="0" w:color="auto"/>
              <w:right w:val="single" w:sz="4" w:space="0" w:color="auto"/>
            </w:tcBorders>
            <w:vAlign w:val="center"/>
            <w:hideMark/>
          </w:tcPr>
          <w:p w14:paraId="35523DB3" w14:textId="3B3271DF" w:rsidR="00F75806" w:rsidRPr="00F75806" w:rsidRDefault="00F75806" w:rsidP="00F75806">
            <w:pPr>
              <w:spacing w:after="0" w:line="240" w:lineRule="auto"/>
              <w:jc w:val="center"/>
              <w:rPr>
                <w:rFonts w:ascii="Aptos" w:eastAsia="Times New Roman" w:hAnsi="Aptos" w:cs="Times New Roman"/>
                <w:color w:val="000000"/>
                <w:kern w:val="0"/>
                <w:szCs w:val="24"/>
                <w:lang w:eastAsia="en-IN"/>
                <w14:ligatures w14:val="none"/>
              </w:rPr>
            </w:pPr>
          </w:p>
        </w:tc>
        <w:tc>
          <w:tcPr>
            <w:tcW w:w="1454" w:type="dxa"/>
            <w:tcBorders>
              <w:top w:val="nil"/>
              <w:left w:val="nil"/>
              <w:bottom w:val="single" w:sz="4" w:space="0" w:color="auto"/>
              <w:right w:val="single" w:sz="4" w:space="0" w:color="auto"/>
            </w:tcBorders>
            <w:vAlign w:val="center"/>
            <w:hideMark/>
          </w:tcPr>
          <w:p w14:paraId="2F15DF02" w14:textId="09DC9D4F" w:rsidR="00F75806" w:rsidRPr="00F75806" w:rsidRDefault="00F75806" w:rsidP="00F75806">
            <w:pPr>
              <w:spacing w:after="0" w:line="240" w:lineRule="auto"/>
              <w:jc w:val="center"/>
              <w:rPr>
                <w:rFonts w:ascii="Aptos" w:eastAsia="Times New Roman" w:hAnsi="Aptos" w:cs="Times New Roman"/>
                <w:color w:val="000000"/>
                <w:kern w:val="0"/>
                <w:szCs w:val="24"/>
                <w:lang w:eastAsia="en-IN"/>
                <w14:ligatures w14:val="none"/>
              </w:rPr>
            </w:pPr>
          </w:p>
        </w:tc>
        <w:tc>
          <w:tcPr>
            <w:tcW w:w="1070" w:type="dxa"/>
            <w:tcBorders>
              <w:top w:val="nil"/>
              <w:left w:val="nil"/>
              <w:bottom w:val="single" w:sz="4" w:space="0" w:color="auto"/>
              <w:right w:val="single" w:sz="4" w:space="0" w:color="auto"/>
            </w:tcBorders>
            <w:vAlign w:val="center"/>
            <w:hideMark/>
          </w:tcPr>
          <w:p w14:paraId="7519278A" w14:textId="6F8BA887"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10</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5</w:t>
            </w:r>
          </w:p>
        </w:tc>
        <w:tc>
          <w:tcPr>
            <w:tcW w:w="851" w:type="dxa"/>
            <w:tcBorders>
              <w:top w:val="nil"/>
              <w:left w:val="nil"/>
              <w:bottom w:val="single" w:sz="4" w:space="0" w:color="auto"/>
              <w:right w:val="single" w:sz="4" w:space="0" w:color="auto"/>
            </w:tcBorders>
            <w:vAlign w:val="center"/>
            <w:hideMark/>
          </w:tcPr>
          <w:p w14:paraId="610ED4D6" w14:textId="5BCD3229"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1</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8</w:t>
            </w:r>
          </w:p>
        </w:tc>
        <w:tc>
          <w:tcPr>
            <w:tcW w:w="955" w:type="dxa"/>
            <w:tcBorders>
              <w:top w:val="nil"/>
              <w:left w:val="nil"/>
              <w:bottom w:val="single" w:sz="4" w:space="0" w:color="auto"/>
              <w:right w:val="single" w:sz="4" w:space="0" w:color="auto"/>
            </w:tcBorders>
            <w:vAlign w:val="center"/>
            <w:hideMark/>
          </w:tcPr>
          <w:p w14:paraId="110811C0" w14:textId="6A0A371E"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6</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8</w:t>
            </w:r>
          </w:p>
        </w:tc>
        <w:tc>
          <w:tcPr>
            <w:tcW w:w="1442" w:type="dxa"/>
            <w:tcBorders>
              <w:top w:val="nil"/>
              <w:left w:val="nil"/>
              <w:bottom w:val="single" w:sz="4" w:space="0" w:color="auto"/>
              <w:right w:val="single" w:sz="4" w:space="0" w:color="auto"/>
            </w:tcBorders>
            <w:vAlign w:val="center"/>
            <w:hideMark/>
          </w:tcPr>
          <w:p w14:paraId="7D9DBDD3" w14:textId="24F16D24"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0</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5</w:t>
            </w:r>
          </w:p>
        </w:tc>
        <w:tc>
          <w:tcPr>
            <w:tcW w:w="1224" w:type="dxa"/>
            <w:tcBorders>
              <w:top w:val="nil"/>
              <w:left w:val="nil"/>
              <w:bottom w:val="single" w:sz="4" w:space="0" w:color="auto"/>
              <w:right w:val="single" w:sz="4" w:space="0" w:color="auto"/>
            </w:tcBorders>
            <w:vAlign w:val="center"/>
            <w:hideMark/>
          </w:tcPr>
          <w:p w14:paraId="27884802" w14:textId="5CF4BF7D"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25</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2</w:t>
            </w:r>
          </w:p>
        </w:tc>
        <w:tc>
          <w:tcPr>
            <w:tcW w:w="851" w:type="dxa"/>
            <w:tcBorders>
              <w:top w:val="nil"/>
              <w:left w:val="nil"/>
              <w:bottom w:val="single" w:sz="4" w:space="0" w:color="auto"/>
              <w:right w:val="single" w:sz="4" w:space="0" w:color="auto"/>
            </w:tcBorders>
            <w:vAlign w:val="center"/>
            <w:hideMark/>
          </w:tcPr>
          <w:p w14:paraId="323F2E0C" w14:textId="34630E34"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14</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7</w:t>
            </w:r>
          </w:p>
        </w:tc>
        <w:tc>
          <w:tcPr>
            <w:tcW w:w="1070" w:type="dxa"/>
            <w:tcBorders>
              <w:top w:val="nil"/>
              <w:left w:val="nil"/>
              <w:bottom w:val="single" w:sz="4" w:space="0" w:color="auto"/>
              <w:right w:val="single" w:sz="4" w:space="0" w:color="auto"/>
            </w:tcBorders>
            <w:vAlign w:val="center"/>
            <w:hideMark/>
          </w:tcPr>
          <w:p w14:paraId="3CD65A7A" w14:textId="5724BB07"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59</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5</w:t>
            </w:r>
          </w:p>
        </w:tc>
        <w:tc>
          <w:tcPr>
            <w:tcW w:w="954" w:type="dxa"/>
            <w:tcBorders>
              <w:top w:val="nil"/>
              <w:left w:val="nil"/>
              <w:bottom w:val="single" w:sz="4" w:space="0" w:color="auto"/>
              <w:right w:val="single" w:sz="4" w:space="0" w:color="auto"/>
            </w:tcBorders>
            <w:vAlign w:val="center"/>
            <w:hideMark/>
          </w:tcPr>
          <w:p w14:paraId="0659C52D" w14:textId="3727E917"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16</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5</w:t>
            </w:r>
          </w:p>
        </w:tc>
        <w:tc>
          <w:tcPr>
            <w:tcW w:w="915" w:type="dxa"/>
            <w:tcBorders>
              <w:top w:val="nil"/>
              <w:left w:val="nil"/>
              <w:bottom w:val="single" w:sz="4" w:space="0" w:color="auto"/>
              <w:right w:val="single" w:sz="4" w:space="0" w:color="auto"/>
            </w:tcBorders>
            <w:vAlign w:val="center"/>
            <w:hideMark/>
          </w:tcPr>
          <w:p w14:paraId="3CEE146F" w14:textId="1125E044"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2</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4</w:t>
            </w:r>
          </w:p>
        </w:tc>
        <w:tc>
          <w:tcPr>
            <w:tcW w:w="1070" w:type="dxa"/>
            <w:tcBorders>
              <w:top w:val="nil"/>
              <w:left w:val="nil"/>
              <w:bottom w:val="single" w:sz="4" w:space="0" w:color="auto"/>
              <w:right w:val="single" w:sz="4" w:space="0" w:color="auto"/>
            </w:tcBorders>
            <w:vAlign w:val="center"/>
            <w:hideMark/>
          </w:tcPr>
          <w:p w14:paraId="1492ABF0" w14:textId="75193A10"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21</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6</w:t>
            </w:r>
          </w:p>
        </w:tc>
        <w:tc>
          <w:tcPr>
            <w:tcW w:w="1070" w:type="dxa"/>
            <w:tcBorders>
              <w:top w:val="nil"/>
              <w:left w:val="nil"/>
              <w:bottom w:val="single" w:sz="4" w:space="0" w:color="auto"/>
              <w:right w:val="single" w:sz="4" w:space="0" w:color="auto"/>
            </w:tcBorders>
            <w:vAlign w:val="center"/>
            <w:hideMark/>
          </w:tcPr>
          <w:p w14:paraId="59DABFD9" w14:textId="19473FCC" w:rsidR="00F75806" w:rsidRPr="00F75806" w:rsidRDefault="00F75806" w:rsidP="00F75806">
            <w:pPr>
              <w:spacing w:after="0" w:line="240" w:lineRule="auto"/>
              <w:jc w:val="center"/>
              <w:rPr>
                <w:rFonts w:ascii="Aptos" w:eastAsia="Times New Roman" w:hAnsi="Aptos" w:cs="Times New Roman"/>
                <w:color w:val="000000"/>
                <w:kern w:val="0"/>
                <w:szCs w:val="24"/>
                <w:lang w:eastAsia="en-IN"/>
                <w14:ligatures w14:val="none"/>
              </w:rPr>
            </w:pPr>
          </w:p>
        </w:tc>
      </w:tr>
      <w:tr w:rsidR="00F75806" w:rsidRPr="00F75806" w14:paraId="34B05654" w14:textId="77777777" w:rsidTr="00C91D91">
        <w:trPr>
          <w:trHeight w:val="19"/>
        </w:trPr>
        <w:tc>
          <w:tcPr>
            <w:tcW w:w="1351" w:type="dxa"/>
            <w:tcBorders>
              <w:top w:val="nil"/>
              <w:left w:val="single" w:sz="4" w:space="0" w:color="auto"/>
              <w:bottom w:val="single" w:sz="4" w:space="0" w:color="auto"/>
              <w:right w:val="single" w:sz="4" w:space="0" w:color="auto"/>
            </w:tcBorders>
            <w:vAlign w:val="center"/>
            <w:hideMark/>
          </w:tcPr>
          <w:p w14:paraId="434D35AC"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Madhya Pradesh</w:t>
            </w:r>
          </w:p>
        </w:tc>
        <w:tc>
          <w:tcPr>
            <w:tcW w:w="1454" w:type="dxa"/>
            <w:tcBorders>
              <w:top w:val="nil"/>
              <w:left w:val="nil"/>
              <w:bottom w:val="single" w:sz="4" w:space="0" w:color="auto"/>
              <w:right w:val="single" w:sz="4" w:space="0" w:color="auto"/>
            </w:tcBorders>
            <w:vAlign w:val="center"/>
            <w:hideMark/>
          </w:tcPr>
          <w:p w14:paraId="0410F15D"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w:t>
            </w:r>
          </w:p>
        </w:tc>
        <w:tc>
          <w:tcPr>
            <w:tcW w:w="1070" w:type="dxa"/>
            <w:tcBorders>
              <w:top w:val="nil"/>
              <w:left w:val="nil"/>
              <w:bottom w:val="single" w:sz="4" w:space="0" w:color="auto"/>
              <w:right w:val="single" w:sz="4" w:space="0" w:color="auto"/>
            </w:tcBorders>
            <w:vAlign w:val="center"/>
            <w:hideMark/>
          </w:tcPr>
          <w:p w14:paraId="19082327"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375</w:t>
            </w:r>
          </w:p>
        </w:tc>
        <w:tc>
          <w:tcPr>
            <w:tcW w:w="851" w:type="dxa"/>
            <w:tcBorders>
              <w:top w:val="nil"/>
              <w:left w:val="nil"/>
              <w:bottom w:val="single" w:sz="4" w:space="0" w:color="auto"/>
              <w:right w:val="single" w:sz="4" w:space="0" w:color="auto"/>
            </w:tcBorders>
            <w:vAlign w:val="center"/>
            <w:hideMark/>
          </w:tcPr>
          <w:p w14:paraId="683942A4"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231</w:t>
            </w:r>
          </w:p>
        </w:tc>
        <w:tc>
          <w:tcPr>
            <w:tcW w:w="955" w:type="dxa"/>
            <w:tcBorders>
              <w:top w:val="nil"/>
              <w:left w:val="nil"/>
              <w:bottom w:val="single" w:sz="4" w:space="0" w:color="auto"/>
              <w:right w:val="single" w:sz="4" w:space="0" w:color="auto"/>
            </w:tcBorders>
            <w:vAlign w:val="center"/>
            <w:hideMark/>
          </w:tcPr>
          <w:p w14:paraId="77BE859C"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100</w:t>
            </w:r>
          </w:p>
        </w:tc>
        <w:tc>
          <w:tcPr>
            <w:tcW w:w="1442" w:type="dxa"/>
            <w:tcBorders>
              <w:top w:val="nil"/>
              <w:left w:val="nil"/>
              <w:bottom w:val="single" w:sz="4" w:space="0" w:color="auto"/>
              <w:right w:val="single" w:sz="4" w:space="0" w:color="auto"/>
            </w:tcBorders>
            <w:vAlign w:val="center"/>
            <w:hideMark/>
          </w:tcPr>
          <w:p w14:paraId="6318B16C"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23</w:t>
            </w:r>
          </w:p>
        </w:tc>
        <w:tc>
          <w:tcPr>
            <w:tcW w:w="1224" w:type="dxa"/>
            <w:tcBorders>
              <w:top w:val="nil"/>
              <w:left w:val="nil"/>
              <w:bottom w:val="single" w:sz="4" w:space="0" w:color="auto"/>
              <w:right w:val="single" w:sz="4" w:space="0" w:color="auto"/>
            </w:tcBorders>
            <w:vAlign w:val="center"/>
            <w:hideMark/>
          </w:tcPr>
          <w:p w14:paraId="455B70E6"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261</w:t>
            </w:r>
          </w:p>
        </w:tc>
        <w:tc>
          <w:tcPr>
            <w:tcW w:w="851" w:type="dxa"/>
            <w:tcBorders>
              <w:top w:val="nil"/>
              <w:left w:val="nil"/>
              <w:bottom w:val="single" w:sz="4" w:space="0" w:color="auto"/>
              <w:right w:val="single" w:sz="4" w:space="0" w:color="auto"/>
            </w:tcBorders>
            <w:vAlign w:val="center"/>
            <w:hideMark/>
          </w:tcPr>
          <w:p w14:paraId="6006FA46"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82</w:t>
            </w:r>
          </w:p>
        </w:tc>
        <w:tc>
          <w:tcPr>
            <w:tcW w:w="1070" w:type="dxa"/>
            <w:tcBorders>
              <w:top w:val="nil"/>
              <w:left w:val="nil"/>
              <w:bottom w:val="single" w:sz="4" w:space="0" w:color="auto"/>
              <w:right w:val="single" w:sz="4" w:space="0" w:color="auto"/>
            </w:tcBorders>
            <w:vAlign w:val="center"/>
            <w:hideMark/>
          </w:tcPr>
          <w:p w14:paraId="06BC3DA7"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1072</w:t>
            </w:r>
          </w:p>
        </w:tc>
        <w:tc>
          <w:tcPr>
            <w:tcW w:w="954" w:type="dxa"/>
            <w:tcBorders>
              <w:top w:val="nil"/>
              <w:left w:val="nil"/>
              <w:bottom w:val="single" w:sz="4" w:space="0" w:color="auto"/>
              <w:right w:val="single" w:sz="4" w:space="0" w:color="auto"/>
            </w:tcBorders>
            <w:vAlign w:val="center"/>
            <w:hideMark/>
          </w:tcPr>
          <w:p w14:paraId="7E95EA8F"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284</w:t>
            </w:r>
          </w:p>
        </w:tc>
        <w:tc>
          <w:tcPr>
            <w:tcW w:w="915" w:type="dxa"/>
            <w:tcBorders>
              <w:top w:val="nil"/>
              <w:left w:val="nil"/>
              <w:bottom w:val="single" w:sz="4" w:space="0" w:color="auto"/>
              <w:right w:val="single" w:sz="4" w:space="0" w:color="auto"/>
            </w:tcBorders>
            <w:vAlign w:val="center"/>
            <w:hideMark/>
          </w:tcPr>
          <w:p w14:paraId="5854674F"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32</w:t>
            </w:r>
          </w:p>
        </w:tc>
        <w:tc>
          <w:tcPr>
            <w:tcW w:w="1070" w:type="dxa"/>
            <w:tcBorders>
              <w:top w:val="nil"/>
              <w:left w:val="nil"/>
              <w:bottom w:val="single" w:sz="4" w:space="0" w:color="auto"/>
              <w:right w:val="single" w:sz="4" w:space="0" w:color="auto"/>
            </w:tcBorders>
            <w:vAlign w:val="center"/>
            <w:hideMark/>
          </w:tcPr>
          <w:p w14:paraId="390C292D"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533</w:t>
            </w:r>
          </w:p>
        </w:tc>
        <w:tc>
          <w:tcPr>
            <w:tcW w:w="1070" w:type="dxa"/>
            <w:tcBorders>
              <w:top w:val="nil"/>
              <w:left w:val="nil"/>
              <w:bottom w:val="single" w:sz="4" w:space="0" w:color="auto"/>
              <w:right w:val="single" w:sz="4" w:space="0" w:color="auto"/>
            </w:tcBorders>
            <w:vAlign w:val="center"/>
            <w:hideMark/>
          </w:tcPr>
          <w:p w14:paraId="22947745"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1921</w:t>
            </w:r>
          </w:p>
        </w:tc>
      </w:tr>
      <w:tr w:rsidR="00F75806" w:rsidRPr="00F75806" w14:paraId="51DF4707" w14:textId="77777777" w:rsidTr="00C91D91">
        <w:trPr>
          <w:trHeight w:val="19"/>
        </w:trPr>
        <w:tc>
          <w:tcPr>
            <w:tcW w:w="1351" w:type="dxa"/>
            <w:tcBorders>
              <w:top w:val="nil"/>
              <w:left w:val="single" w:sz="4" w:space="0" w:color="auto"/>
              <w:bottom w:val="single" w:sz="4" w:space="0" w:color="auto"/>
              <w:right w:val="single" w:sz="4" w:space="0" w:color="auto"/>
            </w:tcBorders>
            <w:vAlign w:val="center"/>
            <w:hideMark/>
          </w:tcPr>
          <w:p w14:paraId="6BEC9A32" w14:textId="5D672909" w:rsidR="00F75806" w:rsidRPr="00F75806" w:rsidRDefault="00F75806" w:rsidP="00F75806">
            <w:pPr>
              <w:spacing w:after="0" w:line="240" w:lineRule="auto"/>
              <w:jc w:val="center"/>
              <w:rPr>
                <w:rFonts w:ascii="Aptos" w:eastAsia="Times New Roman" w:hAnsi="Aptos" w:cs="Times New Roman"/>
                <w:color w:val="000000"/>
                <w:kern w:val="0"/>
                <w:szCs w:val="24"/>
                <w:lang w:eastAsia="en-IN"/>
                <w14:ligatures w14:val="none"/>
              </w:rPr>
            </w:pPr>
          </w:p>
        </w:tc>
        <w:tc>
          <w:tcPr>
            <w:tcW w:w="1454" w:type="dxa"/>
            <w:tcBorders>
              <w:top w:val="nil"/>
              <w:left w:val="nil"/>
              <w:bottom w:val="single" w:sz="4" w:space="0" w:color="auto"/>
              <w:right w:val="single" w:sz="4" w:space="0" w:color="auto"/>
            </w:tcBorders>
            <w:vAlign w:val="center"/>
            <w:hideMark/>
          </w:tcPr>
          <w:p w14:paraId="6EE46D84" w14:textId="77777777" w:rsidR="00F75806" w:rsidRPr="00F75806" w:rsidRDefault="00F75806" w:rsidP="00F75806">
            <w:pPr>
              <w:spacing w:after="0" w:line="240" w:lineRule="auto"/>
              <w:jc w:val="center"/>
              <w:rPr>
                <w:rFonts w:ascii="Aptos" w:eastAsia="Times New Roman" w:hAnsi="Aptos" w:cs="Times New Roman"/>
                <w:color w:val="000000"/>
                <w:kern w:val="0"/>
                <w:szCs w:val="24"/>
                <w:lang w:eastAsia="en-IN"/>
                <w14:ligatures w14:val="none"/>
              </w:rPr>
            </w:pPr>
            <w:r w:rsidRPr="00F75806">
              <w:rPr>
                <w:rFonts w:ascii="Aptos" w:eastAsia="Times New Roman" w:hAnsi="Aptos" w:cs="Times New Roman"/>
                <w:color w:val="000000"/>
                <w:kern w:val="0"/>
                <w:szCs w:val="24"/>
                <w:lang w:eastAsia="en-IN"/>
                <w14:ligatures w14:val="none"/>
              </w:rPr>
              <w:t>-</w:t>
            </w:r>
          </w:p>
        </w:tc>
        <w:tc>
          <w:tcPr>
            <w:tcW w:w="1070" w:type="dxa"/>
            <w:tcBorders>
              <w:top w:val="nil"/>
              <w:left w:val="nil"/>
              <w:bottom w:val="single" w:sz="4" w:space="0" w:color="auto"/>
              <w:right w:val="single" w:sz="4" w:space="0" w:color="auto"/>
            </w:tcBorders>
            <w:vAlign w:val="center"/>
            <w:hideMark/>
          </w:tcPr>
          <w:p w14:paraId="4C4A5CCF" w14:textId="63D55BD7"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19</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5</w:t>
            </w:r>
          </w:p>
        </w:tc>
        <w:tc>
          <w:tcPr>
            <w:tcW w:w="851" w:type="dxa"/>
            <w:tcBorders>
              <w:top w:val="nil"/>
              <w:left w:val="nil"/>
              <w:bottom w:val="single" w:sz="4" w:space="0" w:color="auto"/>
              <w:right w:val="single" w:sz="4" w:space="0" w:color="auto"/>
            </w:tcBorders>
            <w:vAlign w:val="center"/>
            <w:hideMark/>
          </w:tcPr>
          <w:p w14:paraId="5BD754C7" w14:textId="0B3133D4"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12</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0</w:t>
            </w:r>
          </w:p>
        </w:tc>
        <w:tc>
          <w:tcPr>
            <w:tcW w:w="955" w:type="dxa"/>
            <w:tcBorders>
              <w:top w:val="nil"/>
              <w:left w:val="nil"/>
              <w:bottom w:val="single" w:sz="4" w:space="0" w:color="auto"/>
              <w:right w:val="single" w:sz="4" w:space="0" w:color="auto"/>
            </w:tcBorders>
            <w:vAlign w:val="center"/>
            <w:hideMark/>
          </w:tcPr>
          <w:p w14:paraId="6EDC3F7D" w14:textId="799E14FE"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5</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2</w:t>
            </w:r>
          </w:p>
        </w:tc>
        <w:tc>
          <w:tcPr>
            <w:tcW w:w="1442" w:type="dxa"/>
            <w:tcBorders>
              <w:top w:val="nil"/>
              <w:left w:val="nil"/>
              <w:bottom w:val="single" w:sz="4" w:space="0" w:color="auto"/>
              <w:right w:val="single" w:sz="4" w:space="0" w:color="auto"/>
            </w:tcBorders>
            <w:vAlign w:val="center"/>
            <w:hideMark/>
          </w:tcPr>
          <w:p w14:paraId="127C9F84" w14:textId="40985154"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1</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2</w:t>
            </w:r>
          </w:p>
        </w:tc>
        <w:tc>
          <w:tcPr>
            <w:tcW w:w="1224" w:type="dxa"/>
            <w:tcBorders>
              <w:top w:val="nil"/>
              <w:left w:val="nil"/>
              <w:bottom w:val="single" w:sz="4" w:space="0" w:color="auto"/>
              <w:right w:val="single" w:sz="4" w:space="0" w:color="auto"/>
            </w:tcBorders>
            <w:vAlign w:val="center"/>
            <w:hideMark/>
          </w:tcPr>
          <w:p w14:paraId="52003D3B" w14:textId="2E74E380"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13</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6</w:t>
            </w:r>
          </w:p>
        </w:tc>
        <w:tc>
          <w:tcPr>
            <w:tcW w:w="851" w:type="dxa"/>
            <w:tcBorders>
              <w:top w:val="nil"/>
              <w:left w:val="nil"/>
              <w:bottom w:val="single" w:sz="4" w:space="0" w:color="auto"/>
              <w:right w:val="single" w:sz="4" w:space="0" w:color="auto"/>
            </w:tcBorders>
            <w:vAlign w:val="center"/>
            <w:hideMark/>
          </w:tcPr>
          <w:p w14:paraId="6E39D5B3" w14:textId="55487320"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4</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3</w:t>
            </w:r>
          </w:p>
        </w:tc>
        <w:tc>
          <w:tcPr>
            <w:tcW w:w="1070" w:type="dxa"/>
            <w:tcBorders>
              <w:top w:val="nil"/>
              <w:left w:val="nil"/>
              <w:bottom w:val="single" w:sz="4" w:space="0" w:color="auto"/>
              <w:right w:val="single" w:sz="4" w:space="0" w:color="auto"/>
            </w:tcBorders>
            <w:vAlign w:val="center"/>
            <w:hideMark/>
          </w:tcPr>
          <w:p w14:paraId="3BC828FE" w14:textId="5775735B"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55</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8</w:t>
            </w:r>
          </w:p>
        </w:tc>
        <w:tc>
          <w:tcPr>
            <w:tcW w:w="954" w:type="dxa"/>
            <w:tcBorders>
              <w:top w:val="nil"/>
              <w:left w:val="nil"/>
              <w:bottom w:val="single" w:sz="4" w:space="0" w:color="auto"/>
              <w:right w:val="single" w:sz="4" w:space="0" w:color="auto"/>
            </w:tcBorders>
            <w:vAlign w:val="center"/>
            <w:hideMark/>
          </w:tcPr>
          <w:p w14:paraId="08D96095" w14:textId="4FD75701"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14</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8</w:t>
            </w:r>
          </w:p>
        </w:tc>
        <w:tc>
          <w:tcPr>
            <w:tcW w:w="915" w:type="dxa"/>
            <w:tcBorders>
              <w:top w:val="nil"/>
              <w:left w:val="nil"/>
              <w:bottom w:val="single" w:sz="4" w:space="0" w:color="auto"/>
              <w:right w:val="single" w:sz="4" w:space="0" w:color="auto"/>
            </w:tcBorders>
            <w:vAlign w:val="center"/>
            <w:hideMark/>
          </w:tcPr>
          <w:p w14:paraId="165AF279" w14:textId="13319F40"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1</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7</w:t>
            </w:r>
          </w:p>
        </w:tc>
        <w:tc>
          <w:tcPr>
            <w:tcW w:w="1070" w:type="dxa"/>
            <w:tcBorders>
              <w:top w:val="nil"/>
              <w:left w:val="nil"/>
              <w:bottom w:val="single" w:sz="4" w:space="0" w:color="auto"/>
              <w:right w:val="single" w:sz="4" w:space="0" w:color="auto"/>
            </w:tcBorders>
            <w:vAlign w:val="center"/>
            <w:hideMark/>
          </w:tcPr>
          <w:p w14:paraId="3A14C43B" w14:textId="71B72493"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27</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7</w:t>
            </w:r>
          </w:p>
        </w:tc>
        <w:tc>
          <w:tcPr>
            <w:tcW w:w="1070" w:type="dxa"/>
            <w:tcBorders>
              <w:top w:val="nil"/>
              <w:left w:val="nil"/>
              <w:bottom w:val="single" w:sz="4" w:space="0" w:color="auto"/>
              <w:right w:val="single" w:sz="4" w:space="0" w:color="auto"/>
            </w:tcBorders>
            <w:vAlign w:val="center"/>
            <w:hideMark/>
          </w:tcPr>
          <w:p w14:paraId="49B8CEB8" w14:textId="599E1363" w:rsidR="00F75806" w:rsidRPr="00F75806" w:rsidRDefault="00F75806" w:rsidP="00F75806">
            <w:pPr>
              <w:spacing w:after="0" w:line="240" w:lineRule="auto"/>
              <w:jc w:val="center"/>
              <w:rPr>
                <w:rFonts w:ascii="Aptos" w:eastAsia="Times New Roman" w:hAnsi="Aptos" w:cs="Times New Roman"/>
                <w:color w:val="000000"/>
                <w:kern w:val="0"/>
                <w:szCs w:val="24"/>
                <w:lang w:eastAsia="en-IN"/>
                <w14:ligatures w14:val="none"/>
              </w:rPr>
            </w:pPr>
          </w:p>
        </w:tc>
      </w:tr>
      <w:tr w:rsidR="00F75806" w:rsidRPr="00F75806" w14:paraId="2D281E71" w14:textId="77777777" w:rsidTr="00C91D91">
        <w:trPr>
          <w:trHeight w:val="19"/>
        </w:trPr>
        <w:tc>
          <w:tcPr>
            <w:tcW w:w="1351" w:type="dxa"/>
            <w:tcBorders>
              <w:top w:val="nil"/>
              <w:left w:val="single" w:sz="4" w:space="0" w:color="auto"/>
              <w:bottom w:val="single" w:sz="4" w:space="0" w:color="auto"/>
              <w:right w:val="single" w:sz="4" w:space="0" w:color="auto"/>
            </w:tcBorders>
            <w:vAlign w:val="center"/>
            <w:hideMark/>
          </w:tcPr>
          <w:p w14:paraId="7DB4BDBE"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Madras</w:t>
            </w:r>
          </w:p>
        </w:tc>
        <w:tc>
          <w:tcPr>
            <w:tcW w:w="1454" w:type="dxa"/>
            <w:tcBorders>
              <w:top w:val="nil"/>
              <w:left w:val="nil"/>
              <w:bottom w:val="single" w:sz="4" w:space="0" w:color="auto"/>
              <w:right w:val="single" w:sz="4" w:space="0" w:color="auto"/>
            </w:tcBorders>
            <w:vAlign w:val="center"/>
            <w:hideMark/>
          </w:tcPr>
          <w:p w14:paraId="19E018F0"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w:t>
            </w:r>
          </w:p>
        </w:tc>
        <w:tc>
          <w:tcPr>
            <w:tcW w:w="1070" w:type="dxa"/>
            <w:tcBorders>
              <w:top w:val="nil"/>
              <w:left w:val="nil"/>
              <w:bottom w:val="single" w:sz="4" w:space="0" w:color="auto"/>
              <w:right w:val="single" w:sz="4" w:space="0" w:color="auto"/>
            </w:tcBorders>
            <w:vAlign w:val="center"/>
            <w:hideMark/>
          </w:tcPr>
          <w:p w14:paraId="45296CDA"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694</w:t>
            </w:r>
          </w:p>
        </w:tc>
        <w:tc>
          <w:tcPr>
            <w:tcW w:w="851" w:type="dxa"/>
            <w:tcBorders>
              <w:top w:val="nil"/>
              <w:left w:val="nil"/>
              <w:bottom w:val="single" w:sz="4" w:space="0" w:color="auto"/>
              <w:right w:val="single" w:sz="4" w:space="0" w:color="auto"/>
            </w:tcBorders>
            <w:vAlign w:val="center"/>
            <w:hideMark/>
          </w:tcPr>
          <w:p w14:paraId="6141D3D7"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55</w:t>
            </w:r>
          </w:p>
        </w:tc>
        <w:tc>
          <w:tcPr>
            <w:tcW w:w="955" w:type="dxa"/>
            <w:tcBorders>
              <w:top w:val="nil"/>
              <w:left w:val="nil"/>
              <w:bottom w:val="single" w:sz="4" w:space="0" w:color="auto"/>
              <w:right w:val="single" w:sz="4" w:space="0" w:color="auto"/>
            </w:tcBorders>
            <w:vAlign w:val="center"/>
            <w:hideMark/>
          </w:tcPr>
          <w:p w14:paraId="3568C77B"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488</w:t>
            </w:r>
          </w:p>
        </w:tc>
        <w:tc>
          <w:tcPr>
            <w:tcW w:w="1442" w:type="dxa"/>
            <w:tcBorders>
              <w:top w:val="nil"/>
              <w:left w:val="nil"/>
              <w:bottom w:val="single" w:sz="4" w:space="0" w:color="auto"/>
              <w:right w:val="single" w:sz="4" w:space="0" w:color="auto"/>
            </w:tcBorders>
            <w:vAlign w:val="center"/>
            <w:hideMark/>
          </w:tcPr>
          <w:p w14:paraId="0FB99480"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108</w:t>
            </w:r>
          </w:p>
        </w:tc>
        <w:tc>
          <w:tcPr>
            <w:tcW w:w="1224" w:type="dxa"/>
            <w:tcBorders>
              <w:top w:val="nil"/>
              <w:left w:val="nil"/>
              <w:bottom w:val="single" w:sz="4" w:space="0" w:color="auto"/>
              <w:right w:val="single" w:sz="4" w:space="0" w:color="auto"/>
            </w:tcBorders>
            <w:vAlign w:val="center"/>
            <w:hideMark/>
          </w:tcPr>
          <w:p w14:paraId="5D82ABAB"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1675</w:t>
            </w:r>
          </w:p>
        </w:tc>
        <w:tc>
          <w:tcPr>
            <w:tcW w:w="851" w:type="dxa"/>
            <w:tcBorders>
              <w:top w:val="nil"/>
              <w:left w:val="nil"/>
              <w:bottom w:val="single" w:sz="4" w:space="0" w:color="auto"/>
              <w:right w:val="single" w:sz="4" w:space="0" w:color="auto"/>
            </w:tcBorders>
            <w:vAlign w:val="center"/>
            <w:hideMark/>
          </w:tcPr>
          <w:p w14:paraId="7900AFA9"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569</w:t>
            </w:r>
          </w:p>
        </w:tc>
        <w:tc>
          <w:tcPr>
            <w:tcW w:w="1070" w:type="dxa"/>
            <w:tcBorders>
              <w:top w:val="nil"/>
              <w:left w:val="nil"/>
              <w:bottom w:val="single" w:sz="4" w:space="0" w:color="auto"/>
              <w:right w:val="single" w:sz="4" w:space="0" w:color="auto"/>
            </w:tcBorders>
            <w:vAlign w:val="center"/>
            <w:hideMark/>
          </w:tcPr>
          <w:p w14:paraId="2A5FDFDB"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3589</w:t>
            </w:r>
          </w:p>
        </w:tc>
        <w:tc>
          <w:tcPr>
            <w:tcW w:w="954" w:type="dxa"/>
            <w:tcBorders>
              <w:top w:val="nil"/>
              <w:left w:val="nil"/>
              <w:bottom w:val="single" w:sz="4" w:space="0" w:color="auto"/>
              <w:right w:val="single" w:sz="4" w:space="0" w:color="auto"/>
            </w:tcBorders>
            <w:vAlign w:val="center"/>
            <w:hideMark/>
          </w:tcPr>
          <w:p w14:paraId="3B1B98F8"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829</w:t>
            </w:r>
          </w:p>
        </w:tc>
        <w:tc>
          <w:tcPr>
            <w:tcW w:w="915" w:type="dxa"/>
            <w:tcBorders>
              <w:top w:val="nil"/>
              <w:left w:val="nil"/>
              <w:bottom w:val="single" w:sz="4" w:space="0" w:color="auto"/>
              <w:right w:val="single" w:sz="4" w:space="0" w:color="auto"/>
            </w:tcBorders>
            <w:vAlign w:val="center"/>
            <w:hideMark/>
          </w:tcPr>
          <w:p w14:paraId="2CC835B7"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20</w:t>
            </w:r>
          </w:p>
        </w:tc>
        <w:tc>
          <w:tcPr>
            <w:tcW w:w="1070" w:type="dxa"/>
            <w:tcBorders>
              <w:top w:val="nil"/>
              <w:left w:val="nil"/>
              <w:bottom w:val="single" w:sz="4" w:space="0" w:color="auto"/>
              <w:right w:val="single" w:sz="4" w:space="0" w:color="auto"/>
            </w:tcBorders>
            <w:vAlign w:val="center"/>
            <w:hideMark/>
          </w:tcPr>
          <w:p w14:paraId="17C17C3C"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1378</w:t>
            </w:r>
          </w:p>
        </w:tc>
        <w:tc>
          <w:tcPr>
            <w:tcW w:w="1070" w:type="dxa"/>
            <w:tcBorders>
              <w:top w:val="nil"/>
              <w:left w:val="nil"/>
              <w:bottom w:val="single" w:sz="4" w:space="0" w:color="auto"/>
              <w:right w:val="single" w:sz="4" w:space="0" w:color="auto"/>
            </w:tcBorders>
            <w:vAlign w:val="center"/>
            <w:hideMark/>
          </w:tcPr>
          <w:p w14:paraId="74C7B999"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5816</w:t>
            </w:r>
          </w:p>
        </w:tc>
      </w:tr>
      <w:tr w:rsidR="00F75806" w:rsidRPr="00F75806" w14:paraId="12533103" w14:textId="77777777" w:rsidTr="00C91D91">
        <w:trPr>
          <w:trHeight w:val="19"/>
        </w:trPr>
        <w:tc>
          <w:tcPr>
            <w:tcW w:w="1351" w:type="dxa"/>
            <w:tcBorders>
              <w:top w:val="nil"/>
              <w:left w:val="single" w:sz="4" w:space="0" w:color="auto"/>
              <w:bottom w:val="single" w:sz="4" w:space="0" w:color="auto"/>
              <w:right w:val="single" w:sz="4" w:space="0" w:color="auto"/>
            </w:tcBorders>
            <w:vAlign w:val="center"/>
            <w:hideMark/>
          </w:tcPr>
          <w:p w14:paraId="77249244" w14:textId="205AA3FE" w:rsidR="00F75806" w:rsidRPr="00F75806" w:rsidRDefault="00F75806" w:rsidP="00F75806">
            <w:pPr>
              <w:spacing w:after="0" w:line="240" w:lineRule="auto"/>
              <w:jc w:val="center"/>
              <w:rPr>
                <w:rFonts w:ascii="Aptos" w:eastAsia="Times New Roman" w:hAnsi="Aptos" w:cs="Times New Roman"/>
                <w:color w:val="000000"/>
                <w:kern w:val="0"/>
                <w:szCs w:val="24"/>
                <w:lang w:eastAsia="en-IN"/>
                <w14:ligatures w14:val="none"/>
              </w:rPr>
            </w:pPr>
          </w:p>
        </w:tc>
        <w:tc>
          <w:tcPr>
            <w:tcW w:w="1454" w:type="dxa"/>
            <w:tcBorders>
              <w:top w:val="nil"/>
              <w:left w:val="nil"/>
              <w:bottom w:val="single" w:sz="4" w:space="0" w:color="auto"/>
              <w:right w:val="single" w:sz="4" w:space="0" w:color="auto"/>
            </w:tcBorders>
            <w:vAlign w:val="center"/>
            <w:hideMark/>
          </w:tcPr>
          <w:p w14:paraId="510C23E7" w14:textId="77777777" w:rsidR="00F75806" w:rsidRPr="00F75806" w:rsidRDefault="00F75806" w:rsidP="00F75806">
            <w:pPr>
              <w:spacing w:after="0" w:line="240" w:lineRule="auto"/>
              <w:jc w:val="center"/>
              <w:rPr>
                <w:rFonts w:ascii="Aptos" w:eastAsia="Times New Roman" w:hAnsi="Aptos" w:cs="Times New Roman"/>
                <w:color w:val="000000"/>
                <w:kern w:val="0"/>
                <w:szCs w:val="24"/>
                <w:lang w:eastAsia="en-IN"/>
                <w14:ligatures w14:val="none"/>
              </w:rPr>
            </w:pPr>
            <w:r w:rsidRPr="00F75806">
              <w:rPr>
                <w:rFonts w:ascii="Aptos" w:eastAsia="Times New Roman" w:hAnsi="Aptos" w:cs="Times New Roman"/>
                <w:color w:val="000000"/>
                <w:kern w:val="0"/>
                <w:szCs w:val="24"/>
                <w:lang w:eastAsia="en-IN"/>
                <w14:ligatures w14:val="none"/>
              </w:rPr>
              <w:t>-</w:t>
            </w:r>
          </w:p>
        </w:tc>
        <w:tc>
          <w:tcPr>
            <w:tcW w:w="1070" w:type="dxa"/>
            <w:tcBorders>
              <w:top w:val="nil"/>
              <w:left w:val="nil"/>
              <w:bottom w:val="single" w:sz="4" w:space="0" w:color="auto"/>
              <w:right w:val="single" w:sz="4" w:space="0" w:color="auto"/>
            </w:tcBorders>
            <w:vAlign w:val="center"/>
            <w:hideMark/>
          </w:tcPr>
          <w:p w14:paraId="59CA2FA8" w14:textId="1A0322CD"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11</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9</w:t>
            </w:r>
          </w:p>
        </w:tc>
        <w:tc>
          <w:tcPr>
            <w:tcW w:w="851" w:type="dxa"/>
            <w:tcBorders>
              <w:top w:val="nil"/>
              <w:left w:val="nil"/>
              <w:bottom w:val="single" w:sz="4" w:space="0" w:color="auto"/>
              <w:right w:val="single" w:sz="4" w:space="0" w:color="auto"/>
            </w:tcBorders>
            <w:vAlign w:val="center"/>
            <w:hideMark/>
          </w:tcPr>
          <w:p w14:paraId="3C931899" w14:textId="055ACEA5"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1</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0</w:t>
            </w:r>
          </w:p>
        </w:tc>
        <w:tc>
          <w:tcPr>
            <w:tcW w:w="955" w:type="dxa"/>
            <w:tcBorders>
              <w:top w:val="nil"/>
              <w:left w:val="nil"/>
              <w:bottom w:val="single" w:sz="4" w:space="0" w:color="auto"/>
              <w:right w:val="single" w:sz="4" w:space="0" w:color="auto"/>
            </w:tcBorders>
            <w:vAlign w:val="center"/>
            <w:hideMark/>
          </w:tcPr>
          <w:p w14:paraId="722373E1" w14:textId="07B63DF3"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8</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4</w:t>
            </w:r>
          </w:p>
        </w:tc>
        <w:tc>
          <w:tcPr>
            <w:tcW w:w="1442" w:type="dxa"/>
            <w:tcBorders>
              <w:top w:val="nil"/>
              <w:left w:val="nil"/>
              <w:bottom w:val="single" w:sz="4" w:space="0" w:color="auto"/>
              <w:right w:val="single" w:sz="4" w:space="0" w:color="auto"/>
            </w:tcBorders>
            <w:vAlign w:val="center"/>
            <w:hideMark/>
          </w:tcPr>
          <w:p w14:paraId="552177D2" w14:textId="75735AFB"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1</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9</w:t>
            </w:r>
          </w:p>
        </w:tc>
        <w:tc>
          <w:tcPr>
            <w:tcW w:w="1224" w:type="dxa"/>
            <w:tcBorders>
              <w:top w:val="nil"/>
              <w:left w:val="nil"/>
              <w:bottom w:val="single" w:sz="4" w:space="0" w:color="auto"/>
              <w:right w:val="single" w:sz="4" w:space="0" w:color="auto"/>
            </w:tcBorders>
            <w:vAlign w:val="center"/>
            <w:hideMark/>
          </w:tcPr>
          <w:p w14:paraId="7FFEA181" w14:textId="657648DD"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28</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8</w:t>
            </w:r>
          </w:p>
        </w:tc>
        <w:tc>
          <w:tcPr>
            <w:tcW w:w="851" w:type="dxa"/>
            <w:tcBorders>
              <w:top w:val="nil"/>
              <w:left w:val="nil"/>
              <w:bottom w:val="single" w:sz="4" w:space="0" w:color="auto"/>
              <w:right w:val="single" w:sz="4" w:space="0" w:color="auto"/>
            </w:tcBorders>
            <w:vAlign w:val="center"/>
            <w:hideMark/>
          </w:tcPr>
          <w:p w14:paraId="6686D97B" w14:textId="05D645E4"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9</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7</w:t>
            </w:r>
          </w:p>
        </w:tc>
        <w:tc>
          <w:tcPr>
            <w:tcW w:w="1070" w:type="dxa"/>
            <w:tcBorders>
              <w:top w:val="nil"/>
              <w:left w:val="nil"/>
              <w:bottom w:val="single" w:sz="4" w:space="0" w:color="auto"/>
              <w:right w:val="single" w:sz="4" w:space="0" w:color="auto"/>
            </w:tcBorders>
            <w:vAlign w:val="center"/>
            <w:hideMark/>
          </w:tcPr>
          <w:p w14:paraId="5E523B31" w14:textId="0843FC1F"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61</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7</w:t>
            </w:r>
          </w:p>
        </w:tc>
        <w:tc>
          <w:tcPr>
            <w:tcW w:w="954" w:type="dxa"/>
            <w:tcBorders>
              <w:top w:val="nil"/>
              <w:left w:val="nil"/>
              <w:bottom w:val="single" w:sz="4" w:space="0" w:color="auto"/>
              <w:right w:val="single" w:sz="4" w:space="0" w:color="auto"/>
            </w:tcBorders>
            <w:vAlign w:val="center"/>
            <w:hideMark/>
          </w:tcPr>
          <w:p w14:paraId="13B5BC24" w14:textId="332BDEE5"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14</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3</w:t>
            </w:r>
          </w:p>
        </w:tc>
        <w:tc>
          <w:tcPr>
            <w:tcW w:w="915" w:type="dxa"/>
            <w:tcBorders>
              <w:top w:val="nil"/>
              <w:left w:val="nil"/>
              <w:bottom w:val="single" w:sz="4" w:space="0" w:color="auto"/>
              <w:right w:val="single" w:sz="4" w:space="0" w:color="auto"/>
            </w:tcBorders>
            <w:vAlign w:val="center"/>
            <w:hideMark/>
          </w:tcPr>
          <w:p w14:paraId="3DFF75CA" w14:textId="3512C26C"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0</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3</w:t>
            </w:r>
          </w:p>
        </w:tc>
        <w:tc>
          <w:tcPr>
            <w:tcW w:w="1070" w:type="dxa"/>
            <w:tcBorders>
              <w:top w:val="nil"/>
              <w:left w:val="nil"/>
              <w:bottom w:val="single" w:sz="4" w:space="0" w:color="auto"/>
              <w:right w:val="single" w:sz="4" w:space="0" w:color="auto"/>
            </w:tcBorders>
            <w:vAlign w:val="center"/>
            <w:hideMark/>
          </w:tcPr>
          <w:p w14:paraId="0C568F84" w14:textId="2BB96ACC"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23</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7</w:t>
            </w:r>
          </w:p>
        </w:tc>
        <w:tc>
          <w:tcPr>
            <w:tcW w:w="1070" w:type="dxa"/>
            <w:tcBorders>
              <w:top w:val="nil"/>
              <w:left w:val="nil"/>
              <w:bottom w:val="single" w:sz="4" w:space="0" w:color="auto"/>
              <w:right w:val="single" w:sz="4" w:space="0" w:color="auto"/>
            </w:tcBorders>
            <w:vAlign w:val="center"/>
            <w:hideMark/>
          </w:tcPr>
          <w:p w14:paraId="6FCC7937" w14:textId="505217BF" w:rsidR="00F75806" w:rsidRPr="00F75806" w:rsidRDefault="00F75806" w:rsidP="00F75806">
            <w:pPr>
              <w:spacing w:after="0" w:line="240" w:lineRule="auto"/>
              <w:jc w:val="center"/>
              <w:rPr>
                <w:rFonts w:ascii="Aptos" w:eastAsia="Times New Roman" w:hAnsi="Aptos" w:cs="Times New Roman"/>
                <w:color w:val="000000"/>
                <w:kern w:val="0"/>
                <w:szCs w:val="24"/>
                <w:lang w:eastAsia="en-IN"/>
                <w14:ligatures w14:val="none"/>
              </w:rPr>
            </w:pPr>
          </w:p>
        </w:tc>
      </w:tr>
      <w:tr w:rsidR="00F75806" w:rsidRPr="00F75806" w14:paraId="5B83701B" w14:textId="77777777" w:rsidTr="00C91D91">
        <w:trPr>
          <w:trHeight w:val="19"/>
        </w:trPr>
        <w:tc>
          <w:tcPr>
            <w:tcW w:w="1351" w:type="dxa"/>
            <w:tcBorders>
              <w:top w:val="nil"/>
              <w:left w:val="single" w:sz="4" w:space="0" w:color="auto"/>
              <w:bottom w:val="single" w:sz="4" w:space="0" w:color="auto"/>
              <w:right w:val="single" w:sz="4" w:space="0" w:color="auto"/>
            </w:tcBorders>
            <w:vAlign w:val="center"/>
            <w:hideMark/>
          </w:tcPr>
          <w:p w14:paraId="1C8C07A6"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Orissa</w:t>
            </w:r>
          </w:p>
        </w:tc>
        <w:tc>
          <w:tcPr>
            <w:tcW w:w="1454" w:type="dxa"/>
            <w:tcBorders>
              <w:top w:val="nil"/>
              <w:left w:val="nil"/>
              <w:bottom w:val="single" w:sz="4" w:space="0" w:color="auto"/>
              <w:right w:val="single" w:sz="4" w:space="0" w:color="auto"/>
            </w:tcBorders>
            <w:vAlign w:val="center"/>
            <w:hideMark/>
          </w:tcPr>
          <w:p w14:paraId="430E30B0"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10</w:t>
            </w:r>
          </w:p>
        </w:tc>
        <w:tc>
          <w:tcPr>
            <w:tcW w:w="1070" w:type="dxa"/>
            <w:tcBorders>
              <w:top w:val="nil"/>
              <w:left w:val="nil"/>
              <w:bottom w:val="single" w:sz="4" w:space="0" w:color="auto"/>
              <w:right w:val="single" w:sz="4" w:space="0" w:color="auto"/>
            </w:tcBorders>
            <w:vAlign w:val="center"/>
            <w:hideMark/>
          </w:tcPr>
          <w:p w14:paraId="126EB16C"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103</w:t>
            </w:r>
          </w:p>
        </w:tc>
        <w:tc>
          <w:tcPr>
            <w:tcW w:w="851" w:type="dxa"/>
            <w:tcBorders>
              <w:top w:val="nil"/>
              <w:left w:val="nil"/>
              <w:bottom w:val="single" w:sz="4" w:space="0" w:color="auto"/>
              <w:right w:val="single" w:sz="4" w:space="0" w:color="auto"/>
            </w:tcBorders>
            <w:vAlign w:val="center"/>
            <w:hideMark/>
          </w:tcPr>
          <w:p w14:paraId="3B993BC6"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213</w:t>
            </w:r>
          </w:p>
        </w:tc>
        <w:tc>
          <w:tcPr>
            <w:tcW w:w="955" w:type="dxa"/>
            <w:tcBorders>
              <w:top w:val="nil"/>
              <w:left w:val="nil"/>
              <w:bottom w:val="single" w:sz="4" w:space="0" w:color="auto"/>
              <w:right w:val="single" w:sz="4" w:space="0" w:color="auto"/>
            </w:tcBorders>
            <w:vAlign w:val="center"/>
            <w:hideMark/>
          </w:tcPr>
          <w:p w14:paraId="0096F5F9"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65</w:t>
            </w:r>
          </w:p>
        </w:tc>
        <w:tc>
          <w:tcPr>
            <w:tcW w:w="1442" w:type="dxa"/>
            <w:tcBorders>
              <w:top w:val="nil"/>
              <w:left w:val="nil"/>
              <w:bottom w:val="single" w:sz="4" w:space="0" w:color="auto"/>
              <w:right w:val="single" w:sz="4" w:space="0" w:color="auto"/>
            </w:tcBorders>
            <w:vAlign w:val="center"/>
            <w:hideMark/>
          </w:tcPr>
          <w:p w14:paraId="3A66F92B"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8</w:t>
            </w:r>
          </w:p>
        </w:tc>
        <w:tc>
          <w:tcPr>
            <w:tcW w:w="1224" w:type="dxa"/>
            <w:tcBorders>
              <w:top w:val="nil"/>
              <w:left w:val="nil"/>
              <w:bottom w:val="single" w:sz="4" w:space="0" w:color="auto"/>
              <w:right w:val="single" w:sz="4" w:space="0" w:color="auto"/>
            </w:tcBorders>
            <w:vAlign w:val="center"/>
            <w:hideMark/>
          </w:tcPr>
          <w:p w14:paraId="1B71CACE"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93</w:t>
            </w:r>
          </w:p>
        </w:tc>
        <w:tc>
          <w:tcPr>
            <w:tcW w:w="851" w:type="dxa"/>
            <w:tcBorders>
              <w:top w:val="nil"/>
              <w:left w:val="nil"/>
              <w:bottom w:val="single" w:sz="4" w:space="0" w:color="auto"/>
              <w:right w:val="single" w:sz="4" w:space="0" w:color="auto"/>
            </w:tcBorders>
            <w:vAlign w:val="center"/>
            <w:hideMark/>
          </w:tcPr>
          <w:p w14:paraId="777DFA27"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17</w:t>
            </w:r>
          </w:p>
        </w:tc>
        <w:tc>
          <w:tcPr>
            <w:tcW w:w="1070" w:type="dxa"/>
            <w:tcBorders>
              <w:top w:val="nil"/>
              <w:left w:val="nil"/>
              <w:bottom w:val="single" w:sz="4" w:space="0" w:color="auto"/>
              <w:right w:val="single" w:sz="4" w:space="0" w:color="auto"/>
            </w:tcBorders>
            <w:vAlign w:val="center"/>
            <w:hideMark/>
          </w:tcPr>
          <w:p w14:paraId="36F2A8A6"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509</w:t>
            </w:r>
          </w:p>
        </w:tc>
        <w:tc>
          <w:tcPr>
            <w:tcW w:w="954" w:type="dxa"/>
            <w:tcBorders>
              <w:top w:val="nil"/>
              <w:left w:val="nil"/>
              <w:bottom w:val="single" w:sz="4" w:space="0" w:color="auto"/>
              <w:right w:val="single" w:sz="4" w:space="0" w:color="auto"/>
            </w:tcBorders>
            <w:vAlign w:val="center"/>
            <w:hideMark/>
          </w:tcPr>
          <w:p w14:paraId="163CB329"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142</w:t>
            </w:r>
          </w:p>
        </w:tc>
        <w:tc>
          <w:tcPr>
            <w:tcW w:w="915" w:type="dxa"/>
            <w:tcBorders>
              <w:top w:val="nil"/>
              <w:left w:val="nil"/>
              <w:bottom w:val="single" w:sz="4" w:space="0" w:color="auto"/>
              <w:right w:val="single" w:sz="4" w:space="0" w:color="auto"/>
            </w:tcBorders>
            <w:vAlign w:val="center"/>
            <w:hideMark/>
          </w:tcPr>
          <w:p w14:paraId="31B1F0FB"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116</w:t>
            </w:r>
          </w:p>
        </w:tc>
        <w:tc>
          <w:tcPr>
            <w:tcW w:w="1070" w:type="dxa"/>
            <w:tcBorders>
              <w:top w:val="nil"/>
              <w:left w:val="nil"/>
              <w:bottom w:val="single" w:sz="4" w:space="0" w:color="auto"/>
              <w:right w:val="single" w:sz="4" w:space="0" w:color="auto"/>
            </w:tcBorders>
            <w:vAlign w:val="center"/>
            <w:hideMark/>
          </w:tcPr>
          <w:p w14:paraId="127692CC"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264</w:t>
            </w:r>
          </w:p>
        </w:tc>
        <w:tc>
          <w:tcPr>
            <w:tcW w:w="1070" w:type="dxa"/>
            <w:tcBorders>
              <w:top w:val="nil"/>
              <w:left w:val="nil"/>
              <w:bottom w:val="single" w:sz="4" w:space="0" w:color="auto"/>
              <w:right w:val="single" w:sz="4" w:space="0" w:color="auto"/>
            </w:tcBorders>
            <w:vAlign w:val="center"/>
            <w:hideMark/>
          </w:tcPr>
          <w:p w14:paraId="69EA45C4"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1031</w:t>
            </w:r>
          </w:p>
        </w:tc>
      </w:tr>
      <w:tr w:rsidR="00F75806" w:rsidRPr="00F75806" w14:paraId="34DFE95F" w14:textId="77777777" w:rsidTr="00C91D91">
        <w:trPr>
          <w:trHeight w:val="19"/>
        </w:trPr>
        <w:tc>
          <w:tcPr>
            <w:tcW w:w="1351" w:type="dxa"/>
            <w:tcBorders>
              <w:top w:val="nil"/>
              <w:left w:val="single" w:sz="4" w:space="0" w:color="auto"/>
              <w:bottom w:val="single" w:sz="4" w:space="0" w:color="auto"/>
              <w:right w:val="single" w:sz="4" w:space="0" w:color="auto"/>
            </w:tcBorders>
            <w:vAlign w:val="center"/>
            <w:hideMark/>
          </w:tcPr>
          <w:p w14:paraId="5C7097F8" w14:textId="7865D75F" w:rsidR="00F75806" w:rsidRPr="00F75806" w:rsidRDefault="00F75806" w:rsidP="00F75806">
            <w:pPr>
              <w:spacing w:after="0" w:line="240" w:lineRule="auto"/>
              <w:jc w:val="center"/>
              <w:rPr>
                <w:rFonts w:ascii="Aptos" w:eastAsia="Times New Roman" w:hAnsi="Aptos" w:cs="Times New Roman"/>
                <w:color w:val="000000"/>
                <w:kern w:val="0"/>
                <w:szCs w:val="24"/>
                <w:lang w:eastAsia="en-IN"/>
                <w14:ligatures w14:val="none"/>
              </w:rPr>
            </w:pPr>
          </w:p>
        </w:tc>
        <w:tc>
          <w:tcPr>
            <w:tcW w:w="1454" w:type="dxa"/>
            <w:tcBorders>
              <w:top w:val="nil"/>
              <w:left w:val="nil"/>
              <w:bottom w:val="single" w:sz="4" w:space="0" w:color="auto"/>
              <w:right w:val="single" w:sz="4" w:space="0" w:color="auto"/>
            </w:tcBorders>
            <w:vAlign w:val="center"/>
            <w:hideMark/>
          </w:tcPr>
          <w:p w14:paraId="6682EEF7" w14:textId="0342EB7B"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1</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0</w:t>
            </w:r>
          </w:p>
        </w:tc>
        <w:tc>
          <w:tcPr>
            <w:tcW w:w="1070" w:type="dxa"/>
            <w:tcBorders>
              <w:top w:val="nil"/>
              <w:left w:val="nil"/>
              <w:bottom w:val="single" w:sz="4" w:space="0" w:color="auto"/>
              <w:right w:val="single" w:sz="4" w:space="0" w:color="auto"/>
            </w:tcBorders>
            <w:vAlign w:val="center"/>
            <w:hideMark/>
          </w:tcPr>
          <w:p w14:paraId="48166CD2" w14:textId="39507938"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10</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0</w:t>
            </w:r>
          </w:p>
        </w:tc>
        <w:tc>
          <w:tcPr>
            <w:tcW w:w="851" w:type="dxa"/>
            <w:tcBorders>
              <w:top w:val="nil"/>
              <w:left w:val="nil"/>
              <w:bottom w:val="single" w:sz="4" w:space="0" w:color="auto"/>
              <w:right w:val="single" w:sz="4" w:space="0" w:color="auto"/>
            </w:tcBorders>
            <w:vAlign w:val="center"/>
            <w:hideMark/>
          </w:tcPr>
          <w:p w14:paraId="1F598E21" w14:textId="5F472147"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20</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7</w:t>
            </w:r>
          </w:p>
        </w:tc>
        <w:tc>
          <w:tcPr>
            <w:tcW w:w="955" w:type="dxa"/>
            <w:tcBorders>
              <w:top w:val="nil"/>
              <w:left w:val="nil"/>
              <w:bottom w:val="single" w:sz="4" w:space="0" w:color="auto"/>
              <w:right w:val="single" w:sz="4" w:space="0" w:color="auto"/>
            </w:tcBorders>
            <w:vAlign w:val="center"/>
            <w:hideMark/>
          </w:tcPr>
          <w:p w14:paraId="49AE59A9" w14:textId="46D479A8"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6</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3</w:t>
            </w:r>
          </w:p>
        </w:tc>
        <w:tc>
          <w:tcPr>
            <w:tcW w:w="1442" w:type="dxa"/>
            <w:tcBorders>
              <w:top w:val="nil"/>
              <w:left w:val="nil"/>
              <w:bottom w:val="single" w:sz="4" w:space="0" w:color="auto"/>
              <w:right w:val="single" w:sz="4" w:space="0" w:color="auto"/>
            </w:tcBorders>
            <w:vAlign w:val="center"/>
            <w:hideMark/>
          </w:tcPr>
          <w:p w14:paraId="40B281C9" w14:textId="604C0C34"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0</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8</w:t>
            </w:r>
          </w:p>
        </w:tc>
        <w:tc>
          <w:tcPr>
            <w:tcW w:w="1224" w:type="dxa"/>
            <w:tcBorders>
              <w:top w:val="nil"/>
              <w:left w:val="nil"/>
              <w:bottom w:val="single" w:sz="4" w:space="0" w:color="auto"/>
              <w:right w:val="single" w:sz="4" w:space="0" w:color="auto"/>
            </w:tcBorders>
            <w:vAlign w:val="center"/>
            <w:hideMark/>
          </w:tcPr>
          <w:p w14:paraId="1B29CA3F" w14:textId="607D0F7D"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9</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0</w:t>
            </w:r>
          </w:p>
        </w:tc>
        <w:tc>
          <w:tcPr>
            <w:tcW w:w="851" w:type="dxa"/>
            <w:tcBorders>
              <w:top w:val="nil"/>
              <w:left w:val="nil"/>
              <w:bottom w:val="single" w:sz="4" w:space="0" w:color="auto"/>
              <w:right w:val="single" w:sz="4" w:space="0" w:color="auto"/>
            </w:tcBorders>
            <w:vAlign w:val="center"/>
            <w:hideMark/>
          </w:tcPr>
          <w:p w14:paraId="2D409EA4" w14:textId="38C81E21"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1</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6</w:t>
            </w:r>
          </w:p>
        </w:tc>
        <w:tc>
          <w:tcPr>
            <w:tcW w:w="1070" w:type="dxa"/>
            <w:tcBorders>
              <w:top w:val="nil"/>
              <w:left w:val="nil"/>
              <w:bottom w:val="single" w:sz="4" w:space="0" w:color="auto"/>
              <w:right w:val="single" w:sz="4" w:space="0" w:color="auto"/>
            </w:tcBorders>
            <w:vAlign w:val="center"/>
            <w:hideMark/>
          </w:tcPr>
          <w:p w14:paraId="2312C58F" w14:textId="7038AB28"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49</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4</w:t>
            </w:r>
          </w:p>
        </w:tc>
        <w:tc>
          <w:tcPr>
            <w:tcW w:w="954" w:type="dxa"/>
            <w:tcBorders>
              <w:top w:val="nil"/>
              <w:left w:val="nil"/>
              <w:bottom w:val="single" w:sz="4" w:space="0" w:color="auto"/>
              <w:right w:val="single" w:sz="4" w:space="0" w:color="auto"/>
            </w:tcBorders>
            <w:vAlign w:val="center"/>
            <w:hideMark/>
          </w:tcPr>
          <w:p w14:paraId="2231B978" w14:textId="490B0F32"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13</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8</w:t>
            </w:r>
          </w:p>
        </w:tc>
        <w:tc>
          <w:tcPr>
            <w:tcW w:w="915" w:type="dxa"/>
            <w:tcBorders>
              <w:top w:val="nil"/>
              <w:left w:val="nil"/>
              <w:bottom w:val="single" w:sz="4" w:space="0" w:color="auto"/>
              <w:right w:val="single" w:sz="4" w:space="0" w:color="auto"/>
            </w:tcBorders>
            <w:vAlign w:val="center"/>
            <w:hideMark/>
          </w:tcPr>
          <w:p w14:paraId="68A5051C" w14:textId="4852E022"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11</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2</w:t>
            </w:r>
          </w:p>
        </w:tc>
        <w:tc>
          <w:tcPr>
            <w:tcW w:w="1070" w:type="dxa"/>
            <w:tcBorders>
              <w:top w:val="nil"/>
              <w:left w:val="nil"/>
              <w:bottom w:val="single" w:sz="4" w:space="0" w:color="auto"/>
              <w:right w:val="single" w:sz="4" w:space="0" w:color="auto"/>
            </w:tcBorders>
            <w:vAlign w:val="center"/>
            <w:hideMark/>
          </w:tcPr>
          <w:p w14:paraId="1DC1FF2E" w14:textId="2E6D5291"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25</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6</w:t>
            </w:r>
          </w:p>
        </w:tc>
        <w:tc>
          <w:tcPr>
            <w:tcW w:w="1070" w:type="dxa"/>
            <w:tcBorders>
              <w:top w:val="nil"/>
              <w:left w:val="nil"/>
              <w:bottom w:val="single" w:sz="4" w:space="0" w:color="auto"/>
              <w:right w:val="single" w:sz="4" w:space="0" w:color="auto"/>
            </w:tcBorders>
            <w:vAlign w:val="center"/>
            <w:hideMark/>
          </w:tcPr>
          <w:p w14:paraId="366752CA" w14:textId="7604414F" w:rsidR="00F75806" w:rsidRPr="00F75806" w:rsidRDefault="00F75806" w:rsidP="00F75806">
            <w:pPr>
              <w:spacing w:after="0" w:line="240" w:lineRule="auto"/>
              <w:jc w:val="center"/>
              <w:rPr>
                <w:rFonts w:ascii="Aptos" w:eastAsia="Times New Roman" w:hAnsi="Aptos" w:cs="Times New Roman"/>
                <w:color w:val="000000"/>
                <w:kern w:val="0"/>
                <w:szCs w:val="24"/>
                <w:lang w:eastAsia="en-IN"/>
                <w14:ligatures w14:val="none"/>
              </w:rPr>
            </w:pPr>
          </w:p>
        </w:tc>
      </w:tr>
      <w:tr w:rsidR="00F75806" w:rsidRPr="00F75806" w14:paraId="7D7308C4" w14:textId="77777777" w:rsidTr="00C91D91">
        <w:trPr>
          <w:trHeight w:val="19"/>
        </w:trPr>
        <w:tc>
          <w:tcPr>
            <w:tcW w:w="1351" w:type="dxa"/>
            <w:tcBorders>
              <w:top w:val="nil"/>
              <w:left w:val="single" w:sz="4" w:space="0" w:color="auto"/>
              <w:bottom w:val="single" w:sz="4" w:space="0" w:color="auto"/>
              <w:right w:val="single" w:sz="4" w:space="0" w:color="auto"/>
            </w:tcBorders>
            <w:vAlign w:val="center"/>
            <w:hideMark/>
          </w:tcPr>
          <w:p w14:paraId="0D08C120"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Punjab</w:t>
            </w:r>
          </w:p>
        </w:tc>
        <w:tc>
          <w:tcPr>
            <w:tcW w:w="1454" w:type="dxa"/>
            <w:tcBorders>
              <w:top w:val="nil"/>
              <w:left w:val="nil"/>
              <w:bottom w:val="single" w:sz="4" w:space="0" w:color="auto"/>
              <w:right w:val="single" w:sz="4" w:space="0" w:color="auto"/>
            </w:tcBorders>
            <w:vAlign w:val="center"/>
            <w:hideMark/>
          </w:tcPr>
          <w:p w14:paraId="23E59369"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w:t>
            </w:r>
          </w:p>
        </w:tc>
        <w:tc>
          <w:tcPr>
            <w:tcW w:w="1070" w:type="dxa"/>
            <w:tcBorders>
              <w:top w:val="nil"/>
              <w:left w:val="nil"/>
              <w:bottom w:val="single" w:sz="4" w:space="0" w:color="auto"/>
              <w:right w:val="single" w:sz="4" w:space="0" w:color="auto"/>
            </w:tcBorders>
            <w:vAlign w:val="center"/>
            <w:hideMark/>
          </w:tcPr>
          <w:p w14:paraId="3954F21F"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184</w:t>
            </w:r>
          </w:p>
        </w:tc>
        <w:tc>
          <w:tcPr>
            <w:tcW w:w="851" w:type="dxa"/>
            <w:tcBorders>
              <w:top w:val="nil"/>
              <w:left w:val="nil"/>
              <w:bottom w:val="single" w:sz="4" w:space="0" w:color="auto"/>
              <w:right w:val="single" w:sz="4" w:space="0" w:color="auto"/>
            </w:tcBorders>
            <w:vAlign w:val="center"/>
            <w:hideMark/>
          </w:tcPr>
          <w:p w14:paraId="0AD953F9"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208</w:t>
            </w:r>
          </w:p>
        </w:tc>
        <w:tc>
          <w:tcPr>
            <w:tcW w:w="955" w:type="dxa"/>
            <w:tcBorders>
              <w:top w:val="nil"/>
              <w:left w:val="nil"/>
              <w:bottom w:val="single" w:sz="4" w:space="0" w:color="auto"/>
              <w:right w:val="single" w:sz="4" w:space="0" w:color="auto"/>
            </w:tcBorders>
            <w:vAlign w:val="center"/>
            <w:hideMark/>
          </w:tcPr>
          <w:p w14:paraId="4E774096"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65</w:t>
            </w:r>
          </w:p>
        </w:tc>
        <w:tc>
          <w:tcPr>
            <w:tcW w:w="1442" w:type="dxa"/>
            <w:tcBorders>
              <w:top w:val="nil"/>
              <w:left w:val="nil"/>
              <w:bottom w:val="single" w:sz="4" w:space="0" w:color="auto"/>
              <w:right w:val="single" w:sz="4" w:space="0" w:color="auto"/>
            </w:tcBorders>
            <w:vAlign w:val="center"/>
            <w:hideMark/>
          </w:tcPr>
          <w:p w14:paraId="4FF59F1F"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10</w:t>
            </w:r>
          </w:p>
        </w:tc>
        <w:tc>
          <w:tcPr>
            <w:tcW w:w="1224" w:type="dxa"/>
            <w:tcBorders>
              <w:top w:val="nil"/>
              <w:left w:val="nil"/>
              <w:bottom w:val="single" w:sz="4" w:space="0" w:color="auto"/>
              <w:right w:val="single" w:sz="4" w:space="0" w:color="auto"/>
            </w:tcBorders>
            <w:vAlign w:val="center"/>
            <w:hideMark/>
          </w:tcPr>
          <w:p w14:paraId="1CE63FEE"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193</w:t>
            </w:r>
          </w:p>
        </w:tc>
        <w:tc>
          <w:tcPr>
            <w:tcW w:w="851" w:type="dxa"/>
            <w:tcBorders>
              <w:top w:val="nil"/>
              <w:left w:val="nil"/>
              <w:bottom w:val="single" w:sz="4" w:space="0" w:color="auto"/>
              <w:right w:val="single" w:sz="4" w:space="0" w:color="auto"/>
            </w:tcBorders>
            <w:vAlign w:val="center"/>
            <w:hideMark/>
          </w:tcPr>
          <w:p w14:paraId="482F54DE"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65</w:t>
            </w:r>
          </w:p>
        </w:tc>
        <w:tc>
          <w:tcPr>
            <w:tcW w:w="1070" w:type="dxa"/>
            <w:tcBorders>
              <w:top w:val="nil"/>
              <w:left w:val="nil"/>
              <w:bottom w:val="single" w:sz="4" w:space="0" w:color="auto"/>
              <w:right w:val="single" w:sz="4" w:space="0" w:color="auto"/>
            </w:tcBorders>
            <w:vAlign w:val="center"/>
            <w:hideMark/>
          </w:tcPr>
          <w:p w14:paraId="5AD7A675"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724</w:t>
            </w:r>
          </w:p>
        </w:tc>
        <w:tc>
          <w:tcPr>
            <w:tcW w:w="954" w:type="dxa"/>
            <w:tcBorders>
              <w:top w:val="nil"/>
              <w:left w:val="nil"/>
              <w:bottom w:val="single" w:sz="4" w:space="0" w:color="auto"/>
              <w:right w:val="single" w:sz="4" w:space="0" w:color="auto"/>
            </w:tcBorders>
            <w:vAlign w:val="center"/>
            <w:hideMark/>
          </w:tcPr>
          <w:p w14:paraId="1E19C03B"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261</w:t>
            </w:r>
          </w:p>
        </w:tc>
        <w:tc>
          <w:tcPr>
            <w:tcW w:w="915" w:type="dxa"/>
            <w:tcBorders>
              <w:top w:val="nil"/>
              <w:left w:val="nil"/>
              <w:bottom w:val="single" w:sz="4" w:space="0" w:color="auto"/>
              <w:right w:val="single" w:sz="4" w:space="0" w:color="auto"/>
            </w:tcBorders>
            <w:vAlign w:val="center"/>
            <w:hideMark/>
          </w:tcPr>
          <w:p w14:paraId="5CF05639"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75</w:t>
            </w:r>
          </w:p>
        </w:tc>
        <w:tc>
          <w:tcPr>
            <w:tcW w:w="1070" w:type="dxa"/>
            <w:tcBorders>
              <w:top w:val="nil"/>
              <w:left w:val="nil"/>
              <w:bottom w:val="single" w:sz="4" w:space="0" w:color="auto"/>
              <w:right w:val="single" w:sz="4" w:space="0" w:color="auto"/>
            </w:tcBorders>
            <w:vAlign w:val="center"/>
            <w:hideMark/>
          </w:tcPr>
          <w:p w14:paraId="0B28AACB"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627</w:t>
            </w:r>
          </w:p>
        </w:tc>
        <w:tc>
          <w:tcPr>
            <w:tcW w:w="1070" w:type="dxa"/>
            <w:tcBorders>
              <w:top w:val="nil"/>
              <w:left w:val="nil"/>
              <w:bottom w:val="single" w:sz="4" w:space="0" w:color="auto"/>
              <w:right w:val="single" w:sz="4" w:space="0" w:color="auto"/>
            </w:tcBorders>
            <w:vAlign w:val="center"/>
            <w:hideMark/>
          </w:tcPr>
          <w:p w14:paraId="322CD84E"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1687</w:t>
            </w:r>
          </w:p>
        </w:tc>
      </w:tr>
      <w:tr w:rsidR="00F75806" w:rsidRPr="00F75806" w14:paraId="14ED2A67" w14:textId="77777777" w:rsidTr="00C91D91">
        <w:trPr>
          <w:trHeight w:val="19"/>
        </w:trPr>
        <w:tc>
          <w:tcPr>
            <w:tcW w:w="1351" w:type="dxa"/>
            <w:tcBorders>
              <w:top w:val="nil"/>
              <w:left w:val="single" w:sz="4" w:space="0" w:color="auto"/>
              <w:bottom w:val="single" w:sz="4" w:space="0" w:color="auto"/>
              <w:right w:val="single" w:sz="4" w:space="0" w:color="auto"/>
            </w:tcBorders>
            <w:vAlign w:val="center"/>
            <w:hideMark/>
          </w:tcPr>
          <w:p w14:paraId="41243EA4" w14:textId="1C4A5FD3" w:rsidR="00F75806" w:rsidRPr="00F75806" w:rsidRDefault="00F75806" w:rsidP="00F75806">
            <w:pPr>
              <w:spacing w:after="0" w:line="240" w:lineRule="auto"/>
              <w:jc w:val="center"/>
              <w:rPr>
                <w:rFonts w:ascii="Aptos" w:eastAsia="Times New Roman" w:hAnsi="Aptos" w:cs="Times New Roman"/>
                <w:color w:val="000000"/>
                <w:kern w:val="0"/>
                <w:szCs w:val="24"/>
                <w:lang w:eastAsia="en-IN"/>
                <w14:ligatures w14:val="none"/>
              </w:rPr>
            </w:pPr>
          </w:p>
        </w:tc>
        <w:tc>
          <w:tcPr>
            <w:tcW w:w="1454" w:type="dxa"/>
            <w:tcBorders>
              <w:top w:val="nil"/>
              <w:left w:val="nil"/>
              <w:bottom w:val="single" w:sz="4" w:space="0" w:color="auto"/>
              <w:right w:val="single" w:sz="4" w:space="0" w:color="auto"/>
            </w:tcBorders>
            <w:vAlign w:val="center"/>
            <w:hideMark/>
          </w:tcPr>
          <w:p w14:paraId="2683E1BC" w14:textId="77777777" w:rsidR="00F75806" w:rsidRPr="00F75806" w:rsidRDefault="00F75806" w:rsidP="00F75806">
            <w:pPr>
              <w:spacing w:after="0" w:line="240" w:lineRule="auto"/>
              <w:jc w:val="center"/>
              <w:rPr>
                <w:rFonts w:ascii="Aptos" w:eastAsia="Times New Roman" w:hAnsi="Aptos" w:cs="Times New Roman"/>
                <w:color w:val="000000"/>
                <w:kern w:val="0"/>
                <w:szCs w:val="24"/>
                <w:lang w:eastAsia="en-IN"/>
                <w14:ligatures w14:val="none"/>
              </w:rPr>
            </w:pPr>
            <w:r w:rsidRPr="00F75806">
              <w:rPr>
                <w:rFonts w:ascii="Aptos" w:eastAsia="Times New Roman" w:hAnsi="Aptos" w:cs="Times New Roman"/>
                <w:color w:val="000000"/>
                <w:kern w:val="0"/>
                <w:szCs w:val="24"/>
                <w:lang w:eastAsia="en-IN"/>
                <w14:ligatures w14:val="none"/>
              </w:rPr>
              <w:t>-</w:t>
            </w:r>
          </w:p>
        </w:tc>
        <w:tc>
          <w:tcPr>
            <w:tcW w:w="1070" w:type="dxa"/>
            <w:tcBorders>
              <w:top w:val="nil"/>
              <w:left w:val="nil"/>
              <w:bottom w:val="single" w:sz="4" w:space="0" w:color="auto"/>
              <w:right w:val="single" w:sz="4" w:space="0" w:color="auto"/>
            </w:tcBorders>
            <w:vAlign w:val="center"/>
            <w:hideMark/>
          </w:tcPr>
          <w:p w14:paraId="2C77C011" w14:textId="330552D4"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10</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9</w:t>
            </w:r>
          </w:p>
        </w:tc>
        <w:tc>
          <w:tcPr>
            <w:tcW w:w="851" w:type="dxa"/>
            <w:tcBorders>
              <w:top w:val="nil"/>
              <w:left w:val="nil"/>
              <w:bottom w:val="single" w:sz="4" w:space="0" w:color="auto"/>
              <w:right w:val="single" w:sz="4" w:space="0" w:color="auto"/>
            </w:tcBorders>
            <w:vAlign w:val="center"/>
            <w:hideMark/>
          </w:tcPr>
          <w:p w14:paraId="09100CB1" w14:textId="6E4753CC"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12</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3</w:t>
            </w:r>
          </w:p>
        </w:tc>
        <w:tc>
          <w:tcPr>
            <w:tcW w:w="955" w:type="dxa"/>
            <w:tcBorders>
              <w:top w:val="nil"/>
              <w:left w:val="nil"/>
              <w:bottom w:val="single" w:sz="4" w:space="0" w:color="auto"/>
              <w:right w:val="single" w:sz="4" w:space="0" w:color="auto"/>
            </w:tcBorders>
            <w:vAlign w:val="center"/>
            <w:hideMark/>
          </w:tcPr>
          <w:p w14:paraId="47C3A4D6" w14:textId="4166AF92"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3</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9</w:t>
            </w:r>
          </w:p>
        </w:tc>
        <w:tc>
          <w:tcPr>
            <w:tcW w:w="1442" w:type="dxa"/>
            <w:tcBorders>
              <w:top w:val="nil"/>
              <w:left w:val="nil"/>
              <w:bottom w:val="single" w:sz="4" w:space="0" w:color="auto"/>
              <w:right w:val="single" w:sz="4" w:space="0" w:color="auto"/>
            </w:tcBorders>
            <w:vAlign w:val="center"/>
            <w:hideMark/>
          </w:tcPr>
          <w:p w14:paraId="37978AF9" w14:textId="1B6A54A0"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0</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6</w:t>
            </w:r>
          </w:p>
        </w:tc>
        <w:tc>
          <w:tcPr>
            <w:tcW w:w="1224" w:type="dxa"/>
            <w:tcBorders>
              <w:top w:val="nil"/>
              <w:left w:val="nil"/>
              <w:bottom w:val="single" w:sz="4" w:space="0" w:color="auto"/>
              <w:right w:val="single" w:sz="4" w:space="0" w:color="auto"/>
            </w:tcBorders>
            <w:vAlign w:val="center"/>
            <w:hideMark/>
          </w:tcPr>
          <w:p w14:paraId="4BBB3525" w14:textId="593D36C5"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11</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4</w:t>
            </w:r>
          </w:p>
        </w:tc>
        <w:tc>
          <w:tcPr>
            <w:tcW w:w="851" w:type="dxa"/>
            <w:tcBorders>
              <w:top w:val="nil"/>
              <w:left w:val="nil"/>
              <w:bottom w:val="single" w:sz="4" w:space="0" w:color="auto"/>
              <w:right w:val="single" w:sz="4" w:space="0" w:color="auto"/>
            </w:tcBorders>
            <w:vAlign w:val="center"/>
            <w:hideMark/>
          </w:tcPr>
          <w:p w14:paraId="67F2993E" w14:textId="1C6B09B2"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3</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9</w:t>
            </w:r>
          </w:p>
        </w:tc>
        <w:tc>
          <w:tcPr>
            <w:tcW w:w="1070" w:type="dxa"/>
            <w:tcBorders>
              <w:top w:val="nil"/>
              <w:left w:val="nil"/>
              <w:bottom w:val="single" w:sz="4" w:space="0" w:color="auto"/>
              <w:right w:val="single" w:sz="4" w:space="0" w:color="auto"/>
            </w:tcBorders>
            <w:vAlign w:val="center"/>
            <w:hideMark/>
          </w:tcPr>
          <w:p w14:paraId="60EDC054" w14:textId="515FBB3E"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43</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0</w:t>
            </w:r>
          </w:p>
        </w:tc>
        <w:tc>
          <w:tcPr>
            <w:tcW w:w="954" w:type="dxa"/>
            <w:tcBorders>
              <w:top w:val="nil"/>
              <w:left w:val="nil"/>
              <w:bottom w:val="single" w:sz="4" w:space="0" w:color="auto"/>
              <w:right w:val="single" w:sz="4" w:space="0" w:color="auto"/>
            </w:tcBorders>
            <w:vAlign w:val="center"/>
            <w:hideMark/>
          </w:tcPr>
          <w:p w14:paraId="1BF84A6F" w14:textId="609F2199"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15</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5</w:t>
            </w:r>
          </w:p>
        </w:tc>
        <w:tc>
          <w:tcPr>
            <w:tcW w:w="915" w:type="dxa"/>
            <w:tcBorders>
              <w:top w:val="nil"/>
              <w:left w:val="nil"/>
              <w:bottom w:val="single" w:sz="4" w:space="0" w:color="auto"/>
              <w:right w:val="single" w:sz="4" w:space="0" w:color="auto"/>
            </w:tcBorders>
            <w:vAlign w:val="center"/>
            <w:hideMark/>
          </w:tcPr>
          <w:p w14:paraId="1F4C37BA" w14:textId="53D8CFE2"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4</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4</w:t>
            </w:r>
          </w:p>
        </w:tc>
        <w:tc>
          <w:tcPr>
            <w:tcW w:w="1070" w:type="dxa"/>
            <w:tcBorders>
              <w:top w:val="nil"/>
              <w:left w:val="nil"/>
              <w:bottom w:val="single" w:sz="4" w:space="0" w:color="auto"/>
              <w:right w:val="single" w:sz="4" w:space="0" w:color="auto"/>
            </w:tcBorders>
            <w:vAlign w:val="center"/>
            <w:hideMark/>
          </w:tcPr>
          <w:p w14:paraId="4A02A546" w14:textId="3FAC011F"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37</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1</w:t>
            </w:r>
          </w:p>
        </w:tc>
        <w:tc>
          <w:tcPr>
            <w:tcW w:w="1070" w:type="dxa"/>
            <w:tcBorders>
              <w:top w:val="nil"/>
              <w:left w:val="nil"/>
              <w:bottom w:val="single" w:sz="4" w:space="0" w:color="auto"/>
              <w:right w:val="single" w:sz="4" w:space="0" w:color="auto"/>
            </w:tcBorders>
            <w:vAlign w:val="center"/>
            <w:hideMark/>
          </w:tcPr>
          <w:p w14:paraId="628B4BF0" w14:textId="6C4AD952" w:rsidR="00F75806" w:rsidRPr="00F75806" w:rsidRDefault="00F75806" w:rsidP="00F75806">
            <w:pPr>
              <w:spacing w:after="0" w:line="240" w:lineRule="auto"/>
              <w:jc w:val="center"/>
              <w:rPr>
                <w:rFonts w:ascii="Aptos" w:eastAsia="Times New Roman" w:hAnsi="Aptos" w:cs="Times New Roman"/>
                <w:color w:val="000000"/>
                <w:kern w:val="0"/>
                <w:szCs w:val="24"/>
                <w:lang w:eastAsia="en-IN"/>
                <w14:ligatures w14:val="none"/>
              </w:rPr>
            </w:pPr>
          </w:p>
        </w:tc>
      </w:tr>
      <w:tr w:rsidR="00F75806" w:rsidRPr="00F75806" w14:paraId="3634C1B2" w14:textId="77777777" w:rsidTr="00C91D91">
        <w:trPr>
          <w:trHeight w:val="19"/>
        </w:trPr>
        <w:tc>
          <w:tcPr>
            <w:tcW w:w="1351" w:type="dxa"/>
            <w:tcBorders>
              <w:top w:val="nil"/>
              <w:left w:val="single" w:sz="4" w:space="0" w:color="auto"/>
              <w:bottom w:val="single" w:sz="4" w:space="0" w:color="auto"/>
              <w:right w:val="single" w:sz="4" w:space="0" w:color="auto"/>
            </w:tcBorders>
            <w:vAlign w:val="center"/>
            <w:hideMark/>
          </w:tcPr>
          <w:p w14:paraId="698080B1"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Uttar Pradesh</w:t>
            </w:r>
          </w:p>
        </w:tc>
        <w:tc>
          <w:tcPr>
            <w:tcW w:w="1454" w:type="dxa"/>
            <w:tcBorders>
              <w:top w:val="nil"/>
              <w:left w:val="nil"/>
              <w:bottom w:val="single" w:sz="4" w:space="0" w:color="auto"/>
              <w:right w:val="single" w:sz="4" w:space="0" w:color="auto"/>
            </w:tcBorders>
            <w:vAlign w:val="center"/>
            <w:hideMark/>
          </w:tcPr>
          <w:p w14:paraId="01D5E6E3"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138</w:t>
            </w:r>
          </w:p>
        </w:tc>
        <w:tc>
          <w:tcPr>
            <w:tcW w:w="1070" w:type="dxa"/>
            <w:tcBorders>
              <w:top w:val="nil"/>
              <w:left w:val="nil"/>
              <w:bottom w:val="single" w:sz="4" w:space="0" w:color="auto"/>
              <w:right w:val="single" w:sz="4" w:space="0" w:color="auto"/>
            </w:tcBorders>
            <w:vAlign w:val="center"/>
            <w:hideMark/>
          </w:tcPr>
          <w:p w14:paraId="06074B1D"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772</w:t>
            </w:r>
          </w:p>
        </w:tc>
        <w:tc>
          <w:tcPr>
            <w:tcW w:w="851" w:type="dxa"/>
            <w:tcBorders>
              <w:top w:val="nil"/>
              <w:left w:val="nil"/>
              <w:bottom w:val="single" w:sz="4" w:space="0" w:color="auto"/>
              <w:right w:val="single" w:sz="4" w:space="0" w:color="auto"/>
            </w:tcBorders>
            <w:vAlign w:val="center"/>
            <w:hideMark/>
          </w:tcPr>
          <w:p w14:paraId="60D9574D"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651</w:t>
            </w:r>
          </w:p>
        </w:tc>
        <w:tc>
          <w:tcPr>
            <w:tcW w:w="955" w:type="dxa"/>
            <w:tcBorders>
              <w:top w:val="nil"/>
              <w:left w:val="nil"/>
              <w:bottom w:val="single" w:sz="4" w:space="0" w:color="auto"/>
              <w:right w:val="single" w:sz="4" w:space="0" w:color="auto"/>
            </w:tcBorders>
            <w:vAlign w:val="center"/>
            <w:hideMark/>
          </w:tcPr>
          <w:p w14:paraId="0CF7058D"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244</w:t>
            </w:r>
          </w:p>
        </w:tc>
        <w:tc>
          <w:tcPr>
            <w:tcW w:w="1442" w:type="dxa"/>
            <w:tcBorders>
              <w:top w:val="nil"/>
              <w:left w:val="nil"/>
              <w:bottom w:val="single" w:sz="4" w:space="0" w:color="auto"/>
              <w:right w:val="single" w:sz="4" w:space="0" w:color="auto"/>
            </w:tcBorders>
            <w:vAlign w:val="center"/>
            <w:hideMark/>
          </w:tcPr>
          <w:p w14:paraId="7B9C9B94"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24</w:t>
            </w:r>
          </w:p>
        </w:tc>
        <w:tc>
          <w:tcPr>
            <w:tcW w:w="1224" w:type="dxa"/>
            <w:tcBorders>
              <w:top w:val="nil"/>
              <w:left w:val="nil"/>
              <w:bottom w:val="single" w:sz="4" w:space="0" w:color="auto"/>
              <w:right w:val="single" w:sz="4" w:space="0" w:color="auto"/>
            </w:tcBorders>
            <w:vAlign w:val="center"/>
            <w:hideMark/>
          </w:tcPr>
          <w:p w14:paraId="42098729"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523</w:t>
            </w:r>
          </w:p>
        </w:tc>
        <w:tc>
          <w:tcPr>
            <w:tcW w:w="851" w:type="dxa"/>
            <w:tcBorders>
              <w:top w:val="nil"/>
              <w:left w:val="nil"/>
              <w:bottom w:val="single" w:sz="4" w:space="0" w:color="auto"/>
              <w:right w:val="single" w:sz="4" w:space="0" w:color="auto"/>
            </w:tcBorders>
            <w:vAlign w:val="center"/>
            <w:hideMark/>
          </w:tcPr>
          <w:p w14:paraId="0292F642"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350</w:t>
            </w:r>
          </w:p>
        </w:tc>
        <w:tc>
          <w:tcPr>
            <w:tcW w:w="1070" w:type="dxa"/>
            <w:tcBorders>
              <w:top w:val="nil"/>
              <w:left w:val="nil"/>
              <w:bottom w:val="single" w:sz="4" w:space="0" w:color="auto"/>
              <w:right w:val="single" w:sz="4" w:space="0" w:color="auto"/>
            </w:tcBorders>
            <w:vAlign w:val="center"/>
            <w:hideMark/>
          </w:tcPr>
          <w:p w14:paraId="5AFDE498"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2702</w:t>
            </w:r>
          </w:p>
        </w:tc>
        <w:tc>
          <w:tcPr>
            <w:tcW w:w="954" w:type="dxa"/>
            <w:tcBorders>
              <w:top w:val="nil"/>
              <w:left w:val="nil"/>
              <w:bottom w:val="single" w:sz="4" w:space="0" w:color="auto"/>
              <w:right w:val="single" w:sz="4" w:space="0" w:color="auto"/>
            </w:tcBorders>
            <w:vAlign w:val="center"/>
            <w:hideMark/>
          </w:tcPr>
          <w:p w14:paraId="593771E9"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853</w:t>
            </w:r>
          </w:p>
        </w:tc>
        <w:tc>
          <w:tcPr>
            <w:tcW w:w="915" w:type="dxa"/>
            <w:tcBorders>
              <w:top w:val="nil"/>
              <w:left w:val="nil"/>
              <w:bottom w:val="single" w:sz="4" w:space="0" w:color="auto"/>
              <w:right w:val="single" w:sz="4" w:space="0" w:color="auto"/>
            </w:tcBorders>
            <w:vAlign w:val="center"/>
            <w:hideMark/>
          </w:tcPr>
          <w:p w14:paraId="3F19EE8E"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w:t>
            </w:r>
          </w:p>
        </w:tc>
        <w:tc>
          <w:tcPr>
            <w:tcW w:w="1070" w:type="dxa"/>
            <w:tcBorders>
              <w:top w:val="nil"/>
              <w:left w:val="nil"/>
              <w:bottom w:val="single" w:sz="4" w:space="0" w:color="auto"/>
              <w:right w:val="single" w:sz="4" w:space="0" w:color="auto"/>
            </w:tcBorders>
            <w:vAlign w:val="center"/>
            <w:hideMark/>
          </w:tcPr>
          <w:p w14:paraId="60E1A18A"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1634</w:t>
            </w:r>
          </w:p>
        </w:tc>
        <w:tc>
          <w:tcPr>
            <w:tcW w:w="1070" w:type="dxa"/>
            <w:tcBorders>
              <w:top w:val="nil"/>
              <w:left w:val="nil"/>
              <w:bottom w:val="single" w:sz="4" w:space="0" w:color="auto"/>
              <w:right w:val="single" w:sz="4" w:space="0" w:color="auto"/>
            </w:tcBorders>
            <w:vAlign w:val="center"/>
            <w:hideMark/>
          </w:tcPr>
          <w:p w14:paraId="4AFF10CF"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5189</w:t>
            </w:r>
          </w:p>
        </w:tc>
      </w:tr>
      <w:tr w:rsidR="00F75806" w:rsidRPr="00F75806" w14:paraId="63A776EE" w14:textId="77777777" w:rsidTr="00C91D91">
        <w:trPr>
          <w:trHeight w:val="19"/>
        </w:trPr>
        <w:tc>
          <w:tcPr>
            <w:tcW w:w="1351" w:type="dxa"/>
            <w:tcBorders>
              <w:top w:val="nil"/>
              <w:left w:val="single" w:sz="4" w:space="0" w:color="auto"/>
              <w:bottom w:val="single" w:sz="4" w:space="0" w:color="auto"/>
              <w:right w:val="single" w:sz="4" w:space="0" w:color="auto"/>
            </w:tcBorders>
            <w:vAlign w:val="center"/>
            <w:hideMark/>
          </w:tcPr>
          <w:p w14:paraId="20F7A41B" w14:textId="0E801D6C" w:rsidR="00F75806" w:rsidRPr="00F75806" w:rsidRDefault="00F75806" w:rsidP="00F75806">
            <w:pPr>
              <w:spacing w:after="0" w:line="240" w:lineRule="auto"/>
              <w:jc w:val="center"/>
              <w:rPr>
                <w:rFonts w:ascii="Aptos" w:eastAsia="Times New Roman" w:hAnsi="Aptos" w:cs="Times New Roman"/>
                <w:color w:val="000000"/>
                <w:kern w:val="0"/>
                <w:szCs w:val="24"/>
                <w:lang w:eastAsia="en-IN"/>
                <w14:ligatures w14:val="none"/>
              </w:rPr>
            </w:pPr>
          </w:p>
        </w:tc>
        <w:tc>
          <w:tcPr>
            <w:tcW w:w="1454" w:type="dxa"/>
            <w:tcBorders>
              <w:top w:val="nil"/>
              <w:left w:val="nil"/>
              <w:bottom w:val="single" w:sz="4" w:space="0" w:color="auto"/>
              <w:right w:val="single" w:sz="4" w:space="0" w:color="auto"/>
            </w:tcBorders>
            <w:vAlign w:val="center"/>
            <w:hideMark/>
          </w:tcPr>
          <w:p w14:paraId="575F5C80" w14:textId="44B3CAF1"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2·7</w:t>
            </w:r>
          </w:p>
        </w:tc>
        <w:tc>
          <w:tcPr>
            <w:tcW w:w="1070" w:type="dxa"/>
            <w:tcBorders>
              <w:top w:val="nil"/>
              <w:left w:val="nil"/>
              <w:bottom w:val="single" w:sz="4" w:space="0" w:color="auto"/>
              <w:right w:val="single" w:sz="4" w:space="0" w:color="auto"/>
            </w:tcBorders>
            <w:vAlign w:val="center"/>
            <w:hideMark/>
          </w:tcPr>
          <w:p w14:paraId="006C794A" w14:textId="407D60BC"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14</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9</w:t>
            </w:r>
          </w:p>
        </w:tc>
        <w:tc>
          <w:tcPr>
            <w:tcW w:w="851" w:type="dxa"/>
            <w:tcBorders>
              <w:top w:val="nil"/>
              <w:left w:val="nil"/>
              <w:bottom w:val="single" w:sz="4" w:space="0" w:color="auto"/>
              <w:right w:val="single" w:sz="4" w:space="0" w:color="auto"/>
            </w:tcBorders>
            <w:vAlign w:val="center"/>
            <w:hideMark/>
          </w:tcPr>
          <w:p w14:paraId="5C75B6BE" w14:textId="24F4D654"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12</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5</w:t>
            </w:r>
          </w:p>
        </w:tc>
        <w:tc>
          <w:tcPr>
            <w:tcW w:w="955" w:type="dxa"/>
            <w:tcBorders>
              <w:top w:val="nil"/>
              <w:left w:val="nil"/>
              <w:bottom w:val="single" w:sz="4" w:space="0" w:color="auto"/>
              <w:right w:val="single" w:sz="4" w:space="0" w:color="auto"/>
            </w:tcBorders>
            <w:vAlign w:val="center"/>
            <w:hideMark/>
          </w:tcPr>
          <w:p w14:paraId="2AF06CF8" w14:textId="5FCF19AC"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4</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7</w:t>
            </w:r>
          </w:p>
        </w:tc>
        <w:tc>
          <w:tcPr>
            <w:tcW w:w="1442" w:type="dxa"/>
            <w:tcBorders>
              <w:top w:val="nil"/>
              <w:left w:val="nil"/>
              <w:bottom w:val="single" w:sz="4" w:space="0" w:color="auto"/>
              <w:right w:val="single" w:sz="4" w:space="0" w:color="auto"/>
            </w:tcBorders>
            <w:vAlign w:val="center"/>
            <w:hideMark/>
          </w:tcPr>
          <w:p w14:paraId="64913225" w14:textId="2718CE6D"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0</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5</w:t>
            </w:r>
          </w:p>
        </w:tc>
        <w:tc>
          <w:tcPr>
            <w:tcW w:w="1224" w:type="dxa"/>
            <w:tcBorders>
              <w:top w:val="nil"/>
              <w:left w:val="nil"/>
              <w:bottom w:val="single" w:sz="4" w:space="0" w:color="auto"/>
              <w:right w:val="single" w:sz="4" w:space="0" w:color="auto"/>
            </w:tcBorders>
            <w:vAlign w:val="center"/>
            <w:hideMark/>
          </w:tcPr>
          <w:p w14:paraId="313D9D4B" w14:textId="7DB3F77F"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10</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1</w:t>
            </w:r>
          </w:p>
        </w:tc>
        <w:tc>
          <w:tcPr>
            <w:tcW w:w="851" w:type="dxa"/>
            <w:tcBorders>
              <w:top w:val="nil"/>
              <w:left w:val="nil"/>
              <w:bottom w:val="single" w:sz="4" w:space="0" w:color="auto"/>
              <w:right w:val="single" w:sz="4" w:space="0" w:color="auto"/>
            </w:tcBorders>
            <w:vAlign w:val="center"/>
            <w:hideMark/>
          </w:tcPr>
          <w:p w14:paraId="23C816A5" w14:textId="7C2AC369"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6</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7</w:t>
            </w:r>
          </w:p>
        </w:tc>
        <w:tc>
          <w:tcPr>
            <w:tcW w:w="1070" w:type="dxa"/>
            <w:tcBorders>
              <w:top w:val="nil"/>
              <w:left w:val="nil"/>
              <w:bottom w:val="single" w:sz="4" w:space="0" w:color="auto"/>
              <w:right w:val="single" w:sz="4" w:space="0" w:color="auto"/>
            </w:tcBorders>
            <w:vAlign w:val="center"/>
            <w:hideMark/>
          </w:tcPr>
          <w:p w14:paraId="4E198DF5" w14:textId="0F979227"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52</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1</w:t>
            </w:r>
          </w:p>
        </w:tc>
        <w:tc>
          <w:tcPr>
            <w:tcW w:w="954" w:type="dxa"/>
            <w:tcBorders>
              <w:top w:val="nil"/>
              <w:left w:val="nil"/>
              <w:bottom w:val="single" w:sz="4" w:space="0" w:color="auto"/>
              <w:right w:val="single" w:sz="4" w:space="0" w:color="auto"/>
            </w:tcBorders>
            <w:vAlign w:val="center"/>
            <w:hideMark/>
          </w:tcPr>
          <w:p w14:paraId="4567DDEC" w14:textId="44CE9126"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16</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4</w:t>
            </w:r>
          </w:p>
        </w:tc>
        <w:tc>
          <w:tcPr>
            <w:tcW w:w="915" w:type="dxa"/>
            <w:tcBorders>
              <w:top w:val="nil"/>
              <w:left w:val="nil"/>
              <w:bottom w:val="single" w:sz="4" w:space="0" w:color="auto"/>
              <w:right w:val="single" w:sz="4" w:space="0" w:color="auto"/>
            </w:tcBorders>
            <w:vAlign w:val="center"/>
            <w:hideMark/>
          </w:tcPr>
          <w:p w14:paraId="3CB9927B"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w:t>
            </w:r>
          </w:p>
        </w:tc>
        <w:tc>
          <w:tcPr>
            <w:tcW w:w="1070" w:type="dxa"/>
            <w:tcBorders>
              <w:top w:val="nil"/>
              <w:left w:val="nil"/>
              <w:bottom w:val="single" w:sz="4" w:space="0" w:color="auto"/>
              <w:right w:val="single" w:sz="4" w:space="0" w:color="auto"/>
            </w:tcBorders>
            <w:vAlign w:val="center"/>
            <w:hideMark/>
          </w:tcPr>
          <w:p w14:paraId="36355A2B" w14:textId="43A3345F"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31</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5</w:t>
            </w:r>
          </w:p>
        </w:tc>
        <w:tc>
          <w:tcPr>
            <w:tcW w:w="1070" w:type="dxa"/>
            <w:tcBorders>
              <w:top w:val="nil"/>
              <w:left w:val="nil"/>
              <w:bottom w:val="single" w:sz="4" w:space="0" w:color="auto"/>
              <w:right w:val="single" w:sz="4" w:space="0" w:color="auto"/>
            </w:tcBorders>
            <w:vAlign w:val="center"/>
            <w:hideMark/>
          </w:tcPr>
          <w:p w14:paraId="37D0E329" w14:textId="63F56ACF" w:rsidR="00F75806" w:rsidRPr="00F75806" w:rsidRDefault="00F75806" w:rsidP="00F75806">
            <w:pPr>
              <w:spacing w:after="0" w:line="240" w:lineRule="auto"/>
              <w:jc w:val="center"/>
              <w:rPr>
                <w:rFonts w:ascii="Aptos" w:eastAsia="Times New Roman" w:hAnsi="Aptos" w:cs="Times New Roman"/>
                <w:color w:val="000000"/>
                <w:kern w:val="0"/>
                <w:szCs w:val="24"/>
                <w:lang w:eastAsia="en-IN"/>
                <w14:ligatures w14:val="none"/>
              </w:rPr>
            </w:pPr>
          </w:p>
        </w:tc>
      </w:tr>
      <w:tr w:rsidR="00F75806" w:rsidRPr="00F75806" w14:paraId="240FAE7F" w14:textId="77777777" w:rsidTr="00C91D91">
        <w:trPr>
          <w:trHeight w:val="19"/>
        </w:trPr>
        <w:tc>
          <w:tcPr>
            <w:tcW w:w="1351" w:type="dxa"/>
            <w:tcBorders>
              <w:top w:val="nil"/>
              <w:left w:val="single" w:sz="4" w:space="0" w:color="auto"/>
              <w:bottom w:val="single" w:sz="4" w:space="0" w:color="auto"/>
              <w:right w:val="single" w:sz="4" w:space="0" w:color="auto"/>
            </w:tcBorders>
            <w:vAlign w:val="center"/>
            <w:hideMark/>
          </w:tcPr>
          <w:p w14:paraId="2A8A7CE7"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West Bengal</w:t>
            </w:r>
          </w:p>
        </w:tc>
        <w:tc>
          <w:tcPr>
            <w:tcW w:w="1454" w:type="dxa"/>
            <w:tcBorders>
              <w:top w:val="nil"/>
              <w:left w:val="nil"/>
              <w:bottom w:val="single" w:sz="4" w:space="0" w:color="auto"/>
              <w:right w:val="single" w:sz="4" w:space="0" w:color="auto"/>
            </w:tcBorders>
            <w:vAlign w:val="center"/>
            <w:hideMark/>
          </w:tcPr>
          <w:p w14:paraId="1DE667BC"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63</w:t>
            </w:r>
          </w:p>
        </w:tc>
        <w:tc>
          <w:tcPr>
            <w:tcW w:w="1070" w:type="dxa"/>
            <w:tcBorders>
              <w:top w:val="nil"/>
              <w:left w:val="nil"/>
              <w:bottom w:val="single" w:sz="4" w:space="0" w:color="auto"/>
              <w:right w:val="single" w:sz="4" w:space="0" w:color="auto"/>
            </w:tcBorders>
            <w:vAlign w:val="center"/>
            <w:hideMark/>
          </w:tcPr>
          <w:p w14:paraId="2B266B85"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213</w:t>
            </w:r>
          </w:p>
        </w:tc>
        <w:tc>
          <w:tcPr>
            <w:tcW w:w="851" w:type="dxa"/>
            <w:tcBorders>
              <w:top w:val="nil"/>
              <w:left w:val="nil"/>
              <w:bottom w:val="single" w:sz="4" w:space="0" w:color="auto"/>
              <w:right w:val="single" w:sz="4" w:space="0" w:color="auto"/>
            </w:tcBorders>
            <w:vAlign w:val="center"/>
            <w:hideMark/>
          </w:tcPr>
          <w:p w14:paraId="7BF78715"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620</w:t>
            </w:r>
          </w:p>
        </w:tc>
        <w:tc>
          <w:tcPr>
            <w:tcW w:w="955" w:type="dxa"/>
            <w:tcBorders>
              <w:top w:val="nil"/>
              <w:left w:val="nil"/>
              <w:bottom w:val="single" w:sz="4" w:space="0" w:color="auto"/>
              <w:right w:val="single" w:sz="4" w:space="0" w:color="auto"/>
            </w:tcBorders>
            <w:vAlign w:val="center"/>
            <w:hideMark/>
          </w:tcPr>
          <w:p w14:paraId="6206328E"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278</w:t>
            </w:r>
          </w:p>
        </w:tc>
        <w:tc>
          <w:tcPr>
            <w:tcW w:w="1442" w:type="dxa"/>
            <w:tcBorders>
              <w:top w:val="nil"/>
              <w:left w:val="nil"/>
              <w:bottom w:val="single" w:sz="4" w:space="0" w:color="auto"/>
              <w:right w:val="single" w:sz="4" w:space="0" w:color="auto"/>
            </w:tcBorders>
            <w:vAlign w:val="center"/>
            <w:hideMark/>
          </w:tcPr>
          <w:p w14:paraId="22CE4A3A"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45</w:t>
            </w:r>
          </w:p>
        </w:tc>
        <w:tc>
          <w:tcPr>
            <w:tcW w:w="1224" w:type="dxa"/>
            <w:tcBorders>
              <w:top w:val="nil"/>
              <w:left w:val="nil"/>
              <w:bottom w:val="single" w:sz="4" w:space="0" w:color="auto"/>
              <w:right w:val="single" w:sz="4" w:space="0" w:color="auto"/>
            </w:tcBorders>
            <w:vAlign w:val="center"/>
            <w:hideMark/>
          </w:tcPr>
          <w:p w14:paraId="5F026856"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615</w:t>
            </w:r>
          </w:p>
        </w:tc>
        <w:tc>
          <w:tcPr>
            <w:tcW w:w="851" w:type="dxa"/>
            <w:tcBorders>
              <w:top w:val="nil"/>
              <w:left w:val="nil"/>
              <w:bottom w:val="single" w:sz="4" w:space="0" w:color="auto"/>
              <w:right w:val="single" w:sz="4" w:space="0" w:color="auto"/>
            </w:tcBorders>
            <w:vAlign w:val="center"/>
            <w:hideMark/>
          </w:tcPr>
          <w:p w14:paraId="7A69A034"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333</w:t>
            </w:r>
          </w:p>
        </w:tc>
        <w:tc>
          <w:tcPr>
            <w:tcW w:w="1070" w:type="dxa"/>
            <w:tcBorders>
              <w:top w:val="nil"/>
              <w:left w:val="nil"/>
              <w:bottom w:val="single" w:sz="4" w:space="0" w:color="auto"/>
              <w:right w:val="single" w:sz="4" w:space="0" w:color="auto"/>
            </w:tcBorders>
            <w:vAlign w:val="center"/>
            <w:hideMark/>
          </w:tcPr>
          <w:p w14:paraId="4133D97C"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2166</w:t>
            </w:r>
          </w:p>
        </w:tc>
        <w:tc>
          <w:tcPr>
            <w:tcW w:w="954" w:type="dxa"/>
            <w:tcBorders>
              <w:top w:val="nil"/>
              <w:left w:val="nil"/>
              <w:bottom w:val="single" w:sz="4" w:space="0" w:color="auto"/>
              <w:right w:val="single" w:sz="4" w:space="0" w:color="auto"/>
            </w:tcBorders>
            <w:vAlign w:val="center"/>
            <w:hideMark/>
          </w:tcPr>
          <w:p w14:paraId="7D2B47C7"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640</w:t>
            </w:r>
          </w:p>
        </w:tc>
        <w:tc>
          <w:tcPr>
            <w:tcW w:w="915" w:type="dxa"/>
            <w:tcBorders>
              <w:top w:val="nil"/>
              <w:left w:val="nil"/>
              <w:bottom w:val="single" w:sz="4" w:space="0" w:color="auto"/>
              <w:right w:val="single" w:sz="4" w:space="0" w:color="auto"/>
            </w:tcBorders>
            <w:vAlign w:val="center"/>
            <w:hideMark/>
          </w:tcPr>
          <w:p w14:paraId="006DA66A"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117</w:t>
            </w:r>
          </w:p>
        </w:tc>
        <w:tc>
          <w:tcPr>
            <w:tcW w:w="1070" w:type="dxa"/>
            <w:tcBorders>
              <w:top w:val="nil"/>
              <w:left w:val="nil"/>
              <w:bottom w:val="single" w:sz="4" w:space="0" w:color="auto"/>
              <w:right w:val="single" w:sz="4" w:space="0" w:color="auto"/>
            </w:tcBorders>
            <w:vAlign w:val="center"/>
            <w:hideMark/>
          </w:tcPr>
          <w:p w14:paraId="0995F393"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507</w:t>
            </w:r>
          </w:p>
        </w:tc>
        <w:tc>
          <w:tcPr>
            <w:tcW w:w="1070" w:type="dxa"/>
            <w:tcBorders>
              <w:top w:val="nil"/>
              <w:left w:val="nil"/>
              <w:bottom w:val="single" w:sz="4" w:space="0" w:color="auto"/>
              <w:right w:val="single" w:sz="4" w:space="0" w:color="auto"/>
            </w:tcBorders>
            <w:vAlign w:val="center"/>
            <w:hideMark/>
          </w:tcPr>
          <w:p w14:paraId="58ADF152"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3430</w:t>
            </w:r>
          </w:p>
        </w:tc>
      </w:tr>
      <w:tr w:rsidR="00F75806" w:rsidRPr="00F75806" w14:paraId="59BD488A" w14:textId="77777777" w:rsidTr="00C91D91">
        <w:trPr>
          <w:trHeight w:val="19"/>
        </w:trPr>
        <w:tc>
          <w:tcPr>
            <w:tcW w:w="1351" w:type="dxa"/>
            <w:tcBorders>
              <w:top w:val="nil"/>
              <w:left w:val="single" w:sz="4" w:space="0" w:color="auto"/>
              <w:bottom w:val="single" w:sz="4" w:space="0" w:color="auto"/>
              <w:right w:val="single" w:sz="4" w:space="0" w:color="auto"/>
            </w:tcBorders>
            <w:vAlign w:val="center"/>
            <w:hideMark/>
          </w:tcPr>
          <w:p w14:paraId="08A5F5E3" w14:textId="590F7857" w:rsidR="00F75806" w:rsidRPr="00F75806" w:rsidRDefault="00F75806" w:rsidP="00F75806">
            <w:pPr>
              <w:spacing w:after="0" w:line="240" w:lineRule="auto"/>
              <w:jc w:val="center"/>
              <w:rPr>
                <w:rFonts w:ascii="Aptos" w:eastAsia="Times New Roman" w:hAnsi="Aptos" w:cs="Times New Roman"/>
                <w:color w:val="000000"/>
                <w:kern w:val="0"/>
                <w:szCs w:val="24"/>
                <w:lang w:eastAsia="en-IN"/>
                <w14:ligatures w14:val="none"/>
              </w:rPr>
            </w:pPr>
          </w:p>
        </w:tc>
        <w:tc>
          <w:tcPr>
            <w:tcW w:w="1454" w:type="dxa"/>
            <w:tcBorders>
              <w:top w:val="nil"/>
              <w:left w:val="nil"/>
              <w:bottom w:val="single" w:sz="4" w:space="0" w:color="auto"/>
              <w:right w:val="single" w:sz="4" w:space="0" w:color="auto"/>
            </w:tcBorders>
            <w:vAlign w:val="center"/>
            <w:hideMark/>
          </w:tcPr>
          <w:p w14:paraId="61D6BE55" w14:textId="671D0AFC"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1</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8</w:t>
            </w:r>
          </w:p>
        </w:tc>
        <w:tc>
          <w:tcPr>
            <w:tcW w:w="1070" w:type="dxa"/>
            <w:tcBorders>
              <w:top w:val="nil"/>
              <w:left w:val="nil"/>
              <w:bottom w:val="single" w:sz="4" w:space="0" w:color="auto"/>
              <w:right w:val="single" w:sz="4" w:space="0" w:color="auto"/>
            </w:tcBorders>
            <w:vAlign w:val="center"/>
            <w:hideMark/>
          </w:tcPr>
          <w:p w14:paraId="0650BDEA" w14:textId="603B43A8"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6</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2</w:t>
            </w:r>
          </w:p>
        </w:tc>
        <w:tc>
          <w:tcPr>
            <w:tcW w:w="851" w:type="dxa"/>
            <w:tcBorders>
              <w:top w:val="nil"/>
              <w:left w:val="nil"/>
              <w:bottom w:val="single" w:sz="4" w:space="0" w:color="auto"/>
              <w:right w:val="single" w:sz="4" w:space="0" w:color="auto"/>
            </w:tcBorders>
            <w:vAlign w:val="center"/>
            <w:hideMark/>
          </w:tcPr>
          <w:p w14:paraId="62927739" w14:textId="5C9F6344"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18</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1</w:t>
            </w:r>
          </w:p>
        </w:tc>
        <w:tc>
          <w:tcPr>
            <w:tcW w:w="955" w:type="dxa"/>
            <w:tcBorders>
              <w:top w:val="nil"/>
              <w:left w:val="nil"/>
              <w:bottom w:val="single" w:sz="4" w:space="0" w:color="auto"/>
              <w:right w:val="single" w:sz="4" w:space="0" w:color="auto"/>
            </w:tcBorders>
            <w:vAlign w:val="center"/>
            <w:hideMark/>
          </w:tcPr>
          <w:p w14:paraId="27F4AEE8" w14:textId="69AFFC5F"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8</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1</w:t>
            </w:r>
          </w:p>
        </w:tc>
        <w:tc>
          <w:tcPr>
            <w:tcW w:w="1442" w:type="dxa"/>
            <w:tcBorders>
              <w:top w:val="nil"/>
              <w:left w:val="nil"/>
              <w:bottom w:val="single" w:sz="4" w:space="0" w:color="auto"/>
              <w:right w:val="single" w:sz="4" w:space="0" w:color="auto"/>
            </w:tcBorders>
            <w:vAlign w:val="center"/>
            <w:hideMark/>
          </w:tcPr>
          <w:p w14:paraId="70E6D504" w14:textId="1F71AC18"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1</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3</w:t>
            </w:r>
          </w:p>
        </w:tc>
        <w:tc>
          <w:tcPr>
            <w:tcW w:w="1224" w:type="dxa"/>
            <w:tcBorders>
              <w:top w:val="nil"/>
              <w:left w:val="nil"/>
              <w:bottom w:val="single" w:sz="4" w:space="0" w:color="auto"/>
              <w:right w:val="single" w:sz="4" w:space="0" w:color="auto"/>
            </w:tcBorders>
            <w:vAlign w:val="center"/>
            <w:hideMark/>
          </w:tcPr>
          <w:p w14:paraId="6286F961" w14:textId="66E3D78E"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17</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9</w:t>
            </w:r>
          </w:p>
        </w:tc>
        <w:tc>
          <w:tcPr>
            <w:tcW w:w="851" w:type="dxa"/>
            <w:tcBorders>
              <w:top w:val="nil"/>
              <w:left w:val="nil"/>
              <w:bottom w:val="single" w:sz="4" w:space="0" w:color="auto"/>
              <w:right w:val="single" w:sz="4" w:space="0" w:color="auto"/>
            </w:tcBorders>
            <w:vAlign w:val="center"/>
            <w:hideMark/>
          </w:tcPr>
          <w:p w14:paraId="6F19F30D" w14:textId="4DD13D53"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9</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7</w:t>
            </w:r>
          </w:p>
        </w:tc>
        <w:tc>
          <w:tcPr>
            <w:tcW w:w="1070" w:type="dxa"/>
            <w:tcBorders>
              <w:top w:val="nil"/>
              <w:left w:val="nil"/>
              <w:bottom w:val="single" w:sz="4" w:space="0" w:color="auto"/>
              <w:right w:val="single" w:sz="4" w:space="0" w:color="auto"/>
            </w:tcBorders>
            <w:vAlign w:val="center"/>
            <w:hideMark/>
          </w:tcPr>
          <w:p w14:paraId="518E1A61" w14:textId="6F2A71B7"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63·2</w:t>
            </w:r>
          </w:p>
        </w:tc>
        <w:tc>
          <w:tcPr>
            <w:tcW w:w="954" w:type="dxa"/>
            <w:tcBorders>
              <w:top w:val="nil"/>
              <w:left w:val="nil"/>
              <w:bottom w:val="single" w:sz="4" w:space="0" w:color="auto"/>
              <w:right w:val="single" w:sz="4" w:space="0" w:color="auto"/>
            </w:tcBorders>
            <w:vAlign w:val="center"/>
            <w:hideMark/>
          </w:tcPr>
          <w:p w14:paraId="5396E15D" w14:textId="4A596E25"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18</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7</w:t>
            </w:r>
          </w:p>
        </w:tc>
        <w:tc>
          <w:tcPr>
            <w:tcW w:w="915" w:type="dxa"/>
            <w:tcBorders>
              <w:top w:val="nil"/>
              <w:left w:val="nil"/>
              <w:bottom w:val="single" w:sz="4" w:space="0" w:color="auto"/>
              <w:right w:val="single" w:sz="4" w:space="0" w:color="auto"/>
            </w:tcBorders>
            <w:vAlign w:val="center"/>
            <w:hideMark/>
          </w:tcPr>
          <w:p w14:paraId="5E509CBA" w14:textId="63E3543C"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3</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4</w:t>
            </w:r>
          </w:p>
        </w:tc>
        <w:tc>
          <w:tcPr>
            <w:tcW w:w="1070" w:type="dxa"/>
            <w:tcBorders>
              <w:top w:val="nil"/>
              <w:left w:val="nil"/>
              <w:bottom w:val="single" w:sz="4" w:space="0" w:color="auto"/>
              <w:right w:val="single" w:sz="4" w:space="0" w:color="auto"/>
            </w:tcBorders>
            <w:vAlign w:val="center"/>
            <w:hideMark/>
          </w:tcPr>
          <w:p w14:paraId="559973A5" w14:textId="232376FD"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14</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8</w:t>
            </w:r>
          </w:p>
        </w:tc>
        <w:tc>
          <w:tcPr>
            <w:tcW w:w="1070" w:type="dxa"/>
            <w:tcBorders>
              <w:top w:val="nil"/>
              <w:left w:val="nil"/>
              <w:bottom w:val="single" w:sz="4" w:space="0" w:color="auto"/>
              <w:right w:val="single" w:sz="4" w:space="0" w:color="auto"/>
            </w:tcBorders>
            <w:vAlign w:val="center"/>
            <w:hideMark/>
          </w:tcPr>
          <w:p w14:paraId="7AF6663E" w14:textId="41888616" w:rsidR="00F75806" w:rsidRPr="00F75806" w:rsidRDefault="00F75806" w:rsidP="00F75806">
            <w:pPr>
              <w:spacing w:after="0" w:line="240" w:lineRule="auto"/>
              <w:jc w:val="center"/>
              <w:rPr>
                <w:rFonts w:ascii="Aptos" w:eastAsia="Times New Roman" w:hAnsi="Aptos" w:cs="Times New Roman"/>
                <w:color w:val="000000"/>
                <w:kern w:val="0"/>
                <w:szCs w:val="24"/>
                <w:lang w:eastAsia="en-IN"/>
                <w14:ligatures w14:val="none"/>
              </w:rPr>
            </w:pPr>
          </w:p>
        </w:tc>
      </w:tr>
      <w:tr w:rsidR="00F75806" w:rsidRPr="00F75806" w14:paraId="278B2128" w14:textId="77777777" w:rsidTr="00C91D91">
        <w:trPr>
          <w:trHeight w:val="19"/>
        </w:trPr>
        <w:tc>
          <w:tcPr>
            <w:tcW w:w="1351" w:type="dxa"/>
            <w:tcBorders>
              <w:top w:val="nil"/>
              <w:left w:val="single" w:sz="4" w:space="0" w:color="auto"/>
              <w:bottom w:val="single" w:sz="4" w:space="0" w:color="auto"/>
              <w:right w:val="single" w:sz="4" w:space="0" w:color="auto"/>
            </w:tcBorders>
            <w:vAlign w:val="center"/>
            <w:hideMark/>
          </w:tcPr>
          <w:p w14:paraId="4D94C540"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Hyderabad</w:t>
            </w:r>
          </w:p>
        </w:tc>
        <w:tc>
          <w:tcPr>
            <w:tcW w:w="1454" w:type="dxa"/>
            <w:tcBorders>
              <w:top w:val="nil"/>
              <w:left w:val="nil"/>
              <w:bottom w:val="single" w:sz="4" w:space="0" w:color="auto"/>
              <w:right w:val="single" w:sz="4" w:space="0" w:color="auto"/>
            </w:tcBorders>
            <w:vAlign w:val="center"/>
            <w:hideMark/>
          </w:tcPr>
          <w:p w14:paraId="5F601066"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w:t>
            </w:r>
          </w:p>
        </w:tc>
        <w:tc>
          <w:tcPr>
            <w:tcW w:w="1070" w:type="dxa"/>
            <w:tcBorders>
              <w:top w:val="nil"/>
              <w:left w:val="nil"/>
              <w:bottom w:val="single" w:sz="4" w:space="0" w:color="auto"/>
              <w:right w:val="single" w:sz="4" w:space="0" w:color="auto"/>
            </w:tcBorders>
            <w:vAlign w:val="center"/>
            <w:hideMark/>
          </w:tcPr>
          <w:p w14:paraId="03620555"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447</w:t>
            </w:r>
          </w:p>
        </w:tc>
        <w:tc>
          <w:tcPr>
            <w:tcW w:w="851" w:type="dxa"/>
            <w:tcBorders>
              <w:top w:val="nil"/>
              <w:left w:val="nil"/>
              <w:bottom w:val="single" w:sz="4" w:space="0" w:color="auto"/>
              <w:right w:val="single" w:sz="4" w:space="0" w:color="auto"/>
            </w:tcBorders>
            <w:vAlign w:val="center"/>
            <w:hideMark/>
          </w:tcPr>
          <w:p w14:paraId="62732D0C"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969</w:t>
            </w:r>
          </w:p>
        </w:tc>
        <w:tc>
          <w:tcPr>
            <w:tcW w:w="955" w:type="dxa"/>
            <w:tcBorders>
              <w:top w:val="nil"/>
              <w:left w:val="nil"/>
              <w:bottom w:val="single" w:sz="4" w:space="0" w:color="auto"/>
              <w:right w:val="single" w:sz="4" w:space="0" w:color="auto"/>
            </w:tcBorders>
            <w:vAlign w:val="center"/>
            <w:hideMark/>
          </w:tcPr>
          <w:p w14:paraId="779414C6"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49</w:t>
            </w:r>
          </w:p>
        </w:tc>
        <w:tc>
          <w:tcPr>
            <w:tcW w:w="1442" w:type="dxa"/>
            <w:tcBorders>
              <w:top w:val="nil"/>
              <w:left w:val="nil"/>
              <w:bottom w:val="single" w:sz="4" w:space="0" w:color="auto"/>
              <w:right w:val="single" w:sz="4" w:space="0" w:color="auto"/>
            </w:tcBorders>
            <w:vAlign w:val="center"/>
            <w:hideMark/>
          </w:tcPr>
          <w:p w14:paraId="06EDF3F5"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7</w:t>
            </w:r>
          </w:p>
        </w:tc>
        <w:tc>
          <w:tcPr>
            <w:tcW w:w="1224" w:type="dxa"/>
            <w:tcBorders>
              <w:top w:val="nil"/>
              <w:left w:val="nil"/>
              <w:bottom w:val="single" w:sz="4" w:space="0" w:color="auto"/>
              <w:right w:val="single" w:sz="4" w:space="0" w:color="auto"/>
            </w:tcBorders>
            <w:vAlign w:val="center"/>
            <w:hideMark/>
          </w:tcPr>
          <w:p w14:paraId="71B4B393"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74</w:t>
            </w:r>
          </w:p>
        </w:tc>
        <w:tc>
          <w:tcPr>
            <w:tcW w:w="851" w:type="dxa"/>
            <w:tcBorders>
              <w:top w:val="nil"/>
              <w:left w:val="nil"/>
              <w:bottom w:val="single" w:sz="4" w:space="0" w:color="auto"/>
              <w:right w:val="single" w:sz="4" w:space="0" w:color="auto"/>
            </w:tcBorders>
            <w:vAlign w:val="center"/>
            <w:hideMark/>
          </w:tcPr>
          <w:p w14:paraId="3C5A09BC"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368</w:t>
            </w:r>
          </w:p>
        </w:tc>
        <w:tc>
          <w:tcPr>
            <w:tcW w:w="1070" w:type="dxa"/>
            <w:tcBorders>
              <w:top w:val="nil"/>
              <w:left w:val="nil"/>
              <w:bottom w:val="single" w:sz="4" w:space="0" w:color="auto"/>
              <w:right w:val="single" w:sz="4" w:space="0" w:color="auto"/>
            </w:tcBorders>
            <w:vAlign w:val="center"/>
            <w:hideMark/>
          </w:tcPr>
          <w:p w14:paraId="65344A89"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1914</w:t>
            </w:r>
          </w:p>
        </w:tc>
        <w:tc>
          <w:tcPr>
            <w:tcW w:w="954" w:type="dxa"/>
            <w:tcBorders>
              <w:top w:val="nil"/>
              <w:left w:val="nil"/>
              <w:bottom w:val="single" w:sz="4" w:space="0" w:color="auto"/>
              <w:right w:val="single" w:sz="4" w:space="0" w:color="auto"/>
            </w:tcBorders>
            <w:vAlign w:val="center"/>
            <w:hideMark/>
          </w:tcPr>
          <w:p w14:paraId="221C506C"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w:t>
            </w:r>
          </w:p>
        </w:tc>
        <w:tc>
          <w:tcPr>
            <w:tcW w:w="915" w:type="dxa"/>
            <w:tcBorders>
              <w:top w:val="nil"/>
              <w:left w:val="nil"/>
              <w:bottom w:val="single" w:sz="4" w:space="0" w:color="auto"/>
              <w:right w:val="single" w:sz="4" w:space="0" w:color="auto"/>
            </w:tcBorders>
            <w:vAlign w:val="center"/>
            <w:hideMark/>
          </w:tcPr>
          <w:p w14:paraId="3346133B"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131</w:t>
            </w:r>
          </w:p>
        </w:tc>
        <w:tc>
          <w:tcPr>
            <w:tcW w:w="1070" w:type="dxa"/>
            <w:tcBorders>
              <w:top w:val="nil"/>
              <w:left w:val="nil"/>
              <w:bottom w:val="single" w:sz="4" w:space="0" w:color="auto"/>
              <w:right w:val="single" w:sz="4" w:space="0" w:color="auto"/>
            </w:tcBorders>
            <w:vAlign w:val="center"/>
            <w:hideMark/>
          </w:tcPr>
          <w:p w14:paraId="225C89AA"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573</w:t>
            </w:r>
          </w:p>
        </w:tc>
        <w:tc>
          <w:tcPr>
            <w:tcW w:w="1070" w:type="dxa"/>
            <w:tcBorders>
              <w:top w:val="nil"/>
              <w:left w:val="nil"/>
              <w:bottom w:val="single" w:sz="4" w:space="0" w:color="auto"/>
              <w:right w:val="single" w:sz="4" w:space="0" w:color="auto"/>
            </w:tcBorders>
            <w:vAlign w:val="center"/>
            <w:hideMark/>
          </w:tcPr>
          <w:p w14:paraId="531A0052"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2618</w:t>
            </w:r>
          </w:p>
        </w:tc>
      </w:tr>
      <w:tr w:rsidR="00F75806" w:rsidRPr="00F75806" w14:paraId="4DCBD72A" w14:textId="77777777" w:rsidTr="00C91D91">
        <w:trPr>
          <w:trHeight w:val="19"/>
        </w:trPr>
        <w:tc>
          <w:tcPr>
            <w:tcW w:w="1351" w:type="dxa"/>
            <w:tcBorders>
              <w:top w:val="single" w:sz="4" w:space="0" w:color="auto"/>
              <w:left w:val="single" w:sz="4" w:space="0" w:color="auto"/>
              <w:bottom w:val="single" w:sz="4" w:space="0" w:color="auto"/>
              <w:right w:val="single" w:sz="4" w:space="0" w:color="auto"/>
            </w:tcBorders>
            <w:vAlign w:val="center"/>
            <w:hideMark/>
          </w:tcPr>
          <w:p w14:paraId="1F83CD6E" w14:textId="2D8CC3B9" w:rsidR="00F75806" w:rsidRPr="00F75806" w:rsidRDefault="00F75806" w:rsidP="00F75806">
            <w:pPr>
              <w:spacing w:after="0" w:line="240" w:lineRule="auto"/>
              <w:jc w:val="center"/>
              <w:rPr>
                <w:rFonts w:ascii="Aptos" w:eastAsia="Times New Roman" w:hAnsi="Aptos" w:cs="Times New Roman"/>
                <w:color w:val="000000"/>
                <w:kern w:val="0"/>
                <w:szCs w:val="24"/>
                <w:lang w:eastAsia="en-IN"/>
                <w14:ligatures w14:val="none"/>
              </w:rPr>
            </w:pPr>
          </w:p>
        </w:tc>
        <w:tc>
          <w:tcPr>
            <w:tcW w:w="1454" w:type="dxa"/>
            <w:tcBorders>
              <w:top w:val="single" w:sz="4" w:space="0" w:color="auto"/>
              <w:left w:val="single" w:sz="4" w:space="0" w:color="auto"/>
              <w:bottom w:val="single" w:sz="4" w:space="0" w:color="auto"/>
              <w:right w:val="single" w:sz="4" w:space="0" w:color="auto"/>
            </w:tcBorders>
            <w:vAlign w:val="center"/>
            <w:hideMark/>
          </w:tcPr>
          <w:p w14:paraId="1E6CBCE5" w14:textId="77777777" w:rsidR="00F75806" w:rsidRPr="00F75806" w:rsidRDefault="00F75806" w:rsidP="00F75806">
            <w:pPr>
              <w:spacing w:after="0" w:line="240" w:lineRule="auto"/>
              <w:jc w:val="center"/>
              <w:rPr>
                <w:rFonts w:ascii="Aptos" w:eastAsia="Times New Roman" w:hAnsi="Aptos" w:cs="Times New Roman"/>
                <w:color w:val="000000"/>
                <w:kern w:val="0"/>
                <w:szCs w:val="24"/>
                <w:lang w:eastAsia="en-IN"/>
                <w14:ligatures w14:val="none"/>
              </w:rPr>
            </w:pPr>
            <w:r w:rsidRPr="00F75806">
              <w:rPr>
                <w:rFonts w:ascii="Aptos" w:eastAsia="Times New Roman" w:hAnsi="Aptos" w:cs="Times New Roman"/>
                <w:color w:val="000000"/>
                <w:kern w:val="0"/>
                <w:szCs w:val="24"/>
                <w:lang w:eastAsia="en-IN"/>
                <w14:ligatures w14:val="none"/>
              </w:rPr>
              <w:t>-</w:t>
            </w:r>
          </w:p>
        </w:tc>
        <w:tc>
          <w:tcPr>
            <w:tcW w:w="1070" w:type="dxa"/>
            <w:tcBorders>
              <w:top w:val="single" w:sz="4" w:space="0" w:color="auto"/>
              <w:left w:val="single" w:sz="4" w:space="0" w:color="auto"/>
              <w:bottom w:val="single" w:sz="4" w:space="0" w:color="auto"/>
              <w:right w:val="single" w:sz="4" w:space="0" w:color="auto"/>
            </w:tcBorders>
            <w:vAlign w:val="center"/>
            <w:hideMark/>
          </w:tcPr>
          <w:p w14:paraId="4C975F0E" w14:textId="22987EAF"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17</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662668F6" w14:textId="4F40D0F2"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37</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0</w:t>
            </w:r>
          </w:p>
        </w:tc>
        <w:tc>
          <w:tcPr>
            <w:tcW w:w="955" w:type="dxa"/>
            <w:tcBorders>
              <w:top w:val="single" w:sz="4" w:space="0" w:color="auto"/>
              <w:left w:val="single" w:sz="4" w:space="0" w:color="auto"/>
              <w:bottom w:val="single" w:sz="4" w:space="0" w:color="auto"/>
              <w:right w:val="single" w:sz="4" w:space="0" w:color="auto"/>
            </w:tcBorders>
            <w:vAlign w:val="center"/>
            <w:hideMark/>
          </w:tcPr>
          <w:p w14:paraId="6A958D24" w14:textId="049CB7CC"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1</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9</w:t>
            </w:r>
          </w:p>
        </w:tc>
        <w:tc>
          <w:tcPr>
            <w:tcW w:w="1442" w:type="dxa"/>
            <w:tcBorders>
              <w:top w:val="single" w:sz="4" w:space="0" w:color="auto"/>
              <w:left w:val="single" w:sz="4" w:space="0" w:color="auto"/>
              <w:bottom w:val="single" w:sz="4" w:space="0" w:color="auto"/>
              <w:right w:val="single" w:sz="4" w:space="0" w:color="auto"/>
            </w:tcBorders>
            <w:vAlign w:val="center"/>
            <w:hideMark/>
          </w:tcPr>
          <w:p w14:paraId="06548DE0" w14:textId="0B43C576"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0</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3</w:t>
            </w:r>
          </w:p>
        </w:tc>
        <w:tc>
          <w:tcPr>
            <w:tcW w:w="1224" w:type="dxa"/>
            <w:tcBorders>
              <w:top w:val="single" w:sz="4" w:space="0" w:color="auto"/>
              <w:left w:val="single" w:sz="4" w:space="0" w:color="auto"/>
              <w:bottom w:val="single" w:sz="4" w:space="0" w:color="auto"/>
              <w:right w:val="single" w:sz="4" w:space="0" w:color="auto"/>
            </w:tcBorders>
            <w:vAlign w:val="center"/>
            <w:hideMark/>
          </w:tcPr>
          <w:p w14:paraId="74D37E26" w14:textId="41FAE3C2"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2</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8</w:t>
            </w:r>
          </w:p>
        </w:tc>
        <w:tc>
          <w:tcPr>
            <w:tcW w:w="851" w:type="dxa"/>
            <w:tcBorders>
              <w:top w:val="single" w:sz="4" w:space="0" w:color="auto"/>
              <w:left w:val="single" w:sz="4" w:space="0" w:color="auto"/>
              <w:bottom w:val="single" w:sz="4" w:space="0" w:color="auto"/>
              <w:right w:val="single" w:sz="4" w:space="0" w:color="auto"/>
            </w:tcBorders>
            <w:vAlign w:val="center"/>
            <w:hideMark/>
          </w:tcPr>
          <w:p w14:paraId="709B6559" w14:textId="5100638A"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14</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148BF6C1" w14:textId="16F78BB6"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73</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1</w:t>
            </w:r>
          </w:p>
        </w:tc>
        <w:tc>
          <w:tcPr>
            <w:tcW w:w="954" w:type="dxa"/>
            <w:tcBorders>
              <w:top w:val="single" w:sz="4" w:space="0" w:color="auto"/>
              <w:left w:val="single" w:sz="4" w:space="0" w:color="auto"/>
              <w:bottom w:val="single" w:sz="4" w:space="0" w:color="auto"/>
              <w:right w:val="single" w:sz="4" w:space="0" w:color="auto"/>
            </w:tcBorders>
            <w:vAlign w:val="center"/>
            <w:hideMark/>
          </w:tcPr>
          <w:p w14:paraId="5886017C"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w:t>
            </w:r>
          </w:p>
        </w:tc>
        <w:tc>
          <w:tcPr>
            <w:tcW w:w="915" w:type="dxa"/>
            <w:tcBorders>
              <w:top w:val="single" w:sz="4" w:space="0" w:color="auto"/>
              <w:left w:val="single" w:sz="4" w:space="0" w:color="auto"/>
              <w:bottom w:val="single" w:sz="4" w:space="0" w:color="auto"/>
              <w:right w:val="single" w:sz="4" w:space="0" w:color="auto"/>
            </w:tcBorders>
            <w:vAlign w:val="center"/>
            <w:hideMark/>
          </w:tcPr>
          <w:p w14:paraId="27F3D4CE" w14:textId="31B79225"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5</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0</w:t>
            </w:r>
          </w:p>
        </w:tc>
        <w:tc>
          <w:tcPr>
            <w:tcW w:w="1070" w:type="dxa"/>
            <w:tcBorders>
              <w:top w:val="single" w:sz="4" w:space="0" w:color="auto"/>
              <w:left w:val="single" w:sz="4" w:space="0" w:color="auto"/>
              <w:bottom w:val="single" w:sz="4" w:space="0" w:color="auto"/>
              <w:right w:val="single" w:sz="4" w:space="0" w:color="auto"/>
            </w:tcBorders>
            <w:vAlign w:val="center"/>
            <w:hideMark/>
          </w:tcPr>
          <w:p w14:paraId="5037A5BF" w14:textId="6A6E64CA"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21</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9</w:t>
            </w:r>
          </w:p>
        </w:tc>
        <w:tc>
          <w:tcPr>
            <w:tcW w:w="1070" w:type="dxa"/>
            <w:tcBorders>
              <w:top w:val="single" w:sz="4" w:space="0" w:color="auto"/>
              <w:left w:val="single" w:sz="4" w:space="0" w:color="auto"/>
              <w:bottom w:val="single" w:sz="4" w:space="0" w:color="auto"/>
              <w:right w:val="single" w:sz="4" w:space="0" w:color="auto"/>
            </w:tcBorders>
            <w:vAlign w:val="center"/>
            <w:hideMark/>
          </w:tcPr>
          <w:p w14:paraId="01DE7219" w14:textId="0C3D5FDC" w:rsidR="00F75806" w:rsidRPr="00F75806" w:rsidRDefault="00F75806" w:rsidP="00F75806">
            <w:pPr>
              <w:spacing w:after="0" w:line="240" w:lineRule="auto"/>
              <w:jc w:val="center"/>
              <w:rPr>
                <w:rFonts w:ascii="Aptos" w:eastAsia="Times New Roman" w:hAnsi="Aptos" w:cs="Times New Roman"/>
                <w:color w:val="000000"/>
                <w:kern w:val="0"/>
                <w:szCs w:val="24"/>
                <w:lang w:eastAsia="en-IN"/>
                <w14:ligatures w14:val="none"/>
              </w:rPr>
            </w:pPr>
          </w:p>
        </w:tc>
      </w:tr>
      <w:tr w:rsidR="00F75806" w:rsidRPr="00F75806" w14:paraId="0CA94D2D" w14:textId="77777777" w:rsidTr="00C91D91">
        <w:trPr>
          <w:trHeight w:val="19"/>
        </w:trPr>
        <w:tc>
          <w:tcPr>
            <w:tcW w:w="1351" w:type="dxa"/>
            <w:tcBorders>
              <w:top w:val="single" w:sz="4" w:space="0" w:color="auto"/>
              <w:left w:val="single" w:sz="4" w:space="0" w:color="auto"/>
              <w:bottom w:val="single" w:sz="4" w:space="0" w:color="auto"/>
              <w:right w:val="single" w:sz="4" w:space="0" w:color="auto"/>
            </w:tcBorders>
            <w:vAlign w:val="center"/>
            <w:hideMark/>
          </w:tcPr>
          <w:p w14:paraId="200A34F0"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Madhya Bharat</w:t>
            </w:r>
          </w:p>
        </w:tc>
        <w:tc>
          <w:tcPr>
            <w:tcW w:w="1454" w:type="dxa"/>
            <w:tcBorders>
              <w:top w:val="single" w:sz="4" w:space="0" w:color="auto"/>
              <w:left w:val="nil"/>
              <w:bottom w:val="single" w:sz="4" w:space="0" w:color="auto"/>
              <w:right w:val="single" w:sz="4" w:space="0" w:color="auto"/>
            </w:tcBorders>
            <w:vAlign w:val="center"/>
            <w:hideMark/>
          </w:tcPr>
          <w:p w14:paraId="429D9B07"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w:t>
            </w:r>
          </w:p>
        </w:tc>
        <w:tc>
          <w:tcPr>
            <w:tcW w:w="1070" w:type="dxa"/>
            <w:tcBorders>
              <w:top w:val="single" w:sz="4" w:space="0" w:color="auto"/>
              <w:left w:val="nil"/>
              <w:bottom w:val="single" w:sz="4" w:space="0" w:color="auto"/>
              <w:right w:val="single" w:sz="4" w:space="0" w:color="auto"/>
            </w:tcBorders>
            <w:vAlign w:val="center"/>
            <w:hideMark/>
          </w:tcPr>
          <w:p w14:paraId="33512C18"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247</w:t>
            </w:r>
          </w:p>
        </w:tc>
        <w:tc>
          <w:tcPr>
            <w:tcW w:w="851" w:type="dxa"/>
            <w:tcBorders>
              <w:top w:val="single" w:sz="4" w:space="0" w:color="auto"/>
              <w:left w:val="nil"/>
              <w:bottom w:val="single" w:sz="4" w:space="0" w:color="auto"/>
              <w:right w:val="single" w:sz="4" w:space="0" w:color="auto"/>
            </w:tcBorders>
            <w:vAlign w:val="center"/>
            <w:hideMark/>
          </w:tcPr>
          <w:p w14:paraId="4C15524F"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189</w:t>
            </w:r>
          </w:p>
        </w:tc>
        <w:tc>
          <w:tcPr>
            <w:tcW w:w="955" w:type="dxa"/>
            <w:tcBorders>
              <w:top w:val="single" w:sz="4" w:space="0" w:color="auto"/>
              <w:left w:val="nil"/>
              <w:bottom w:val="single" w:sz="4" w:space="0" w:color="auto"/>
              <w:right w:val="single" w:sz="4" w:space="0" w:color="auto"/>
            </w:tcBorders>
            <w:vAlign w:val="center"/>
            <w:hideMark/>
          </w:tcPr>
          <w:p w14:paraId="69038660"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36</w:t>
            </w:r>
          </w:p>
        </w:tc>
        <w:tc>
          <w:tcPr>
            <w:tcW w:w="1442" w:type="dxa"/>
            <w:tcBorders>
              <w:top w:val="single" w:sz="4" w:space="0" w:color="auto"/>
              <w:left w:val="nil"/>
              <w:bottom w:val="single" w:sz="4" w:space="0" w:color="auto"/>
              <w:right w:val="single" w:sz="4" w:space="0" w:color="auto"/>
            </w:tcBorders>
            <w:vAlign w:val="center"/>
            <w:hideMark/>
          </w:tcPr>
          <w:p w14:paraId="4746FD5F"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3</w:t>
            </w:r>
          </w:p>
        </w:tc>
        <w:tc>
          <w:tcPr>
            <w:tcW w:w="1224" w:type="dxa"/>
            <w:tcBorders>
              <w:top w:val="single" w:sz="4" w:space="0" w:color="auto"/>
              <w:left w:val="nil"/>
              <w:bottom w:val="single" w:sz="4" w:space="0" w:color="auto"/>
              <w:right w:val="single" w:sz="4" w:space="0" w:color="auto"/>
            </w:tcBorders>
            <w:vAlign w:val="center"/>
            <w:hideMark/>
          </w:tcPr>
          <w:p w14:paraId="0972FFF4"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42</w:t>
            </w:r>
          </w:p>
        </w:tc>
        <w:tc>
          <w:tcPr>
            <w:tcW w:w="851" w:type="dxa"/>
            <w:tcBorders>
              <w:top w:val="single" w:sz="4" w:space="0" w:color="auto"/>
              <w:left w:val="nil"/>
              <w:bottom w:val="single" w:sz="4" w:space="0" w:color="auto"/>
              <w:right w:val="single" w:sz="4" w:space="0" w:color="auto"/>
            </w:tcBorders>
            <w:vAlign w:val="center"/>
            <w:hideMark/>
          </w:tcPr>
          <w:p w14:paraId="1BD1F056"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161</w:t>
            </w:r>
          </w:p>
        </w:tc>
        <w:tc>
          <w:tcPr>
            <w:tcW w:w="1070" w:type="dxa"/>
            <w:tcBorders>
              <w:top w:val="single" w:sz="4" w:space="0" w:color="auto"/>
              <w:left w:val="nil"/>
              <w:bottom w:val="single" w:sz="4" w:space="0" w:color="auto"/>
              <w:right w:val="single" w:sz="4" w:space="0" w:color="auto"/>
            </w:tcBorders>
            <w:vAlign w:val="center"/>
            <w:hideMark/>
          </w:tcPr>
          <w:p w14:paraId="5FFDCBA9"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678</w:t>
            </w:r>
          </w:p>
        </w:tc>
        <w:tc>
          <w:tcPr>
            <w:tcW w:w="954" w:type="dxa"/>
            <w:tcBorders>
              <w:top w:val="single" w:sz="4" w:space="0" w:color="auto"/>
              <w:left w:val="nil"/>
              <w:bottom w:val="single" w:sz="4" w:space="0" w:color="auto"/>
              <w:right w:val="single" w:sz="4" w:space="0" w:color="auto"/>
            </w:tcBorders>
            <w:vAlign w:val="center"/>
            <w:hideMark/>
          </w:tcPr>
          <w:p w14:paraId="267B09FB"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6</w:t>
            </w:r>
          </w:p>
        </w:tc>
        <w:tc>
          <w:tcPr>
            <w:tcW w:w="915" w:type="dxa"/>
            <w:tcBorders>
              <w:top w:val="single" w:sz="4" w:space="0" w:color="auto"/>
              <w:left w:val="nil"/>
              <w:bottom w:val="single" w:sz="4" w:space="0" w:color="auto"/>
              <w:right w:val="single" w:sz="4" w:space="0" w:color="auto"/>
            </w:tcBorders>
            <w:vAlign w:val="center"/>
            <w:hideMark/>
          </w:tcPr>
          <w:p w14:paraId="593AB820"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16</w:t>
            </w:r>
          </w:p>
        </w:tc>
        <w:tc>
          <w:tcPr>
            <w:tcW w:w="1070" w:type="dxa"/>
            <w:tcBorders>
              <w:top w:val="single" w:sz="4" w:space="0" w:color="auto"/>
              <w:left w:val="nil"/>
              <w:bottom w:val="single" w:sz="4" w:space="0" w:color="auto"/>
              <w:right w:val="single" w:sz="4" w:space="0" w:color="auto"/>
            </w:tcBorders>
            <w:vAlign w:val="center"/>
            <w:hideMark/>
          </w:tcPr>
          <w:p w14:paraId="3CB68A94"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338</w:t>
            </w:r>
          </w:p>
        </w:tc>
        <w:tc>
          <w:tcPr>
            <w:tcW w:w="1070" w:type="dxa"/>
            <w:tcBorders>
              <w:top w:val="single" w:sz="4" w:space="0" w:color="auto"/>
              <w:left w:val="nil"/>
              <w:bottom w:val="single" w:sz="4" w:space="0" w:color="auto"/>
              <w:right w:val="single" w:sz="4" w:space="0" w:color="auto"/>
            </w:tcBorders>
            <w:vAlign w:val="center"/>
            <w:hideMark/>
          </w:tcPr>
          <w:p w14:paraId="41EF1945"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1038</w:t>
            </w:r>
          </w:p>
        </w:tc>
      </w:tr>
      <w:tr w:rsidR="00F75806" w:rsidRPr="00F75806" w14:paraId="1E8CFFB0" w14:textId="77777777" w:rsidTr="00C91D91">
        <w:trPr>
          <w:trHeight w:val="19"/>
        </w:trPr>
        <w:tc>
          <w:tcPr>
            <w:tcW w:w="1351" w:type="dxa"/>
            <w:tcBorders>
              <w:top w:val="nil"/>
              <w:left w:val="single" w:sz="4" w:space="0" w:color="auto"/>
              <w:bottom w:val="single" w:sz="4" w:space="0" w:color="auto"/>
              <w:right w:val="single" w:sz="4" w:space="0" w:color="auto"/>
            </w:tcBorders>
            <w:vAlign w:val="center"/>
            <w:hideMark/>
          </w:tcPr>
          <w:p w14:paraId="56027A68" w14:textId="2993319F" w:rsidR="00F75806" w:rsidRPr="00F75806" w:rsidRDefault="00F75806" w:rsidP="00F75806">
            <w:pPr>
              <w:spacing w:after="0" w:line="240" w:lineRule="auto"/>
              <w:jc w:val="center"/>
              <w:rPr>
                <w:rFonts w:ascii="Aptos" w:eastAsia="Times New Roman" w:hAnsi="Aptos" w:cs="Times New Roman"/>
                <w:color w:val="000000"/>
                <w:kern w:val="0"/>
                <w:szCs w:val="24"/>
                <w:lang w:eastAsia="en-IN"/>
                <w14:ligatures w14:val="none"/>
              </w:rPr>
            </w:pPr>
          </w:p>
        </w:tc>
        <w:tc>
          <w:tcPr>
            <w:tcW w:w="1454" w:type="dxa"/>
            <w:tcBorders>
              <w:top w:val="nil"/>
              <w:left w:val="nil"/>
              <w:bottom w:val="single" w:sz="4" w:space="0" w:color="auto"/>
              <w:right w:val="single" w:sz="4" w:space="0" w:color="auto"/>
            </w:tcBorders>
            <w:vAlign w:val="center"/>
            <w:hideMark/>
          </w:tcPr>
          <w:p w14:paraId="381ED76D" w14:textId="77777777" w:rsidR="00F75806" w:rsidRPr="00F75806" w:rsidRDefault="00F75806" w:rsidP="00F75806">
            <w:pPr>
              <w:spacing w:after="0" w:line="240" w:lineRule="auto"/>
              <w:jc w:val="center"/>
              <w:rPr>
                <w:rFonts w:ascii="Aptos" w:eastAsia="Times New Roman" w:hAnsi="Aptos" w:cs="Times New Roman"/>
                <w:color w:val="000000"/>
                <w:kern w:val="0"/>
                <w:szCs w:val="24"/>
                <w:lang w:eastAsia="en-IN"/>
                <w14:ligatures w14:val="none"/>
              </w:rPr>
            </w:pPr>
            <w:r w:rsidRPr="00F75806">
              <w:rPr>
                <w:rFonts w:ascii="Aptos" w:eastAsia="Times New Roman" w:hAnsi="Aptos" w:cs="Times New Roman"/>
                <w:color w:val="000000"/>
                <w:kern w:val="0"/>
                <w:szCs w:val="24"/>
                <w:lang w:eastAsia="en-IN"/>
                <w14:ligatures w14:val="none"/>
              </w:rPr>
              <w:t>-</w:t>
            </w:r>
          </w:p>
        </w:tc>
        <w:tc>
          <w:tcPr>
            <w:tcW w:w="1070" w:type="dxa"/>
            <w:tcBorders>
              <w:top w:val="nil"/>
              <w:left w:val="nil"/>
              <w:bottom w:val="single" w:sz="4" w:space="0" w:color="auto"/>
              <w:right w:val="single" w:sz="4" w:space="0" w:color="auto"/>
            </w:tcBorders>
            <w:vAlign w:val="center"/>
            <w:hideMark/>
          </w:tcPr>
          <w:p w14:paraId="123B3CCE" w14:textId="281D80EF"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23</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8</w:t>
            </w:r>
          </w:p>
        </w:tc>
        <w:tc>
          <w:tcPr>
            <w:tcW w:w="851" w:type="dxa"/>
            <w:tcBorders>
              <w:top w:val="nil"/>
              <w:left w:val="nil"/>
              <w:bottom w:val="single" w:sz="4" w:space="0" w:color="auto"/>
              <w:right w:val="single" w:sz="4" w:space="0" w:color="auto"/>
            </w:tcBorders>
            <w:vAlign w:val="center"/>
            <w:hideMark/>
          </w:tcPr>
          <w:p w14:paraId="059853E7" w14:textId="0EE82BB7"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18</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2</w:t>
            </w:r>
          </w:p>
        </w:tc>
        <w:tc>
          <w:tcPr>
            <w:tcW w:w="955" w:type="dxa"/>
            <w:tcBorders>
              <w:top w:val="nil"/>
              <w:left w:val="nil"/>
              <w:bottom w:val="single" w:sz="4" w:space="0" w:color="auto"/>
              <w:right w:val="single" w:sz="4" w:space="0" w:color="auto"/>
            </w:tcBorders>
            <w:vAlign w:val="center"/>
            <w:hideMark/>
          </w:tcPr>
          <w:p w14:paraId="3FD766B6" w14:textId="7BE1CB9E"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3</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5</w:t>
            </w:r>
          </w:p>
        </w:tc>
        <w:tc>
          <w:tcPr>
            <w:tcW w:w="1442" w:type="dxa"/>
            <w:tcBorders>
              <w:top w:val="nil"/>
              <w:left w:val="nil"/>
              <w:bottom w:val="single" w:sz="4" w:space="0" w:color="auto"/>
              <w:right w:val="single" w:sz="4" w:space="0" w:color="auto"/>
            </w:tcBorders>
            <w:vAlign w:val="center"/>
            <w:hideMark/>
          </w:tcPr>
          <w:p w14:paraId="458C2AE2" w14:textId="204D58D2"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0</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3</w:t>
            </w:r>
          </w:p>
        </w:tc>
        <w:tc>
          <w:tcPr>
            <w:tcW w:w="1224" w:type="dxa"/>
            <w:tcBorders>
              <w:top w:val="nil"/>
              <w:left w:val="nil"/>
              <w:bottom w:val="single" w:sz="4" w:space="0" w:color="auto"/>
              <w:right w:val="single" w:sz="4" w:space="0" w:color="auto"/>
            </w:tcBorders>
            <w:vAlign w:val="center"/>
            <w:hideMark/>
          </w:tcPr>
          <w:p w14:paraId="2D5606FB" w14:textId="525543D5"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4</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0</w:t>
            </w:r>
          </w:p>
        </w:tc>
        <w:tc>
          <w:tcPr>
            <w:tcW w:w="851" w:type="dxa"/>
            <w:tcBorders>
              <w:top w:val="nil"/>
              <w:left w:val="nil"/>
              <w:bottom w:val="single" w:sz="4" w:space="0" w:color="auto"/>
              <w:right w:val="single" w:sz="4" w:space="0" w:color="auto"/>
            </w:tcBorders>
            <w:vAlign w:val="center"/>
            <w:hideMark/>
          </w:tcPr>
          <w:p w14:paraId="58568DB8" w14:textId="2C183086"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15</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5</w:t>
            </w:r>
          </w:p>
        </w:tc>
        <w:tc>
          <w:tcPr>
            <w:tcW w:w="1070" w:type="dxa"/>
            <w:tcBorders>
              <w:top w:val="nil"/>
              <w:left w:val="nil"/>
              <w:bottom w:val="single" w:sz="4" w:space="0" w:color="auto"/>
              <w:right w:val="single" w:sz="4" w:space="0" w:color="auto"/>
            </w:tcBorders>
            <w:vAlign w:val="center"/>
            <w:hideMark/>
          </w:tcPr>
          <w:p w14:paraId="0B87B113" w14:textId="370A5EF8"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65</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3</w:t>
            </w:r>
          </w:p>
        </w:tc>
        <w:tc>
          <w:tcPr>
            <w:tcW w:w="954" w:type="dxa"/>
            <w:tcBorders>
              <w:top w:val="nil"/>
              <w:left w:val="nil"/>
              <w:bottom w:val="single" w:sz="4" w:space="0" w:color="auto"/>
              <w:right w:val="single" w:sz="4" w:space="0" w:color="auto"/>
            </w:tcBorders>
            <w:vAlign w:val="center"/>
            <w:hideMark/>
          </w:tcPr>
          <w:p w14:paraId="6FA0E896" w14:textId="23EA2537"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0</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6</w:t>
            </w:r>
          </w:p>
        </w:tc>
        <w:tc>
          <w:tcPr>
            <w:tcW w:w="915" w:type="dxa"/>
            <w:tcBorders>
              <w:top w:val="nil"/>
              <w:left w:val="nil"/>
              <w:bottom w:val="single" w:sz="4" w:space="0" w:color="auto"/>
              <w:right w:val="single" w:sz="4" w:space="0" w:color="auto"/>
            </w:tcBorders>
            <w:vAlign w:val="center"/>
            <w:hideMark/>
          </w:tcPr>
          <w:p w14:paraId="0B07B5A9" w14:textId="68A26FA4"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1</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5</w:t>
            </w:r>
          </w:p>
        </w:tc>
        <w:tc>
          <w:tcPr>
            <w:tcW w:w="1070" w:type="dxa"/>
            <w:tcBorders>
              <w:top w:val="nil"/>
              <w:left w:val="nil"/>
              <w:bottom w:val="single" w:sz="4" w:space="0" w:color="auto"/>
              <w:right w:val="single" w:sz="4" w:space="0" w:color="auto"/>
            </w:tcBorders>
            <w:vAlign w:val="center"/>
            <w:hideMark/>
          </w:tcPr>
          <w:p w14:paraId="41D0CEEA" w14:textId="3AA1DD6A"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32</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6</w:t>
            </w:r>
          </w:p>
        </w:tc>
        <w:tc>
          <w:tcPr>
            <w:tcW w:w="1070" w:type="dxa"/>
            <w:tcBorders>
              <w:top w:val="nil"/>
              <w:left w:val="nil"/>
              <w:bottom w:val="single" w:sz="4" w:space="0" w:color="auto"/>
              <w:right w:val="single" w:sz="4" w:space="0" w:color="auto"/>
            </w:tcBorders>
            <w:vAlign w:val="center"/>
            <w:hideMark/>
          </w:tcPr>
          <w:p w14:paraId="029EBB88" w14:textId="0EE36B2B" w:rsidR="00F75806" w:rsidRPr="00F75806" w:rsidRDefault="00F75806" w:rsidP="00F75806">
            <w:pPr>
              <w:spacing w:after="0" w:line="240" w:lineRule="auto"/>
              <w:jc w:val="center"/>
              <w:rPr>
                <w:rFonts w:ascii="Aptos" w:eastAsia="Times New Roman" w:hAnsi="Aptos" w:cs="Times New Roman"/>
                <w:color w:val="000000"/>
                <w:kern w:val="0"/>
                <w:szCs w:val="24"/>
                <w:lang w:eastAsia="en-IN"/>
                <w14:ligatures w14:val="none"/>
              </w:rPr>
            </w:pPr>
          </w:p>
        </w:tc>
      </w:tr>
      <w:tr w:rsidR="00F75806" w:rsidRPr="00F75806" w14:paraId="73B49F3E" w14:textId="77777777" w:rsidTr="00C91D91">
        <w:trPr>
          <w:trHeight w:val="19"/>
        </w:trPr>
        <w:tc>
          <w:tcPr>
            <w:tcW w:w="1351" w:type="dxa"/>
            <w:tcBorders>
              <w:top w:val="nil"/>
              <w:left w:val="single" w:sz="4" w:space="0" w:color="auto"/>
              <w:bottom w:val="single" w:sz="4" w:space="0" w:color="auto"/>
              <w:right w:val="single" w:sz="4" w:space="0" w:color="auto"/>
            </w:tcBorders>
            <w:vAlign w:val="center"/>
            <w:hideMark/>
          </w:tcPr>
          <w:p w14:paraId="2239CE05"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Mysore</w:t>
            </w:r>
          </w:p>
        </w:tc>
        <w:tc>
          <w:tcPr>
            <w:tcW w:w="1454" w:type="dxa"/>
            <w:tcBorders>
              <w:top w:val="nil"/>
              <w:left w:val="nil"/>
              <w:bottom w:val="single" w:sz="4" w:space="0" w:color="auto"/>
              <w:right w:val="single" w:sz="4" w:space="0" w:color="auto"/>
            </w:tcBorders>
            <w:vAlign w:val="center"/>
            <w:hideMark/>
          </w:tcPr>
          <w:p w14:paraId="1EA16073"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w:t>
            </w:r>
          </w:p>
        </w:tc>
        <w:tc>
          <w:tcPr>
            <w:tcW w:w="1070" w:type="dxa"/>
            <w:tcBorders>
              <w:top w:val="nil"/>
              <w:left w:val="nil"/>
              <w:bottom w:val="single" w:sz="4" w:space="0" w:color="auto"/>
              <w:right w:val="single" w:sz="4" w:space="0" w:color="auto"/>
            </w:tcBorders>
            <w:vAlign w:val="center"/>
            <w:hideMark/>
          </w:tcPr>
          <w:p w14:paraId="2FFDCBF5"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129</w:t>
            </w:r>
          </w:p>
        </w:tc>
        <w:tc>
          <w:tcPr>
            <w:tcW w:w="851" w:type="dxa"/>
            <w:tcBorders>
              <w:top w:val="nil"/>
              <w:left w:val="nil"/>
              <w:bottom w:val="single" w:sz="4" w:space="0" w:color="auto"/>
              <w:right w:val="single" w:sz="4" w:space="0" w:color="auto"/>
            </w:tcBorders>
            <w:vAlign w:val="center"/>
            <w:hideMark/>
          </w:tcPr>
          <w:p w14:paraId="368647FA"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200</w:t>
            </w:r>
          </w:p>
        </w:tc>
        <w:tc>
          <w:tcPr>
            <w:tcW w:w="955" w:type="dxa"/>
            <w:tcBorders>
              <w:top w:val="nil"/>
              <w:left w:val="nil"/>
              <w:bottom w:val="single" w:sz="4" w:space="0" w:color="auto"/>
              <w:right w:val="single" w:sz="4" w:space="0" w:color="auto"/>
            </w:tcBorders>
            <w:vAlign w:val="center"/>
            <w:hideMark/>
          </w:tcPr>
          <w:p w14:paraId="588410B8"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49</w:t>
            </w:r>
          </w:p>
        </w:tc>
        <w:tc>
          <w:tcPr>
            <w:tcW w:w="1442" w:type="dxa"/>
            <w:tcBorders>
              <w:top w:val="nil"/>
              <w:left w:val="nil"/>
              <w:bottom w:val="single" w:sz="4" w:space="0" w:color="auto"/>
              <w:right w:val="single" w:sz="4" w:space="0" w:color="auto"/>
            </w:tcBorders>
            <w:vAlign w:val="center"/>
            <w:hideMark/>
          </w:tcPr>
          <w:p w14:paraId="5D8246F2"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9</w:t>
            </w:r>
          </w:p>
        </w:tc>
        <w:tc>
          <w:tcPr>
            <w:tcW w:w="1224" w:type="dxa"/>
            <w:tcBorders>
              <w:top w:val="nil"/>
              <w:left w:val="nil"/>
              <w:bottom w:val="single" w:sz="4" w:space="0" w:color="auto"/>
              <w:right w:val="single" w:sz="4" w:space="0" w:color="auto"/>
            </w:tcBorders>
            <w:vAlign w:val="center"/>
            <w:hideMark/>
          </w:tcPr>
          <w:p w14:paraId="69E8A587"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141</w:t>
            </w:r>
          </w:p>
        </w:tc>
        <w:tc>
          <w:tcPr>
            <w:tcW w:w="851" w:type="dxa"/>
            <w:tcBorders>
              <w:top w:val="nil"/>
              <w:left w:val="nil"/>
              <w:bottom w:val="single" w:sz="4" w:space="0" w:color="auto"/>
              <w:right w:val="single" w:sz="4" w:space="0" w:color="auto"/>
            </w:tcBorders>
            <w:vAlign w:val="center"/>
            <w:hideMark/>
          </w:tcPr>
          <w:p w14:paraId="1D23104D"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61</w:t>
            </w:r>
          </w:p>
        </w:tc>
        <w:tc>
          <w:tcPr>
            <w:tcW w:w="1070" w:type="dxa"/>
            <w:tcBorders>
              <w:top w:val="nil"/>
              <w:left w:val="nil"/>
              <w:bottom w:val="single" w:sz="4" w:space="0" w:color="auto"/>
              <w:right w:val="single" w:sz="4" w:space="0" w:color="auto"/>
            </w:tcBorders>
            <w:vAlign w:val="center"/>
            <w:hideMark/>
          </w:tcPr>
          <w:p w14:paraId="65350ECC"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590</w:t>
            </w:r>
          </w:p>
        </w:tc>
        <w:tc>
          <w:tcPr>
            <w:tcW w:w="954" w:type="dxa"/>
            <w:tcBorders>
              <w:top w:val="nil"/>
              <w:left w:val="nil"/>
              <w:bottom w:val="single" w:sz="4" w:space="0" w:color="auto"/>
              <w:right w:val="single" w:sz="4" w:space="0" w:color="auto"/>
            </w:tcBorders>
            <w:vAlign w:val="center"/>
            <w:hideMark/>
          </w:tcPr>
          <w:p w14:paraId="3F85841F"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w:t>
            </w:r>
          </w:p>
        </w:tc>
        <w:tc>
          <w:tcPr>
            <w:tcW w:w="915" w:type="dxa"/>
            <w:tcBorders>
              <w:top w:val="nil"/>
              <w:left w:val="nil"/>
              <w:bottom w:val="single" w:sz="4" w:space="0" w:color="auto"/>
              <w:right w:val="single" w:sz="4" w:space="0" w:color="auto"/>
            </w:tcBorders>
            <w:vAlign w:val="center"/>
            <w:hideMark/>
          </w:tcPr>
          <w:p w14:paraId="002A7534"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345</w:t>
            </w:r>
          </w:p>
        </w:tc>
        <w:tc>
          <w:tcPr>
            <w:tcW w:w="1070" w:type="dxa"/>
            <w:tcBorders>
              <w:top w:val="nil"/>
              <w:left w:val="nil"/>
              <w:bottom w:val="single" w:sz="4" w:space="0" w:color="auto"/>
              <w:right w:val="single" w:sz="4" w:space="0" w:color="auto"/>
            </w:tcBorders>
            <w:vAlign w:val="center"/>
            <w:hideMark/>
          </w:tcPr>
          <w:p w14:paraId="77DEFA7E"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505</w:t>
            </w:r>
          </w:p>
        </w:tc>
        <w:tc>
          <w:tcPr>
            <w:tcW w:w="1070" w:type="dxa"/>
            <w:tcBorders>
              <w:top w:val="nil"/>
              <w:left w:val="nil"/>
              <w:bottom w:val="single" w:sz="4" w:space="0" w:color="auto"/>
              <w:right w:val="single" w:sz="4" w:space="0" w:color="auto"/>
            </w:tcBorders>
            <w:vAlign w:val="center"/>
            <w:hideMark/>
          </w:tcPr>
          <w:p w14:paraId="403CB33A"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1440</w:t>
            </w:r>
          </w:p>
        </w:tc>
      </w:tr>
      <w:tr w:rsidR="00F75806" w:rsidRPr="00F75806" w14:paraId="7CEE2342" w14:textId="77777777" w:rsidTr="00C91D91">
        <w:trPr>
          <w:trHeight w:val="19"/>
        </w:trPr>
        <w:tc>
          <w:tcPr>
            <w:tcW w:w="1351" w:type="dxa"/>
            <w:tcBorders>
              <w:top w:val="nil"/>
              <w:left w:val="single" w:sz="4" w:space="0" w:color="auto"/>
              <w:bottom w:val="single" w:sz="4" w:space="0" w:color="auto"/>
              <w:right w:val="single" w:sz="4" w:space="0" w:color="auto"/>
            </w:tcBorders>
            <w:vAlign w:val="center"/>
            <w:hideMark/>
          </w:tcPr>
          <w:p w14:paraId="734E124B" w14:textId="45931242" w:rsidR="00F75806" w:rsidRPr="00F75806" w:rsidRDefault="00F75806" w:rsidP="00F75806">
            <w:pPr>
              <w:spacing w:after="0" w:line="240" w:lineRule="auto"/>
              <w:jc w:val="center"/>
              <w:rPr>
                <w:rFonts w:ascii="Aptos" w:eastAsia="Times New Roman" w:hAnsi="Aptos" w:cs="Times New Roman"/>
                <w:color w:val="000000"/>
                <w:kern w:val="0"/>
                <w:szCs w:val="24"/>
                <w:lang w:eastAsia="en-IN"/>
                <w14:ligatures w14:val="none"/>
              </w:rPr>
            </w:pPr>
          </w:p>
        </w:tc>
        <w:tc>
          <w:tcPr>
            <w:tcW w:w="1454" w:type="dxa"/>
            <w:tcBorders>
              <w:top w:val="nil"/>
              <w:left w:val="nil"/>
              <w:bottom w:val="single" w:sz="4" w:space="0" w:color="auto"/>
              <w:right w:val="single" w:sz="4" w:space="0" w:color="auto"/>
            </w:tcBorders>
            <w:vAlign w:val="center"/>
            <w:hideMark/>
          </w:tcPr>
          <w:p w14:paraId="1520C25B" w14:textId="77777777" w:rsidR="00F75806" w:rsidRPr="00F75806" w:rsidRDefault="00F75806" w:rsidP="00F75806">
            <w:pPr>
              <w:spacing w:after="0" w:line="240" w:lineRule="auto"/>
              <w:jc w:val="center"/>
              <w:rPr>
                <w:rFonts w:ascii="Aptos" w:eastAsia="Times New Roman" w:hAnsi="Aptos" w:cs="Times New Roman"/>
                <w:color w:val="000000"/>
                <w:kern w:val="0"/>
                <w:szCs w:val="24"/>
                <w:lang w:eastAsia="en-IN"/>
                <w14:ligatures w14:val="none"/>
              </w:rPr>
            </w:pPr>
            <w:r w:rsidRPr="00F75806">
              <w:rPr>
                <w:rFonts w:ascii="Aptos" w:eastAsia="Times New Roman" w:hAnsi="Aptos" w:cs="Times New Roman"/>
                <w:color w:val="000000"/>
                <w:kern w:val="0"/>
                <w:szCs w:val="24"/>
                <w:lang w:eastAsia="en-IN"/>
                <w14:ligatures w14:val="none"/>
              </w:rPr>
              <w:t>-</w:t>
            </w:r>
          </w:p>
        </w:tc>
        <w:tc>
          <w:tcPr>
            <w:tcW w:w="1070" w:type="dxa"/>
            <w:tcBorders>
              <w:top w:val="nil"/>
              <w:left w:val="nil"/>
              <w:bottom w:val="single" w:sz="4" w:space="0" w:color="auto"/>
              <w:right w:val="single" w:sz="4" w:space="0" w:color="auto"/>
            </w:tcBorders>
            <w:vAlign w:val="center"/>
            <w:hideMark/>
          </w:tcPr>
          <w:p w14:paraId="24CCE152" w14:textId="6EB8087E"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9</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0</w:t>
            </w:r>
          </w:p>
        </w:tc>
        <w:tc>
          <w:tcPr>
            <w:tcW w:w="851" w:type="dxa"/>
            <w:tcBorders>
              <w:top w:val="nil"/>
              <w:left w:val="nil"/>
              <w:bottom w:val="single" w:sz="4" w:space="0" w:color="auto"/>
              <w:right w:val="single" w:sz="4" w:space="0" w:color="auto"/>
            </w:tcBorders>
            <w:vAlign w:val="center"/>
            <w:hideMark/>
          </w:tcPr>
          <w:p w14:paraId="62ECCC78" w14:textId="252AB393"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14</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0</w:t>
            </w:r>
          </w:p>
        </w:tc>
        <w:tc>
          <w:tcPr>
            <w:tcW w:w="955" w:type="dxa"/>
            <w:tcBorders>
              <w:top w:val="nil"/>
              <w:left w:val="nil"/>
              <w:bottom w:val="single" w:sz="4" w:space="0" w:color="auto"/>
              <w:right w:val="single" w:sz="4" w:space="0" w:color="auto"/>
            </w:tcBorders>
            <w:vAlign w:val="center"/>
            <w:hideMark/>
          </w:tcPr>
          <w:p w14:paraId="316D14F3" w14:textId="7237D428"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3</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4</w:t>
            </w:r>
          </w:p>
        </w:tc>
        <w:tc>
          <w:tcPr>
            <w:tcW w:w="1442" w:type="dxa"/>
            <w:tcBorders>
              <w:top w:val="nil"/>
              <w:left w:val="nil"/>
              <w:bottom w:val="single" w:sz="4" w:space="0" w:color="auto"/>
              <w:right w:val="single" w:sz="4" w:space="0" w:color="auto"/>
            </w:tcBorders>
            <w:vAlign w:val="center"/>
            <w:hideMark/>
          </w:tcPr>
          <w:p w14:paraId="40C983B2" w14:textId="62D306DA"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0</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6</w:t>
            </w:r>
          </w:p>
        </w:tc>
        <w:tc>
          <w:tcPr>
            <w:tcW w:w="1224" w:type="dxa"/>
            <w:tcBorders>
              <w:top w:val="nil"/>
              <w:left w:val="nil"/>
              <w:bottom w:val="single" w:sz="4" w:space="0" w:color="auto"/>
              <w:right w:val="single" w:sz="4" w:space="0" w:color="auto"/>
            </w:tcBorders>
            <w:vAlign w:val="center"/>
            <w:hideMark/>
          </w:tcPr>
          <w:p w14:paraId="0DCE2034" w14:textId="54BAD101"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9</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8</w:t>
            </w:r>
          </w:p>
        </w:tc>
        <w:tc>
          <w:tcPr>
            <w:tcW w:w="851" w:type="dxa"/>
            <w:tcBorders>
              <w:top w:val="nil"/>
              <w:left w:val="nil"/>
              <w:bottom w:val="single" w:sz="4" w:space="0" w:color="auto"/>
              <w:right w:val="single" w:sz="4" w:space="0" w:color="auto"/>
            </w:tcBorders>
            <w:vAlign w:val="center"/>
            <w:hideMark/>
          </w:tcPr>
          <w:p w14:paraId="37B62AE1" w14:textId="1DF0FE37"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4</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2</w:t>
            </w:r>
          </w:p>
        </w:tc>
        <w:tc>
          <w:tcPr>
            <w:tcW w:w="1070" w:type="dxa"/>
            <w:tcBorders>
              <w:top w:val="nil"/>
              <w:left w:val="nil"/>
              <w:bottom w:val="single" w:sz="4" w:space="0" w:color="auto"/>
              <w:right w:val="single" w:sz="4" w:space="0" w:color="auto"/>
            </w:tcBorders>
            <w:vAlign w:val="center"/>
            <w:hideMark/>
          </w:tcPr>
          <w:p w14:paraId="6297D839" w14:textId="41553835"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41</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0</w:t>
            </w:r>
          </w:p>
        </w:tc>
        <w:tc>
          <w:tcPr>
            <w:tcW w:w="954" w:type="dxa"/>
            <w:tcBorders>
              <w:top w:val="nil"/>
              <w:left w:val="nil"/>
              <w:bottom w:val="single" w:sz="4" w:space="0" w:color="auto"/>
              <w:right w:val="single" w:sz="4" w:space="0" w:color="auto"/>
            </w:tcBorders>
            <w:vAlign w:val="center"/>
            <w:hideMark/>
          </w:tcPr>
          <w:p w14:paraId="764EDE6B"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w:t>
            </w:r>
          </w:p>
        </w:tc>
        <w:tc>
          <w:tcPr>
            <w:tcW w:w="915" w:type="dxa"/>
            <w:tcBorders>
              <w:top w:val="nil"/>
              <w:left w:val="nil"/>
              <w:bottom w:val="single" w:sz="4" w:space="0" w:color="auto"/>
              <w:right w:val="single" w:sz="4" w:space="0" w:color="auto"/>
            </w:tcBorders>
            <w:vAlign w:val="center"/>
            <w:hideMark/>
          </w:tcPr>
          <w:p w14:paraId="4AB7954C" w14:textId="7D5A13E1"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23</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9</w:t>
            </w:r>
          </w:p>
        </w:tc>
        <w:tc>
          <w:tcPr>
            <w:tcW w:w="1070" w:type="dxa"/>
            <w:tcBorders>
              <w:top w:val="nil"/>
              <w:left w:val="nil"/>
              <w:bottom w:val="single" w:sz="4" w:space="0" w:color="auto"/>
              <w:right w:val="single" w:sz="4" w:space="0" w:color="auto"/>
            </w:tcBorders>
            <w:vAlign w:val="center"/>
            <w:hideMark/>
          </w:tcPr>
          <w:p w14:paraId="7FE76A22" w14:textId="03B99BA6"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35</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1</w:t>
            </w:r>
          </w:p>
        </w:tc>
        <w:tc>
          <w:tcPr>
            <w:tcW w:w="1070" w:type="dxa"/>
            <w:tcBorders>
              <w:top w:val="nil"/>
              <w:left w:val="nil"/>
              <w:bottom w:val="single" w:sz="4" w:space="0" w:color="auto"/>
              <w:right w:val="single" w:sz="4" w:space="0" w:color="auto"/>
            </w:tcBorders>
            <w:vAlign w:val="center"/>
            <w:hideMark/>
          </w:tcPr>
          <w:p w14:paraId="6BDF9F46" w14:textId="36304C50" w:rsidR="00F75806" w:rsidRPr="00F75806" w:rsidRDefault="00F75806" w:rsidP="00F75806">
            <w:pPr>
              <w:spacing w:after="0" w:line="240" w:lineRule="auto"/>
              <w:jc w:val="center"/>
              <w:rPr>
                <w:rFonts w:ascii="Aptos" w:eastAsia="Times New Roman" w:hAnsi="Aptos" w:cs="Times New Roman"/>
                <w:color w:val="000000"/>
                <w:kern w:val="0"/>
                <w:szCs w:val="24"/>
                <w:lang w:eastAsia="en-IN"/>
                <w14:ligatures w14:val="none"/>
              </w:rPr>
            </w:pPr>
          </w:p>
        </w:tc>
      </w:tr>
      <w:tr w:rsidR="00F75806" w:rsidRPr="00F75806" w14:paraId="568349DA" w14:textId="77777777" w:rsidTr="00C91D91">
        <w:trPr>
          <w:trHeight w:val="19"/>
        </w:trPr>
        <w:tc>
          <w:tcPr>
            <w:tcW w:w="1351" w:type="dxa"/>
            <w:tcBorders>
              <w:top w:val="nil"/>
              <w:left w:val="single" w:sz="4" w:space="0" w:color="auto"/>
              <w:bottom w:val="single" w:sz="4" w:space="0" w:color="auto"/>
              <w:right w:val="single" w:sz="4" w:space="0" w:color="auto"/>
            </w:tcBorders>
            <w:vAlign w:val="center"/>
            <w:hideMark/>
          </w:tcPr>
          <w:p w14:paraId="56CB8B4B"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Patiala &amp; East Punjab States Union</w:t>
            </w:r>
          </w:p>
        </w:tc>
        <w:tc>
          <w:tcPr>
            <w:tcW w:w="1454" w:type="dxa"/>
            <w:tcBorders>
              <w:top w:val="nil"/>
              <w:left w:val="nil"/>
              <w:bottom w:val="single" w:sz="4" w:space="0" w:color="auto"/>
              <w:right w:val="single" w:sz="4" w:space="0" w:color="auto"/>
            </w:tcBorders>
            <w:vAlign w:val="center"/>
            <w:hideMark/>
          </w:tcPr>
          <w:p w14:paraId="59ABA0E0"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w:t>
            </w:r>
          </w:p>
        </w:tc>
        <w:tc>
          <w:tcPr>
            <w:tcW w:w="1070" w:type="dxa"/>
            <w:tcBorders>
              <w:top w:val="nil"/>
              <w:left w:val="nil"/>
              <w:bottom w:val="single" w:sz="4" w:space="0" w:color="auto"/>
              <w:right w:val="single" w:sz="4" w:space="0" w:color="auto"/>
            </w:tcBorders>
            <w:vAlign w:val="center"/>
            <w:hideMark/>
          </w:tcPr>
          <w:p w14:paraId="2847890B"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99</w:t>
            </w:r>
          </w:p>
        </w:tc>
        <w:tc>
          <w:tcPr>
            <w:tcW w:w="851" w:type="dxa"/>
            <w:tcBorders>
              <w:top w:val="nil"/>
              <w:left w:val="nil"/>
              <w:bottom w:val="single" w:sz="4" w:space="0" w:color="auto"/>
              <w:right w:val="single" w:sz="4" w:space="0" w:color="auto"/>
            </w:tcBorders>
            <w:vAlign w:val="center"/>
            <w:hideMark/>
          </w:tcPr>
          <w:p w14:paraId="5B613267"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190</w:t>
            </w:r>
          </w:p>
        </w:tc>
        <w:tc>
          <w:tcPr>
            <w:tcW w:w="955" w:type="dxa"/>
            <w:tcBorders>
              <w:top w:val="nil"/>
              <w:left w:val="nil"/>
              <w:bottom w:val="single" w:sz="4" w:space="0" w:color="auto"/>
              <w:right w:val="single" w:sz="4" w:space="0" w:color="auto"/>
            </w:tcBorders>
            <w:vAlign w:val="center"/>
            <w:hideMark/>
          </w:tcPr>
          <w:p w14:paraId="3AD7773B"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15</w:t>
            </w:r>
          </w:p>
        </w:tc>
        <w:tc>
          <w:tcPr>
            <w:tcW w:w="1442" w:type="dxa"/>
            <w:tcBorders>
              <w:top w:val="nil"/>
              <w:left w:val="nil"/>
              <w:bottom w:val="single" w:sz="4" w:space="0" w:color="auto"/>
              <w:right w:val="single" w:sz="4" w:space="0" w:color="auto"/>
            </w:tcBorders>
            <w:vAlign w:val="center"/>
            <w:hideMark/>
          </w:tcPr>
          <w:p w14:paraId="7705D5CB" w14:textId="47577AB9" w:rsidR="00F75806" w:rsidRPr="00F75806" w:rsidRDefault="005A4048" w:rsidP="00F75806">
            <w:pPr>
              <w:spacing w:after="0" w:line="240" w:lineRule="auto"/>
              <w:jc w:val="center"/>
              <w:rPr>
                <w:rFonts w:ascii="Times New Roman" w:eastAsia="Times New Roman" w:hAnsi="Times New Roman" w:cs="Times New Roman"/>
                <w:color w:val="000000"/>
                <w:kern w:val="0"/>
                <w:szCs w:val="24"/>
                <w:lang w:eastAsia="en-IN"/>
                <w14:ligatures w14:val="none"/>
              </w:rPr>
            </w:pPr>
            <w:r>
              <w:rPr>
                <w:rFonts w:ascii="Times New Roman" w:eastAsia="Times New Roman" w:hAnsi="Times New Roman" w:cs="Times New Roman"/>
                <w:color w:val="000000"/>
                <w:kern w:val="0"/>
                <w:szCs w:val="24"/>
                <w:lang w:eastAsia="en-IN"/>
                <w14:ligatures w14:val="none"/>
              </w:rPr>
              <w:t xml:space="preserve"> </w:t>
            </w:r>
            <w:r w:rsidR="00F75806" w:rsidRPr="00F75806">
              <w:rPr>
                <w:rFonts w:ascii="Times New Roman" w:eastAsia="Times New Roman" w:hAnsi="Times New Roman" w:cs="Times New Roman"/>
                <w:color w:val="000000"/>
                <w:kern w:val="0"/>
                <w:szCs w:val="24"/>
                <w:lang w:eastAsia="en-IN"/>
                <w14:ligatures w14:val="none"/>
              </w:rPr>
              <w:t>3</w:t>
            </w:r>
          </w:p>
        </w:tc>
        <w:tc>
          <w:tcPr>
            <w:tcW w:w="1224" w:type="dxa"/>
            <w:tcBorders>
              <w:top w:val="nil"/>
              <w:left w:val="nil"/>
              <w:bottom w:val="single" w:sz="4" w:space="0" w:color="auto"/>
              <w:right w:val="single" w:sz="4" w:space="0" w:color="auto"/>
            </w:tcBorders>
            <w:vAlign w:val="center"/>
            <w:hideMark/>
          </w:tcPr>
          <w:p w14:paraId="35E7B1E6"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48</w:t>
            </w:r>
          </w:p>
        </w:tc>
        <w:tc>
          <w:tcPr>
            <w:tcW w:w="851" w:type="dxa"/>
            <w:tcBorders>
              <w:top w:val="nil"/>
              <w:left w:val="nil"/>
              <w:bottom w:val="single" w:sz="4" w:space="0" w:color="auto"/>
              <w:right w:val="single" w:sz="4" w:space="0" w:color="auto"/>
            </w:tcBorders>
            <w:vAlign w:val="center"/>
            <w:hideMark/>
          </w:tcPr>
          <w:p w14:paraId="14A0A6CA"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20</w:t>
            </w:r>
          </w:p>
        </w:tc>
        <w:tc>
          <w:tcPr>
            <w:tcW w:w="1070" w:type="dxa"/>
            <w:tcBorders>
              <w:top w:val="nil"/>
              <w:left w:val="nil"/>
              <w:bottom w:val="single" w:sz="4" w:space="0" w:color="auto"/>
              <w:right w:val="single" w:sz="4" w:space="0" w:color="auto"/>
            </w:tcBorders>
            <w:vAlign w:val="center"/>
            <w:hideMark/>
          </w:tcPr>
          <w:p w14:paraId="722B4BE0"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373</w:t>
            </w:r>
          </w:p>
        </w:tc>
        <w:tc>
          <w:tcPr>
            <w:tcW w:w="954" w:type="dxa"/>
            <w:tcBorders>
              <w:top w:val="nil"/>
              <w:left w:val="nil"/>
              <w:bottom w:val="single" w:sz="4" w:space="0" w:color="auto"/>
              <w:right w:val="single" w:sz="4" w:space="0" w:color="auto"/>
            </w:tcBorders>
            <w:vAlign w:val="center"/>
            <w:hideMark/>
          </w:tcPr>
          <w:p w14:paraId="020ACEEF"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16</w:t>
            </w:r>
          </w:p>
        </w:tc>
        <w:tc>
          <w:tcPr>
            <w:tcW w:w="915" w:type="dxa"/>
            <w:tcBorders>
              <w:top w:val="nil"/>
              <w:left w:val="nil"/>
              <w:bottom w:val="single" w:sz="4" w:space="0" w:color="auto"/>
              <w:right w:val="single" w:sz="4" w:space="0" w:color="auto"/>
            </w:tcBorders>
            <w:vAlign w:val="center"/>
            <w:hideMark/>
          </w:tcPr>
          <w:p w14:paraId="73B1525B"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w:t>
            </w:r>
          </w:p>
        </w:tc>
        <w:tc>
          <w:tcPr>
            <w:tcW w:w="1070" w:type="dxa"/>
            <w:tcBorders>
              <w:top w:val="nil"/>
              <w:left w:val="nil"/>
              <w:bottom w:val="single" w:sz="4" w:space="0" w:color="auto"/>
              <w:right w:val="single" w:sz="4" w:space="0" w:color="auto"/>
            </w:tcBorders>
            <w:vAlign w:val="center"/>
            <w:hideMark/>
          </w:tcPr>
          <w:p w14:paraId="74B15B5A"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174</w:t>
            </w:r>
          </w:p>
        </w:tc>
        <w:tc>
          <w:tcPr>
            <w:tcW w:w="1070" w:type="dxa"/>
            <w:tcBorders>
              <w:top w:val="nil"/>
              <w:left w:val="nil"/>
              <w:bottom w:val="single" w:sz="4" w:space="0" w:color="auto"/>
              <w:right w:val="single" w:sz="4" w:space="0" w:color="auto"/>
            </w:tcBorders>
            <w:vAlign w:val="center"/>
            <w:hideMark/>
          </w:tcPr>
          <w:p w14:paraId="530A8AFF"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563</w:t>
            </w:r>
          </w:p>
        </w:tc>
      </w:tr>
      <w:tr w:rsidR="00F75806" w:rsidRPr="00F75806" w14:paraId="78673DF8" w14:textId="77777777" w:rsidTr="00C91D91">
        <w:trPr>
          <w:trHeight w:val="19"/>
        </w:trPr>
        <w:tc>
          <w:tcPr>
            <w:tcW w:w="1351" w:type="dxa"/>
            <w:tcBorders>
              <w:top w:val="nil"/>
              <w:left w:val="single" w:sz="4" w:space="0" w:color="auto"/>
              <w:bottom w:val="single" w:sz="4" w:space="0" w:color="auto"/>
              <w:right w:val="single" w:sz="4" w:space="0" w:color="auto"/>
            </w:tcBorders>
            <w:vAlign w:val="center"/>
            <w:hideMark/>
          </w:tcPr>
          <w:p w14:paraId="05B51BA5" w14:textId="75EC66D6" w:rsidR="00F75806" w:rsidRPr="00F75806" w:rsidRDefault="00F75806" w:rsidP="00F75806">
            <w:pPr>
              <w:spacing w:after="0" w:line="240" w:lineRule="auto"/>
              <w:jc w:val="center"/>
              <w:rPr>
                <w:rFonts w:ascii="Aptos" w:eastAsia="Times New Roman" w:hAnsi="Aptos" w:cs="Times New Roman"/>
                <w:color w:val="000000"/>
                <w:kern w:val="0"/>
                <w:szCs w:val="24"/>
                <w:lang w:eastAsia="en-IN"/>
                <w14:ligatures w14:val="none"/>
              </w:rPr>
            </w:pPr>
          </w:p>
        </w:tc>
        <w:tc>
          <w:tcPr>
            <w:tcW w:w="1454" w:type="dxa"/>
            <w:tcBorders>
              <w:top w:val="nil"/>
              <w:left w:val="nil"/>
              <w:bottom w:val="single" w:sz="4" w:space="0" w:color="auto"/>
              <w:right w:val="single" w:sz="4" w:space="0" w:color="auto"/>
            </w:tcBorders>
            <w:vAlign w:val="center"/>
            <w:hideMark/>
          </w:tcPr>
          <w:p w14:paraId="0FF24E8E" w14:textId="77777777" w:rsidR="00F75806" w:rsidRPr="00F75806" w:rsidRDefault="00F75806" w:rsidP="00F75806">
            <w:pPr>
              <w:spacing w:after="0" w:line="240" w:lineRule="auto"/>
              <w:jc w:val="center"/>
              <w:rPr>
                <w:rFonts w:ascii="Aptos" w:eastAsia="Times New Roman" w:hAnsi="Aptos" w:cs="Times New Roman"/>
                <w:color w:val="000000"/>
                <w:kern w:val="0"/>
                <w:szCs w:val="24"/>
                <w:lang w:eastAsia="en-IN"/>
                <w14:ligatures w14:val="none"/>
              </w:rPr>
            </w:pPr>
            <w:r w:rsidRPr="00F75806">
              <w:rPr>
                <w:rFonts w:ascii="Aptos" w:eastAsia="Times New Roman" w:hAnsi="Aptos" w:cs="Times New Roman"/>
                <w:color w:val="000000"/>
                <w:kern w:val="0"/>
                <w:szCs w:val="24"/>
                <w:lang w:eastAsia="en-IN"/>
                <w14:ligatures w14:val="none"/>
              </w:rPr>
              <w:t>-</w:t>
            </w:r>
          </w:p>
        </w:tc>
        <w:tc>
          <w:tcPr>
            <w:tcW w:w="1070" w:type="dxa"/>
            <w:tcBorders>
              <w:top w:val="nil"/>
              <w:left w:val="nil"/>
              <w:bottom w:val="single" w:sz="4" w:space="0" w:color="auto"/>
              <w:right w:val="single" w:sz="4" w:space="0" w:color="auto"/>
            </w:tcBorders>
            <w:vAlign w:val="center"/>
            <w:hideMark/>
          </w:tcPr>
          <w:p w14:paraId="5DBC473F" w14:textId="0294DAFE"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17</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6</w:t>
            </w:r>
          </w:p>
        </w:tc>
        <w:tc>
          <w:tcPr>
            <w:tcW w:w="851" w:type="dxa"/>
            <w:tcBorders>
              <w:top w:val="nil"/>
              <w:left w:val="nil"/>
              <w:bottom w:val="single" w:sz="4" w:space="0" w:color="auto"/>
              <w:right w:val="single" w:sz="4" w:space="0" w:color="auto"/>
            </w:tcBorders>
            <w:vAlign w:val="center"/>
            <w:hideMark/>
          </w:tcPr>
          <w:p w14:paraId="1B06156E" w14:textId="23A1F1C8"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33</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8</w:t>
            </w:r>
          </w:p>
        </w:tc>
        <w:tc>
          <w:tcPr>
            <w:tcW w:w="955" w:type="dxa"/>
            <w:tcBorders>
              <w:top w:val="nil"/>
              <w:left w:val="nil"/>
              <w:bottom w:val="single" w:sz="4" w:space="0" w:color="auto"/>
              <w:right w:val="single" w:sz="4" w:space="0" w:color="auto"/>
            </w:tcBorders>
            <w:vAlign w:val="center"/>
            <w:hideMark/>
          </w:tcPr>
          <w:p w14:paraId="5370D2C2" w14:textId="16C53F48"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2</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7</w:t>
            </w:r>
          </w:p>
        </w:tc>
        <w:tc>
          <w:tcPr>
            <w:tcW w:w="1442" w:type="dxa"/>
            <w:tcBorders>
              <w:top w:val="nil"/>
              <w:left w:val="nil"/>
              <w:bottom w:val="single" w:sz="4" w:space="0" w:color="auto"/>
              <w:right w:val="single" w:sz="4" w:space="0" w:color="auto"/>
            </w:tcBorders>
            <w:vAlign w:val="center"/>
            <w:hideMark/>
          </w:tcPr>
          <w:p w14:paraId="2A52465A" w14:textId="28196B6C"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0</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5</w:t>
            </w:r>
          </w:p>
        </w:tc>
        <w:tc>
          <w:tcPr>
            <w:tcW w:w="1224" w:type="dxa"/>
            <w:tcBorders>
              <w:top w:val="nil"/>
              <w:left w:val="nil"/>
              <w:bottom w:val="single" w:sz="4" w:space="0" w:color="auto"/>
              <w:right w:val="single" w:sz="4" w:space="0" w:color="auto"/>
            </w:tcBorders>
            <w:vAlign w:val="center"/>
            <w:hideMark/>
          </w:tcPr>
          <w:p w14:paraId="3161B76C" w14:textId="723AE5E6"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8</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3</w:t>
            </w:r>
          </w:p>
        </w:tc>
        <w:tc>
          <w:tcPr>
            <w:tcW w:w="851" w:type="dxa"/>
            <w:tcBorders>
              <w:top w:val="nil"/>
              <w:left w:val="nil"/>
              <w:bottom w:val="single" w:sz="4" w:space="0" w:color="auto"/>
              <w:right w:val="single" w:sz="4" w:space="0" w:color="auto"/>
            </w:tcBorders>
            <w:vAlign w:val="center"/>
            <w:hideMark/>
          </w:tcPr>
          <w:p w14:paraId="0CC68414" w14:textId="58929653"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3</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6</w:t>
            </w:r>
          </w:p>
        </w:tc>
        <w:tc>
          <w:tcPr>
            <w:tcW w:w="1070" w:type="dxa"/>
            <w:tcBorders>
              <w:top w:val="nil"/>
              <w:left w:val="nil"/>
              <w:bottom w:val="single" w:sz="4" w:space="0" w:color="auto"/>
              <w:right w:val="single" w:sz="4" w:space="0" w:color="auto"/>
            </w:tcBorders>
            <w:vAlign w:val="center"/>
            <w:hideMark/>
          </w:tcPr>
          <w:p w14:paraId="36C59E93" w14:textId="0A9DCC0B"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66</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3</w:t>
            </w:r>
          </w:p>
        </w:tc>
        <w:tc>
          <w:tcPr>
            <w:tcW w:w="954" w:type="dxa"/>
            <w:tcBorders>
              <w:top w:val="nil"/>
              <w:left w:val="nil"/>
              <w:bottom w:val="single" w:sz="4" w:space="0" w:color="auto"/>
              <w:right w:val="single" w:sz="4" w:space="0" w:color="auto"/>
            </w:tcBorders>
            <w:vAlign w:val="center"/>
            <w:hideMark/>
          </w:tcPr>
          <w:p w14:paraId="566146CA" w14:textId="62A965F6"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2</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8</w:t>
            </w:r>
          </w:p>
        </w:tc>
        <w:tc>
          <w:tcPr>
            <w:tcW w:w="915" w:type="dxa"/>
            <w:tcBorders>
              <w:top w:val="nil"/>
              <w:left w:val="nil"/>
              <w:bottom w:val="single" w:sz="4" w:space="0" w:color="auto"/>
              <w:right w:val="single" w:sz="4" w:space="0" w:color="auto"/>
            </w:tcBorders>
            <w:vAlign w:val="center"/>
            <w:hideMark/>
          </w:tcPr>
          <w:p w14:paraId="6CE5A7F8"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w:t>
            </w:r>
          </w:p>
        </w:tc>
        <w:tc>
          <w:tcPr>
            <w:tcW w:w="1070" w:type="dxa"/>
            <w:tcBorders>
              <w:top w:val="nil"/>
              <w:left w:val="nil"/>
              <w:bottom w:val="single" w:sz="4" w:space="0" w:color="auto"/>
              <w:right w:val="single" w:sz="4" w:space="0" w:color="auto"/>
            </w:tcBorders>
            <w:vAlign w:val="center"/>
            <w:hideMark/>
          </w:tcPr>
          <w:p w14:paraId="4169C736" w14:textId="17B96F67"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30</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9</w:t>
            </w:r>
          </w:p>
        </w:tc>
        <w:tc>
          <w:tcPr>
            <w:tcW w:w="1070" w:type="dxa"/>
            <w:tcBorders>
              <w:top w:val="nil"/>
              <w:left w:val="nil"/>
              <w:bottom w:val="single" w:sz="4" w:space="0" w:color="auto"/>
              <w:right w:val="single" w:sz="4" w:space="0" w:color="auto"/>
            </w:tcBorders>
            <w:vAlign w:val="center"/>
            <w:hideMark/>
          </w:tcPr>
          <w:p w14:paraId="120C2EAC" w14:textId="09320E6A" w:rsidR="00F75806" w:rsidRPr="00F75806" w:rsidRDefault="00F75806" w:rsidP="00F75806">
            <w:pPr>
              <w:spacing w:after="0" w:line="240" w:lineRule="auto"/>
              <w:jc w:val="center"/>
              <w:rPr>
                <w:rFonts w:ascii="Aptos" w:eastAsia="Times New Roman" w:hAnsi="Aptos" w:cs="Times New Roman"/>
                <w:color w:val="000000"/>
                <w:kern w:val="0"/>
                <w:szCs w:val="24"/>
                <w:lang w:eastAsia="en-IN"/>
                <w14:ligatures w14:val="none"/>
              </w:rPr>
            </w:pPr>
          </w:p>
        </w:tc>
      </w:tr>
      <w:tr w:rsidR="00F75806" w:rsidRPr="00F75806" w14:paraId="0F840FD8" w14:textId="77777777" w:rsidTr="00C91D91">
        <w:trPr>
          <w:trHeight w:val="19"/>
        </w:trPr>
        <w:tc>
          <w:tcPr>
            <w:tcW w:w="1351" w:type="dxa"/>
            <w:tcBorders>
              <w:top w:val="nil"/>
              <w:left w:val="single" w:sz="4" w:space="0" w:color="auto"/>
              <w:bottom w:val="single" w:sz="4" w:space="0" w:color="auto"/>
              <w:right w:val="single" w:sz="4" w:space="0" w:color="auto"/>
            </w:tcBorders>
            <w:vAlign w:val="center"/>
            <w:hideMark/>
          </w:tcPr>
          <w:p w14:paraId="2BC149DB"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Rajasthan</w:t>
            </w:r>
          </w:p>
        </w:tc>
        <w:tc>
          <w:tcPr>
            <w:tcW w:w="1454" w:type="dxa"/>
            <w:tcBorders>
              <w:top w:val="nil"/>
              <w:left w:val="nil"/>
              <w:bottom w:val="single" w:sz="4" w:space="0" w:color="auto"/>
              <w:right w:val="single" w:sz="4" w:space="0" w:color="auto"/>
            </w:tcBorders>
            <w:vAlign w:val="center"/>
            <w:hideMark/>
          </w:tcPr>
          <w:p w14:paraId="313B2CA7"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w:t>
            </w:r>
          </w:p>
        </w:tc>
        <w:tc>
          <w:tcPr>
            <w:tcW w:w="1070" w:type="dxa"/>
            <w:tcBorders>
              <w:top w:val="nil"/>
              <w:left w:val="nil"/>
              <w:bottom w:val="single" w:sz="4" w:space="0" w:color="auto"/>
              <w:right w:val="single" w:sz="4" w:space="0" w:color="auto"/>
            </w:tcBorders>
            <w:vAlign w:val="center"/>
            <w:hideMark/>
          </w:tcPr>
          <w:p w14:paraId="462CD131"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421</w:t>
            </w:r>
          </w:p>
        </w:tc>
        <w:tc>
          <w:tcPr>
            <w:tcW w:w="851" w:type="dxa"/>
            <w:tcBorders>
              <w:top w:val="nil"/>
              <w:left w:val="nil"/>
              <w:bottom w:val="single" w:sz="4" w:space="0" w:color="auto"/>
              <w:right w:val="single" w:sz="4" w:space="0" w:color="auto"/>
            </w:tcBorders>
            <w:vAlign w:val="center"/>
            <w:hideMark/>
          </w:tcPr>
          <w:p w14:paraId="40622C6D"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249</w:t>
            </w:r>
          </w:p>
        </w:tc>
        <w:tc>
          <w:tcPr>
            <w:tcW w:w="955" w:type="dxa"/>
            <w:tcBorders>
              <w:top w:val="nil"/>
              <w:left w:val="nil"/>
              <w:bottom w:val="single" w:sz="4" w:space="0" w:color="auto"/>
              <w:right w:val="single" w:sz="4" w:space="0" w:color="auto"/>
            </w:tcBorders>
            <w:vAlign w:val="center"/>
            <w:hideMark/>
          </w:tcPr>
          <w:p w14:paraId="114F3375"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43</w:t>
            </w:r>
          </w:p>
        </w:tc>
        <w:tc>
          <w:tcPr>
            <w:tcW w:w="1442" w:type="dxa"/>
            <w:tcBorders>
              <w:top w:val="nil"/>
              <w:left w:val="nil"/>
              <w:bottom w:val="single" w:sz="4" w:space="0" w:color="auto"/>
              <w:right w:val="single" w:sz="4" w:space="0" w:color="auto"/>
            </w:tcBorders>
            <w:vAlign w:val="center"/>
            <w:hideMark/>
          </w:tcPr>
          <w:p w14:paraId="2675CB86"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3</w:t>
            </w:r>
          </w:p>
        </w:tc>
        <w:tc>
          <w:tcPr>
            <w:tcW w:w="1224" w:type="dxa"/>
            <w:tcBorders>
              <w:top w:val="nil"/>
              <w:left w:val="nil"/>
              <w:bottom w:val="single" w:sz="4" w:space="0" w:color="auto"/>
              <w:right w:val="single" w:sz="4" w:space="0" w:color="auto"/>
            </w:tcBorders>
            <w:vAlign w:val="center"/>
            <w:hideMark/>
          </w:tcPr>
          <w:p w14:paraId="100D9A1E"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w:t>
            </w:r>
          </w:p>
        </w:tc>
        <w:tc>
          <w:tcPr>
            <w:tcW w:w="851" w:type="dxa"/>
            <w:tcBorders>
              <w:top w:val="nil"/>
              <w:left w:val="nil"/>
              <w:bottom w:val="single" w:sz="4" w:space="0" w:color="auto"/>
              <w:right w:val="single" w:sz="4" w:space="0" w:color="auto"/>
            </w:tcBorders>
            <w:vAlign w:val="center"/>
            <w:hideMark/>
          </w:tcPr>
          <w:p w14:paraId="74DE1A7B"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393</w:t>
            </w:r>
          </w:p>
        </w:tc>
        <w:tc>
          <w:tcPr>
            <w:tcW w:w="1070" w:type="dxa"/>
            <w:tcBorders>
              <w:top w:val="nil"/>
              <w:left w:val="nil"/>
              <w:bottom w:val="single" w:sz="4" w:space="0" w:color="auto"/>
              <w:right w:val="single" w:sz="4" w:space="0" w:color="auto"/>
            </w:tcBorders>
            <w:vAlign w:val="center"/>
            <w:hideMark/>
          </w:tcPr>
          <w:p w14:paraId="07AAD99F"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1108</w:t>
            </w:r>
          </w:p>
        </w:tc>
        <w:tc>
          <w:tcPr>
            <w:tcW w:w="954" w:type="dxa"/>
            <w:tcBorders>
              <w:top w:val="nil"/>
              <w:left w:val="nil"/>
              <w:bottom w:val="single" w:sz="4" w:space="0" w:color="auto"/>
              <w:right w:val="single" w:sz="4" w:space="0" w:color="auto"/>
            </w:tcBorders>
            <w:vAlign w:val="center"/>
            <w:hideMark/>
          </w:tcPr>
          <w:p w14:paraId="406B62D5"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8</w:t>
            </w:r>
          </w:p>
        </w:tc>
        <w:tc>
          <w:tcPr>
            <w:tcW w:w="915" w:type="dxa"/>
            <w:tcBorders>
              <w:top w:val="nil"/>
              <w:left w:val="nil"/>
              <w:bottom w:val="single" w:sz="4" w:space="0" w:color="auto"/>
              <w:right w:val="single" w:sz="4" w:space="0" w:color="auto"/>
            </w:tcBorders>
            <w:vAlign w:val="center"/>
            <w:hideMark/>
          </w:tcPr>
          <w:p w14:paraId="72BB5673"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w:t>
            </w:r>
          </w:p>
        </w:tc>
        <w:tc>
          <w:tcPr>
            <w:tcW w:w="1070" w:type="dxa"/>
            <w:tcBorders>
              <w:top w:val="nil"/>
              <w:left w:val="nil"/>
              <w:bottom w:val="single" w:sz="4" w:space="0" w:color="auto"/>
              <w:right w:val="single" w:sz="4" w:space="0" w:color="auto"/>
            </w:tcBorders>
            <w:vAlign w:val="center"/>
            <w:hideMark/>
          </w:tcPr>
          <w:p w14:paraId="17F06826"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345</w:t>
            </w:r>
          </w:p>
        </w:tc>
        <w:tc>
          <w:tcPr>
            <w:tcW w:w="1070" w:type="dxa"/>
            <w:tcBorders>
              <w:top w:val="nil"/>
              <w:left w:val="nil"/>
              <w:bottom w:val="single" w:sz="4" w:space="0" w:color="auto"/>
              <w:right w:val="single" w:sz="4" w:space="0" w:color="auto"/>
            </w:tcBorders>
            <w:vAlign w:val="center"/>
            <w:hideMark/>
          </w:tcPr>
          <w:p w14:paraId="7CD842B5"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1461</w:t>
            </w:r>
          </w:p>
        </w:tc>
      </w:tr>
      <w:tr w:rsidR="00F75806" w:rsidRPr="00F75806" w14:paraId="68A4548D" w14:textId="77777777" w:rsidTr="00C91D91">
        <w:trPr>
          <w:trHeight w:val="19"/>
        </w:trPr>
        <w:tc>
          <w:tcPr>
            <w:tcW w:w="1351" w:type="dxa"/>
            <w:tcBorders>
              <w:top w:val="nil"/>
              <w:left w:val="single" w:sz="4" w:space="0" w:color="auto"/>
              <w:bottom w:val="single" w:sz="4" w:space="0" w:color="auto"/>
              <w:right w:val="single" w:sz="4" w:space="0" w:color="auto"/>
            </w:tcBorders>
            <w:vAlign w:val="center"/>
            <w:hideMark/>
          </w:tcPr>
          <w:p w14:paraId="58608F22" w14:textId="605FB6EC" w:rsidR="00F75806" w:rsidRPr="00F75806" w:rsidRDefault="00F75806" w:rsidP="00F75806">
            <w:pPr>
              <w:spacing w:after="0" w:line="240" w:lineRule="auto"/>
              <w:jc w:val="center"/>
              <w:rPr>
                <w:rFonts w:ascii="Aptos" w:eastAsia="Times New Roman" w:hAnsi="Aptos" w:cs="Times New Roman"/>
                <w:color w:val="000000"/>
                <w:kern w:val="0"/>
                <w:szCs w:val="24"/>
                <w:lang w:eastAsia="en-IN"/>
                <w14:ligatures w14:val="none"/>
              </w:rPr>
            </w:pPr>
          </w:p>
        </w:tc>
        <w:tc>
          <w:tcPr>
            <w:tcW w:w="1454" w:type="dxa"/>
            <w:tcBorders>
              <w:top w:val="nil"/>
              <w:left w:val="nil"/>
              <w:bottom w:val="single" w:sz="4" w:space="0" w:color="auto"/>
              <w:right w:val="single" w:sz="4" w:space="0" w:color="auto"/>
            </w:tcBorders>
            <w:vAlign w:val="center"/>
            <w:hideMark/>
          </w:tcPr>
          <w:p w14:paraId="0B5FF800" w14:textId="77777777" w:rsidR="00F75806" w:rsidRPr="00F75806" w:rsidRDefault="00F75806" w:rsidP="00F75806">
            <w:pPr>
              <w:spacing w:after="0" w:line="240" w:lineRule="auto"/>
              <w:jc w:val="center"/>
              <w:rPr>
                <w:rFonts w:ascii="Aptos" w:eastAsia="Times New Roman" w:hAnsi="Aptos" w:cs="Times New Roman"/>
                <w:color w:val="000000"/>
                <w:kern w:val="0"/>
                <w:szCs w:val="24"/>
                <w:lang w:eastAsia="en-IN"/>
                <w14:ligatures w14:val="none"/>
              </w:rPr>
            </w:pPr>
            <w:r w:rsidRPr="00F75806">
              <w:rPr>
                <w:rFonts w:ascii="Aptos" w:eastAsia="Times New Roman" w:hAnsi="Aptos" w:cs="Times New Roman"/>
                <w:color w:val="000000"/>
                <w:kern w:val="0"/>
                <w:szCs w:val="24"/>
                <w:lang w:eastAsia="en-IN"/>
                <w14:ligatures w14:val="none"/>
              </w:rPr>
              <w:t>-</w:t>
            </w:r>
          </w:p>
        </w:tc>
        <w:tc>
          <w:tcPr>
            <w:tcW w:w="1070" w:type="dxa"/>
            <w:tcBorders>
              <w:top w:val="nil"/>
              <w:left w:val="nil"/>
              <w:bottom w:val="single" w:sz="4" w:space="0" w:color="auto"/>
              <w:right w:val="single" w:sz="4" w:space="0" w:color="auto"/>
            </w:tcBorders>
            <w:vAlign w:val="center"/>
            <w:hideMark/>
          </w:tcPr>
          <w:p w14:paraId="7BB9DA02" w14:textId="3FF37E83"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28</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8</w:t>
            </w:r>
          </w:p>
        </w:tc>
        <w:tc>
          <w:tcPr>
            <w:tcW w:w="851" w:type="dxa"/>
            <w:tcBorders>
              <w:top w:val="nil"/>
              <w:left w:val="nil"/>
              <w:bottom w:val="single" w:sz="4" w:space="0" w:color="auto"/>
              <w:right w:val="single" w:sz="4" w:space="0" w:color="auto"/>
            </w:tcBorders>
            <w:vAlign w:val="center"/>
            <w:hideMark/>
          </w:tcPr>
          <w:p w14:paraId="23ED7FE8" w14:textId="7B4934FD"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17</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0</w:t>
            </w:r>
          </w:p>
        </w:tc>
        <w:tc>
          <w:tcPr>
            <w:tcW w:w="955" w:type="dxa"/>
            <w:tcBorders>
              <w:top w:val="nil"/>
              <w:left w:val="nil"/>
              <w:bottom w:val="single" w:sz="4" w:space="0" w:color="auto"/>
              <w:right w:val="single" w:sz="4" w:space="0" w:color="auto"/>
            </w:tcBorders>
            <w:vAlign w:val="center"/>
            <w:hideMark/>
          </w:tcPr>
          <w:p w14:paraId="6950A073" w14:textId="4282C01A"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3</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0</w:t>
            </w:r>
          </w:p>
        </w:tc>
        <w:tc>
          <w:tcPr>
            <w:tcW w:w="1442" w:type="dxa"/>
            <w:tcBorders>
              <w:top w:val="nil"/>
              <w:left w:val="nil"/>
              <w:bottom w:val="single" w:sz="4" w:space="0" w:color="auto"/>
              <w:right w:val="single" w:sz="4" w:space="0" w:color="auto"/>
            </w:tcBorders>
            <w:vAlign w:val="center"/>
            <w:hideMark/>
          </w:tcPr>
          <w:p w14:paraId="55284C52" w14:textId="2D107864"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0</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2</w:t>
            </w:r>
          </w:p>
        </w:tc>
        <w:tc>
          <w:tcPr>
            <w:tcW w:w="1224" w:type="dxa"/>
            <w:tcBorders>
              <w:top w:val="nil"/>
              <w:left w:val="nil"/>
              <w:bottom w:val="single" w:sz="4" w:space="0" w:color="auto"/>
              <w:right w:val="single" w:sz="4" w:space="0" w:color="auto"/>
            </w:tcBorders>
            <w:vAlign w:val="center"/>
            <w:hideMark/>
          </w:tcPr>
          <w:p w14:paraId="0604B8E3"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w:t>
            </w:r>
          </w:p>
        </w:tc>
        <w:tc>
          <w:tcPr>
            <w:tcW w:w="851" w:type="dxa"/>
            <w:tcBorders>
              <w:top w:val="nil"/>
              <w:left w:val="nil"/>
              <w:bottom w:val="single" w:sz="4" w:space="0" w:color="auto"/>
              <w:right w:val="single" w:sz="4" w:space="0" w:color="auto"/>
            </w:tcBorders>
            <w:vAlign w:val="center"/>
            <w:hideMark/>
          </w:tcPr>
          <w:p w14:paraId="7E35A0CC" w14:textId="6BE77116"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26</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9</w:t>
            </w:r>
          </w:p>
        </w:tc>
        <w:tc>
          <w:tcPr>
            <w:tcW w:w="1070" w:type="dxa"/>
            <w:tcBorders>
              <w:top w:val="nil"/>
              <w:left w:val="nil"/>
              <w:bottom w:val="single" w:sz="4" w:space="0" w:color="auto"/>
              <w:right w:val="single" w:sz="4" w:space="0" w:color="auto"/>
            </w:tcBorders>
            <w:vAlign w:val="center"/>
            <w:hideMark/>
          </w:tcPr>
          <w:p w14:paraId="6A66A51F" w14:textId="28EA5440"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75</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9</w:t>
            </w:r>
          </w:p>
        </w:tc>
        <w:tc>
          <w:tcPr>
            <w:tcW w:w="954" w:type="dxa"/>
            <w:tcBorders>
              <w:top w:val="nil"/>
              <w:left w:val="nil"/>
              <w:bottom w:val="single" w:sz="4" w:space="0" w:color="auto"/>
              <w:right w:val="single" w:sz="4" w:space="0" w:color="auto"/>
            </w:tcBorders>
            <w:vAlign w:val="center"/>
            <w:hideMark/>
          </w:tcPr>
          <w:p w14:paraId="7ED98F91" w14:textId="40AEED72"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0</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6</w:t>
            </w:r>
          </w:p>
        </w:tc>
        <w:tc>
          <w:tcPr>
            <w:tcW w:w="915" w:type="dxa"/>
            <w:tcBorders>
              <w:top w:val="nil"/>
              <w:left w:val="nil"/>
              <w:bottom w:val="single" w:sz="4" w:space="0" w:color="auto"/>
              <w:right w:val="single" w:sz="4" w:space="0" w:color="auto"/>
            </w:tcBorders>
            <w:vAlign w:val="center"/>
            <w:hideMark/>
          </w:tcPr>
          <w:p w14:paraId="7B65B0CC"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w:t>
            </w:r>
          </w:p>
        </w:tc>
        <w:tc>
          <w:tcPr>
            <w:tcW w:w="1070" w:type="dxa"/>
            <w:tcBorders>
              <w:top w:val="nil"/>
              <w:left w:val="nil"/>
              <w:bottom w:val="single" w:sz="4" w:space="0" w:color="auto"/>
              <w:right w:val="single" w:sz="4" w:space="0" w:color="auto"/>
            </w:tcBorders>
            <w:vAlign w:val="center"/>
            <w:hideMark/>
          </w:tcPr>
          <w:p w14:paraId="073C7D85" w14:textId="11D81239"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23</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5</w:t>
            </w:r>
          </w:p>
        </w:tc>
        <w:tc>
          <w:tcPr>
            <w:tcW w:w="1070" w:type="dxa"/>
            <w:tcBorders>
              <w:top w:val="nil"/>
              <w:left w:val="nil"/>
              <w:bottom w:val="single" w:sz="4" w:space="0" w:color="auto"/>
              <w:right w:val="single" w:sz="4" w:space="0" w:color="auto"/>
            </w:tcBorders>
            <w:vAlign w:val="center"/>
            <w:hideMark/>
          </w:tcPr>
          <w:p w14:paraId="36A81116" w14:textId="52F96156" w:rsidR="00F75806" w:rsidRPr="00F75806" w:rsidRDefault="00F75806" w:rsidP="00F75806">
            <w:pPr>
              <w:spacing w:after="0" w:line="240" w:lineRule="auto"/>
              <w:jc w:val="center"/>
              <w:rPr>
                <w:rFonts w:ascii="Aptos" w:eastAsia="Times New Roman" w:hAnsi="Aptos" w:cs="Times New Roman"/>
                <w:color w:val="000000"/>
                <w:kern w:val="0"/>
                <w:szCs w:val="24"/>
                <w:lang w:eastAsia="en-IN"/>
                <w14:ligatures w14:val="none"/>
              </w:rPr>
            </w:pPr>
          </w:p>
        </w:tc>
      </w:tr>
      <w:tr w:rsidR="00F75806" w:rsidRPr="00F75806" w14:paraId="5467C58B" w14:textId="77777777" w:rsidTr="00C91D91">
        <w:trPr>
          <w:trHeight w:val="19"/>
        </w:trPr>
        <w:tc>
          <w:tcPr>
            <w:tcW w:w="1351" w:type="dxa"/>
            <w:tcBorders>
              <w:top w:val="nil"/>
              <w:left w:val="single" w:sz="4" w:space="0" w:color="auto"/>
              <w:bottom w:val="single" w:sz="4" w:space="0" w:color="auto"/>
              <w:right w:val="single" w:sz="4" w:space="0" w:color="auto"/>
            </w:tcBorders>
            <w:vAlign w:val="center"/>
            <w:hideMark/>
          </w:tcPr>
          <w:p w14:paraId="034CA415"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Saurashtra</w:t>
            </w:r>
          </w:p>
        </w:tc>
        <w:tc>
          <w:tcPr>
            <w:tcW w:w="1454" w:type="dxa"/>
            <w:tcBorders>
              <w:top w:val="nil"/>
              <w:left w:val="nil"/>
              <w:bottom w:val="single" w:sz="4" w:space="0" w:color="auto"/>
              <w:right w:val="single" w:sz="4" w:space="0" w:color="auto"/>
            </w:tcBorders>
            <w:vAlign w:val="center"/>
            <w:hideMark/>
          </w:tcPr>
          <w:p w14:paraId="2E3F5A99"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w:t>
            </w:r>
          </w:p>
        </w:tc>
        <w:tc>
          <w:tcPr>
            <w:tcW w:w="1070" w:type="dxa"/>
            <w:tcBorders>
              <w:top w:val="nil"/>
              <w:left w:val="nil"/>
              <w:bottom w:val="single" w:sz="4" w:space="0" w:color="auto"/>
              <w:right w:val="single" w:sz="4" w:space="0" w:color="auto"/>
            </w:tcBorders>
            <w:vAlign w:val="center"/>
            <w:hideMark/>
          </w:tcPr>
          <w:p w14:paraId="4F83766D"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225</w:t>
            </w:r>
          </w:p>
        </w:tc>
        <w:tc>
          <w:tcPr>
            <w:tcW w:w="851" w:type="dxa"/>
            <w:tcBorders>
              <w:top w:val="nil"/>
              <w:left w:val="nil"/>
              <w:bottom w:val="single" w:sz="4" w:space="0" w:color="auto"/>
              <w:right w:val="single" w:sz="4" w:space="0" w:color="auto"/>
            </w:tcBorders>
            <w:vAlign w:val="center"/>
            <w:hideMark/>
          </w:tcPr>
          <w:p w14:paraId="01631216"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15</w:t>
            </w:r>
          </w:p>
        </w:tc>
        <w:tc>
          <w:tcPr>
            <w:tcW w:w="955" w:type="dxa"/>
            <w:tcBorders>
              <w:top w:val="nil"/>
              <w:left w:val="nil"/>
              <w:bottom w:val="single" w:sz="4" w:space="0" w:color="auto"/>
              <w:right w:val="single" w:sz="4" w:space="0" w:color="auto"/>
            </w:tcBorders>
            <w:vAlign w:val="center"/>
            <w:hideMark/>
          </w:tcPr>
          <w:p w14:paraId="50B98B57"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22</w:t>
            </w:r>
          </w:p>
        </w:tc>
        <w:tc>
          <w:tcPr>
            <w:tcW w:w="1442" w:type="dxa"/>
            <w:tcBorders>
              <w:top w:val="nil"/>
              <w:left w:val="nil"/>
              <w:bottom w:val="single" w:sz="4" w:space="0" w:color="auto"/>
              <w:right w:val="single" w:sz="4" w:space="0" w:color="auto"/>
            </w:tcBorders>
            <w:vAlign w:val="center"/>
            <w:hideMark/>
          </w:tcPr>
          <w:p w14:paraId="79236F08"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9</w:t>
            </w:r>
          </w:p>
        </w:tc>
        <w:tc>
          <w:tcPr>
            <w:tcW w:w="1224" w:type="dxa"/>
            <w:tcBorders>
              <w:top w:val="nil"/>
              <w:left w:val="nil"/>
              <w:bottom w:val="single" w:sz="4" w:space="0" w:color="auto"/>
              <w:right w:val="single" w:sz="4" w:space="0" w:color="auto"/>
            </w:tcBorders>
            <w:vAlign w:val="center"/>
            <w:hideMark/>
          </w:tcPr>
          <w:p w14:paraId="5F6776D2"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8</w:t>
            </w:r>
          </w:p>
        </w:tc>
        <w:tc>
          <w:tcPr>
            <w:tcW w:w="851" w:type="dxa"/>
            <w:tcBorders>
              <w:top w:val="nil"/>
              <w:left w:val="nil"/>
              <w:bottom w:val="single" w:sz="4" w:space="0" w:color="auto"/>
              <w:right w:val="single" w:sz="4" w:space="0" w:color="auto"/>
            </w:tcBorders>
            <w:vAlign w:val="center"/>
            <w:hideMark/>
          </w:tcPr>
          <w:p w14:paraId="1F464C4E"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75</w:t>
            </w:r>
          </w:p>
        </w:tc>
        <w:tc>
          <w:tcPr>
            <w:tcW w:w="1070" w:type="dxa"/>
            <w:tcBorders>
              <w:top w:val="nil"/>
              <w:left w:val="nil"/>
              <w:bottom w:val="single" w:sz="4" w:space="0" w:color="auto"/>
              <w:right w:val="single" w:sz="4" w:space="0" w:color="auto"/>
            </w:tcBorders>
            <w:vAlign w:val="center"/>
            <w:hideMark/>
          </w:tcPr>
          <w:p w14:paraId="66EA0308"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354</w:t>
            </w:r>
          </w:p>
        </w:tc>
        <w:tc>
          <w:tcPr>
            <w:tcW w:w="954" w:type="dxa"/>
            <w:tcBorders>
              <w:top w:val="nil"/>
              <w:left w:val="nil"/>
              <w:bottom w:val="single" w:sz="4" w:space="0" w:color="auto"/>
              <w:right w:val="single" w:sz="4" w:space="0" w:color="auto"/>
            </w:tcBorders>
            <w:vAlign w:val="center"/>
            <w:hideMark/>
          </w:tcPr>
          <w:p w14:paraId="3A833AAD"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w:t>
            </w:r>
          </w:p>
        </w:tc>
        <w:tc>
          <w:tcPr>
            <w:tcW w:w="915" w:type="dxa"/>
            <w:tcBorders>
              <w:top w:val="nil"/>
              <w:left w:val="nil"/>
              <w:bottom w:val="single" w:sz="4" w:space="0" w:color="auto"/>
              <w:right w:val="single" w:sz="4" w:space="0" w:color="auto"/>
            </w:tcBorders>
            <w:vAlign w:val="center"/>
            <w:hideMark/>
          </w:tcPr>
          <w:p w14:paraId="576EC07C"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250</w:t>
            </w:r>
          </w:p>
        </w:tc>
        <w:tc>
          <w:tcPr>
            <w:tcW w:w="1070" w:type="dxa"/>
            <w:tcBorders>
              <w:top w:val="nil"/>
              <w:left w:val="nil"/>
              <w:bottom w:val="single" w:sz="4" w:space="0" w:color="auto"/>
              <w:right w:val="single" w:sz="4" w:space="0" w:color="auto"/>
            </w:tcBorders>
            <w:vAlign w:val="center"/>
            <w:hideMark/>
          </w:tcPr>
          <w:p w14:paraId="4EDB3362"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173</w:t>
            </w:r>
          </w:p>
        </w:tc>
        <w:tc>
          <w:tcPr>
            <w:tcW w:w="1070" w:type="dxa"/>
            <w:tcBorders>
              <w:top w:val="nil"/>
              <w:left w:val="nil"/>
              <w:bottom w:val="single" w:sz="4" w:space="0" w:color="auto"/>
              <w:right w:val="single" w:sz="4" w:space="0" w:color="auto"/>
            </w:tcBorders>
            <w:vAlign w:val="center"/>
            <w:hideMark/>
          </w:tcPr>
          <w:p w14:paraId="4A4F0460"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777</w:t>
            </w:r>
          </w:p>
        </w:tc>
      </w:tr>
      <w:tr w:rsidR="00F75806" w:rsidRPr="00F75806" w14:paraId="0A180510" w14:textId="77777777" w:rsidTr="00C91D91">
        <w:trPr>
          <w:trHeight w:val="19"/>
        </w:trPr>
        <w:tc>
          <w:tcPr>
            <w:tcW w:w="1351" w:type="dxa"/>
            <w:tcBorders>
              <w:top w:val="nil"/>
              <w:left w:val="single" w:sz="4" w:space="0" w:color="auto"/>
              <w:bottom w:val="single" w:sz="4" w:space="0" w:color="auto"/>
              <w:right w:val="single" w:sz="4" w:space="0" w:color="auto"/>
            </w:tcBorders>
            <w:vAlign w:val="center"/>
            <w:hideMark/>
          </w:tcPr>
          <w:p w14:paraId="2C124A34" w14:textId="441805C5" w:rsidR="00F75806" w:rsidRPr="00F75806" w:rsidRDefault="00F75806" w:rsidP="00F75806">
            <w:pPr>
              <w:spacing w:after="0" w:line="240" w:lineRule="auto"/>
              <w:jc w:val="center"/>
              <w:rPr>
                <w:rFonts w:ascii="Aptos" w:eastAsia="Times New Roman" w:hAnsi="Aptos" w:cs="Times New Roman"/>
                <w:color w:val="000000"/>
                <w:kern w:val="0"/>
                <w:szCs w:val="24"/>
                <w:lang w:eastAsia="en-IN"/>
                <w14:ligatures w14:val="none"/>
              </w:rPr>
            </w:pPr>
          </w:p>
        </w:tc>
        <w:tc>
          <w:tcPr>
            <w:tcW w:w="1454" w:type="dxa"/>
            <w:tcBorders>
              <w:top w:val="nil"/>
              <w:left w:val="nil"/>
              <w:bottom w:val="single" w:sz="4" w:space="0" w:color="auto"/>
              <w:right w:val="single" w:sz="4" w:space="0" w:color="auto"/>
            </w:tcBorders>
            <w:vAlign w:val="center"/>
            <w:hideMark/>
          </w:tcPr>
          <w:p w14:paraId="54B56529" w14:textId="77777777" w:rsidR="00F75806" w:rsidRPr="00F75806" w:rsidRDefault="00F75806" w:rsidP="00F75806">
            <w:pPr>
              <w:spacing w:after="0" w:line="240" w:lineRule="auto"/>
              <w:jc w:val="center"/>
              <w:rPr>
                <w:rFonts w:ascii="Aptos" w:eastAsia="Times New Roman" w:hAnsi="Aptos" w:cs="Times New Roman"/>
                <w:color w:val="000000"/>
                <w:kern w:val="0"/>
                <w:szCs w:val="24"/>
                <w:lang w:eastAsia="en-IN"/>
                <w14:ligatures w14:val="none"/>
              </w:rPr>
            </w:pPr>
            <w:r w:rsidRPr="00F75806">
              <w:rPr>
                <w:rFonts w:ascii="Aptos" w:eastAsia="Times New Roman" w:hAnsi="Aptos" w:cs="Times New Roman"/>
                <w:color w:val="000000"/>
                <w:kern w:val="0"/>
                <w:szCs w:val="24"/>
                <w:lang w:eastAsia="en-IN"/>
                <w14:ligatures w14:val="none"/>
              </w:rPr>
              <w:t>-</w:t>
            </w:r>
          </w:p>
        </w:tc>
        <w:tc>
          <w:tcPr>
            <w:tcW w:w="1070" w:type="dxa"/>
            <w:tcBorders>
              <w:top w:val="nil"/>
              <w:left w:val="nil"/>
              <w:bottom w:val="single" w:sz="4" w:space="0" w:color="auto"/>
              <w:right w:val="single" w:sz="4" w:space="0" w:color="auto"/>
            </w:tcBorders>
            <w:vAlign w:val="center"/>
            <w:hideMark/>
          </w:tcPr>
          <w:p w14:paraId="4DF6BF8B" w14:textId="293FC616"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29</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0</w:t>
            </w:r>
          </w:p>
        </w:tc>
        <w:tc>
          <w:tcPr>
            <w:tcW w:w="851" w:type="dxa"/>
            <w:tcBorders>
              <w:top w:val="nil"/>
              <w:left w:val="nil"/>
              <w:bottom w:val="single" w:sz="4" w:space="0" w:color="auto"/>
              <w:right w:val="single" w:sz="4" w:space="0" w:color="auto"/>
            </w:tcBorders>
            <w:vAlign w:val="center"/>
            <w:hideMark/>
          </w:tcPr>
          <w:p w14:paraId="0E1F15AF" w14:textId="0E9F085F"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1</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9</w:t>
            </w:r>
          </w:p>
        </w:tc>
        <w:tc>
          <w:tcPr>
            <w:tcW w:w="955" w:type="dxa"/>
            <w:tcBorders>
              <w:top w:val="nil"/>
              <w:left w:val="nil"/>
              <w:bottom w:val="single" w:sz="4" w:space="0" w:color="auto"/>
              <w:right w:val="single" w:sz="4" w:space="0" w:color="auto"/>
            </w:tcBorders>
            <w:vAlign w:val="center"/>
            <w:hideMark/>
          </w:tcPr>
          <w:p w14:paraId="598F9A69" w14:textId="0610D7D7"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2</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8</w:t>
            </w:r>
          </w:p>
        </w:tc>
        <w:tc>
          <w:tcPr>
            <w:tcW w:w="1442" w:type="dxa"/>
            <w:tcBorders>
              <w:top w:val="nil"/>
              <w:left w:val="nil"/>
              <w:bottom w:val="single" w:sz="4" w:space="0" w:color="auto"/>
              <w:right w:val="single" w:sz="4" w:space="0" w:color="auto"/>
            </w:tcBorders>
            <w:vAlign w:val="center"/>
            <w:hideMark/>
          </w:tcPr>
          <w:p w14:paraId="7523A50E" w14:textId="4F3516D7"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1</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2</w:t>
            </w:r>
          </w:p>
        </w:tc>
        <w:tc>
          <w:tcPr>
            <w:tcW w:w="1224" w:type="dxa"/>
            <w:tcBorders>
              <w:top w:val="nil"/>
              <w:left w:val="nil"/>
              <w:bottom w:val="single" w:sz="4" w:space="0" w:color="auto"/>
              <w:right w:val="single" w:sz="4" w:space="0" w:color="auto"/>
            </w:tcBorders>
            <w:vAlign w:val="center"/>
            <w:hideMark/>
          </w:tcPr>
          <w:p w14:paraId="737FEE0A" w14:textId="42BA17BD"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1</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0</w:t>
            </w:r>
          </w:p>
        </w:tc>
        <w:tc>
          <w:tcPr>
            <w:tcW w:w="851" w:type="dxa"/>
            <w:tcBorders>
              <w:top w:val="nil"/>
              <w:left w:val="nil"/>
              <w:bottom w:val="single" w:sz="4" w:space="0" w:color="auto"/>
              <w:right w:val="single" w:sz="4" w:space="0" w:color="auto"/>
            </w:tcBorders>
            <w:vAlign w:val="center"/>
            <w:hideMark/>
          </w:tcPr>
          <w:p w14:paraId="0DDBDB77" w14:textId="782D7B22"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9</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7</w:t>
            </w:r>
          </w:p>
        </w:tc>
        <w:tc>
          <w:tcPr>
            <w:tcW w:w="1070" w:type="dxa"/>
            <w:tcBorders>
              <w:top w:val="nil"/>
              <w:left w:val="nil"/>
              <w:bottom w:val="single" w:sz="4" w:space="0" w:color="auto"/>
              <w:right w:val="single" w:sz="4" w:space="0" w:color="auto"/>
            </w:tcBorders>
            <w:vAlign w:val="center"/>
            <w:hideMark/>
          </w:tcPr>
          <w:p w14:paraId="467F1203" w14:textId="03D9C084"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45</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6</w:t>
            </w:r>
          </w:p>
        </w:tc>
        <w:tc>
          <w:tcPr>
            <w:tcW w:w="954" w:type="dxa"/>
            <w:tcBorders>
              <w:top w:val="nil"/>
              <w:left w:val="nil"/>
              <w:bottom w:val="single" w:sz="4" w:space="0" w:color="auto"/>
              <w:right w:val="single" w:sz="4" w:space="0" w:color="auto"/>
            </w:tcBorders>
            <w:vAlign w:val="center"/>
            <w:hideMark/>
          </w:tcPr>
          <w:p w14:paraId="13E2D642"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w:t>
            </w:r>
          </w:p>
        </w:tc>
        <w:tc>
          <w:tcPr>
            <w:tcW w:w="915" w:type="dxa"/>
            <w:tcBorders>
              <w:top w:val="nil"/>
              <w:left w:val="nil"/>
              <w:bottom w:val="single" w:sz="4" w:space="0" w:color="auto"/>
              <w:right w:val="single" w:sz="4" w:space="0" w:color="auto"/>
            </w:tcBorders>
            <w:vAlign w:val="center"/>
            <w:hideMark/>
          </w:tcPr>
          <w:p w14:paraId="00425B4D" w14:textId="53BB307D"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32</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2</w:t>
            </w:r>
          </w:p>
        </w:tc>
        <w:tc>
          <w:tcPr>
            <w:tcW w:w="1070" w:type="dxa"/>
            <w:tcBorders>
              <w:top w:val="nil"/>
              <w:left w:val="nil"/>
              <w:bottom w:val="single" w:sz="4" w:space="0" w:color="auto"/>
              <w:right w:val="single" w:sz="4" w:space="0" w:color="auto"/>
            </w:tcBorders>
            <w:vAlign w:val="center"/>
            <w:hideMark/>
          </w:tcPr>
          <w:p w14:paraId="0CB54ABA" w14:textId="4F400F84"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22</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2</w:t>
            </w:r>
          </w:p>
        </w:tc>
        <w:tc>
          <w:tcPr>
            <w:tcW w:w="1070" w:type="dxa"/>
            <w:tcBorders>
              <w:top w:val="nil"/>
              <w:left w:val="nil"/>
              <w:bottom w:val="single" w:sz="4" w:space="0" w:color="auto"/>
              <w:right w:val="single" w:sz="4" w:space="0" w:color="auto"/>
            </w:tcBorders>
            <w:vAlign w:val="center"/>
            <w:hideMark/>
          </w:tcPr>
          <w:p w14:paraId="22008C6D" w14:textId="68A23520" w:rsidR="00F75806" w:rsidRPr="00F75806" w:rsidRDefault="00F75806" w:rsidP="00F75806">
            <w:pPr>
              <w:spacing w:after="0" w:line="240" w:lineRule="auto"/>
              <w:jc w:val="center"/>
              <w:rPr>
                <w:rFonts w:ascii="Aptos" w:eastAsia="Times New Roman" w:hAnsi="Aptos" w:cs="Times New Roman"/>
                <w:color w:val="000000"/>
                <w:kern w:val="0"/>
                <w:szCs w:val="24"/>
                <w:lang w:eastAsia="en-IN"/>
                <w14:ligatures w14:val="none"/>
              </w:rPr>
            </w:pPr>
          </w:p>
        </w:tc>
      </w:tr>
      <w:tr w:rsidR="00F75806" w:rsidRPr="00F75806" w14:paraId="2D0FC22F" w14:textId="77777777" w:rsidTr="00C91D91">
        <w:trPr>
          <w:trHeight w:val="19"/>
        </w:trPr>
        <w:tc>
          <w:tcPr>
            <w:tcW w:w="1351" w:type="dxa"/>
            <w:tcBorders>
              <w:top w:val="nil"/>
              <w:left w:val="single" w:sz="4" w:space="0" w:color="auto"/>
              <w:bottom w:val="single" w:sz="4" w:space="0" w:color="auto"/>
              <w:right w:val="single" w:sz="4" w:space="0" w:color="auto"/>
            </w:tcBorders>
            <w:vAlign w:val="center"/>
            <w:hideMark/>
          </w:tcPr>
          <w:p w14:paraId="5686E860"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Travancore-Cochin</w:t>
            </w:r>
          </w:p>
        </w:tc>
        <w:tc>
          <w:tcPr>
            <w:tcW w:w="1454" w:type="dxa"/>
            <w:tcBorders>
              <w:top w:val="nil"/>
              <w:left w:val="nil"/>
              <w:bottom w:val="single" w:sz="4" w:space="0" w:color="auto"/>
              <w:right w:val="single" w:sz="4" w:space="0" w:color="auto"/>
            </w:tcBorders>
            <w:vAlign w:val="center"/>
            <w:hideMark/>
          </w:tcPr>
          <w:p w14:paraId="108D9DDB"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50</w:t>
            </w:r>
          </w:p>
        </w:tc>
        <w:tc>
          <w:tcPr>
            <w:tcW w:w="1070" w:type="dxa"/>
            <w:tcBorders>
              <w:top w:val="nil"/>
              <w:left w:val="nil"/>
              <w:bottom w:val="single" w:sz="4" w:space="0" w:color="auto"/>
              <w:right w:val="single" w:sz="4" w:space="0" w:color="auto"/>
            </w:tcBorders>
            <w:vAlign w:val="center"/>
            <w:hideMark/>
          </w:tcPr>
          <w:p w14:paraId="23ED96CE"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69</w:t>
            </w:r>
          </w:p>
        </w:tc>
        <w:tc>
          <w:tcPr>
            <w:tcW w:w="851" w:type="dxa"/>
            <w:tcBorders>
              <w:top w:val="nil"/>
              <w:left w:val="nil"/>
              <w:bottom w:val="single" w:sz="4" w:space="0" w:color="auto"/>
              <w:right w:val="single" w:sz="4" w:space="0" w:color="auto"/>
            </w:tcBorders>
            <w:vAlign w:val="center"/>
            <w:hideMark/>
          </w:tcPr>
          <w:p w14:paraId="6CBF11CF"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218</w:t>
            </w:r>
          </w:p>
        </w:tc>
        <w:tc>
          <w:tcPr>
            <w:tcW w:w="955" w:type="dxa"/>
            <w:tcBorders>
              <w:top w:val="nil"/>
              <w:left w:val="nil"/>
              <w:bottom w:val="single" w:sz="4" w:space="0" w:color="auto"/>
              <w:right w:val="single" w:sz="4" w:space="0" w:color="auto"/>
            </w:tcBorders>
            <w:vAlign w:val="center"/>
            <w:hideMark/>
          </w:tcPr>
          <w:p w14:paraId="791B1C25"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81</w:t>
            </w:r>
          </w:p>
        </w:tc>
        <w:tc>
          <w:tcPr>
            <w:tcW w:w="1442" w:type="dxa"/>
            <w:tcBorders>
              <w:top w:val="nil"/>
              <w:left w:val="nil"/>
              <w:bottom w:val="single" w:sz="4" w:space="0" w:color="auto"/>
              <w:right w:val="single" w:sz="4" w:space="0" w:color="auto"/>
            </w:tcBorders>
            <w:vAlign w:val="center"/>
            <w:hideMark/>
          </w:tcPr>
          <w:p w14:paraId="2013B1A7"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28</w:t>
            </w:r>
          </w:p>
        </w:tc>
        <w:tc>
          <w:tcPr>
            <w:tcW w:w="1224" w:type="dxa"/>
            <w:tcBorders>
              <w:top w:val="nil"/>
              <w:left w:val="nil"/>
              <w:bottom w:val="single" w:sz="4" w:space="0" w:color="auto"/>
              <w:right w:val="single" w:sz="4" w:space="0" w:color="auto"/>
            </w:tcBorders>
            <w:vAlign w:val="center"/>
            <w:hideMark/>
          </w:tcPr>
          <w:p w14:paraId="2E931109"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259</w:t>
            </w:r>
          </w:p>
        </w:tc>
        <w:tc>
          <w:tcPr>
            <w:tcW w:w="851" w:type="dxa"/>
            <w:tcBorders>
              <w:top w:val="nil"/>
              <w:left w:val="nil"/>
              <w:bottom w:val="single" w:sz="4" w:space="0" w:color="auto"/>
              <w:right w:val="single" w:sz="4" w:space="0" w:color="auto"/>
            </w:tcBorders>
            <w:vAlign w:val="center"/>
            <w:hideMark/>
          </w:tcPr>
          <w:p w14:paraId="5B01570A"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53</w:t>
            </w:r>
          </w:p>
        </w:tc>
        <w:tc>
          <w:tcPr>
            <w:tcW w:w="1070" w:type="dxa"/>
            <w:tcBorders>
              <w:top w:val="nil"/>
              <w:left w:val="nil"/>
              <w:bottom w:val="single" w:sz="4" w:space="0" w:color="auto"/>
              <w:right w:val="single" w:sz="4" w:space="0" w:color="auto"/>
            </w:tcBorders>
            <w:vAlign w:val="center"/>
            <w:hideMark/>
          </w:tcPr>
          <w:p w14:paraId="5D75137E"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758</w:t>
            </w:r>
          </w:p>
        </w:tc>
        <w:tc>
          <w:tcPr>
            <w:tcW w:w="954" w:type="dxa"/>
            <w:tcBorders>
              <w:top w:val="nil"/>
              <w:left w:val="nil"/>
              <w:bottom w:val="single" w:sz="4" w:space="0" w:color="auto"/>
              <w:right w:val="single" w:sz="4" w:space="0" w:color="auto"/>
            </w:tcBorders>
            <w:vAlign w:val="center"/>
            <w:hideMark/>
          </w:tcPr>
          <w:p w14:paraId="6F79A216"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w:t>
            </w:r>
          </w:p>
        </w:tc>
        <w:tc>
          <w:tcPr>
            <w:tcW w:w="915" w:type="dxa"/>
            <w:tcBorders>
              <w:top w:val="nil"/>
              <w:left w:val="nil"/>
              <w:bottom w:val="single" w:sz="4" w:space="0" w:color="auto"/>
              <w:right w:val="single" w:sz="4" w:space="0" w:color="auto"/>
            </w:tcBorders>
            <w:vAlign w:val="center"/>
            <w:hideMark/>
          </w:tcPr>
          <w:p w14:paraId="284C139D"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280</w:t>
            </w:r>
          </w:p>
        </w:tc>
        <w:tc>
          <w:tcPr>
            <w:tcW w:w="1070" w:type="dxa"/>
            <w:tcBorders>
              <w:top w:val="nil"/>
              <w:left w:val="nil"/>
              <w:bottom w:val="single" w:sz="4" w:space="0" w:color="auto"/>
              <w:right w:val="single" w:sz="4" w:space="0" w:color="auto"/>
            </w:tcBorders>
            <w:vAlign w:val="center"/>
            <w:hideMark/>
          </w:tcPr>
          <w:p w14:paraId="09993DFD"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361</w:t>
            </w:r>
          </w:p>
        </w:tc>
        <w:tc>
          <w:tcPr>
            <w:tcW w:w="1070" w:type="dxa"/>
            <w:tcBorders>
              <w:top w:val="nil"/>
              <w:left w:val="nil"/>
              <w:bottom w:val="single" w:sz="4" w:space="0" w:color="auto"/>
              <w:right w:val="single" w:sz="4" w:space="0" w:color="auto"/>
            </w:tcBorders>
            <w:vAlign w:val="center"/>
            <w:hideMark/>
          </w:tcPr>
          <w:p w14:paraId="56EBBF1E"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1399</w:t>
            </w:r>
          </w:p>
        </w:tc>
      </w:tr>
      <w:tr w:rsidR="00F75806" w:rsidRPr="00F75806" w14:paraId="1503C93A" w14:textId="77777777" w:rsidTr="00C91D91">
        <w:trPr>
          <w:trHeight w:val="19"/>
        </w:trPr>
        <w:tc>
          <w:tcPr>
            <w:tcW w:w="1351" w:type="dxa"/>
            <w:tcBorders>
              <w:top w:val="nil"/>
              <w:left w:val="single" w:sz="4" w:space="0" w:color="auto"/>
              <w:bottom w:val="single" w:sz="4" w:space="0" w:color="auto"/>
              <w:right w:val="single" w:sz="4" w:space="0" w:color="auto"/>
            </w:tcBorders>
            <w:vAlign w:val="center"/>
            <w:hideMark/>
          </w:tcPr>
          <w:p w14:paraId="50994836" w14:textId="31DCEF4F" w:rsidR="00F75806" w:rsidRPr="00F75806" w:rsidRDefault="00F75806" w:rsidP="00F75806">
            <w:pPr>
              <w:spacing w:after="0" w:line="240" w:lineRule="auto"/>
              <w:jc w:val="center"/>
              <w:rPr>
                <w:rFonts w:ascii="Aptos" w:eastAsia="Times New Roman" w:hAnsi="Aptos" w:cs="Times New Roman"/>
                <w:color w:val="000000"/>
                <w:kern w:val="0"/>
                <w:szCs w:val="24"/>
                <w:lang w:eastAsia="en-IN"/>
                <w14:ligatures w14:val="none"/>
              </w:rPr>
            </w:pPr>
          </w:p>
        </w:tc>
        <w:tc>
          <w:tcPr>
            <w:tcW w:w="1454" w:type="dxa"/>
            <w:tcBorders>
              <w:top w:val="nil"/>
              <w:left w:val="nil"/>
              <w:bottom w:val="single" w:sz="4" w:space="0" w:color="auto"/>
              <w:right w:val="single" w:sz="4" w:space="0" w:color="auto"/>
            </w:tcBorders>
            <w:vAlign w:val="center"/>
            <w:hideMark/>
          </w:tcPr>
          <w:p w14:paraId="23740FDE" w14:textId="67A00834"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3</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6</w:t>
            </w:r>
          </w:p>
        </w:tc>
        <w:tc>
          <w:tcPr>
            <w:tcW w:w="1070" w:type="dxa"/>
            <w:tcBorders>
              <w:top w:val="nil"/>
              <w:left w:val="nil"/>
              <w:bottom w:val="single" w:sz="4" w:space="0" w:color="auto"/>
              <w:right w:val="single" w:sz="4" w:space="0" w:color="auto"/>
            </w:tcBorders>
            <w:vAlign w:val="center"/>
            <w:hideMark/>
          </w:tcPr>
          <w:p w14:paraId="36917FBB" w14:textId="01679726"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4</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9</w:t>
            </w:r>
          </w:p>
        </w:tc>
        <w:tc>
          <w:tcPr>
            <w:tcW w:w="851" w:type="dxa"/>
            <w:tcBorders>
              <w:top w:val="nil"/>
              <w:left w:val="nil"/>
              <w:bottom w:val="single" w:sz="4" w:space="0" w:color="auto"/>
              <w:right w:val="single" w:sz="4" w:space="0" w:color="auto"/>
            </w:tcBorders>
            <w:vAlign w:val="center"/>
            <w:hideMark/>
          </w:tcPr>
          <w:p w14:paraId="06DDF8BC" w14:textId="7E1E41A0"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15</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6</w:t>
            </w:r>
          </w:p>
        </w:tc>
        <w:tc>
          <w:tcPr>
            <w:tcW w:w="955" w:type="dxa"/>
            <w:tcBorders>
              <w:top w:val="nil"/>
              <w:left w:val="nil"/>
              <w:bottom w:val="single" w:sz="4" w:space="0" w:color="auto"/>
              <w:right w:val="single" w:sz="4" w:space="0" w:color="auto"/>
            </w:tcBorders>
            <w:vAlign w:val="center"/>
            <w:hideMark/>
          </w:tcPr>
          <w:p w14:paraId="0C9C08EF" w14:textId="69C89980"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5</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8</w:t>
            </w:r>
          </w:p>
        </w:tc>
        <w:tc>
          <w:tcPr>
            <w:tcW w:w="1442" w:type="dxa"/>
            <w:tcBorders>
              <w:top w:val="nil"/>
              <w:left w:val="nil"/>
              <w:bottom w:val="single" w:sz="4" w:space="0" w:color="auto"/>
              <w:right w:val="single" w:sz="4" w:space="0" w:color="auto"/>
            </w:tcBorders>
            <w:vAlign w:val="center"/>
            <w:hideMark/>
          </w:tcPr>
          <w:p w14:paraId="590F7AFC" w14:textId="4FB5AAFA"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2</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0</w:t>
            </w:r>
          </w:p>
        </w:tc>
        <w:tc>
          <w:tcPr>
            <w:tcW w:w="1224" w:type="dxa"/>
            <w:tcBorders>
              <w:top w:val="nil"/>
              <w:left w:val="nil"/>
              <w:bottom w:val="single" w:sz="4" w:space="0" w:color="auto"/>
              <w:right w:val="single" w:sz="4" w:space="0" w:color="auto"/>
            </w:tcBorders>
            <w:vAlign w:val="center"/>
            <w:hideMark/>
          </w:tcPr>
          <w:p w14:paraId="41EDFE4C" w14:textId="076D0CBE"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18</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5</w:t>
            </w:r>
          </w:p>
        </w:tc>
        <w:tc>
          <w:tcPr>
            <w:tcW w:w="851" w:type="dxa"/>
            <w:tcBorders>
              <w:top w:val="nil"/>
              <w:left w:val="nil"/>
              <w:bottom w:val="single" w:sz="4" w:space="0" w:color="auto"/>
              <w:right w:val="single" w:sz="4" w:space="0" w:color="auto"/>
            </w:tcBorders>
            <w:vAlign w:val="center"/>
            <w:hideMark/>
          </w:tcPr>
          <w:p w14:paraId="624180E6" w14:textId="7D8E9948"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3</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8</w:t>
            </w:r>
          </w:p>
        </w:tc>
        <w:tc>
          <w:tcPr>
            <w:tcW w:w="1070" w:type="dxa"/>
            <w:tcBorders>
              <w:top w:val="nil"/>
              <w:left w:val="nil"/>
              <w:bottom w:val="single" w:sz="4" w:space="0" w:color="auto"/>
              <w:right w:val="single" w:sz="4" w:space="0" w:color="auto"/>
            </w:tcBorders>
            <w:vAlign w:val="center"/>
            <w:hideMark/>
          </w:tcPr>
          <w:p w14:paraId="05FAE8DA" w14:textId="629B4B33"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54</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2</w:t>
            </w:r>
          </w:p>
        </w:tc>
        <w:tc>
          <w:tcPr>
            <w:tcW w:w="954" w:type="dxa"/>
            <w:tcBorders>
              <w:top w:val="nil"/>
              <w:left w:val="nil"/>
              <w:bottom w:val="single" w:sz="4" w:space="0" w:color="auto"/>
              <w:right w:val="single" w:sz="4" w:space="0" w:color="auto"/>
            </w:tcBorders>
            <w:vAlign w:val="center"/>
            <w:hideMark/>
          </w:tcPr>
          <w:p w14:paraId="05C398E3"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w:t>
            </w:r>
          </w:p>
        </w:tc>
        <w:tc>
          <w:tcPr>
            <w:tcW w:w="915" w:type="dxa"/>
            <w:tcBorders>
              <w:top w:val="nil"/>
              <w:left w:val="nil"/>
              <w:bottom w:val="single" w:sz="4" w:space="0" w:color="auto"/>
              <w:right w:val="single" w:sz="4" w:space="0" w:color="auto"/>
            </w:tcBorders>
            <w:vAlign w:val="center"/>
            <w:hideMark/>
          </w:tcPr>
          <w:p w14:paraId="3BCCFDF4" w14:textId="7AA0E107"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20·0</w:t>
            </w:r>
          </w:p>
        </w:tc>
        <w:tc>
          <w:tcPr>
            <w:tcW w:w="1070" w:type="dxa"/>
            <w:tcBorders>
              <w:top w:val="nil"/>
              <w:left w:val="nil"/>
              <w:bottom w:val="single" w:sz="4" w:space="0" w:color="auto"/>
              <w:right w:val="single" w:sz="4" w:space="0" w:color="auto"/>
            </w:tcBorders>
            <w:vAlign w:val="center"/>
            <w:hideMark/>
          </w:tcPr>
          <w:p w14:paraId="42374A0A" w14:textId="08E5D344"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25</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8</w:t>
            </w:r>
          </w:p>
        </w:tc>
        <w:tc>
          <w:tcPr>
            <w:tcW w:w="1070" w:type="dxa"/>
            <w:tcBorders>
              <w:top w:val="nil"/>
              <w:left w:val="nil"/>
              <w:bottom w:val="single" w:sz="4" w:space="0" w:color="auto"/>
              <w:right w:val="single" w:sz="4" w:space="0" w:color="auto"/>
            </w:tcBorders>
            <w:vAlign w:val="center"/>
            <w:hideMark/>
          </w:tcPr>
          <w:p w14:paraId="5E2037A6" w14:textId="03D565A5" w:rsidR="00F75806" w:rsidRPr="00F75806" w:rsidRDefault="00F75806" w:rsidP="00F75806">
            <w:pPr>
              <w:spacing w:after="0" w:line="240" w:lineRule="auto"/>
              <w:jc w:val="center"/>
              <w:rPr>
                <w:rFonts w:ascii="Aptos" w:eastAsia="Times New Roman" w:hAnsi="Aptos" w:cs="Times New Roman"/>
                <w:color w:val="000000"/>
                <w:kern w:val="0"/>
                <w:szCs w:val="24"/>
                <w:lang w:eastAsia="en-IN"/>
                <w14:ligatures w14:val="none"/>
              </w:rPr>
            </w:pPr>
          </w:p>
        </w:tc>
      </w:tr>
      <w:tr w:rsidR="00F75806" w:rsidRPr="00F75806" w14:paraId="1269CEA3" w14:textId="77777777" w:rsidTr="00C91D91">
        <w:trPr>
          <w:trHeight w:val="19"/>
        </w:trPr>
        <w:tc>
          <w:tcPr>
            <w:tcW w:w="1351" w:type="dxa"/>
            <w:vMerge w:val="restart"/>
            <w:tcBorders>
              <w:top w:val="nil"/>
              <w:left w:val="single" w:sz="4" w:space="0" w:color="auto"/>
              <w:bottom w:val="single" w:sz="4" w:space="0" w:color="auto"/>
              <w:right w:val="single" w:sz="4" w:space="0" w:color="auto"/>
            </w:tcBorders>
            <w:vAlign w:val="center"/>
            <w:hideMark/>
          </w:tcPr>
          <w:p w14:paraId="4D4B7B74"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TOTAL</w:t>
            </w:r>
          </w:p>
        </w:tc>
        <w:tc>
          <w:tcPr>
            <w:tcW w:w="1454" w:type="dxa"/>
            <w:tcBorders>
              <w:top w:val="nil"/>
              <w:left w:val="nil"/>
              <w:bottom w:val="single" w:sz="4" w:space="0" w:color="auto"/>
              <w:right w:val="single" w:sz="4" w:space="0" w:color="auto"/>
            </w:tcBorders>
            <w:vAlign w:val="center"/>
            <w:hideMark/>
          </w:tcPr>
          <w:p w14:paraId="63CBF29F"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409</w:t>
            </w:r>
          </w:p>
        </w:tc>
        <w:tc>
          <w:tcPr>
            <w:tcW w:w="1070" w:type="dxa"/>
            <w:tcBorders>
              <w:top w:val="nil"/>
              <w:left w:val="nil"/>
              <w:bottom w:val="single" w:sz="4" w:space="0" w:color="auto"/>
              <w:right w:val="single" w:sz="4" w:space="0" w:color="auto"/>
            </w:tcBorders>
            <w:vAlign w:val="center"/>
            <w:hideMark/>
          </w:tcPr>
          <w:p w14:paraId="2227A3AB"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4959</w:t>
            </w:r>
          </w:p>
        </w:tc>
        <w:tc>
          <w:tcPr>
            <w:tcW w:w="851" w:type="dxa"/>
            <w:tcBorders>
              <w:top w:val="nil"/>
              <w:left w:val="nil"/>
              <w:bottom w:val="single" w:sz="4" w:space="0" w:color="auto"/>
              <w:right w:val="single" w:sz="4" w:space="0" w:color="auto"/>
            </w:tcBorders>
            <w:vAlign w:val="center"/>
            <w:hideMark/>
          </w:tcPr>
          <w:p w14:paraId="65BE8BCB"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4734</w:t>
            </w:r>
          </w:p>
        </w:tc>
        <w:tc>
          <w:tcPr>
            <w:tcW w:w="955" w:type="dxa"/>
            <w:tcBorders>
              <w:top w:val="nil"/>
              <w:left w:val="nil"/>
              <w:bottom w:val="single" w:sz="4" w:space="0" w:color="auto"/>
              <w:right w:val="single" w:sz="4" w:space="0" w:color="auto"/>
            </w:tcBorders>
            <w:vAlign w:val="center"/>
            <w:hideMark/>
          </w:tcPr>
          <w:p w14:paraId="5A05DF2F"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2217</w:t>
            </w:r>
          </w:p>
        </w:tc>
        <w:tc>
          <w:tcPr>
            <w:tcW w:w="1442" w:type="dxa"/>
            <w:tcBorders>
              <w:top w:val="nil"/>
              <w:left w:val="nil"/>
              <w:bottom w:val="single" w:sz="4" w:space="0" w:color="auto"/>
              <w:right w:val="single" w:sz="4" w:space="0" w:color="auto"/>
            </w:tcBorders>
            <w:vAlign w:val="center"/>
            <w:hideMark/>
          </w:tcPr>
          <w:p w14:paraId="2E4FF241"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383</w:t>
            </w:r>
          </w:p>
        </w:tc>
        <w:tc>
          <w:tcPr>
            <w:tcW w:w="1224" w:type="dxa"/>
            <w:tcBorders>
              <w:top w:val="nil"/>
              <w:left w:val="nil"/>
              <w:bottom w:val="single" w:sz="4" w:space="0" w:color="auto"/>
              <w:right w:val="single" w:sz="4" w:space="0" w:color="auto"/>
            </w:tcBorders>
            <w:vAlign w:val="center"/>
            <w:hideMark/>
          </w:tcPr>
          <w:p w14:paraId="4C0D7BD5"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5962</w:t>
            </w:r>
          </w:p>
        </w:tc>
        <w:tc>
          <w:tcPr>
            <w:tcW w:w="851" w:type="dxa"/>
            <w:tcBorders>
              <w:top w:val="nil"/>
              <w:left w:val="nil"/>
              <w:bottom w:val="single" w:sz="4" w:space="0" w:color="auto"/>
              <w:right w:val="single" w:sz="4" w:space="0" w:color="auto"/>
            </w:tcBorders>
            <w:vAlign w:val="center"/>
            <w:hideMark/>
          </w:tcPr>
          <w:p w14:paraId="3C547A83"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3546</w:t>
            </w:r>
          </w:p>
        </w:tc>
        <w:tc>
          <w:tcPr>
            <w:tcW w:w="1070" w:type="dxa"/>
            <w:tcBorders>
              <w:top w:val="nil"/>
              <w:left w:val="nil"/>
              <w:bottom w:val="single" w:sz="4" w:space="0" w:color="auto"/>
              <w:right w:val="single" w:sz="4" w:space="0" w:color="auto"/>
            </w:tcBorders>
            <w:vAlign w:val="center"/>
            <w:hideMark/>
          </w:tcPr>
          <w:p w14:paraId="0FECCF28"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22206</w:t>
            </w:r>
          </w:p>
        </w:tc>
        <w:tc>
          <w:tcPr>
            <w:tcW w:w="954" w:type="dxa"/>
            <w:tcBorders>
              <w:top w:val="nil"/>
              <w:left w:val="nil"/>
              <w:bottom w:val="single" w:sz="4" w:space="0" w:color="auto"/>
              <w:right w:val="single" w:sz="4" w:space="0" w:color="auto"/>
            </w:tcBorders>
            <w:vAlign w:val="center"/>
            <w:hideMark/>
          </w:tcPr>
          <w:p w14:paraId="0AD3E3A9"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4768</w:t>
            </w:r>
          </w:p>
        </w:tc>
        <w:tc>
          <w:tcPr>
            <w:tcW w:w="915" w:type="dxa"/>
            <w:tcBorders>
              <w:top w:val="nil"/>
              <w:left w:val="nil"/>
              <w:bottom w:val="single" w:sz="4" w:space="0" w:color="auto"/>
              <w:right w:val="single" w:sz="4" w:space="0" w:color="auto"/>
            </w:tcBorders>
            <w:vAlign w:val="center"/>
            <w:hideMark/>
          </w:tcPr>
          <w:p w14:paraId="7DD191B9"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1873</w:t>
            </w:r>
          </w:p>
        </w:tc>
        <w:tc>
          <w:tcPr>
            <w:tcW w:w="1070" w:type="dxa"/>
            <w:tcBorders>
              <w:top w:val="nil"/>
              <w:left w:val="nil"/>
              <w:bottom w:val="single" w:sz="4" w:space="0" w:color="auto"/>
              <w:right w:val="single" w:sz="4" w:space="0" w:color="auto"/>
            </w:tcBorders>
            <w:vAlign w:val="center"/>
            <w:hideMark/>
          </w:tcPr>
          <w:p w14:paraId="6BD06369"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9443</w:t>
            </w:r>
          </w:p>
        </w:tc>
        <w:tc>
          <w:tcPr>
            <w:tcW w:w="1070" w:type="dxa"/>
            <w:tcBorders>
              <w:top w:val="nil"/>
              <w:left w:val="nil"/>
              <w:bottom w:val="single" w:sz="4" w:space="0" w:color="auto"/>
              <w:right w:val="single" w:sz="4" w:space="0" w:color="auto"/>
            </w:tcBorders>
            <w:vAlign w:val="center"/>
            <w:hideMark/>
          </w:tcPr>
          <w:p w14:paraId="3482A111"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r w:rsidRPr="00F75806">
              <w:rPr>
                <w:rFonts w:ascii="Times New Roman" w:eastAsia="Times New Roman" w:hAnsi="Times New Roman" w:cs="Times New Roman"/>
                <w:color w:val="000000"/>
                <w:kern w:val="0"/>
                <w:szCs w:val="24"/>
                <w:lang w:eastAsia="en-IN"/>
                <w14:ligatures w14:val="none"/>
              </w:rPr>
              <w:t>38290</w:t>
            </w:r>
          </w:p>
        </w:tc>
      </w:tr>
      <w:tr w:rsidR="00F75806" w:rsidRPr="00F75806" w14:paraId="4667400E" w14:textId="77777777" w:rsidTr="00C91D91">
        <w:trPr>
          <w:trHeight w:val="19"/>
        </w:trPr>
        <w:tc>
          <w:tcPr>
            <w:tcW w:w="1351" w:type="dxa"/>
            <w:vMerge/>
            <w:tcBorders>
              <w:top w:val="nil"/>
              <w:left w:val="single" w:sz="4" w:space="0" w:color="auto"/>
              <w:bottom w:val="single" w:sz="4" w:space="0" w:color="auto"/>
              <w:right w:val="single" w:sz="4" w:space="0" w:color="auto"/>
            </w:tcBorders>
            <w:vAlign w:val="center"/>
            <w:hideMark/>
          </w:tcPr>
          <w:p w14:paraId="0029054E" w14:textId="77777777" w:rsidR="00F75806" w:rsidRPr="00F75806" w:rsidRDefault="00F75806" w:rsidP="00F75806">
            <w:pPr>
              <w:spacing w:after="0" w:line="240" w:lineRule="auto"/>
              <w:jc w:val="center"/>
              <w:rPr>
                <w:rFonts w:ascii="Times New Roman" w:eastAsia="Times New Roman" w:hAnsi="Times New Roman" w:cs="Times New Roman"/>
                <w:color w:val="000000"/>
                <w:kern w:val="0"/>
                <w:szCs w:val="24"/>
                <w:lang w:eastAsia="en-IN"/>
                <w14:ligatures w14:val="none"/>
              </w:rPr>
            </w:pPr>
          </w:p>
        </w:tc>
        <w:tc>
          <w:tcPr>
            <w:tcW w:w="1454" w:type="dxa"/>
            <w:tcBorders>
              <w:top w:val="nil"/>
              <w:left w:val="nil"/>
              <w:bottom w:val="single" w:sz="4" w:space="0" w:color="auto"/>
              <w:right w:val="single" w:sz="4" w:space="0" w:color="auto"/>
            </w:tcBorders>
            <w:vAlign w:val="center"/>
            <w:hideMark/>
          </w:tcPr>
          <w:p w14:paraId="40BD3CC1" w14:textId="73E685C8"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1</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1</w:t>
            </w:r>
          </w:p>
        </w:tc>
        <w:tc>
          <w:tcPr>
            <w:tcW w:w="1070" w:type="dxa"/>
            <w:tcBorders>
              <w:top w:val="nil"/>
              <w:left w:val="nil"/>
              <w:bottom w:val="single" w:sz="4" w:space="0" w:color="auto"/>
              <w:right w:val="single" w:sz="4" w:space="0" w:color="auto"/>
            </w:tcBorders>
            <w:vAlign w:val="center"/>
            <w:hideMark/>
          </w:tcPr>
          <w:p w14:paraId="36D09387" w14:textId="6DA73EB1"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13</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0</w:t>
            </w:r>
          </w:p>
        </w:tc>
        <w:tc>
          <w:tcPr>
            <w:tcW w:w="851" w:type="dxa"/>
            <w:tcBorders>
              <w:top w:val="nil"/>
              <w:left w:val="nil"/>
              <w:bottom w:val="single" w:sz="4" w:space="0" w:color="auto"/>
              <w:right w:val="single" w:sz="4" w:space="0" w:color="auto"/>
            </w:tcBorders>
            <w:vAlign w:val="center"/>
            <w:hideMark/>
          </w:tcPr>
          <w:p w14:paraId="7AB87AFB" w14:textId="441D0203"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12</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4</w:t>
            </w:r>
          </w:p>
        </w:tc>
        <w:tc>
          <w:tcPr>
            <w:tcW w:w="955" w:type="dxa"/>
            <w:tcBorders>
              <w:top w:val="nil"/>
              <w:left w:val="nil"/>
              <w:bottom w:val="single" w:sz="4" w:space="0" w:color="auto"/>
              <w:right w:val="single" w:sz="4" w:space="0" w:color="auto"/>
            </w:tcBorders>
            <w:vAlign w:val="center"/>
            <w:hideMark/>
          </w:tcPr>
          <w:p w14:paraId="1252E054" w14:textId="27E314B8"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5</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8</w:t>
            </w:r>
          </w:p>
        </w:tc>
        <w:tc>
          <w:tcPr>
            <w:tcW w:w="1442" w:type="dxa"/>
            <w:tcBorders>
              <w:top w:val="nil"/>
              <w:left w:val="nil"/>
              <w:bottom w:val="single" w:sz="4" w:space="0" w:color="auto"/>
              <w:right w:val="single" w:sz="4" w:space="0" w:color="auto"/>
            </w:tcBorders>
            <w:vAlign w:val="center"/>
            <w:hideMark/>
          </w:tcPr>
          <w:p w14:paraId="1074B4C9" w14:textId="4D9E9256"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1</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0</w:t>
            </w:r>
          </w:p>
        </w:tc>
        <w:tc>
          <w:tcPr>
            <w:tcW w:w="1224" w:type="dxa"/>
            <w:tcBorders>
              <w:top w:val="nil"/>
              <w:left w:val="nil"/>
              <w:bottom w:val="single" w:sz="4" w:space="0" w:color="auto"/>
              <w:right w:val="single" w:sz="4" w:space="0" w:color="auto"/>
            </w:tcBorders>
            <w:vAlign w:val="center"/>
            <w:hideMark/>
          </w:tcPr>
          <w:p w14:paraId="68483452" w14:textId="5760CF9F"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15</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6</w:t>
            </w:r>
          </w:p>
        </w:tc>
        <w:tc>
          <w:tcPr>
            <w:tcW w:w="851" w:type="dxa"/>
            <w:tcBorders>
              <w:top w:val="nil"/>
              <w:left w:val="nil"/>
              <w:bottom w:val="single" w:sz="4" w:space="0" w:color="auto"/>
              <w:right w:val="single" w:sz="4" w:space="0" w:color="auto"/>
            </w:tcBorders>
            <w:vAlign w:val="center"/>
            <w:hideMark/>
          </w:tcPr>
          <w:p w14:paraId="350C1B8F" w14:textId="3809F38F"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9</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3</w:t>
            </w:r>
          </w:p>
        </w:tc>
        <w:tc>
          <w:tcPr>
            <w:tcW w:w="1070" w:type="dxa"/>
            <w:tcBorders>
              <w:top w:val="nil"/>
              <w:left w:val="nil"/>
              <w:bottom w:val="single" w:sz="4" w:space="0" w:color="auto"/>
              <w:right w:val="single" w:sz="4" w:space="0" w:color="auto"/>
            </w:tcBorders>
            <w:vAlign w:val="center"/>
            <w:hideMark/>
          </w:tcPr>
          <w:p w14:paraId="2C8A1AC3" w14:textId="70D184E5"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58</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0</w:t>
            </w:r>
          </w:p>
        </w:tc>
        <w:tc>
          <w:tcPr>
            <w:tcW w:w="954" w:type="dxa"/>
            <w:tcBorders>
              <w:top w:val="nil"/>
              <w:left w:val="nil"/>
              <w:bottom w:val="single" w:sz="4" w:space="0" w:color="auto"/>
              <w:right w:val="single" w:sz="4" w:space="0" w:color="auto"/>
            </w:tcBorders>
            <w:vAlign w:val="center"/>
            <w:hideMark/>
          </w:tcPr>
          <w:p w14:paraId="49316E33" w14:textId="30E43E20"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12</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5</w:t>
            </w:r>
          </w:p>
        </w:tc>
        <w:tc>
          <w:tcPr>
            <w:tcW w:w="915" w:type="dxa"/>
            <w:tcBorders>
              <w:top w:val="nil"/>
              <w:left w:val="nil"/>
              <w:bottom w:val="single" w:sz="4" w:space="0" w:color="auto"/>
              <w:right w:val="single" w:sz="4" w:space="0" w:color="auto"/>
            </w:tcBorders>
            <w:vAlign w:val="center"/>
            <w:hideMark/>
          </w:tcPr>
          <w:p w14:paraId="085D7FAF" w14:textId="3F30320F"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4</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9</w:t>
            </w:r>
          </w:p>
        </w:tc>
        <w:tc>
          <w:tcPr>
            <w:tcW w:w="1070" w:type="dxa"/>
            <w:tcBorders>
              <w:top w:val="nil"/>
              <w:left w:val="nil"/>
              <w:bottom w:val="single" w:sz="4" w:space="0" w:color="auto"/>
              <w:right w:val="single" w:sz="4" w:space="0" w:color="auto"/>
            </w:tcBorders>
            <w:vAlign w:val="center"/>
            <w:hideMark/>
          </w:tcPr>
          <w:p w14:paraId="05F8184C" w14:textId="36FD3A86" w:rsidR="00F75806" w:rsidRPr="00F75806" w:rsidRDefault="00F75806" w:rsidP="00F75806">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F75806">
              <w:rPr>
                <w:rFonts w:ascii="Times New Roman" w:eastAsia="Times New Roman" w:hAnsi="Times New Roman" w:cs="Times New Roman"/>
                <w:i/>
                <w:iCs/>
                <w:color w:val="000000"/>
                <w:kern w:val="0"/>
                <w:szCs w:val="24"/>
                <w:lang w:eastAsia="en-IN"/>
                <w14:ligatures w14:val="none"/>
              </w:rPr>
              <w:t>24</w:t>
            </w:r>
            <w:r w:rsidR="00585A6E">
              <w:rPr>
                <w:rFonts w:ascii="Times New Roman" w:eastAsia="Times New Roman" w:hAnsi="Times New Roman" w:cs="Times New Roman"/>
                <w:i/>
                <w:iCs/>
                <w:color w:val="000000"/>
                <w:kern w:val="0"/>
                <w:szCs w:val="24"/>
                <w:lang w:eastAsia="en-IN"/>
                <w14:ligatures w14:val="none"/>
              </w:rPr>
              <w:t>.</w:t>
            </w:r>
            <w:r w:rsidRPr="00F75806">
              <w:rPr>
                <w:rFonts w:ascii="Times New Roman" w:eastAsia="Times New Roman" w:hAnsi="Times New Roman" w:cs="Times New Roman"/>
                <w:i/>
                <w:iCs/>
                <w:color w:val="000000"/>
                <w:kern w:val="0"/>
                <w:szCs w:val="24"/>
                <w:lang w:eastAsia="en-IN"/>
                <w14:ligatures w14:val="none"/>
              </w:rPr>
              <w:t>6</w:t>
            </w:r>
          </w:p>
        </w:tc>
        <w:tc>
          <w:tcPr>
            <w:tcW w:w="1070" w:type="dxa"/>
            <w:tcBorders>
              <w:top w:val="nil"/>
              <w:left w:val="nil"/>
              <w:bottom w:val="single" w:sz="4" w:space="0" w:color="auto"/>
              <w:right w:val="single" w:sz="4" w:space="0" w:color="auto"/>
            </w:tcBorders>
            <w:vAlign w:val="center"/>
            <w:hideMark/>
          </w:tcPr>
          <w:p w14:paraId="19C8C62C" w14:textId="2CA92A68" w:rsidR="00F75806" w:rsidRPr="00F75806" w:rsidRDefault="00F75806" w:rsidP="00F75806">
            <w:pPr>
              <w:spacing w:after="0" w:line="240" w:lineRule="auto"/>
              <w:jc w:val="center"/>
              <w:rPr>
                <w:rFonts w:ascii="Aptos" w:eastAsia="Times New Roman" w:hAnsi="Aptos" w:cs="Times New Roman"/>
                <w:color w:val="000000"/>
                <w:kern w:val="0"/>
                <w:szCs w:val="24"/>
                <w:lang w:eastAsia="en-IN"/>
                <w14:ligatures w14:val="none"/>
              </w:rPr>
            </w:pPr>
          </w:p>
        </w:tc>
      </w:tr>
    </w:tbl>
    <w:p w14:paraId="720981A2" w14:textId="77777777" w:rsidR="00F75806" w:rsidRPr="00F75806" w:rsidRDefault="00F75806" w:rsidP="00F75806">
      <w:pPr>
        <w:pStyle w:val="Sources"/>
      </w:pPr>
      <w:r w:rsidRPr="00F75806">
        <w:t>(a) Excludes Income Tax share.</w:t>
      </w:r>
    </w:p>
    <w:p w14:paraId="2A252320" w14:textId="71BF075B" w:rsidR="00F75806" w:rsidRDefault="00F75806" w:rsidP="00F75806">
      <w:pPr>
        <w:pStyle w:val="Sources"/>
        <w:sectPr w:rsidR="00F75806" w:rsidSect="00F75806">
          <w:pgSz w:w="16838" w:h="11906" w:orient="landscape"/>
          <w:pgMar w:top="1134" w:right="1440" w:bottom="1440" w:left="1440" w:header="709" w:footer="709" w:gutter="0"/>
          <w:cols w:space="708"/>
          <w:docGrid w:linePitch="360"/>
        </w:sectPr>
      </w:pPr>
      <w:r w:rsidRPr="00F75806">
        <w:t>(b) Excludes transfers from Revenue Reserve Funds.</w:t>
      </w:r>
    </w:p>
    <w:p w14:paraId="01FA1707" w14:textId="13E31E43" w:rsidR="007506E5" w:rsidRPr="007506E5" w:rsidRDefault="00755A71" w:rsidP="0075507D">
      <w:pPr>
        <w:pStyle w:val="Heading3"/>
        <w:rPr>
          <w:rStyle w:val="Heading2Char"/>
          <w:b/>
          <w:bCs/>
        </w:rPr>
      </w:pPr>
      <w:bookmarkStart w:id="28" w:name="_Toc221007137"/>
      <w:r w:rsidRPr="007506E5">
        <w:rPr>
          <w:rStyle w:val="Heading2Char"/>
          <w:b/>
          <w:bCs/>
        </w:rPr>
        <w:lastRenderedPageBreak/>
        <w:t>5(b).—Composition of Revenue of Part A and Part B</w:t>
      </w:r>
      <w:r w:rsidR="007506E5" w:rsidRPr="007506E5">
        <w:rPr>
          <w:rStyle w:val="Heading2Char"/>
          <w:b/>
          <w:bCs/>
        </w:rPr>
        <w:t xml:space="preserve"> States under Main Heads—1951-52 (Provisional Figures)</w:t>
      </w:r>
      <w:bookmarkEnd w:id="28"/>
    </w:p>
    <w:p w14:paraId="6BBFC6E4" w14:textId="04847C02" w:rsidR="007506E5" w:rsidRPr="007506E5" w:rsidRDefault="00755A71" w:rsidP="007506E5">
      <w:pPr>
        <w:pStyle w:val="NoSpacing"/>
        <w:jc w:val="center"/>
        <w:rPr>
          <w:rFonts w:ascii="Times New Roman" w:hAnsi="Times New Roman" w:cs="Times New Roman"/>
          <w:szCs w:val="24"/>
        </w:rPr>
      </w:pPr>
      <w:r w:rsidRPr="007506E5">
        <w:rPr>
          <w:rFonts w:ascii="Times New Roman" w:hAnsi="Times New Roman" w:cs="Times New Roman"/>
          <w:szCs w:val="24"/>
        </w:rPr>
        <w:t>Percentages of collections to the total revenue of</w:t>
      </w:r>
      <w:r w:rsidR="007506E5" w:rsidRPr="007506E5">
        <w:rPr>
          <w:rFonts w:ascii="Times New Roman" w:hAnsi="Times New Roman" w:cs="Times New Roman"/>
          <w:szCs w:val="24"/>
        </w:rPr>
        <w:t xml:space="preserve"> the respective States are given against each head in Italics</w:t>
      </w:r>
    </w:p>
    <w:p w14:paraId="789BE5D3" w14:textId="373E1163" w:rsidR="00755A71" w:rsidRDefault="00755A71" w:rsidP="00F75806">
      <w:pPr>
        <w:pStyle w:val="NoSpacing"/>
        <w:rPr>
          <w:rFonts w:ascii="Times New Roman" w:hAnsi="Times New Roman" w:cs="Times New Roman"/>
          <w:szCs w:val="24"/>
        </w:rPr>
      </w:pPr>
    </w:p>
    <w:tbl>
      <w:tblPr>
        <w:tblW w:w="14412" w:type="dxa"/>
        <w:jc w:val="center"/>
        <w:tblLook w:val="04A0" w:firstRow="1" w:lastRow="0" w:firstColumn="1" w:lastColumn="0" w:noHBand="0" w:noVBand="1"/>
      </w:tblPr>
      <w:tblGrid>
        <w:gridCol w:w="1389"/>
        <w:gridCol w:w="1496"/>
        <w:gridCol w:w="1096"/>
        <w:gridCol w:w="870"/>
        <w:gridCol w:w="977"/>
        <w:gridCol w:w="1483"/>
        <w:gridCol w:w="1257"/>
        <w:gridCol w:w="830"/>
        <w:gridCol w:w="1096"/>
        <w:gridCol w:w="976"/>
        <w:gridCol w:w="936"/>
        <w:gridCol w:w="1096"/>
        <w:gridCol w:w="1096"/>
      </w:tblGrid>
      <w:tr w:rsidR="007506E5" w:rsidRPr="007506E5" w14:paraId="19B83B8D" w14:textId="77777777" w:rsidTr="00C91D91">
        <w:trPr>
          <w:trHeight w:val="20"/>
          <w:jc w:val="center"/>
        </w:trPr>
        <w:tc>
          <w:tcPr>
            <w:tcW w:w="1369" w:type="dxa"/>
            <w:tcBorders>
              <w:top w:val="single" w:sz="4" w:space="0" w:color="auto"/>
              <w:left w:val="single" w:sz="4" w:space="0" w:color="auto"/>
              <w:bottom w:val="single" w:sz="4" w:space="0" w:color="auto"/>
              <w:right w:val="single" w:sz="4" w:space="0" w:color="auto"/>
            </w:tcBorders>
            <w:vAlign w:val="center"/>
            <w:hideMark/>
          </w:tcPr>
          <w:p w14:paraId="197BC31D" w14:textId="2021311B" w:rsidR="007506E5" w:rsidRPr="00C91D91" w:rsidRDefault="007506E5" w:rsidP="007506E5">
            <w:pPr>
              <w:spacing w:after="0" w:line="240" w:lineRule="auto"/>
              <w:jc w:val="center"/>
              <w:rPr>
                <w:rFonts w:ascii="Aptos" w:eastAsia="Times New Roman" w:hAnsi="Aptos" w:cs="Times New Roman"/>
                <w:b/>
                <w:bCs/>
                <w:color w:val="000000"/>
                <w:kern w:val="0"/>
                <w:szCs w:val="24"/>
                <w:lang w:eastAsia="en-IN"/>
                <w14:ligatures w14:val="none"/>
              </w:rPr>
            </w:pPr>
          </w:p>
        </w:tc>
        <w:tc>
          <w:tcPr>
            <w:tcW w:w="1473" w:type="dxa"/>
            <w:tcBorders>
              <w:top w:val="single" w:sz="4" w:space="0" w:color="auto"/>
              <w:left w:val="nil"/>
              <w:bottom w:val="single" w:sz="4" w:space="0" w:color="auto"/>
              <w:right w:val="single" w:sz="4" w:space="0" w:color="auto"/>
            </w:tcBorders>
            <w:vAlign w:val="center"/>
            <w:hideMark/>
          </w:tcPr>
          <w:p w14:paraId="3BF8E0B0" w14:textId="77777777" w:rsidR="007506E5" w:rsidRPr="00C91D91" w:rsidRDefault="007506E5" w:rsidP="007506E5">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C91D91">
              <w:rPr>
                <w:rFonts w:ascii="Times New Roman" w:eastAsia="Times New Roman" w:hAnsi="Times New Roman" w:cs="Times New Roman"/>
                <w:b/>
                <w:bCs/>
                <w:color w:val="000000"/>
                <w:kern w:val="0"/>
                <w:szCs w:val="24"/>
                <w:lang w:eastAsia="en-IN"/>
                <w14:ligatures w14:val="none"/>
              </w:rPr>
              <w:t>Agricultural Income Tax</w:t>
            </w:r>
          </w:p>
        </w:tc>
        <w:tc>
          <w:tcPr>
            <w:tcW w:w="1083" w:type="dxa"/>
            <w:tcBorders>
              <w:top w:val="single" w:sz="4" w:space="0" w:color="auto"/>
              <w:left w:val="nil"/>
              <w:bottom w:val="single" w:sz="4" w:space="0" w:color="auto"/>
              <w:right w:val="single" w:sz="4" w:space="0" w:color="auto"/>
            </w:tcBorders>
            <w:vAlign w:val="center"/>
            <w:hideMark/>
          </w:tcPr>
          <w:p w14:paraId="55D09FC5" w14:textId="77777777" w:rsidR="007506E5" w:rsidRPr="00C91D91" w:rsidRDefault="007506E5" w:rsidP="007506E5">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C91D91">
              <w:rPr>
                <w:rFonts w:ascii="Times New Roman" w:eastAsia="Times New Roman" w:hAnsi="Times New Roman" w:cs="Times New Roman"/>
                <w:b/>
                <w:bCs/>
                <w:color w:val="000000"/>
                <w:kern w:val="0"/>
                <w:szCs w:val="24"/>
                <w:lang w:eastAsia="en-IN"/>
                <w14:ligatures w14:val="none"/>
              </w:rPr>
              <w:t>Land Revenue</w:t>
            </w:r>
          </w:p>
        </w:tc>
        <w:tc>
          <w:tcPr>
            <w:tcW w:w="862" w:type="dxa"/>
            <w:tcBorders>
              <w:top w:val="single" w:sz="4" w:space="0" w:color="auto"/>
              <w:left w:val="nil"/>
              <w:bottom w:val="single" w:sz="4" w:space="0" w:color="auto"/>
              <w:right w:val="single" w:sz="4" w:space="0" w:color="auto"/>
            </w:tcBorders>
            <w:vAlign w:val="center"/>
            <w:hideMark/>
          </w:tcPr>
          <w:p w14:paraId="3F8E2E9E" w14:textId="77777777" w:rsidR="007506E5" w:rsidRPr="00C91D91" w:rsidRDefault="007506E5" w:rsidP="007506E5">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C91D91">
              <w:rPr>
                <w:rFonts w:ascii="Times New Roman" w:eastAsia="Times New Roman" w:hAnsi="Times New Roman" w:cs="Times New Roman"/>
                <w:b/>
                <w:bCs/>
                <w:color w:val="000000"/>
                <w:kern w:val="0"/>
                <w:szCs w:val="24"/>
                <w:lang w:eastAsia="en-IN"/>
                <w14:ligatures w14:val="none"/>
              </w:rPr>
              <w:t>State Excise</w:t>
            </w:r>
          </w:p>
        </w:tc>
        <w:tc>
          <w:tcPr>
            <w:tcW w:w="966" w:type="dxa"/>
            <w:tcBorders>
              <w:top w:val="single" w:sz="4" w:space="0" w:color="auto"/>
              <w:left w:val="nil"/>
              <w:bottom w:val="single" w:sz="4" w:space="0" w:color="auto"/>
              <w:right w:val="single" w:sz="4" w:space="0" w:color="auto"/>
            </w:tcBorders>
            <w:vAlign w:val="center"/>
            <w:hideMark/>
          </w:tcPr>
          <w:p w14:paraId="4C9F4C5F" w14:textId="77777777" w:rsidR="007506E5" w:rsidRPr="00C91D91" w:rsidRDefault="007506E5" w:rsidP="007506E5">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C91D91">
              <w:rPr>
                <w:rFonts w:ascii="Times New Roman" w:eastAsia="Times New Roman" w:hAnsi="Times New Roman" w:cs="Times New Roman"/>
                <w:b/>
                <w:bCs/>
                <w:color w:val="000000"/>
                <w:kern w:val="0"/>
                <w:szCs w:val="24"/>
                <w:lang w:eastAsia="en-IN"/>
                <w14:ligatures w14:val="none"/>
              </w:rPr>
              <w:t>Stamps</w:t>
            </w:r>
          </w:p>
        </w:tc>
        <w:tc>
          <w:tcPr>
            <w:tcW w:w="1460" w:type="dxa"/>
            <w:tcBorders>
              <w:top w:val="single" w:sz="4" w:space="0" w:color="auto"/>
              <w:left w:val="nil"/>
              <w:bottom w:val="single" w:sz="4" w:space="0" w:color="auto"/>
              <w:right w:val="single" w:sz="4" w:space="0" w:color="auto"/>
            </w:tcBorders>
            <w:vAlign w:val="center"/>
            <w:hideMark/>
          </w:tcPr>
          <w:p w14:paraId="1641C4B6" w14:textId="77777777" w:rsidR="007506E5" w:rsidRPr="00C91D91" w:rsidRDefault="007506E5" w:rsidP="007506E5">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C91D91">
              <w:rPr>
                <w:rFonts w:ascii="Times New Roman" w:eastAsia="Times New Roman" w:hAnsi="Times New Roman" w:cs="Times New Roman"/>
                <w:b/>
                <w:bCs/>
                <w:color w:val="000000"/>
                <w:kern w:val="0"/>
                <w:szCs w:val="24"/>
                <w:lang w:eastAsia="en-IN"/>
                <w14:ligatures w14:val="none"/>
              </w:rPr>
              <w:t>Registration</w:t>
            </w:r>
          </w:p>
        </w:tc>
        <w:tc>
          <w:tcPr>
            <w:tcW w:w="1240" w:type="dxa"/>
            <w:tcBorders>
              <w:top w:val="single" w:sz="4" w:space="0" w:color="auto"/>
              <w:left w:val="nil"/>
              <w:bottom w:val="single" w:sz="4" w:space="0" w:color="auto"/>
              <w:right w:val="single" w:sz="4" w:space="0" w:color="auto"/>
            </w:tcBorders>
            <w:vAlign w:val="center"/>
            <w:hideMark/>
          </w:tcPr>
          <w:p w14:paraId="742438AE" w14:textId="77777777" w:rsidR="007506E5" w:rsidRPr="00C91D91" w:rsidRDefault="007506E5" w:rsidP="007506E5">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C91D91">
              <w:rPr>
                <w:rFonts w:ascii="Times New Roman" w:eastAsia="Times New Roman" w:hAnsi="Times New Roman" w:cs="Times New Roman"/>
                <w:b/>
                <w:bCs/>
                <w:color w:val="000000"/>
                <w:kern w:val="0"/>
                <w:szCs w:val="24"/>
                <w:lang w:eastAsia="en-IN"/>
                <w14:ligatures w14:val="none"/>
              </w:rPr>
              <w:t>Sales Taxes (including taxes on Motor Spirit) (a)</w:t>
            </w:r>
          </w:p>
        </w:tc>
        <w:tc>
          <w:tcPr>
            <w:tcW w:w="822" w:type="dxa"/>
            <w:tcBorders>
              <w:top w:val="single" w:sz="4" w:space="0" w:color="auto"/>
              <w:left w:val="nil"/>
              <w:bottom w:val="single" w:sz="4" w:space="0" w:color="auto"/>
              <w:right w:val="single" w:sz="4" w:space="0" w:color="auto"/>
            </w:tcBorders>
            <w:vAlign w:val="center"/>
            <w:hideMark/>
          </w:tcPr>
          <w:p w14:paraId="2C9F5EC0" w14:textId="77777777" w:rsidR="007506E5" w:rsidRPr="00C91D91" w:rsidRDefault="007506E5" w:rsidP="007506E5">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C91D91">
              <w:rPr>
                <w:rFonts w:ascii="Times New Roman" w:eastAsia="Times New Roman" w:hAnsi="Times New Roman" w:cs="Times New Roman"/>
                <w:b/>
                <w:bCs/>
                <w:color w:val="000000"/>
                <w:kern w:val="0"/>
                <w:szCs w:val="24"/>
                <w:lang w:eastAsia="en-IN"/>
                <w14:ligatures w14:val="none"/>
              </w:rPr>
              <w:t>Other Taxes</w:t>
            </w:r>
          </w:p>
        </w:tc>
        <w:tc>
          <w:tcPr>
            <w:tcW w:w="1082" w:type="dxa"/>
            <w:tcBorders>
              <w:top w:val="single" w:sz="4" w:space="0" w:color="auto"/>
              <w:left w:val="nil"/>
              <w:bottom w:val="single" w:sz="4" w:space="0" w:color="auto"/>
              <w:right w:val="single" w:sz="4" w:space="0" w:color="auto"/>
            </w:tcBorders>
            <w:vAlign w:val="center"/>
            <w:hideMark/>
          </w:tcPr>
          <w:p w14:paraId="7902C92F" w14:textId="3465ACBB" w:rsidR="007506E5" w:rsidRPr="00C91D91" w:rsidRDefault="007506E5" w:rsidP="007506E5">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C91D91">
              <w:rPr>
                <w:rFonts w:ascii="Times New Roman" w:eastAsia="Times New Roman" w:hAnsi="Times New Roman" w:cs="Times New Roman"/>
                <w:b/>
                <w:bCs/>
                <w:color w:val="000000"/>
                <w:kern w:val="0"/>
                <w:szCs w:val="24"/>
                <w:lang w:eastAsia="en-IN"/>
                <w14:ligatures w14:val="none"/>
              </w:rPr>
              <w:t>Total Tax Revenue (c)</w:t>
            </w:r>
          </w:p>
        </w:tc>
        <w:tc>
          <w:tcPr>
            <w:tcW w:w="965" w:type="dxa"/>
            <w:tcBorders>
              <w:top w:val="single" w:sz="4" w:space="0" w:color="auto"/>
              <w:left w:val="nil"/>
              <w:bottom w:val="single" w:sz="4" w:space="0" w:color="auto"/>
              <w:right w:val="single" w:sz="4" w:space="0" w:color="auto"/>
            </w:tcBorders>
            <w:vAlign w:val="center"/>
            <w:hideMark/>
          </w:tcPr>
          <w:p w14:paraId="7AECFD51" w14:textId="77777777" w:rsidR="007506E5" w:rsidRPr="00C91D91" w:rsidRDefault="007506E5" w:rsidP="007506E5">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C91D91">
              <w:rPr>
                <w:rFonts w:ascii="Times New Roman" w:eastAsia="Times New Roman" w:hAnsi="Times New Roman" w:cs="Times New Roman"/>
                <w:b/>
                <w:bCs/>
                <w:color w:val="000000"/>
                <w:kern w:val="0"/>
                <w:szCs w:val="24"/>
                <w:lang w:eastAsia="en-IN"/>
                <w14:ligatures w14:val="none"/>
              </w:rPr>
              <w:t>Income Tax Share</w:t>
            </w:r>
          </w:p>
        </w:tc>
        <w:tc>
          <w:tcPr>
            <w:tcW w:w="926" w:type="dxa"/>
            <w:tcBorders>
              <w:top w:val="single" w:sz="4" w:space="0" w:color="auto"/>
              <w:left w:val="nil"/>
              <w:bottom w:val="single" w:sz="4" w:space="0" w:color="auto"/>
              <w:right w:val="single" w:sz="4" w:space="0" w:color="auto"/>
            </w:tcBorders>
            <w:vAlign w:val="center"/>
            <w:hideMark/>
          </w:tcPr>
          <w:p w14:paraId="70BF0655" w14:textId="77777777" w:rsidR="007506E5" w:rsidRPr="00C91D91" w:rsidRDefault="007506E5" w:rsidP="007506E5">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C91D91">
              <w:rPr>
                <w:rFonts w:ascii="Times New Roman" w:eastAsia="Times New Roman" w:hAnsi="Times New Roman" w:cs="Times New Roman"/>
                <w:b/>
                <w:bCs/>
                <w:color w:val="000000"/>
                <w:kern w:val="0"/>
                <w:szCs w:val="24"/>
                <w:lang w:eastAsia="en-IN"/>
                <w14:ligatures w14:val="none"/>
              </w:rPr>
              <w:t>Grants from the Centre</w:t>
            </w:r>
          </w:p>
        </w:tc>
        <w:tc>
          <w:tcPr>
            <w:tcW w:w="1082" w:type="dxa"/>
            <w:tcBorders>
              <w:top w:val="single" w:sz="4" w:space="0" w:color="auto"/>
              <w:left w:val="nil"/>
              <w:bottom w:val="single" w:sz="4" w:space="0" w:color="auto"/>
              <w:right w:val="single" w:sz="4" w:space="0" w:color="auto"/>
            </w:tcBorders>
            <w:vAlign w:val="center"/>
            <w:hideMark/>
          </w:tcPr>
          <w:p w14:paraId="6B62D919" w14:textId="77777777" w:rsidR="007506E5" w:rsidRPr="00C91D91" w:rsidRDefault="007506E5" w:rsidP="007506E5">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C91D91">
              <w:rPr>
                <w:rFonts w:ascii="Times New Roman" w:eastAsia="Times New Roman" w:hAnsi="Times New Roman" w:cs="Times New Roman"/>
                <w:b/>
                <w:bCs/>
                <w:color w:val="000000"/>
                <w:kern w:val="0"/>
                <w:szCs w:val="24"/>
                <w:lang w:eastAsia="en-IN"/>
                <w14:ligatures w14:val="none"/>
              </w:rPr>
              <w:t>Other Items of Revenue (b)</w:t>
            </w:r>
          </w:p>
        </w:tc>
        <w:tc>
          <w:tcPr>
            <w:tcW w:w="1082" w:type="dxa"/>
            <w:tcBorders>
              <w:top w:val="single" w:sz="4" w:space="0" w:color="auto"/>
              <w:left w:val="nil"/>
              <w:bottom w:val="single" w:sz="4" w:space="0" w:color="auto"/>
              <w:right w:val="single" w:sz="4" w:space="0" w:color="auto"/>
            </w:tcBorders>
            <w:vAlign w:val="center"/>
            <w:hideMark/>
          </w:tcPr>
          <w:p w14:paraId="4A2F756A" w14:textId="77777777" w:rsidR="007506E5" w:rsidRPr="00C91D91" w:rsidRDefault="007506E5" w:rsidP="007506E5">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C91D91">
              <w:rPr>
                <w:rFonts w:ascii="Times New Roman" w:eastAsia="Times New Roman" w:hAnsi="Times New Roman" w:cs="Times New Roman"/>
                <w:b/>
                <w:bCs/>
                <w:color w:val="000000"/>
                <w:kern w:val="0"/>
                <w:szCs w:val="24"/>
                <w:lang w:eastAsia="en-IN"/>
                <w14:ligatures w14:val="none"/>
              </w:rPr>
              <w:t>Total Revenue (b)</w:t>
            </w:r>
          </w:p>
        </w:tc>
      </w:tr>
      <w:tr w:rsidR="007506E5" w:rsidRPr="007506E5" w14:paraId="717802EA" w14:textId="77777777" w:rsidTr="00C91D91">
        <w:trPr>
          <w:trHeight w:val="20"/>
          <w:jc w:val="center"/>
        </w:trPr>
        <w:tc>
          <w:tcPr>
            <w:tcW w:w="1369" w:type="dxa"/>
            <w:tcBorders>
              <w:top w:val="nil"/>
              <w:left w:val="single" w:sz="4" w:space="0" w:color="auto"/>
              <w:bottom w:val="single" w:sz="4" w:space="0" w:color="auto"/>
              <w:right w:val="single" w:sz="4" w:space="0" w:color="auto"/>
            </w:tcBorders>
            <w:vAlign w:val="center"/>
            <w:hideMark/>
          </w:tcPr>
          <w:p w14:paraId="4BD1541B"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Assam</w:t>
            </w:r>
          </w:p>
        </w:tc>
        <w:tc>
          <w:tcPr>
            <w:tcW w:w="1473" w:type="dxa"/>
            <w:tcBorders>
              <w:top w:val="nil"/>
              <w:left w:val="nil"/>
              <w:bottom w:val="single" w:sz="4" w:space="0" w:color="auto"/>
              <w:right w:val="single" w:sz="4" w:space="0" w:color="auto"/>
            </w:tcBorders>
            <w:vAlign w:val="center"/>
            <w:hideMark/>
          </w:tcPr>
          <w:p w14:paraId="38947F61"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94</w:t>
            </w:r>
          </w:p>
        </w:tc>
        <w:tc>
          <w:tcPr>
            <w:tcW w:w="1083" w:type="dxa"/>
            <w:tcBorders>
              <w:top w:val="nil"/>
              <w:left w:val="nil"/>
              <w:bottom w:val="single" w:sz="4" w:space="0" w:color="auto"/>
              <w:right w:val="single" w:sz="4" w:space="0" w:color="auto"/>
            </w:tcBorders>
            <w:vAlign w:val="center"/>
            <w:hideMark/>
          </w:tcPr>
          <w:p w14:paraId="33E77179"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181</w:t>
            </w:r>
          </w:p>
        </w:tc>
        <w:tc>
          <w:tcPr>
            <w:tcW w:w="862" w:type="dxa"/>
            <w:tcBorders>
              <w:top w:val="nil"/>
              <w:left w:val="nil"/>
              <w:bottom w:val="single" w:sz="4" w:space="0" w:color="auto"/>
              <w:right w:val="single" w:sz="4" w:space="0" w:color="auto"/>
            </w:tcBorders>
            <w:vAlign w:val="center"/>
            <w:hideMark/>
          </w:tcPr>
          <w:p w14:paraId="50F90280"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121</w:t>
            </w:r>
          </w:p>
        </w:tc>
        <w:tc>
          <w:tcPr>
            <w:tcW w:w="966" w:type="dxa"/>
            <w:tcBorders>
              <w:top w:val="nil"/>
              <w:left w:val="nil"/>
              <w:bottom w:val="single" w:sz="4" w:space="0" w:color="auto"/>
              <w:right w:val="single" w:sz="4" w:space="0" w:color="auto"/>
            </w:tcBorders>
            <w:vAlign w:val="center"/>
            <w:hideMark/>
          </w:tcPr>
          <w:p w14:paraId="7BE1D6A4"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29</w:t>
            </w:r>
          </w:p>
        </w:tc>
        <w:tc>
          <w:tcPr>
            <w:tcW w:w="1460" w:type="dxa"/>
            <w:tcBorders>
              <w:top w:val="nil"/>
              <w:left w:val="nil"/>
              <w:bottom w:val="single" w:sz="4" w:space="0" w:color="auto"/>
              <w:right w:val="single" w:sz="4" w:space="0" w:color="auto"/>
            </w:tcBorders>
            <w:vAlign w:val="center"/>
            <w:hideMark/>
          </w:tcPr>
          <w:p w14:paraId="21F4523B"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5</w:t>
            </w:r>
          </w:p>
        </w:tc>
        <w:tc>
          <w:tcPr>
            <w:tcW w:w="1240" w:type="dxa"/>
            <w:tcBorders>
              <w:top w:val="nil"/>
              <w:left w:val="nil"/>
              <w:bottom w:val="single" w:sz="4" w:space="0" w:color="auto"/>
              <w:right w:val="single" w:sz="4" w:space="0" w:color="auto"/>
            </w:tcBorders>
            <w:vAlign w:val="center"/>
            <w:hideMark/>
          </w:tcPr>
          <w:p w14:paraId="350376A1"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101</w:t>
            </w:r>
          </w:p>
        </w:tc>
        <w:tc>
          <w:tcPr>
            <w:tcW w:w="822" w:type="dxa"/>
            <w:tcBorders>
              <w:top w:val="nil"/>
              <w:left w:val="nil"/>
              <w:bottom w:val="single" w:sz="4" w:space="0" w:color="auto"/>
              <w:right w:val="single" w:sz="4" w:space="0" w:color="auto"/>
            </w:tcBorders>
            <w:vAlign w:val="center"/>
            <w:hideMark/>
          </w:tcPr>
          <w:p w14:paraId="60EAC61E"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47</w:t>
            </w:r>
          </w:p>
        </w:tc>
        <w:tc>
          <w:tcPr>
            <w:tcW w:w="1082" w:type="dxa"/>
            <w:tcBorders>
              <w:top w:val="nil"/>
              <w:left w:val="nil"/>
              <w:bottom w:val="single" w:sz="4" w:space="0" w:color="auto"/>
              <w:right w:val="single" w:sz="4" w:space="0" w:color="auto"/>
            </w:tcBorders>
            <w:vAlign w:val="center"/>
            <w:hideMark/>
          </w:tcPr>
          <w:p w14:paraId="29BF5F9E"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578</w:t>
            </w:r>
          </w:p>
        </w:tc>
        <w:tc>
          <w:tcPr>
            <w:tcW w:w="965" w:type="dxa"/>
            <w:tcBorders>
              <w:top w:val="nil"/>
              <w:left w:val="nil"/>
              <w:bottom w:val="single" w:sz="4" w:space="0" w:color="auto"/>
              <w:right w:val="single" w:sz="4" w:space="0" w:color="auto"/>
            </w:tcBorders>
            <w:vAlign w:val="center"/>
            <w:hideMark/>
          </w:tcPr>
          <w:p w14:paraId="2DC3E766"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154</w:t>
            </w:r>
          </w:p>
        </w:tc>
        <w:tc>
          <w:tcPr>
            <w:tcW w:w="926" w:type="dxa"/>
            <w:tcBorders>
              <w:top w:val="nil"/>
              <w:left w:val="nil"/>
              <w:bottom w:val="single" w:sz="4" w:space="0" w:color="auto"/>
              <w:right w:val="single" w:sz="4" w:space="0" w:color="auto"/>
            </w:tcBorders>
            <w:vAlign w:val="center"/>
            <w:hideMark/>
          </w:tcPr>
          <w:p w14:paraId="4F90F3F8"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161</w:t>
            </w:r>
          </w:p>
        </w:tc>
        <w:tc>
          <w:tcPr>
            <w:tcW w:w="1082" w:type="dxa"/>
            <w:tcBorders>
              <w:top w:val="nil"/>
              <w:left w:val="nil"/>
              <w:bottom w:val="single" w:sz="4" w:space="0" w:color="auto"/>
              <w:right w:val="single" w:sz="4" w:space="0" w:color="auto"/>
            </w:tcBorders>
            <w:vAlign w:val="center"/>
            <w:hideMark/>
          </w:tcPr>
          <w:p w14:paraId="06EC489D"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236</w:t>
            </w:r>
          </w:p>
        </w:tc>
        <w:tc>
          <w:tcPr>
            <w:tcW w:w="1082" w:type="dxa"/>
            <w:tcBorders>
              <w:top w:val="nil"/>
              <w:left w:val="nil"/>
              <w:bottom w:val="single" w:sz="4" w:space="0" w:color="auto"/>
              <w:right w:val="single" w:sz="4" w:space="0" w:color="auto"/>
            </w:tcBorders>
            <w:vAlign w:val="center"/>
            <w:hideMark/>
          </w:tcPr>
          <w:p w14:paraId="31AA6882"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1129</w:t>
            </w:r>
          </w:p>
        </w:tc>
      </w:tr>
      <w:tr w:rsidR="007506E5" w:rsidRPr="007506E5" w14:paraId="7EA8A4CB" w14:textId="77777777" w:rsidTr="00C91D91">
        <w:trPr>
          <w:trHeight w:val="20"/>
          <w:jc w:val="center"/>
        </w:trPr>
        <w:tc>
          <w:tcPr>
            <w:tcW w:w="1369" w:type="dxa"/>
            <w:tcBorders>
              <w:top w:val="nil"/>
              <w:left w:val="single" w:sz="4" w:space="0" w:color="auto"/>
              <w:bottom w:val="single" w:sz="4" w:space="0" w:color="auto"/>
              <w:right w:val="single" w:sz="4" w:space="0" w:color="auto"/>
            </w:tcBorders>
            <w:vAlign w:val="center"/>
            <w:hideMark/>
          </w:tcPr>
          <w:p w14:paraId="2414B3FC" w14:textId="3BA04632" w:rsidR="007506E5" w:rsidRPr="007506E5" w:rsidRDefault="007506E5" w:rsidP="007506E5">
            <w:pPr>
              <w:spacing w:after="0" w:line="240" w:lineRule="auto"/>
              <w:jc w:val="center"/>
              <w:rPr>
                <w:rFonts w:ascii="Aptos" w:eastAsia="Times New Roman" w:hAnsi="Aptos" w:cs="Times New Roman"/>
                <w:color w:val="000000"/>
                <w:kern w:val="0"/>
                <w:szCs w:val="24"/>
                <w:lang w:eastAsia="en-IN"/>
                <w14:ligatures w14:val="none"/>
              </w:rPr>
            </w:pPr>
          </w:p>
        </w:tc>
        <w:tc>
          <w:tcPr>
            <w:tcW w:w="1473" w:type="dxa"/>
            <w:tcBorders>
              <w:top w:val="nil"/>
              <w:left w:val="nil"/>
              <w:bottom w:val="single" w:sz="4" w:space="0" w:color="auto"/>
              <w:right w:val="single" w:sz="4" w:space="0" w:color="auto"/>
            </w:tcBorders>
            <w:vAlign w:val="center"/>
            <w:hideMark/>
          </w:tcPr>
          <w:p w14:paraId="49499074" w14:textId="1E16C6C2"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8</w:t>
            </w:r>
            <w:r w:rsidR="005A4048">
              <w:rPr>
                <w:rFonts w:ascii="Times New Roman" w:eastAsia="Times New Roman" w:hAnsi="Times New Roman" w:cs="Times New Roman"/>
                <w:i/>
                <w:iCs/>
                <w:color w:val="000000"/>
                <w:kern w:val="0"/>
                <w:szCs w:val="24"/>
                <w:lang w:eastAsia="en-IN"/>
                <w14:ligatures w14:val="none"/>
              </w:rPr>
              <w:t>.</w:t>
            </w:r>
            <w:r w:rsidRPr="007506E5">
              <w:rPr>
                <w:rFonts w:ascii="Times New Roman" w:eastAsia="Times New Roman" w:hAnsi="Times New Roman" w:cs="Times New Roman"/>
                <w:i/>
                <w:iCs/>
                <w:color w:val="000000"/>
                <w:kern w:val="0"/>
                <w:szCs w:val="24"/>
                <w:lang w:eastAsia="en-IN"/>
                <w14:ligatures w14:val="none"/>
              </w:rPr>
              <w:t>3</w:t>
            </w:r>
          </w:p>
        </w:tc>
        <w:tc>
          <w:tcPr>
            <w:tcW w:w="1083" w:type="dxa"/>
            <w:tcBorders>
              <w:top w:val="nil"/>
              <w:left w:val="nil"/>
              <w:bottom w:val="single" w:sz="4" w:space="0" w:color="auto"/>
              <w:right w:val="single" w:sz="4" w:space="0" w:color="auto"/>
            </w:tcBorders>
            <w:vAlign w:val="center"/>
            <w:hideMark/>
          </w:tcPr>
          <w:p w14:paraId="26379E0A" w14:textId="1F3417F2"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16</w:t>
            </w:r>
            <w:r w:rsidR="005A4048">
              <w:rPr>
                <w:rFonts w:ascii="Times New Roman" w:eastAsia="Times New Roman" w:hAnsi="Times New Roman" w:cs="Times New Roman"/>
                <w:i/>
                <w:iCs/>
                <w:color w:val="000000"/>
                <w:kern w:val="0"/>
                <w:szCs w:val="24"/>
                <w:lang w:eastAsia="en-IN"/>
                <w14:ligatures w14:val="none"/>
              </w:rPr>
              <w:t>.</w:t>
            </w:r>
            <w:r w:rsidRPr="007506E5">
              <w:rPr>
                <w:rFonts w:ascii="Times New Roman" w:eastAsia="Times New Roman" w:hAnsi="Times New Roman" w:cs="Times New Roman"/>
                <w:i/>
                <w:iCs/>
                <w:color w:val="000000"/>
                <w:kern w:val="0"/>
                <w:szCs w:val="24"/>
                <w:lang w:eastAsia="en-IN"/>
                <w14:ligatures w14:val="none"/>
              </w:rPr>
              <w:t>0</w:t>
            </w:r>
          </w:p>
        </w:tc>
        <w:tc>
          <w:tcPr>
            <w:tcW w:w="862" w:type="dxa"/>
            <w:tcBorders>
              <w:top w:val="nil"/>
              <w:left w:val="nil"/>
              <w:bottom w:val="single" w:sz="4" w:space="0" w:color="auto"/>
              <w:right w:val="single" w:sz="4" w:space="0" w:color="auto"/>
            </w:tcBorders>
            <w:vAlign w:val="center"/>
            <w:hideMark/>
          </w:tcPr>
          <w:p w14:paraId="3EB6AEB0" w14:textId="1BA24A77"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10</w:t>
            </w:r>
            <w:r w:rsidR="00DC02C1">
              <w:rPr>
                <w:rFonts w:ascii="Times New Roman" w:eastAsia="Times New Roman" w:hAnsi="Times New Roman" w:cs="Times New Roman"/>
                <w:i/>
                <w:iCs/>
                <w:color w:val="000000"/>
                <w:kern w:val="0"/>
                <w:szCs w:val="24"/>
                <w:lang w:eastAsia="en-IN"/>
                <w14:ligatures w14:val="none"/>
              </w:rPr>
              <w:t>.</w:t>
            </w:r>
            <w:r w:rsidRPr="007506E5">
              <w:rPr>
                <w:rFonts w:ascii="Times New Roman" w:eastAsia="Times New Roman" w:hAnsi="Times New Roman" w:cs="Times New Roman"/>
                <w:i/>
                <w:iCs/>
                <w:color w:val="000000"/>
                <w:kern w:val="0"/>
                <w:szCs w:val="24"/>
                <w:lang w:eastAsia="en-IN"/>
                <w14:ligatures w14:val="none"/>
              </w:rPr>
              <w:t>7</w:t>
            </w:r>
          </w:p>
        </w:tc>
        <w:tc>
          <w:tcPr>
            <w:tcW w:w="966" w:type="dxa"/>
            <w:tcBorders>
              <w:top w:val="nil"/>
              <w:left w:val="nil"/>
              <w:bottom w:val="single" w:sz="4" w:space="0" w:color="auto"/>
              <w:right w:val="single" w:sz="4" w:space="0" w:color="auto"/>
            </w:tcBorders>
            <w:vAlign w:val="center"/>
            <w:hideMark/>
          </w:tcPr>
          <w:p w14:paraId="0158739A" w14:textId="77C0D7F3"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2</w:t>
            </w:r>
            <w:r w:rsidR="00DC02C1">
              <w:rPr>
                <w:rFonts w:ascii="Times New Roman" w:eastAsia="Times New Roman" w:hAnsi="Times New Roman" w:cs="Times New Roman"/>
                <w:i/>
                <w:iCs/>
                <w:color w:val="000000"/>
                <w:kern w:val="0"/>
                <w:szCs w:val="24"/>
                <w:lang w:eastAsia="en-IN"/>
                <w14:ligatures w14:val="none"/>
              </w:rPr>
              <w:t>.</w:t>
            </w:r>
            <w:r w:rsidRPr="007506E5">
              <w:rPr>
                <w:rFonts w:ascii="Times New Roman" w:eastAsia="Times New Roman" w:hAnsi="Times New Roman" w:cs="Times New Roman"/>
                <w:i/>
                <w:iCs/>
                <w:color w:val="000000"/>
                <w:kern w:val="0"/>
                <w:szCs w:val="24"/>
                <w:lang w:eastAsia="en-IN"/>
                <w14:ligatures w14:val="none"/>
              </w:rPr>
              <w:t>6</w:t>
            </w:r>
          </w:p>
        </w:tc>
        <w:tc>
          <w:tcPr>
            <w:tcW w:w="1460" w:type="dxa"/>
            <w:tcBorders>
              <w:top w:val="nil"/>
              <w:left w:val="nil"/>
              <w:bottom w:val="single" w:sz="4" w:space="0" w:color="auto"/>
              <w:right w:val="single" w:sz="4" w:space="0" w:color="auto"/>
            </w:tcBorders>
            <w:vAlign w:val="center"/>
            <w:hideMark/>
          </w:tcPr>
          <w:p w14:paraId="3957905F" w14:textId="1FBED3C3"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0</w:t>
            </w:r>
            <w:r w:rsidR="00DC02C1">
              <w:rPr>
                <w:rFonts w:ascii="Times New Roman" w:eastAsia="Times New Roman" w:hAnsi="Times New Roman" w:cs="Times New Roman"/>
                <w:i/>
                <w:iCs/>
                <w:color w:val="000000"/>
                <w:kern w:val="0"/>
                <w:szCs w:val="24"/>
                <w:lang w:eastAsia="en-IN"/>
                <w14:ligatures w14:val="none"/>
              </w:rPr>
              <w:t>.</w:t>
            </w:r>
            <w:r w:rsidRPr="007506E5">
              <w:rPr>
                <w:rFonts w:ascii="Times New Roman" w:eastAsia="Times New Roman" w:hAnsi="Times New Roman" w:cs="Times New Roman"/>
                <w:i/>
                <w:iCs/>
                <w:color w:val="000000"/>
                <w:kern w:val="0"/>
                <w:szCs w:val="24"/>
                <w:lang w:eastAsia="en-IN"/>
                <w14:ligatures w14:val="none"/>
              </w:rPr>
              <w:t>4</w:t>
            </w:r>
          </w:p>
        </w:tc>
        <w:tc>
          <w:tcPr>
            <w:tcW w:w="1240" w:type="dxa"/>
            <w:tcBorders>
              <w:top w:val="nil"/>
              <w:left w:val="nil"/>
              <w:bottom w:val="single" w:sz="4" w:space="0" w:color="auto"/>
              <w:right w:val="single" w:sz="4" w:space="0" w:color="auto"/>
            </w:tcBorders>
            <w:vAlign w:val="center"/>
            <w:hideMark/>
          </w:tcPr>
          <w:p w14:paraId="6F4A538B" w14:textId="77777777"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9</w:t>
            </w:r>
          </w:p>
        </w:tc>
        <w:tc>
          <w:tcPr>
            <w:tcW w:w="822" w:type="dxa"/>
            <w:tcBorders>
              <w:top w:val="nil"/>
              <w:left w:val="nil"/>
              <w:bottom w:val="single" w:sz="4" w:space="0" w:color="auto"/>
              <w:right w:val="single" w:sz="4" w:space="0" w:color="auto"/>
            </w:tcBorders>
            <w:vAlign w:val="center"/>
            <w:hideMark/>
          </w:tcPr>
          <w:p w14:paraId="1173E84C" w14:textId="77777777"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4.2</w:t>
            </w:r>
          </w:p>
        </w:tc>
        <w:tc>
          <w:tcPr>
            <w:tcW w:w="1082" w:type="dxa"/>
            <w:tcBorders>
              <w:top w:val="nil"/>
              <w:left w:val="nil"/>
              <w:bottom w:val="single" w:sz="4" w:space="0" w:color="auto"/>
              <w:right w:val="single" w:sz="4" w:space="0" w:color="auto"/>
            </w:tcBorders>
            <w:vAlign w:val="center"/>
            <w:hideMark/>
          </w:tcPr>
          <w:p w14:paraId="26A35532" w14:textId="77777777"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51.2</w:t>
            </w:r>
          </w:p>
        </w:tc>
        <w:tc>
          <w:tcPr>
            <w:tcW w:w="965" w:type="dxa"/>
            <w:tcBorders>
              <w:top w:val="nil"/>
              <w:left w:val="nil"/>
              <w:bottom w:val="single" w:sz="4" w:space="0" w:color="auto"/>
              <w:right w:val="single" w:sz="4" w:space="0" w:color="auto"/>
            </w:tcBorders>
            <w:vAlign w:val="center"/>
            <w:hideMark/>
          </w:tcPr>
          <w:p w14:paraId="630831BC" w14:textId="77777777"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13.6</w:t>
            </w:r>
          </w:p>
        </w:tc>
        <w:tc>
          <w:tcPr>
            <w:tcW w:w="926" w:type="dxa"/>
            <w:tcBorders>
              <w:top w:val="nil"/>
              <w:left w:val="nil"/>
              <w:bottom w:val="single" w:sz="4" w:space="0" w:color="auto"/>
              <w:right w:val="single" w:sz="4" w:space="0" w:color="auto"/>
            </w:tcBorders>
            <w:vAlign w:val="center"/>
            <w:hideMark/>
          </w:tcPr>
          <w:p w14:paraId="4C68D994" w14:textId="77777777"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14.3</w:t>
            </w:r>
          </w:p>
        </w:tc>
        <w:tc>
          <w:tcPr>
            <w:tcW w:w="1082" w:type="dxa"/>
            <w:tcBorders>
              <w:top w:val="nil"/>
              <w:left w:val="nil"/>
              <w:bottom w:val="single" w:sz="4" w:space="0" w:color="auto"/>
              <w:right w:val="single" w:sz="4" w:space="0" w:color="auto"/>
            </w:tcBorders>
            <w:vAlign w:val="center"/>
            <w:hideMark/>
          </w:tcPr>
          <w:p w14:paraId="6D6FEC43" w14:textId="77777777"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20.9</w:t>
            </w:r>
          </w:p>
        </w:tc>
        <w:tc>
          <w:tcPr>
            <w:tcW w:w="1082" w:type="dxa"/>
            <w:tcBorders>
              <w:top w:val="nil"/>
              <w:left w:val="nil"/>
              <w:bottom w:val="single" w:sz="4" w:space="0" w:color="auto"/>
              <w:right w:val="single" w:sz="4" w:space="0" w:color="auto"/>
            </w:tcBorders>
            <w:vAlign w:val="center"/>
            <w:hideMark/>
          </w:tcPr>
          <w:p w14:paraId="79C7BCF3" w14:textId="0EB1B1DA" w:rsidR="007506E5" w:rsidRPr="007506E5" w:rsidRDefault="007506E5" w:rsidP="007506E5">
            <w:pPr>
              <w:spacing w:after="0" w:line="240" w:lineRule="auto"/>
              <w:jc w:val="center"/>
              <w:rPr>
                <w:rFonts w:ascii="Aptos" w:eastAsia="Times New Roman" w:hAnsi="Aptos" w:cs="Times New Roman"/>
                <w:color w:val="000000"/>
                <w:kern w:val="0"/>
                <w:szCs w:val="24"/>
                <w:lang w:eastAsia="en-IN"/>
                <w14:ligatures w14:val="none"/>
              </w:rPr>
            </w:pPr>
          </w:p>
        </w:tc>
      </w:tr>
      <w:tr w:rsidR="007506E5" w:rsidRPr="007506E5" w14:paraId="4A6EDD52" w14:textId="77777777" w:rsidTr="00C91D91">
        <w:trPr>
          <w:trHeight w:val="20"/>
          <w:jc w:val="center"/>
        </w:trPr>
        <w:tc>
          <w:tcPr>
            <w:tcW w:w="1369" w:type="dxa"/>
            <w:tcBorders>
              <w:top w:val="nil"/>
              <w:left w:val="single" w:sz="4" w:space="0" w:color="auto"/>
              <w:bottom w:val="single" w:sz="4" w:space="0" w:color="auto"/>
              <w:right w:val="single" w:sz="4" w:space="0" w:color="auto"/>
            </w:tcBorders>
            <w:vAlign w:val="center"/>
            <w:hideMark/>
          </w:tcPr>
          <w:p w14:paraId="26C6FCF4"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Bihar</w:t>
            </w:r>
          </w:p>
        </w:tc>
        <w:tc>
          <w:tcPr>
            <w:tcW w:w="1473" w:type="dxa"/>
            <w:tcBorders>
              <w:top w:val="nil"/>
              <w:left w:val="nil"/>
              <w:bottom w:val="single" w:sz="4" w:space="0" w:color="auto"/>
              <w:right w:val="single" w:sz="4" w:space="0" w:color="auto"/>
            </w:tcBorders>
            <w:vAlign w:val="center"/>
            <w:hideMark/>
          </w:tcPr>
          <w:p w14:paraId="3AE2E433"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56</w:t>
            </w:r>
          </w:p>
        </w:tc>
        <w:tc>
          <w:tcPr>
            <w:tcW w:w="1083" w:type="dxa"/>
            <w:tcBorders>
              <w:top w:val="nil"/>
              <w:left w:val="nil"/>
              <w:bottom w:val="single" w:sz="4" w:space="0" w:color="auto"/>
              <w:right w:val="single" w:sz="4" w:space="0" w:color="auto"/>
            </w:tcBorders>
            <w:vAlign w:val="center"/>
            <w:hideMark/>
          </w:tcPr>
          <w:p w14:paraId="2D593DEA"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145</w:t>
            </w:r>
          </w:p>
        </w:tc>
        <w:tc>
          <w:tcPr>
            <w:tcW w:w="862" w:type="dxa"/>
            <w:tcBorders>
              <w:top w:val="nil"/>
              <w:left w:val="nil"/>
              <w:bottom w:val="single" w:sz="4" w:space="0" w:color="auto"/>
              <w:right w:val="single" w:sz="4" w:space="0" w:color="auto"/>
            </w:tcBorders>
            <w:vAlign w:val="center"/>
            <w:hideMark/>
          </w:tcPr>
          <w:p w14:paraId="53A8F520"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484</w:t>
            </w:r>
          </w:p>
        </w:tc>
        <w:tc>
          <w:tcPr>
            <w:tcW w:w="966" w:type="dxa"/>
            <w:tcBorders>
              <w:top w:val="nil"/>
              <w:left w:val="nil"/>
              <w:bottom w:val="single" w:sz="4" w:space="0" w:color="auto"/>
              <w:right w:val="single" w:sz="4" w:space="0" w:color="auto"/>
            </w:tcBorders>
            <w:vAlign w:val="center"/>
            <w:hideMark/>
          </w:tcPr>
          <w:p w14:paraId="13D0B288"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223</w:t>
            </w:r>
          </w:p>
        </w:tc>
        <w:tc>
          <w:tcPr>
            <w:tcW w:w="1460" w:type="dxa"/>
            <w:tcBorders>
              <w:top w:val="nil"/>
              <w:left w:val="nil"/>
              <w:bottom w:val="single" w:sz="4" w:space="0" w:color="auto"/>
              <w:right w:val="single" w:sz="4" w:space="0" w:color="auto"/>
            </w:tcBorders>
            <w:vAlign w:val="center"/>
            <w:hideMark/>
          </w:tcPr>
          <w:p w14:paraId="485DC015"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63</w:t>
            </w:r>
          </w:p>
        </w:tc>
        <w:tc>
          <w:tcPr>
            <w:tcW w:w="1240" w:type="dxa"/>
            <w:tcBorders>
              <w:top w:val="nil"/>
              <w:left w:val="nil"/>
              <w:bottom w:val="single" w:sz="4" w:space="0" w:color="auto"/>
              <w:right w:val="single" w:sz="4" w:space="0" w:color="auto"/>
            </w:tcBorders>
            <w:vAlign w:val="center"/>
            <w:hideMark/>
          </w:tcPr>
          <w:p w14:paraId="4F9EB3B4"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420</w:t>
            </w:r>
          </w:p>
        </w:tc>
        <w:tc>
          <w:tcPr>
            <w:tcW w:w="822" w:type="dxa"/>
            <w:tcBorders>
              <w:top w:val="nil"/>
              <w:left w:val="nil"/>
              <w:bottom w:val="single" w:sz="4" w:space="0" w:color="auto"/>
              <w:right w:val="single" w:sz="4" w:space="0" w:color="auto"/>
            </w:tcBorders>
            <w:vAlign w:val="center"/>
            <w:hideMark/>
          </w:tcPr>
          <w:p w14:paraId="1660E493"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67</w:t>
            </w:r>
          </w:p>
        </w:tc>
        <w:tc>
          <w:tcPr>
            <w:tcW w:w="1082" w:type="dxa"/>
            <w:tcBorders>
              <w:top w:val="nil"/>
              <w:left w:val="nil"/>
              <w:bottom w:val="single" w:sz="4" w:space="0" w:color="auto"/>
              <w:right w:val="single" w:sz="4" w:space="0" w:color="auto"/>
            </w:tcBorders>
            <w:vAlign w:val="center"/>
            <w:hideMark/>
          </w:tcPr>
          <w:p w14:paraId="1E2D8943"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1458</w:t>
            </w:r>
          </w:p>
        </w:tc>
        <w:tc>
          <w:tcPr>
            <w:tcW w:w="965" w:type="dxa"/>
            <w:tcBorders>
              <w:top w:val="nil"/>
              <w:left w:val="nil"/>
              <w:bottom w:val="single" w:sz="4" w:space="0" w:color="auto"/>
              <w:right w:val="single" w:sz="4" w:space="0" w:color="auto"/>
            </w:tcBorders>
            <w:vAlign w:val="center"/>
            <w:hideMark/>
          </w:tcPr>
          <w:p w14:paraId="53F7891C"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654</w:t>
            </w:r>
          </w:p>
        </w:tc>
        <w:tc>
          <w:tcPr>
            <w:tcW w:w="926" w:type="dxa"/>
            <w:tcBorders>
              <w:top w:val="nil"/>
              <w:left w:val="nil"/>
              <w:bottom w:val="single" w:sz="4" w:space="0" w:color="auto"/>
              <w:right w:val="single" w:sz="4" w:space="0" w:color="auto"/>
            </w:tcBorders>
            <w:vAlign w:val="center"/>
            <w:hideMark/>
          </w:tcPr>
          <w:p w14:paraId="5A53D2BC"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147</w:t>
            </w:r>
          </w:p>
        </w:tc>
        <w:tc>
          <w:tcPr>
            <w:tcW w:w="1082" w:type="dxa"/>
            <w:tcBorders>
              <w:top w:val="nil"/>
              <w:left w:val="nil"/>
              <w:bottom w:val="single" w:sz="4" w:space="0" w:color="auto"/>
              <w:right w:val="single" w:sz="4" w:space="0" w:color="auto"/>
            </w:tcBorders>
            <w:vAlign w:val="center"/>
            <w:hideMark/>
          </w:tcPr>
          <w:p w14:paraId="5CC84EC9"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564</w:t>
            </w:r>
          </w:p>
        </w:tc>
        <w:tc>
          <w:tcPr>
            <w:tcW w:w="1082" w:type="dxa"/>
            <w:tcBorders>
              <w:top w:val="nil"/>
              <w:left w:val="nil"/>
              <w:bottom w:val="single" w:sz="4" w:space="0" w:color="auto"/>
              <w:right w:val="single" w:sz="4" w:space="0" w:color="auto"/>
            </w:tcBorders>
            <w:vAlign w:val="center"/>
            <w:hideMark/>
          </w:tcPr>
          <w:p w14:paraId="0B8362B8"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2823</w:t>
            </w:r>
          </w:p>
        </w:tc>
      </w:tr>
      <w:tr w:rsidR="007506E5" w:rsidRPr="007506E5" w14:paraId="1979974E" w14:textId="77777777" w:rsidTr="00C91D91">
        <w:trPr>
          <w:trHeight w:val="20"/>
          <w:jc w:val="center"/>
        </w:trPr>
        <w:tc>
          <w:tcPr>
            <w:tcW w:w="1369" w:type="dxa"/>
            <w:tcBorders>
              <w:top w:val="nil"/>
              <w:left w:val="single" w:sz="4" w:space="0" w:color="auto"/>
              <w:bottom w:val="single" w:sz="4" w:space="0" w:color="auto"/>
              <w:right w:val="single" w:sz="4" w:space="0" w:color="auto"/>
            </w:tcBorders>
            <w:vAlign w:val="center"/>
            <w:hideMark/>
          </w:tcPr>
          <w:p w14:paraId="1A2D80A3" w14:textId="5200A8D3" w:rsidR="007506E5" w:rsidRPr="007506E5" w:rsidRDefault="007506E5" w:rsidP="007506E5">
            <w:pPr>
              <w:spacing w:after="0" w:line="240" w:lineRule="auto"/>
              <w:jc w:val="center"/>
              <w:rPr>
                <w:rFonts w:ascii="Aptos" w:eastAsia="Times New Roman" w:hAnsi="Aptos" w:cs="Times New Roman"/>
                <w:color w:val="000000"/>
                <w:kern w:val="0"/>
                <w:szCs w:val="24"/>
                <w:lang w:eastAsia="en-IN"/>
                <w14:ligatures w14:val="none"/>
              </w:rPr>
            </w:pPr>
          </w:p>
        </w:tc>
        <w:tc>
          <w:tcPr>
            <w:tcW w:w="1473" w:type="dxa"/>
            <w:tcBorders>
              <w:top w:val="nil"/>
              <w:left w:val="nil"/>
              <w:bottom w:val="single" w:sz="4" w:space="0" w:color="auto"/>
              <w:right w:val="single" w:sz="4" w:space="0" w:color="auto"/>
            </w:tcBorders>
            <w:vAlign w:val="center"/>
            <w:hideMark/>
          </w:tcPr>
          <w:p w14:paraId="5EACABA1" w14:textId="575238D0"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2</w:t>
            </w:r>
            <w:r w:rsidR="005A4048">
              <w:rPr>
                <w:rFonts w:ascii="Times New Roman" w:eastAsia="Times New Roman" w:hAnsi="Times New Roman" w:cs="Times New Roman"/>
                <w:i/>
                <w:iCs/>
                <w:color w:val="000000"/>
                <w:kern w:val="0"/>
                <w:szCs w:val="24"/>
                <w:lang w:eastAsia="en-IN"/>
                <w14:ligatures w14:val="none"/>
              </w:rPr>
              <w:t>.</w:t>
            </w:r>
            <w:r w:rsidRPr="007506E5">
              <w:rPr>
                <w:rFonts w:ascii="Times New Roman" w:eastAsia="Times New Roman" w:hAnsi="Times New Roman" w:cs="Times New Roman"/>
                <w:i/>
                <w:iCs/>
                <w:color w:val="000000"/>
                <w:kern w:val="0"/>
                <w:szCs w:val="24"/>
                <w:lang w:eastAsia="en-IN"/>
                <w14:ligatures w14:val="none"/>
              </w:rPr>
              <w:t>0</w:t>
            </w:r>
          </w:p>
        </w:tc>
        <w:tc>
          <w:tcPr>
            <w:tcW w:w="1083" w:type="dxa"/>
            <w:tcBorders>
              <w:top w:val="nil"/>
              <w:left w:val="nil"/>
              <w:bottom w:val="single" w:sz="4" w:space="0" w:color="auto"/>
              <w:right w:val="single" w:sz="4" w:space="0" w:color="auto"/>
            </w:tcBorders>
            <w:vAlign w:val="center"/>
            <w:hideMark/>
          </w:tcPr>
          <w:p w14:paraId="21412518" w14:textId="57796BA1"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5</w:t>
            </w:r>
            <w:r w:rsidR="005A4048">
              <w:rPr>
                <w:rFonts w:ascii="Times New Roman" w:eastAsia="Times New Roman" w:hAnsi="Times New Roman" w:cs="Times New Roman"/>
                <w:i/>
                <w:iCs/>
                <w:color w:val="000000"/>
                <w:kern w:val="0"/>
                <w:szCs w:val="24"/>
                <w:lang w:eastAsia="en-IN"/>
                <w14:ligatures w14:val="none"/>
              </w:rPr>
              <w:t>.</w:t>
            </w:r>
            <w:r w:rsidRPr="007506E5">
              <w:rPr>
                <w:rFonts w:ascii="Times New Roman" w:eastAsia="Times New Roman" w:hAnsi="Times New Roman" w:cs="Times New Roman"/>
                <w:i/>
                <w:iCs/>
                <w:color w:val="000000"/>
                <w:kern w:val="0"/>
                <w:szCs w:val="24"/>
                <w:lang w:eastAsia="en-IN"/>
                <w14:ligatures w14:val="none"/>
              </w:rPr>
              <w:t>1</w:t>
            </w:r>
          </w:p>
        </w:tc>
        <w:tc>
          <w:tcPr>
            <w:tcW w:w="862" w:type="dxa"/>
            <w:tcBorders>
              <w:top w:val="nil"/>
              <w:left w:val="nil"/>
              <w:bottom w:val="single" w:sz="4" w:space="0" w:color="auto"/>
              <w:right w:val="single" w:sz="4" w:space="0" w:color="auto"/>
            </w:tcBorders>
            <w:vAlign w:val="center"/>
            <w:hideMark/>
          </w:tcPr>
          <w:p w14:paraId="5B38C8E2" w14:textId="36131836"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17</w:t>
            </w:r>
            <w:r w:rsidR="00DC02C1">
              <w:rPr>
                <w:rFonts w:ascii="Times New Roman" w:eastAsia="Times New Roman" w:hAnsi="Times New Roman" w:cs="Times New Roman"/>
                <w:i/>
                <w:iCs/>
                <w:color w:val="000000"/>
                <w:kern w:val="0"/>
                <w:szCs w:val="24"/>
                <w:lang w:eastAsia="en-IN"/>
                <w14:ligatures w14:val="none"/>
              </w:rPr>
              <w:t>.</w:t>
            </w:r>
            <w:r w:rsidRPr="007506E5">
              <w:rPr>
                <w:rFonts w:ascii="Times New Roman" w:eastAsia="Times New Roman" w:hAnsi="Times New Roman" w:cs="Times New Roman"/>
                <w:i/>
                <w:iCs/>
                <w:color w:val="000000"/>
                <w:kern w:val="0"/>
                <w:szCs w:val="24"/>
                <w:lang w:eastAsia="en-IN"/>
                <w14:ligatures w14:val="none"/>
              </w:rPr>
              <w:t>1</w:t>
            </w:r>
          </w:p>
        </w:tc>
        <w:tc>
          <w:tcPr>
            <w:tcW w:w="966" w:type="dxa"/>
            <w:tcBorders>
              <w:top w:val="nil"/>
              <w:left w:val="nil"/>
              <w:bottom w:val="single" w:sz="4" w:space="0" w:color="auto"/>
              <w:right w:val="single" w:sz="4" w:space="0" w:color="auto"/>
            </w:tcBorders>
            <w:vAlign w:val="center"/>
            <w:hideMark/>
          </w:tcPr>
          <w:p w14:paraId="2C7F64AA" w14:textId="1734A0BB"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7</w:t>
            </w:r>
            <w:r w:rsidR="00DC02C1">
              <w:rPr>
                <w:rFonts w:ascii="Times New Roman" w:eastAsia="Times New Roman" w:hAnsi="Times New Roman" w:cs="Times New Roman"/>
                <w:i/>
                <w:iCs/>
                <w:color w:val="000000"/>
                <w:kern w:val="0"/>
                <w:szCs w:val="24"/>
                <w:lang w:eastAsia="en-IN"/>
                <w14:ligatures w14:val="none"/>
              </w:rPr>
              <w:t>.</w:t>
            </w:r>
            <w:r w:rsidRPr="007506E5">
              <w:rPr>
                <w:rFonts w:ascii="Times New Roman" w:eastAsia="Times New Roman" w:hAnsi="Times New Roman" w:cs="Times New Roman"/>
                <w:i/>
                <w:iCs/>
                <w:color w:val="000000"/>
                <w:kern w:val="0"/>
                <w:szCs w:val="24"/>
                <w:lang w:eastAsia="en-IN"/>
                <w14:ligatures w14:val="none"/>
              </w:rPr>
              <w:t>9</w:t>
            </w:r>
          </w:p>
        </w:tc>
        <w:tc>
          <w:tcPr>
            <w:tcW w:w="1460" w:type="dxa"/>
            <w:tcBorders>
              <w:top w:val="nil"/>
              <w:left w:val="nil"/>
              <w:bottom w:val="single" w:sz="4" w:space="0" w:color="auto"/>
              <w:right w:val="single" w:sz="4" w:space="0" w:color="auto"/>
            </w:tcBorders>
            <w:vAlign w:val="center"/>
            <w:hideMark/>
          </w:tcPr>
          <w:p w14:paraId="2E458A14" w14:textId="71DFDEDF" w:rsidR="007506E5" w:rsidRPr="007506E5" w:rsidRDefault="00DC02C1"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Pr>
                <w:rFonts w:ascii="Times New Roman" w:eastAsia="Times New Roman" w:hAnsi="Times New Roman" w:cs="Times New Roman"/>
                <w:i/>
                <w:iCs/>
                <w:color w:val="000000"/>
                <w:kern w:val="0"/>
                <w:szCs w:val="24"/>
                <w:lang w:eastAsia="en-IN"/>
                <w14:ligatures w14:val="none"/>
              </w:rPr>
              <w:t>2.</w:t>
            </w:r>
            <w:r w:rsidR="007506E5" w:rsidRPr="007506E5">
              <w:rPr>
                <w:rFonts w:ascii="Times New Roman" w:eastAsia="Times New Roman" w:hAnsi="Times New Roman" w:cs="Times New Roman"/>
                <w:i/>
                <w:iCs/>
                <w:color w:val="000000"/>
                <w:kern w:val="0"/>
                <w:szCs w:val="24"/>
                <w:lang w:eastAsia="en-IN"/>
                <w14:ligatures w14:val="none"/>
              </w:rPr>
              <w:t>2</w:t>
            </w:r>
          </w:p>
        </w:tc>
        <w:tc>
          <w:tcPr>
            <w:tcW w:w="1240" w:type="dxa"/>
            <w:tcBorders>
              <w:top w:val="nil"/>
              <w:left w:val="nil"/>
              <w:bottom w:val="single" w:sz="4" w:space="0" w:color="auto"/>
              <w:right w:val="single" w:sz="4" w:space="0" w:color="auto"/>
            </w:tcBorders>
            <w:vAlign w:val="center"/>
            <w:hideMark/>
          </w:tcPr>
          <w:p w14:paraId="3CCEDD35" w14:textId="77777777"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14.9</w:t>
            </w:r>
          </w:p>
        </w:tc>
        <w:tc>
          <w:tcPr>
            <w:tcW w:w="822" w:type="dxa"/>
            <w:tcBorders>
              <w:top w:val="nil"/>
              <w:left w:val="nil"/>
              <w:bottom w:val="single" w:sz="4" w:space="0" w:color="auto"/>
              <w:right w:val="single" w:sz="4" w:space="0" w:color="auto"/>
            </w:tcBorders>
            <w:vAlign w:val="center"/>
            <w:hideMark/>
          </w:tcPr>
          <w:p w14:paraId="67092014" w14:textId="77777777"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2.4</w:t>
            </w:r>
          </w:p>
        </w:tc>
        <w:tc>
          <w:tcPr>
            <w:tcW w:w="1082" w:type="dxa"/>
            <w:tcBorders>
              <w:top w:val="nil"/>
              <w:left w:val="nil"/>
              <w:bottom w:val="single" w:sz="4" w:space="0" w:color="auto"/>
              <w:right w:val="single" w:sz="4" w:space="0" w:color="auto"/>
            </w:tcBorders>
            <w:vAlign w:val="center"/>
            <w:hideMark/>
          </w:tcPr>
          <w:p w14:paraId="642099B2" w14:textId="77777777"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51.6</w:t>
            </w:r>
          </w:p>
        </w:tc>
        <w:tc>
          <w:tcPr>
            <w:tcW w:w="965" w:type="dxa"/>
            <w:tcBorders>
              <w:top w:val="nil"/>
              <w:left w:val="nil"/>
              <w:bottom w:val="single" w:sz="4" w:space="0" w:color="auto"/>
              <w:right w:val="single" w:sz="4" w:space="0" w:color="auto"/>
            </w:tcBorders>
            <w:vAlign w:val="center"/>
            <w:hideMark/>
          </w:tcPr>
          <w:p w14:paraId="51B53A39" w14:textId="77777777"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23.2</w:t>
            </w:r>
          </w:p>
        </w:tc>
        <w:tc>
          <w:tcPr>
            <w:tcW w:w="926" w:type="dxa"/>
            <w:tcBorders>
              <w:top w:val="nil"/>
              <w:left w:val="nil"/>
              <w:bottom w:val="single" w:sz="4" w:space="0" w:color="auto"/>
              <w:right w:val="single" w:sz="4" w:space="0" w:color="auto"/>
            </w:tcBorders>
            <w:vAlign w:val="center"/>
            <w:hideMark/>
          </w:tcPr>
          <w:p w14:paraId="30878083" w14:textId="77777777"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5.2</w:t>
            </w:r>
          </w:p>
        </w:tc>
        <w:tc>
          <w:tcPr>
            <w:tcW w:w="1082" w:type="dxa"/>
            <w:tcBorders>
              <w:top w:val="nil"/>
              <w:left w:val="nil"/>
              <w:bottom w:val="single" w:sz="4" w:space="0" w:color="auto"/>
              <w:right w:val="single" w:sz="4" w:space="0" w:color="auto"/>
            </w:tcBorders>
            <w:vAlign w:val="center"/>
            <w:hideMark/>
          </w:tcPr>
          <w:p w14:paraId="5959F954" w14:textId="3A4C2DBE"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20</w:t>
            </w:r>
            <w:r w:rsidR="000F3A66">
              <w:rPr>
                <w:rFonts w:ascii="Times New Roman" w:eastAsia="Times New Roman" w:hAnsi="Times New Roman" w:cs="Times New Roman"/>
                <w:i/>
                <w:iCs/>
                <w:color w:val="000000"/>
                <w:kern w:val="0"/>
                <w:szCs w:val="24"/>
                <w:lang w:eastAsia="en-IN"/>
                <w14:ligatures w14:val="none"/>
              </w:rPr>
              <w:t>.0</w:t>
            </w:r>
          </w:p>
        </w:tc>
        <w:tc>
          <w:tcPr>
            <w:tcW w:w="1082" w:type="dxa"/>
            <w:tcBorders>
              <w:top w:val="nil"/>
              <w:left w:val="nil"/>
              <w:bottom w:val="single" w:sz="4" w:space="0" w:color="auto"/>
              <w:right w:val="single" w:sz="4" w:space="0" w:color="auto"/>
            </w:tcBorders>
            <w:vAlign w:val="center"/>
            <w:hideMark/>
          </w:tcPr>
          <w:p w14:paraId="6BBF0040" w14:textId="7E597C11" w:rsidR="007506E5" w:rsidRPr="007506E5" w:rsidRDefault="007506E5" w:rsidP="007506E5">
            <w:pPr>
              <w:spacing w:after="0" w:line="240" w:lineRule="auto"/>
              <w:jc w:val="center"/>
              <w:rPr>
                <w:rFonts w:ascii="Aptos" w:eastAsia="Times New Roman" w:hAnsi="Aptos" w:cs="Times New Roman"/>
                <w:color w:val="000000"/>
                <w:kern w:val="0"/>
                <w:szCs w:val="24"/>
                <w:lang w:eastAsia="en-IN"/>
                <w14:ligatures w14:val="none"/>
              </w:rPr>
            </w:pPr>
          </w:p>
        </w:tc>
      </w:tr>
      <w:tr w:rsidR="007506E5" w:rsidRPr="007506E5" w14:paraId="60EFF7D0" w14:textId="77777777" w:rsidTr="00C91D91">
        <w:trPr>
          <w:trHeight w:val="20"/>
          <w:jc w:val="center"/>
        </w:trPr>
        <w:tc>
          <w:tcPr>
            <w:tcW w:w="1369" w:type="dxa"/>
            <w:tcBorders>
              <w:top w:val="nil"/>
              <w:left w:val="single" w:sz="4" w:space="0" w:color="auto"/>
              <w:bottom w:val="single" w:sz="4" w:space="0" w:color="auto"/>
              <w:right w:val="single" w:sz="4" w:space="0" w:color="auto"/>
            </w:tcBorders>
            <w:vAlign w:val="center"/>
            <w:hideMark/>
          </w:tcPr>
          <w:p w14:paraId="68AE4F25"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Bombay</w:t>
            </w:r>
          </w:p>
        </w:tc>
        <w:tc>
          <w:tcPr>
            <w:tcW w:w="1473" w:type="dxa"/>
            <w:tcBorders>
              <w:top w:val="nil"/>
              <w:left w:val="nil"/>
              <w:bottom w:val="single" w:sz="4" w:space="0" w:color="auto"/>
              <w:right w:val="single" w:sz="4" w:space="0" w:color="auto"/>
            </w:tcBorders>
            <w:vAlign w:val="center"/>
            <w:hideMark/>
          </w:tcPr>
          <w:p w14:paraId="021F270C"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w:t>
            </w:r>
          </w:p>
        </w:tc>
        <w:tc>
          <w:tcPr>
            <w:tcW w:w="1083" w:type="dxa"/>
            <w:tcBorders>
              <w:top w:val="nil"/>
              <w:left w:val="nil"/>
              <w:bottom w:val="single" w:sz="4" w:space="0" w:color="auto"/>
              <w:right w:val="single" w:sz="4" w:space="0" w:color="auto"/>
            </w:tcBorders>
            <w:vAlign w:val="center"/>
            <w:hideMark/>
          </w:tcPr>
          <w:p w14:paraId="00299A5B"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622</w:t>
            </w:r>
          </w:p>
        </w:tc>
        <w:tc>
          <w:tcPr>
            <w:tcW w:w="862" w:type="dxa"/>
            <w:tcBorders>
              <w:top w:val="nil"/>
              <w:left w:val="nil"/>
              <w:bottom w:val="single" w:sz="4" w:space="0" w:color="auto"/>
              <w:right w:val="single" w:sz="4" w:space="0" w:color="auto"/>
            </w:tcBorders>
            <w:vAlign w:val="center"/>
            <w:hideMark/>
          </w:tcPr>
          <w:p w14:paraId="571341DE"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92</w:t>
            </w:r>
          </w:p>
        </w:tc>
        <w:tc>
          <w:tcPr>
            <w:tcW w:w="966" w:type="dxa"/>
            <w:tcBorders>
              <w:top w:val="nil"/>
              <w:left w:val="nil"/>
              <w:bottom w:val="single" w:sz="4" w:space="0" w:color="auto"/>
              <w:right w:val="single" w:sz="4" w:space="0" w:color="auto"/>
            </w:tcBorders>
            <w:vAlign w:val="center"/>
            <w:hideMark/>
          </w:tcPr>
          <w:p w14:paraId="18D2C3F4"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414</w:t>
            </w:r>
          </w:p>
        </w:tc>
        <w:tc>
          <w:tcPr>
            <w:tcW w:w="1460" w:type="dxa"/>
            <w:tcBorders>
              <w:top w:val="nil"/>
              <w:left w:val="nil"/>
              <w:bottom w:val="single" w:sz="4" w:space="0" w:color="auto"/>
              <w:right w:val="single" w:sz="4" w:space="0" w:color="auto"/>
            </w:tcBorders>
            <w:vAlign w:val="center"/>
            <w:hideMark/>
          </w:tcPr>
          <w:p w14:paraId="68B416D8"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31</w:t>
            </w:r>
          </w:p>
        </w:tc>
        <w:tc>
          <w:tcPr>
            <w:tcW w:w="1240" w:type="dxa"/>
            <w:tcBorders>
              <w:top w:val="nil"/>
              <w:left w:val="nil"/>
              <w:bottom w:val="single" w:sz="4" w:space="0" w:color="auto"/>
              <w:right w:val="single" w:sz="4" w:space="0" w:color="auto"/>
            </w:tcBorders>
            <w:vAlign w:val="center"/>
            <w:hideMark/>
          </w:tcPr>
          <w:p w14:paraId="5FDD46F1"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1283</w:t>
            </w:r>
          </w:p>
        </w:tc>
        <w:tc>
          <w:tcPr>
            <w:tcW w:w="822" w:type="dxa"/>
            <w:tcBorders>
              <w:top w:val="nil"/>
              <w:left w:val="nil"/>
              <w:bottom w:val="single" w:sz="4" w:space="0" w:color="auto"/>
              <w:right w:val="single" w:sz="4" w:space="0" w:color="auto"/>
            </w:tcBorders>
            <w:vAlign w:val="center"/>
            <w:hideMark/>
          </w:tcPr>
          <w:p w14:paraId="46F769A9"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924</w:t>
            </w:r>
          </w:p>
        </w:tc>
        <w:tc>
          <w:tcPr>
            <w:tcW w:w="1082" w:type="dxa"/>
            <w:tcBorders>
              <w:top w:val="nil"/>
              <w:left w:val="nil"/>
              <w:bottom w:val="single" w:sz="4" w:space="0" w:color="auto"/>
              <w:right w:val="single" w:sz="4" w:space="0" w:color="auto"/>
            </w:tcBorders>
            <w:vAlign w:val="center"/>
            <w:hideMark/>
          </w:tcPr>
          <w:p w14:paraId="1C9D57A2"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3366</w:t>
            </w:r>
          </w:p>
        </w:tc>
        <w:tc>
          <w:tcPr>
            <w:tcW w:w="965" w:type="dxa"/>
            <w:tcBorders>
              <w:top w:val="nil"/>
              <w:left w:val="nil"/>
              <w:bottom w:val="single" w:sz="4" w:space="0" w:color="auto"/>
              <w:right w:val="single" w:sz="4" w:space="0" w:color="auto"/>
            </w:tcBorders>
            <w:vAlign w:val="center"/>
            <w:hideMark/>
          </w:tcPr>
          <w:p w14:paraId="5B379028"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1099</w:t>
            </w:r>
          </w:p>
        </w:tc>
        <w:tc>
          <w:tcPr>
            <w:tcW w:w="926" w:type="dxa"/>
            <w:tcBorders>
              <w:top w:val="nil"/>
              <w:left w:val="nil"/>
              <w:bottom w:val="single" w:sz="4" w:space="0" w:color="auto"/>
              <w:right w:val="single" w:sz="4" w:space="0" w:color="auto"/>
            </w:tcBorders>
            <w:vAlign w:val="center"/>
            <w:hideMark/>
          </w:tcPr>
          <w:p w14:paraId="7DA2321C"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145</w:t>
            </w:r>
          </w:p>
        </w:tc>
        <w:tc>
          <w:tcPr>
            <w:tcW w:w="1082" w:type="dxa"/>
            <w:tcBorders>
              <w:top w:val="nil"/>
              <w:left w:val="nil"/>
              <w:bottom w:val="single" w:sz="4" w:space="0" w:color="auto"/>
              <w:right w:val="single" w:sz="4" w:space="0" w:color="auto"/>
            </w:tcBorders>
            <w:vAlign w:val="center"/>
            <w:hideMark/>
          </w:tcPr>
          <w:p w14:paraId="5269455F"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1435</w:t>
            </w:r>
          </w:p>
        </w:tc>
        <w:tc>
          <w:tcPr>
            <w:tcW w:w="1082" w:type="dxa"/>
            <w:tcBorders>
              <w:top w:val="nil"/>
              <w:left w:val="nil"/>
              <w:bottom w:val="single" w:sz="4" w:space="0" w:color="auto"/>
              <w:right w:val="single" w:sz="4" w:space="0" w:color="auto"/>
            </w:tcBorders>
            <w:vAlign w:val="center"/>
            <w:hideMark/>
          </w:tcPr>
          <w:p w14:paraId="2B972840"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6045</w:t>
            </w:r>
          </w:p>
        </w:tc>
      </w:tr>
      <w:tr w:rsidR="007506E5" w:rsidRPr="007506E5" w14:paraId="629D59E2" w14:textId="77777777" w:rsidTr="00C91D91">
        <w:trPr>
          <w:trHeight w:val="20"/>
          <w:jc w:val="center"/>
        </w:trPr>
        <w:tc>
          <w:tcPr>
            <w:tcW w:w="1369" w:type="dxa"/>
            <w:tcBorders>
              <w:top w:val="nil"/>
              <w:left w:val="single" w:sz="4" w:space="0" w:color="auto"/>
              <w:bottom w:val="single" w:sz="4" w:space="0" w:color="auto"/>
              <w:right w:val="single" w:sz="4" w:space="0" w:color="auto"/>
            </w:tcBorders>
            <w:vAlign w:val="center"/>
            <w:hideMark/>
          </w:tcPr>
          <w:p w14:paraId="7102DB39" w14:textId="49F99B13" w:rsidR="007506E5" w:rsidRPr="007506E5" w:rsidRDefault="007506E5" w:rsidP="007506E5">
            <w:pPr>
              <w:spacing w:after="0" w:line="240" w:lineRule="auto"/>
              <w:jc w:val="center"/>
              <w:rPr>
                <w:rFonts w:ascii="Aptos" w:eastAsia="Times New Roman" w:hAnsi="Aptos" w:cs="Times New Roman"/>
                <w:color w:val="000000"/>
                <w:kern w:val="0"/>
                <w:szCs w:val="24"/>
                <w:lang w:eastAsia="en-IN"/>
                <w14:ligatures w14:val="none"/>
              </w:rPr>
            </w:pPr>
          </w:p>
        </w:tc>
        <w:tc>
          <w:tcPr>
            <w:tcW w:w="1473" w:type="dxa"/>
            <w:tcBorders>
              <w:top w:val="nil"/>
              <w:left w:val="nil"/>
              <w:bottom w:val="single" w:sz="4" w:space="0" w:color="auto"/>
              <w:right w:val="single" w:sz="4" w:space="0" w:color="auto"/>
            </w:tcBorders>
            <w:vAlign w:val="center"/>
            <w:hideMark/>
          </w:tcPr>
          <w:p w14:paraId="15A112CB" w14:textId="07BF0E55" w:rsidR="007506E5" w:rsidRPr="007506E5" w:rsidRDefault="007506E5" w:rsidP="007506E5">
            <w:pPr>
              <w:spacing w:after="0" w:line="240" w:lineRule="auto"/>
              <w:jc w:val="center"/>
              <w:rPr>
                <w:rFonts w:ascii="Aptos" w:eastAsia="Times New Roman" w:hAnsi="Aptos" w:cs="Times New Roman"/>
                <w:color w:val="000000"/>
                <w:kern w:val="0"/>
                <w:szCs w:val="24"/>
                <w:lang w:eastAsia="en-IN"/>
                <w14:ligatures w14:val="none"/>
              </w:rPr>
            </w:pPr>
          </w:p>
        </w:tc>
        <w:tc>
          <w:tcPr>
            <w:tcW w:w="1083" w:type="dxa"/>
            <w:tcBorders>
              <w:top w:val="nil"/>
              <w:left w:val="nil"/>
              <w:bottom w:val="single" w:sz="4" w:space="0" w:color="auto"/>
              <w:right w:val="single" w:sz="4" w:space="0" w:color="auto"/>
            </w:tcBorders>
            <w:vAlign w:val="center"/>
            <w:hideMark/>
          </w:tcPr>
          <w:p w14:paraId="5F5ABD9A" w14:textId="22A3680D"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10</w:t>
            </w:r>
            <w:r w:rsidR="005A4048">
              <w:rPr>
                <w:rFonts w:ascii="Times New Roman" w:eastAsia="Times New Roman" w:hAnsi="Times New Roman" w:cs="Times New Roman"/>
                <w:i/>
                <w:iCs/>
                <w:color w:val="000000"/>
                <w:kern w:val="0"/>
                <w:szCs w:val="24"/>
                <w:lang w:eastAsia="en-IN"/>
                <w14:ligatures w14:val="none"/>
              </w:rPr>
              <w:t>.</w:t>
            </w:r>
            <w:r w:rsidRPr="007506E5">
              <w:rPr>
                <w:rFonts w:ascii="Times New Roman" w:eastAsia="Times New Roman" w:hAnsi="Times New Roman" w:cs="Times New Roman"/>
                <w:i/>
                <w:iCs/>
                <w:color w:val="000000"/>
                <w:kern w:val="0"/>
                <w:szCs w:val="24"/>
                <w:lang w:eastAsia="en-IN"/>
                <w14:ligatures w14:val="none"/>
              </w:rPr>
              <w:t>3</w:t>
            </w:r>
          </w:p>
        </w:tc>
        <w:tc>
          <w:tcPr>
            <w:tcW w:w="862" w:type="dxa"/>
            <w:tcBorders>
              <w:top w:val="nil"/>
              <w:left w:val="nil"/>
              <w:bottom w:val="single" w:sz="4" w:space="0" w:color="auto"/>
              <w:right w:val="single" w:sz="4" w:space="0" w:color="auto"/>
            </w:tcBorders>
            <w:vAlign w:val="center"/>
            <w:hideMark/>
          </w:tcPr>
          <w:p w14:paraId="37289E34" w14:textId="02FF21A3"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1</w:t>
            </w:r>
            <w:r w:rsidR="00DC02C1">
              <w:rPr>
                <w:rFonts w:ascii="Times New Roman" w:eastAsia="Times New Roman" w:hAnsi="Times New Roman" w:cs="Times New Roman"/>
                <w:i/>
                <w:iCs/>
                <w:color w:val="000000"/>
                <w:kern w:val="0"/>
                <w:szCs w:val="24"/>
                <w:lang w:eastAsia="en-IN"/>
                <w14:ligatures w14:val="none"/>
              </w:rPr>
              <w:t>.</w:t>
            </w:r>
            <w:r w:rsidRPr="007506E5">
              <w:rPr>
                <w:rFonts w:ascii="Times New Roman" w:eastAsia="Times New Roman" w:hAnsi="Times New Roman" w:cs="Times New Roman"/>
                <w:i/>
                <w:iCs/>
                <w:color w:val="000000"/>
                <w:kern w:val="0"/>
                <w:szCs w:val="24"/>
                <w:lang w:eastAsia="en-IN"/>
                <w14:ligatures w14:val="none"/>
              </w:rPr>
              <w:t>5</w:t>
            </w:r>
          </w:p>
        </w:tc>
        <w:tc>
          <w:tcPr>
            <w:tcW w:w="966" w:type="dxa"/>
            <w:tcBorders>
              <w:top w:val="nil"/>
              <w:left w:val="nil"/>
              <w:bottom w:val="single" w:sz="4" w:space="0" w:color="auto"/>
              <w:right w:val="single" w:sz="4" w:space="0" w:color="auto"/>
            </w:tcBorders>
            <w:vAlign w:val="center"/>
            <w:hideMark/>
          </w:tcPr>
          <w:p w14:paraId="2C4A01E4" w14:textId="37CB6B6C"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6</w:t>
            </w:r>
            <w:r w:rsidR="00DC02C1">
              <w:rPr>
                <w:rFonts w:ascii="Times New Roman" w:eastAsia="Times New Roman" w:hAnsi="Times New Roman" w:cs="Times New Roman"/>
                <w:i/>
                <w:iCs/>
                <w:color w:val="000000"/>
                <w:kern w:val="0"/>
                <w:szCs w:val="24"/>
                <w:lang w:eastAsia="en-IN"/>
                <w14:ligatures w14:val="none"/>
              </w:rPr>
              <w:t>.</w:t>
            </w:r>
            <w:r w:rsidRPr="007506E5">
              <w:rPr>
                <w:rFonts w:ascii="Times New Roman" w:eastAsia="Times New Roman" w:hAnsi="Times New Roman" w:cs="Times New Roman"/>
                <w:i/>
                <w:iCs/>
                <w:color w:val="000000"/>
                <w:kern w:val="0"/>
                <w:szCs w:val="24"/>
                <w:lang w:eastAsia="en-IN"/>
                <w14:ligatures w14:val="none"/>
              </w:rPr>
              <w:t>8</w:t>
            </w:r>
          </w:p>
        </w:tc>
        <w:tc>
          <w:tcPr>
            <w:tcW w:w="1460" w:type="dxa"/>
            <w:tcBorders>
              <w:top w:val="nil"/>
              <w:left w:val="nil"/>
              <w:bottom w:val="single" w:sz="4" w:space="0" w:color="auto"/>
              <w:right w:val="single" w:sz="4" w:space="0" w:color="auto"/>
            </w:tcBorders>
            <w:vAlign w:val="center"/>
            <w:hideMark/>
          </w:tcPr>
          <w:p w14:paraId="2E3748DE" w14:textId="2F994713"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0</w:t>
            </w:r>
            <w:r w:rsidR="00DC02C1">
              <w:rPr>
                <w:rFonts w:ascii="Times New Roman" w:eastAsia="Times New Roman" w:hAnsi="Times New Roman" w:cs="Times New Roman"/>
                <w:i/>
                <w:iCs/>
                <w:color w:val="000000"/>
                <w:kern w:val="0"/>
                <w:szCs w:val="24"/>
                <w:lang w:eastAsia="en-IN"/>
                <w14:ligatures w14:val="none"/>
              </w:rPr>
              <w:t>.</w:t>
            </w:r>
            <w:r w:rsidRPr="007506E5">
              <w:rPr>
                <w:rFonts w:ascii="Times New Roman" w:eastAsia="Times New Roman" w:hAnsi="Times New Roman" w:cs="Times New Roman"/>
                <w:i/>
                <w:iCs/>
                <w:color w:val="000000"/>
                <w:kern w:val="0"/>
                <w:szCs w:val="24"/>
                <w:lang w:eastAsia="en-IN"/>
                <w14:ligatures w14:val="none"/>
              </w:rPr>
              <w:t>5</w:t>
            </w:r>
          </w:p>
        </w:tc>
        <w:tc>
          <w:tcPr>
            <w:tcW w:w="1240" w:type="dxa"/>
            <w:tcBorders>
              <w:top w:val="nil"/>
              <w:left w:val="nil"/>
              <w:bottom w:val="single" w:sz="4" w:space="0" w:color="auto"/>
              <w:right w:val="single" w:sz="4" w:space="0" w:color="auto"/>
            </w:tcBorders>
            <w:vAlign w:val="center"/>
            <w:hideMark/>
          </w:tcPr>
          <w:p w14:paraId="19F3399A" w14:textId="77777777"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21.2</w:t>
            </w:r>
          </w:p>
        </w:tc>
        <w:tc>
          <w:tcPr>
            <w:tcW w:w="822" w:type="dxa"/>
            <w:tcBorders>
              <w:top w:val="nil"/>
              <w:left w:val="nil"/>
              <w:bottom w:val="single" w:sz="4" w:space="0" w:color="auto"/>
              <w:right w:val="single" w:sz="4" w:space="0" w:color="auto"/>
            </w:tcBorders>
            <w:vAlign w:val="center"/>
            <w:hideMark/>
          </w:tcPr>
          <w:p w14:paraId="22F59154" w14:textId="77777777"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15.3</w:t>
            </w:r>
          </w:p>
        </w:tc>
        <w:tc>
          <w:tcPr>
            <w:tcW w:w="1082" w:type="dxa"/>
            <w:tcBorders>
              <w:top w:val="nil"/>
              <w:left w:val="nil"/>
              <w:bottom w:val="single" w:sz="4" w:space="0" w:color="auto"/>
              <w:right w:val="single" w:sz="4" w:space="0" w:color="auto"/>
            </w:tcBorders>
            <w:vAlign w:val="center"/>
            <w:hideMark/>
          </w:tcPr>
          <w:p w14:paraId="41D508D3" w14:textId="77777777"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55.7</w:t>
            </w:r>
          </w:p>
        </w:tc>
        <w:tc>
          <w:tcPr>
            <w:tcW w:w="965" w:type="dxa"/>
            <w:tcBorders>
              <w:top w:val="nil"/>
              <w:left w:val="nil"/>
              <w:bottom w:val="single" w:sz="4" w:space="0" w:color="auto"/>
              <w:right w:val="single" w:sz="4" w:space="0" w:color="auto"/>
            </w:tcBorders>
            <w:vAlign w:val="center"/>
            <w:hideMark/>
          </w:tcPr>
          <w:p w14:paraId="24C0612B" w14:textId="77777777"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18.2</w:t>
            </w:r>
          </w:p>
        </w:tc>
        <w:tc>
          <w:tcPr>
            <w:tcW w:w="926" w:type="dxa"/>
            <w:tcBorders>
              <w:top w:val="nil"/>
              <w:left w:val="nil"/>
              <w:bottom w:val="single" w:sz="4" w:space="0" w:color="auto"/>
              <w:right w:val="single" w:sz="4" w:space="0" w:color="auto"/>
            </w:tcBorders>
            <w:vAlign w:val="center"/>
            <w:hideMark/>
          </w:tcPr>
          <w:p w14:paraId="035C7249" w14:textId="77777777"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2.4</w:t>
            </w:r>
          </w:p>
        </w:tc>
        <w:tc>
          <w:tcPr>
            <w:tcW w:w="1082" w:type="dxa"/>
            <w:tcBorders>
              <w:top w:val="nil"/>
              <w:left w:val="nil"/>
              <w:bottom w:val="single" w:sz="4" w:space="0" w:color="auto"/>
              <w:right w:val="single" w:sz="4" w:space="0" w:color="auto"/>
            </w:tcBorders>
            <w:vAlign w:val="center"/>
            <w:hideMark/>
          </w:tcPr>
          <w:p w14:paraId="0C990ED3" w14:textId="77777777"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23.7</w:t>
            </w:r>
          </w:p>
        </w:tc>
        <w:tc>
          <w:tcPr>
            <w:tcW w:w="1082" w:type="dxa"/>
            <w:tcBorders>
              <w:top w:val="nil"/>
              <w:left w:val="nil"/>
              <w:bottom w:val="single" w:sz="4" w:space="0" w:color="auto"/>
              <w:right w:val="single" w:sz="4" w:space="0" w:color="auto"/>
            </w:tcBorders>
            <w:vAlign w:val="center"/>
            <w:hideMark/>
          </w:tcPr>
          <w:p w14:paraId="66DA5FE2" w14:textId="479591F8" w:rsidR="007506E5" w:rsidRPr="007506E5" w:rsidRDefault="007506E5" w:rsidP="007506E5">
            <w:pPr>
              <w:spacing w:after="0" w:line="240" w:lineRule="auto"/>
              <w:jc w:val="center"/>
              <w:rPr>
                <w:rFonts w:ascii="Aptos" w:eastAsia="Times New Roman" w:hAnsi="Aptos" w:cs="Times New Roman"/>
                <w:color w:val="000000"/>
                <w:kern w:val="0"/>
                <w:szCs w:val="24"/>
                <w:lang w:eastAsia="en-IN"/>
                <w14:ligatures w14:val="none"/>
              </w:rPr>
            </w:pPr>
          </w:p>
        </w:tc>
      </w:tr>
      <w:tr w:rsidR="007506E5" w:rsidRPr="007506E5" w14:paraId="06CE8908" w14:textId="77777777" w:rsidTr="00C91D91">
        <w:trPr>
          <w:trHeight w:val="20"/>
          <w:jc w:val="center"/>
        </w:trPr>
        <w:tc>
          <w:tcPr>
            <w:tcW w:w="1369" w:type="dxa"/>
            <w:tcBorders>
              <w:top w:val="nil"/>
              <w:left w:val="single" w:sz="4" w:space="0" w:color="auto"/>
              <w:bottom w:val="single" w:sz="4" w:space="0" w:color="auto"/>
              <w:right w:val="single" w:sz="4" w:space="0" w:color="auto"/>
            </w:tcBorders>
            <w:vAlign w:val="center"/>
            <w:hideMark/>
          </w:tcPr>
          <w:p w14:paraId="498E2BD0"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Madhya Pradesh</w:t>
            </w:r>
          </w:p>
        </w:tc>
        <w:tc>
          <w:tcPr>
            <w:tcW w:w="1473" w:type="dxa"/>
            <w:tcBorders>
              <w:top w:val="nil"/>
              <w:left w:val="nil"/>
              <w:bottom w:val="single" w:sz="4" w:space="0" w:color="auto"/>
              <w:right w:val="single" w:sz="4" w:space="0" w:color="auto"/>
            </w:tcBorders>
            <w:vAlign w:val="center"/>
            <w:hideMark/>
          </w:tcPr>
          <w:p w14:paraId="6E3395F0"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w:t>
            </w:r>
          </w:p>
        </w:tc>
        <w:tc>
          <w:tcPr>
            <w:tcW w:w="1083" w:type="dxa"/>
            <w:tcBorders>
              <w:top w:val="nil"/>
              <w:left w:val="nil"/>
              <w:bottom w:val="single" w:sz="4" w:space="0" w:color="auto"/>
              <w:right w:val="single" w:sz="4" w:space="0" w:color="auto"/>
            </w:tcBorders>
            <w:vAlign w:val="center"/>
            <w:hideMark/>
          </w:tcPr>
          <w:p w14:paraId="4C0C0E0D"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439</w:t>
            </w:r>
          </w:p>
        </w:tc>
        <w:tc>
          <w:tcPr>
            <w:tcW w:w="862" w:type="dxa"/>
            <w:tcBorders>
              <w:top w:val="nil"/>
              <w:left w:val="nil"/>
              <w:bottom w:val="single" w:sz="4" w:space="0" w:color="auto"/>
              <w:right w:val="single" w:sz="4" w:space="0" w:color="auto"/>
            </w:tcBorders>
            <w:vAlign w:val="center"/>
            <w:hideMark/>
          </w:tcPr>
          <w:p w14:paraId="0583D7ED"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256</w:t>
            </w:r>
          </w:p>
        </w:tc>
        <w:tc>
          <w:tcPr>
            <w:tcW w:w="966" w:type="dxa"/>
            <w:tcBorders>
              <w:top w:val="nil"/>
              <w:left w:val="nil"/>
              <w:bottom w:val="single" w:sz="4" w:space="0" w:color="auto"/>
              <w:right w:val="single" w:sz="4" w:space="0" w:color="auto"/>
            </w:tcBorders>
            <w:vAlign w:val="center"/>
            <w:hideMark/>
          </w:tcPr>
          <w:p w14:paraId="2DFF525A"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108</w:t>
            </w:r>
          </w:p>
        </w:tc>
        <w:tc>
          <w:tcPr>
            <w:tcW w:w="1460" w:type="dxa"/>
            <w:tcBorders>
              <w:top w:val="nil"/>
              <w:left w:val="nil"/>
              <w:bottom w:val="single" w:sz="4" w:space="0" w:color="auto"/>
              <w:right w:val="single" w:sz="4" w:space="0" w:color="auto"/>
            </w:tcBorders>
            <w:vAlign w:val="center"/>
            <w:hideMark/>
          </w:tcPr>
          <w:p w14:paraId="37070377"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24</w:t>
            </w:r>
          </w:p>
        </w:tc>
        <w:tc>
          <w:tcPr>
            <w:tcW w:w="1240" w:type="dxa"/>
            <w:tcBorders>
              <w:top w:val="nil"/>
              <w:left w:val="nil"/>
              <w:bottom w:val="single" w:sz="4" w:space="0" w:color="auto"/>
              <w:right w:val="single" w:sz="4" w:space="0" w:color="auto"/>
            </w:tcBorders>
            <w:vAlign w:val="center"/>
            <w:hideMark/>
          </w:tcPr>
          <w:p w14:paraId="231CAB9F"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265</w:t>
            </w:r>
          </w:p>
        </w:tc>
        <w:tc>
          <w:tcPr>
            <w:tcW w:w="822" w:type="dxa"/>
            <w:tcBorders>
              <w:top w:val="nil"/>
              <w:left w:val="nil"/>
              <w:bottom w:val="single" w:sz="4" w:space="0" w:color="auto"/>
              <w:right w:val="single" w:sz="4" w:space="0" w:color="auto"/>
            </w:tcBorders>
            <w:vAlign w:val="center"/>
            <w:hideMark/>
          </w:tcPr>
          <w:p w14:paraId="1DF0BFDE"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89</w:t>
            </w:r>
          </w:p>
        </w:tc>
        <w:tc>
          <w:tcPr>
            <w:tcW w:w="1082" w:type="dxa"/>
            <w:tcBorders>
              <w:top w:val="nil"/>
              <w:left w:val="nil"/>
              <w:bottom w:val="single" w:sz="4" w:space="0" w:color="auto"/>
              <w:right w:val="single" w:sz="4" w:space="0" w:color="auto"/>
            </w:tcBorders>
            <w:vAlign w:val="center"/>
            <w:hideMark/>
          </w:tcPr>
          <w:p w14:paraId="37FD579A"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1181</w:t>
            </w:r>
          </w:p>
        </w:tc>
        <w:tc>
          <w:tcPr>
            <w:tcW w:w="965" w:type="dxa"/>
            <w:tcBorders>
              <w:top w:val="nil"/>
              <w:left w:val="nil"/>
              <w:bottom w:val="single" w:sz="4" w:space="0" w:color="auto"/>
              <w:right w:val="single" w:sz="4" w:space="0" w:color="auto"/>
            </w:tcBorders>
            <w:vAlign w:val="center"/>
            <w:hideMark/>
          </w:tcPr>
          <w:p w14:paraId="0D169261"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314</w:t>
            </w:r>
          </w:p>
        </w:tc>
        <w:tc>
          <w:tcPr>
            <w:tcW w:w="926" w:type="dxa"/>
            <w:tcBorders>
              <w:top w:val="nil"/>
              <w:left w:val="nil"/>
              <w:bottom w:val="single" w:sz="4" w:space="0" w:color="auto"/>
              <w:right w:val="single" w:sz="4" w:space="0" w:color="auto"/>
            </w:tcBorders>
            <w:vAlign w:val="center"/>
            <w:hideMark/>
          </w:tcPr>
          <w:p w14:paraId="35FA4823"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72</w:t>
            </w:r>
          </w:p>
        </w:tc>
        <w:tc>
          <w:tcPr>
            <w:tcW w:w="1082" w:type="dxa"/>
            <w:tcBorders>
              <w:top w:val="nil"/>
              <w:left w:val="nil"/>
              <w:bottom w:val="single" w:sz="4" w:space="0" w:color="auto"/>
              <w:right w:val="single" w:sz="4" w:space="0" w:color="auto"/>
            </w:tcBorders>
            <w:vAlign w:val="center"/>
            <w:hideMark/>
          </w:tcPr>
          <w:p w14:paraId="5DAE49B2"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713</w:t>
            </w:r>
          </w:p>
        </w:tc>
        <w:tc>
          <w:tcPr>
            <w:tcW w:w="1082" w:type="dxa"/>
            <w:tcBorders>
              <w:top w:val="nil"/>
              <w:left w:val="nil"/>
              <w:bottom w:val="single" w:sz="4" w:space="0" w:color="auto"/>
              <w:right w:val="single" w:sz="4" w:space="0" w:color="auto"/>
            </w:tcBorders>
            <w:vAlign w:val="center"/>
            <w:hideMark/>
          </w:tcPr>
          <w:p w14:paraId="024E097C"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2280</w:t>
            </w:r>
          </w:p>
        </w:tc>
      </w:tr>
      <w:tr w:rsidR="007506E5" w:rsidRPr="007506E5" w14:paraId="18062981" w14:textId="77777777" w:rsidTr="00C91D91">
        <w:trPr>
          <w:trHeight w:val="20"/>
          <w:jc w:val="center"/>
        </w:trPr>
        <w:tc>
          <w:tcPr>
            <w:tcW w:w="1369" w:type="dxa"/>
            <w:tcBorders>
              <w:top w:val="nil"/>
              <w:left w:val="single" w:sz="4" w:space="0" w:color="auto"/>
              <w:bottom w:val="single" w:sz="4" w:space="0" w:color="auto"/>
              <w:right w:val="single" w:sz="4" w:space="0" w:color="auto"/>
            </w:tcBorders>
            <w:vAlign w:val="center"/>
            <w:hideMark/>
          </w:tcPr>
          <w:p w14:paraId="3C6BA71D" w14:textId="500DAEAF" w:rsidR="007506E5" w:rsidRPr="007506E5" w:rsidRDefault="007506E5" w:rsidP="007506E5">
            <w:pPr>
              <w:spacing w:after="0" w:line="240" w:lineRule="auto"/>
              <w:jc w:val="center"/>
              <w:rPr>
                <w:rFonts w:ascii="Aptos" w:eastAsia="Times New Roman" w:hAnsi="Aptos" w:cs="Times New Roman"/>
                <w:color w:val="000000"/>
                <w:kern w:val="0"/>
                <w:szCs w:val="24"/>
                <w:lang w:eastAsia="en-IN"/>
                <w14:ligatures w14:val="none"/>
              </w:rPr>
            </w:pPr>
          </w:p>
        </w:tc>
        <w:tc>
          <w:tcPr>
            <w:tcW w:w="1473" w:type="dxa"/>
            <w:tcBorders>
              <w:top w:val="nil"/>
              <w:left w:val="nil"/>
              <w:bottom w:val="single" w:sz="4" w:space="0" w:color="auto"/>
              <w:right w:val="single" w:sz="4" w:space="0" w:color="auto"/>
            </w:tcBorders>
            <w:vAlign w:val="center"/>
            <w:hideMark/>
          </w:tcPr>
          <w:p w14:paraId="08F6DEA4" w14:textId="37F35660" w:rsidR="007506E5" w:rsidRPr="007506E5" w:rsidRDefault="007506E5" w:rsidP="007506E5">
            <w:pPr>
              <w:spacing w:after="0" w:line="240" w:lineRule="auto"/>
              <w:jc w:val="center"/>
              <w:rPr>
                <w:rFonts w:ascii="Aptos" w:eastAsia="Times New Roman" w:hAnsi="Aptos" w:cs="Times New Roman"/>
                <w:color w:val="000000"/>
                <w:kern w:val="0"/>
                <w:szCs w:val="24"/>
                <w:lang w:eastAsia="en-IN"/>
                <w14:ligatures w14:val="none"/>
              </w:rPr>
            </w:pPr>
          </w:p>
        </w:tc>
        <w:tc>
          <w:tcPr>
            <w:tcW w:w="1083" w:type="dxa"/>
            <w:tcBorders>
              <w:top w:val="nil"/>
              <w:left w:val="nil"/>
              <w:bottom w:val="single" w:sz="4" w:space="0" w:color="auto"/>
              <w:right w:val="single" w:sz="4" w:space="0" w:color="auto"/>
            </w:tcBorders>
            <w:vAlign w:val="center"/>
            <w:hideMark/>
          </w:tcPr>
          <w:p w14:paraId="01C7FF57" w14:textId="163B623E"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19</w:t>
            </w:r>
            <w:r w:rsidR="005A4048">
              <w:rPr>
                <w:rFonts w:ascii="Times New Roman" w:eastAsia="Times New Roman" w:hAnsi="Times New Roman" w:cs="Times New Roman"/>
                <w:i/>
                <w:iCs/>
                <w:color w:val="000000"/>
                <w:kern w:val="0"/>
                <w:szCs w:val="24"/>
                <w:lang w:eastAsia="en-IN"/>
                <w14:ligatures w14:val="none"/>
              </w:rPr>
              <w:t>.</w:t>
            </w:r>
            <w:r w:rsidRPr="007506E5">
              <w:rPr>
                <w:rFonts w:ascii="Times New Roman" w:eastAsia="Times New Roman" w:hAnsi="Times New Roman" w:cs="Times New Roman"/>
                <w:i/>
                <w:iCs/>
                <w:color w:val="000000"/>
                <w:kern w:val="0"/>
                <w:szCs w:val="24"/>
                <w:lang w:eastAsia="en-IN"/>
                <w14:ligatures w14:val="none"/>
              </w:rPr>
              <w:t>3</w:t>
            </w:r>
          </w:p>
        </w:tc>
        <w:tc>
          <w:tcPr>
            <w:tcW w:w="862" w:type="dxa"/>
            <w:tcBorders>
              <w:top w:val="nil"/>
              <w:left w:val="nil"/>
              <w:bottom w:val="single" w:sz="4" w:space="0" w:color="auto"/>
              <w:right w:val="single" w:sz="4" w:space="0" w:color="auto"/>
            </w:tcBorders>
            <w:vAlign w:val="center"/>
            <w:hideMark/>
          </w:tcPr>
          <w:p w14:paraId="709B6433" w14:textId="4F3CFF09"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11</w:t>
            </w:r>
            <w:r w:rsidR="00DC02C1">
              <w:rPr>
                <w:rFonts w:ascii="Times New Roman" w:eastAsia="Times New Roman" w:hAnsi="Times New Roman" w:cs="Times New Roman"/>
                <w:i/>
                <w:iCs/>
                <w:color w:val="000000"/>
                <w:kern w:val="0"/>
                <w:szCs w:val="24"/>
                <w:lang w:eastAsia="en-IN"/>
                <w14:ligatures w14:val="none"/>
              </w:rPr>
              <w:t>.</w:t>
            </w:r>
            <w:r w:rsidRPr="007506E5">
              <w:rPr>
                <w:rFonts w:ascii="Times New Roman" w:eastAsia="Times New Roman" w:hAnsi="Times New Roman" w:cs="Times New Roman"/>
                <w:i/>
                <w:iCs/>
                <w:color w:val="000000"/>
                <w:kern w:val="0"/>
                <w:szCs w:val="24"/>
                <w:lang w:eastAsia="en-IN"/>
                <w14:ligatures w14:val="none"/>
              </w:rPr>
              <w:t>2</w:t>
            </w:r>
          </w:p>
        </w:tc>
        <w:tc>
          <w:tcPr>
            <w:tcW w:w="966" w:type="dxa"/>
            <w:tcBorders>
              <w:top w:val="nil"/>
              <w:left w:val="nil"/>
              <w:bottom w:val="single" w:sz="4" w:space="0" w:color="auto"/>
              <w:right w:val="single" w:sz="4" w:space="0" w:color="auto"/>
            </w:tcBorders>
            <w:vAlign w:val="center"/>
            <w:hideMark/>
          </w:tcPr>
          <w:p w14:paraId="145FF031" w14:textId="0FB539E9"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4</w:t>
            </w:r>
            <w:r w:rsidR="00DC02C1">
              <w:rPr>
                <w:rFonts w:ascii="Times New Roman" w:eastAsia="Times New Roman" w:hAnsi="Times New Roman" w:cs="Times New Roman"/>
                <w:i/>
                <w:iCs/>
                <w:color w:val="000000"/>
                <w:kern w:val="0"/>
                <w:szCs w:val="24"/>
                <w:lang w:eastAsia="en-IN"/>
                <w14:ligatures w14:val="none"/>
              </w:rPr>
              <w:t>.</w:t>
            </w:r>
            <w:r w:rsidRPr="007506E5">
              <w:rPr>
                <w:rFonts w:ascii="Times New Roman" w:eastAsia="Times New Roman" w:hAnsi="Times New Roman" w:cs="Times New Roman"/>
                <w:i/>
                <w:iCs/>
                <w:color w:val="000000"/>
                <w:kern w:val="0"/>
                <w:szCs w:val="24"/>
                <w:lang w:eastAsia="en-IN"/>
                <w14:ligatures w14:val="none"/>
              </w:rPr>
              <w:t>7</w:t>
            </w:r>
          </w:p>
        </w:tc>
        <w:tc>
          <w:tcPr>
            <w:tcW w:w="1460" w:type="dxa"/>
            <w:tcBorders>
              <w:top w:val="nil"/>
              <w:left w:val="nil"/>
              <w:bottom w:val="single" w:sz="4" w:space="0" w:color="auto"/>
              <w:right w:val="single" w:sz="4" w:space="0" w:color="auto"/>
            </w:tcBorders>
            <w:vAlign w:val="center"/>
            <w:hideMark/>
          </w:tcPr>
          <w:p w14:paraId="3F8E555A" w14:textId="44B0E358"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1</w:t>
            </w:r>
            <w:r w:rsidR="00DC02C1">
              <w:rPr>
                <w:rFonts w:ascii="Times New Roman" w:eastAsia="Times New Roman" w:hAnsi="Times New Roman" w:cs="Times New Roman"/>
                <w:i/>
                <w:iCs/>
                <w:color w:val="000000"/>
                <w:kern w:val="0"/>
                <w:szCs w:val="24"/>
                <w:lang w:eastAsia="en-IN"/>
                <w14:ligatures w14:val="none"/>
              </w:rPr>
              <w:t>.</w:t>
            </w:r>
            <w:r w:rsidRPr="007506E5">
              <w:rPr>
                <w:rFonts w:ascii="Times New Roman" w:eastAsia="Times New Roman" w:hAnsi="Times New Roman" w:cs="Times New Roman"/>
                <w:i/>
                <w:iCs/>
                <w:color w:val="000000"/>
                <w:kern w:val="0"/>
                <w:szCs w:val="24"/>
                <w:lang w:eastAsia="en-IN"/>
                <w14:ligatures w14:val="none"/>
              </w:rPr>
              <w:t>1</w:t>
            </w:r>
          </w:p>
        </w:tc>
        <w:tc>
          <w:tcPr>
            <w:tcW w:w="1240" w:type="dxa"/>
            <w:tcBorders>
              <w:top w:val="nil"/>
              <w:left w:val="nil"/>
              <w:bottom w:val="single" w:sz="4" w:space="0" w:color="auto"/>
              <w:right w:val="single" w:sz="4" w:space="0" w:color="auto"/>
            </w:tcBorders>
            <w:vAlign w:val="center"/>
            <w:hideMark/>
          </w:tcPr>
          <w:p w14:paraId="526D3775" w14:textId="77777777"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11.6</w:t>
            </w:r>
          </w:p>
        </w:tc>
        <w:tc>
          <w:tcPr>
            <w:tcW w:w="822" w:type="dxa"/>
            <w:tcBorders>
              <w:top w:val="nil"/>
              <w:left w:val="nil"/>
              <w:bottom w:val="single" w:sz="4" w:space="0" w:color="auto"/>
              <w:right w:val="single" w:sz="4" w:space="0" w:color="auto"/>
            </w:tcBorders>
            <w:vAlign w:val="center"/>
            <w:hideMark/>
          </w:tcPr>
          <w:p w14:paraId="42F57492" w14:textId="77777777"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3.9</w:t>
            </w:r>
          </w:p>
        </w:tc>
        <w:tc>
          <w:tcPr>
            <w:tcW w:w="1082" w:type="dxa"/>
            <w:tcBorders>
              <w:top w:val="nil"/>
              <w:left w:val="nil"/>
              <w:bottom w:val="single" w:sz="4" w:space="0" w:color="auto"/>
              <w:right w:val="single" w:sz="4" w:space="0" w:color="auto"/>
            </w:tcBorders>
            <w:vAlign w:val="center"/>
            <w:hideMark/>
          </w:tcPr>
          <w:p w14:paraId="5D85E28C" w14:textId="77777777"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51.8</w:t>
            </w:r>
          </w:p>
        </w:tc>
        <w:tc>
          <w:tcPr>
            <w:tcW w:w="965" w:type="dxa"/>
            <w:tcBorders>
              <w:top w:val="nil"/>
              <w:left w:val="nil"/>
              <w:bottom w:val="single" w:sz="4" w:space="0" w:color="auto"/>
              <w:right w:val="single" w:sz="4" w:space="0" w:color="auto"/>
            </w:tcBorders>
            <w:vAlign w:val="center"/>
            <w:hideMark/>
          </w:tcPr>
          <w:p w14:paraId="74510912" w14:textId="77777777"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13.8</w:t>
            </w:r>
          </w:p>
        </w:tc>
        <w:tc>
          <w:tcPr>
            <w:tcW w:w="926" w:type="dxa"/>
            <w:tcBorders>
              <w:top w:val="nil"/>
              <w:left w:val="nil"/>
              <w:bottom w:val="single" w:sz="4" w:space="0" w:color="auto"/>
              <w:right w:val="single" w:sz="4" w:space="0" w:color="auto"/>
            </w:tcBorders>
            <w:vAlign w:val="center"/>
            <w:hideMark/>
          </w:tcPr>
          <w:p w14:paraId="63D5ED2D" w14:textId="77777777"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3.2</w:t>
            </w:r>
          </w:p>
        </w:tc>
        <w:tc>
          <w:tcPr>
            <w:tcW w:w="1082" w:type="dxa"/>
            <w:tcBorders>
              <w:top w:val="nil"/>
              <w:left w:val="nil"/>
              <w:bottom w:val="single" w:sz="4" w:space="0" w:color="auto"/>
              <w:right w:val="single" w:sz="4" w:space="0" w:color="auto"/>
            </w:tcBorders>
            <w:vAlign w:val="center"/>
            <w:hideMark/>
          </w:tcPr>
          <w:p w14:paraId="20F8B815" w14:textId="77777777"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31.3</w:t>
            </w:r>
          </w:p>
        </w:tc>
        <w:tc>
          <w:tcPr>
            <w:tcW w:w="1082" w:type="dxa"/>
            <w:tcBorders>
              <w:top w:val="nil"/>
              <w:left w:val="nil"/>
              <w:bottom w:val="single" w:sz="4" w:space="0" w:color="auto"/>
              <w:right w:val="single" w:sz="4" w:space="0" w:color="auto"/>
            </w:tcBorders>
            <w:vAlign w:val="center"/>
            <w:hideMark/>
          </w:tcPr>
          <w:p w14:paraId="00BAC437" w14:textId="0D4582CF" w:rsidR="007506E5" w:rsidRPr="007506E5" w:rsidRDefault="007506E5" w:rsidP="007506E5">
            <w:pPr>
              <w:spacing w:after="0" w:line="240" w:lineRule="auto"/>
              <w:jc w:val="center"/>
              <w:rPr>
                <w:rFonts w:ascii="Aptos" w:eastAsia="Times New Roman" w:hAnsi="Aptos" w:cs="Times New Roman"/>
                <w:color w:val="000000"/>
                <w:kern w:val="0"/>
                <w:szCs w:val="24"/>
                <w:lang w:eastAsia="en-IN"/>
                <w14:ligatures w14:val="none"/>
              </w:rPr>
            </w:pPr>
          </w:p>
        </w:tc>
      </w:tr>
      <w:tr w:rsidR="007506E5" w:rsidRPr="007506E5" w14:paraId="0DCA3C01" w14:textId="77777777" w:rsidTr="00C91D91">
        <w:trPr>
          <w:trHeight w:val="20"/>
          <w:jc w:val="center"/>
        </w:trPr>
        <w:tc>
          <w:tcPr>
            <w:tcW w:w="1369" w:type="dxa"/>
            <w:tcBorders>
              <w:top w:val="nil"/>
              <w:left w:val="single" w:sz="4" w:space="0" w:color="auto"/>
              <w:bottom w:val="single" w:sz="4" w:space="0" w:color="auto"/>
              <w:right w:val="single" w:sz="4" w:space="0" w:color="auto"/>
            </w:tcBorders>
            <w:vAlign w:val="center"/>
            <w:hideMark/>
          </w:tcPr>
          <w:p w14:paraId="3F730432"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Madras</w:t>
            </w:r>
          </w:p>
        </w:tc>
        <w:tc>
          <w:tcPr>
            <w:tcW w:w="1473" w:type="dxa"/>
            <w:tcBorders>
              <w:top w:val="nil"/>
              <w:left w:val="nil"/>
              <w:bottom w:val="single" w:sz="4" w:space="0" w:color="auto"/>
              <w:right w:val="single" w:sz="4" w:space="0" w:color="auto"/>
            </w:tcBorders>
            <w:vAlign w:val="center"/>
            <w:hideMark/>
          </w:tcPr>
          <w:p w14:paraId="3A74B856"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w:t>
            </w:r>
          </w:p>
        </w:tc>
        <w:tc>
          <w:tcPr>
            <w:tcW w:w="1083" w:type="dxa"/>
            <w:tcBorders>
              <w:top w:val="nil"/>
              <w:left w:val="nil"/>
              <w:bottom w:val="single" w:sz="4" w:space="0" w:color="auto"/>
              <w:right w:val="single" w:sz="4" w:space="0" w:color="auto"/>
            </w:tcBorders>
            <w:vAlign w:val="center"/>
            <w:hideMark/>
          </w:tcPr>
          <w:p w14:paraId="2AD08606"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921</w:t>
            </w:r>
          </w:p>
        </w:tc>
        <w:tc>
          <w:tcPr>
            <w:tcW w:w="862" w:type="dxa"/>
            <w:tcBorders>
              <w:top w:val="nil"/>
              <w:left w:val="nil"/>
              <w:bottom w:val="single" w:sz="4" w:space="0" w:color="auto"/>
              <w:right w:val="single" w:sz="4" w:space="0" w:color="auto"/>
            </w:tcBorders>
            <w:vAlign w:val="center"/>
            <w:hideMark/>
          </w:tcPr>
          <w:p w14:paraId="1CB2524C"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38</w:t>
            </w:r>
          </w:p>
        </w:tc>
        <w:tc>
          <w:tcPr>
            <w:tcW w:w="966" w:type="dxa"/>
            <w:tcBorders>
              <w:top w:val="nil"/>
              <w:left w:val="nil"/>
              <w:bottom w:val="single" w:sz="4" w:space="0" w:color="auto"/>
              <w:right w:val="single" w:sz="4" w:space="0" w:color="auto"/>
            </w:tcBorders>
            <w:vAlign w:val="center"/>
            <w:hideMark/>
          </w:tcPr>
          <w:p w14:paraId="000BF758"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455</w:t>
            </w:r>
          </w:p>
        </w:tc>
        <w:tc>
          <w:tcPr>
            <w:tcW w:w="1460" w:type="dxa"/>
            <w:tcBorders>
              <w:top w:val="nil"/>
              <w:left w:val="nil"/>
              <w:bottom w:val="single" w:sz="4" w:space="0" w:color="auto"/>
              <w:right w:val="single" w:sz="4" w:space="0" w:color="auto"/>
            </w:tcBorders>
            <w:vAlign w:val="center"/>
            <w:hideMark/>
          </w:tcPr>
          <w:p w14:paraId="661C9441"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110</w:t>
            </w:r>
          </w:p>
        </w:tc>
        <w:tc>
          <w:tcPr>
            <w:tcW w:w="1240" w:type="dxa"/>
            <w:tcBorders>
              <w:top w:val="nil"/>
              <w:left w:val="nil"/>
              <w:bottom w:val="single" w:sz="4" w:space="0" w:color="auto"/>
              <w:right w:val="single" w:sz="4" w:space="0" w:color="auto"/>
            </w:tcBorders>
            <w:vAlign w:val="center"/>
            <w:hideMark/>
          </w:tcPr>
          <w:p w14:paraId="71705EAC"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1687</w:t>
            </w:r>
          </w:p>
        </w:tc>
        <w:tc>
          <w:tcPr>
            <w:tcW w:w="822" w:type="dxa"/>
            <w:tcBorders>
              <w:top w:val="nil"/>
              <w:left w:val="nil"/>
              <w:bottom w:val="single" w:sz="4" w:space="0" w:color="auto"/>
              <w:right w:val="single" w:sz="4" w:space="0" w:color="auto"/>
            </w:tcBorders>
            <w:vAlign w:val="center"/>
            <w:hideMark/>
          </w:tcPr>
          <w:p w14:paraId="7EECEAE3"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622</w:t>
            </w:r>
          </w:p>
        </w:tc>
        <w:tc>
          <w:tcPr>
            <w:tcW w:w="1082" w:type="dxa"/>
            <w:tcBorders>
              <w:top w:val="nil"/>
              <w:left w:val="nil"/>
              <w:bottom w:val="single" w:sz="4" w:space="0" w:color="auto"/>
              <w:right w:val="single" w:sz="4" w:space="0" w:color="auto"/>
            </w:tcBorders>
            <w:vAlign w:val="center"/>
            <w:hideMark/>
          </w:tcPr>
          <w:p w14:paraId="61FBF0C9"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3833</w:t>
            </w:r>
          </w:p>
        </w:tc>
        <w:tc>
          <w:tcPr>
            <w:tcW w:w="965" w:type="dxa"/>
            <w:tcBorders>
              <w:top w:val="nil"/>
              <w:left w:val="nil"/>
              <w:bottom w:val="single" w:sz="4" w:space="0" w:color="auto"/>
              <w:right w:val="single" w:sz="4" w:space="0" w:color="auto"/>
            </w:tcBorders>
            <w:vAlign w:val="center"/>
            <w:hideMark/>
          </w:tcPr>
          <w:p w14:paraId="195145A2"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915</w:t>
            </w:r>
          </w:p>
        </w:tc>
        <w:tc>
          <w:tcPr>
            <w:tcW w:w="926" w:type="dxa"/>
            <w:tcBorders>
              <w:top w:val="nil"/>
              <w:left w:val="nil"/>
              <w:bottom w:val="single" w:sz="4" w:space="0" w:color="auto"/>
              <w:right w:val="single" w:sz="4" w:space="0" w:color="auto"/>
            </w:tcBorders>
            <w:vAlign w:val="center"/>
            <w:hideMark/>
          </w:tcPr>
          <w:p w14:paraId="5DE91FEE"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107</w:t>
            </w:r>
          </w:p>
        </w:tc>
        <w:tc>
          <w:tcPr>
            <w:tcW w:w="1082" w:type="dxa"/>
            <w:tcBorders>
              <w:top w:val="nil"/>
              <w:left w:val="nil"/>
              <w:bottom w:val="single" w:sz="4" w:space="0" w:color="auto"/>
              <w:right w:val="single" w:sz="4" w:space="0" w:color="auto"/>
            </w:tcBorders>
            <w:vAlign w:val="center"/>
            <w:hideMark/>
          </w:tcPr>
          <w:p w14:paraId="537AE39F"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1110</w:t>
            </w:r>
          </w:p>
        </w:tc>
        <w:tc>
          <w:tcPr>
            <w:tcW w:w="1082" w:type="dxa"/>
            <w:tcBorders>
              <w:top w:val="nil"/>
              <w:left w:val="nil"/>
              <w:bottom w:val="single" w:sz="4" w:space="0" w:color="auto"/>
              <w:right w:val="single" w:sz="4" w:space="0" w:color="auto"/>
            </w:tcBorders>
            <w:vAlign w:val="center"/>
            <w:hideMark/>
          </w:tcPr>
          <w:p w14:paraId="2C7B35C3"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5965</w:t>
            </w:r>
          </w:p>
        </w:tc>
      </w:tr>
      <w:tr w:rsidR="007506E5" w:rsidRPr="007506E5" w14:paraId="0C9A8D21" w14:textId="77777777" w:rsidTr="00C91D91">
        <w:trPr>
          <w:trHeight w:val="20"/>
          <w:jc w:val="center"/>
        </w:trPr>
        <w:tc>
          <w:tcPr>
            <w:tcW w:w="1369" w:type="dxa"/>
            <w:tcBorders>
              <w:top w:val="nil"/>
              <w:left w:val="single" w:sz="4" w:space="0" w:color="auto"/>
              <w:bottom w:val="single" w:sz="4" w:space="0" w:color="auto"/>
              <w:right w:val="single" w:sz="4" w:space="0" w:color="auto"/>
            </w:tcBorders>
            <w:vAlign w:val="center"/>
            <w:hideMark/>
          </w:tcPr>
          <w:p w14:paraId="226CB4C0" w14:textId="3EB8022F" w:rsidR="007506E5" w:rsidRPr="007506E5" w:rsidRDefault="007506E5" w:rsidP="007506E5">
            <w:pPr>
              <w:spacing w:after="0" w:line="240" w:lineRule="auto"/>
              <w:jc w:val="center"/>
              <w:rPr>
                <w:rFonts w:ascii="Aptos" w:eastAsia="Times New Roman" w:hAnsi="Aptos" w:cs="Times New Roman"/>
                <w:color w:val="000000"/>
                <w:kern w:val="0"/>
                <w:szCs w:val="24"/>
                <w:lang w:eastAsia="en-IN"/>
                <w14:ligatures w14:val="none"/>
              </w:rPr>
            </w:pPr>
          </w:p>
        </w:tc>
        <w:tc>
          <w:tcPr>
            <w:tcW w:w="1473" w:type="dxa"/>
            <w:tcBorders>
              <w:top w:val="nil"/>
              <w:left w:val="nil"/>
              <w:bottom w:val="single" w:sz="4" w:space="0" w:color="auto"/>
              <w:right w:val="single" w:sz="4" w:space="0" w:color="auto"/>
            </w:tcBorders>
            <w:vAlign w:val="center"/>
            <w:hideMark/>
          </w:tcPr>
          <w:p w14:paraId="3F5F010B" w14:textId="3438ADC0" w:rsidR="007506E5" w:rsidRPr="007506E5" w:rsidRDefault="007506E5" w:rsidP="007506E5">
            <w:pPr>
              <w:spacing w:after="0" w:line="240" w:lineRule="auto"/>
              <w:jc w:val="center"/>
              <w:rPr>
                <w:rFonts w:ascii="Aptos" w:eastAsia="Times New Roman" w:hAnsi="Aptos" w:cs="Times New Roman"/>
                <w:color w:val="000000"/>
                <w:kern w:val="0"/>
                <w:szCs w:val="24"/>
                <w:lang w:eastAsia="en-IN"/>
                <w14:ligatures w14:val="none"/>
              </w:rPr>
            </w:pPr>
          </w:p>
        </w:tc>
        <w:tc>
          <w:tcPr>
            <w:tcW w:w="1083" w:type="dxa"/>
            <w:tcBorders>
              <w:top w:val="nil"/>
              <w:left w:val="nil"/>
              <w:bottom w:val="single" w:sz="4" w:space="0" w:color="auto"/>
              <w:right w:val="single" w:sz="4" w:space="0" w:color="auto"/>
            </w:tcBorders>
            <w:vAlign w:val="center"/>
            <w:hideMark/>
          </w:tcPr>
          <w:p w14:paraId="3AB7CDED" w14:textId="3D20E7A1"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15</w:t>
            </w:r>
            <w:r w:rsidR="005A4048">
              <w:rPr>
                <w:rFonts w:ascii="Times New Roman" w:eastAsia="Times New Roman" w:hAnsi="Times New Roman" w:cs="Times New Roman"/>
                <w:i/>
                <w:iCs/>
                <w:color w:val="000000"/>
                <w:kern w:val="0"/>
                <w:szCs w:val="24"/>
                <w:lang w:eastAsia="en-IN"/>
                <w14:ligatures w14:val="none"/>
              </w:rPr>
              <w:t>.</w:t>
            </w:r>
            <w:r w:rsidRPr="007506E5">
              <w:rPr>
                <w:rFonts w:ascii="Times New Roman" w:eastAsia="Times New Roman" w:hAnsi="Times New Roman" w:cs="Times New Roman"/>
                <w:i/>
                <w:iCs/>
                <w:color w:val="000000"/>
                <w:kern w:val="0"/>
                <w:szCs w:val="24"/>
                <w:lang w:eastAsia="en-IN"/>
                <w14:ligatures w14:val="none"/>
              </w:rPr>
              <w:t>4</w:t>
            </w:r>
          </w:p>
        </w:tc>
        <w:tc>
          <w:tcPr>
            <w:tcW w:w="862" w:type="dxa"/>
            <w:tcBorders>
              <w:top w:val="nil"/>
              <w:left w:val="nil"/>
              <w:bottom w:val="single" w:sz="4" w:space="0" w:color="auto"/>
              <w:right w:val="single" w:sz="4" w:space="0" w:color="auto"/>
            </w:tcBorders>
            <w:vAlign w:val="center"/>
            <w:hideMark/>
          </w:tcPr>
          <w:p w14:paraId="3863C927" w14:textId="0AD04366"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0</w:t>
            </w:r>
            <w:r w:rsidR="00DC02C1">
              <w:rPr>
                <w:rFonts w:ascii="Times New Roman" w:eastAsia="Times New Roman" w:hAnsi="Times New Roman" w:cs="Times New Roman"/>
                <w:i/>
                <w:iCs/>
                <w:color w:val="000000"/>
                <w:kern w:val="0"/>
                <w:szCs w:val="24"/>
                <w:lang w:eastAsia="en-IN"/>
                <w14:ligatures w14:val="none"/>
              </w:rPr>
              <w:t>.</w:t>
            </w:r>
            <w:r w:rsidRPr="007506E5">
              <w:rPr>
                <w:rFonts w:ascii="Times New Roman" w:eastAsia="Times New Roman" w:hAnsi="Times New Roman" w:cs="Times New Roman"/>
                <w:i/>
                <w:iCs/>
                <w:color w:val="000000"/>
                <w:kern w:val="0"/>
                <w:szCs w:val="24"/>
                <w:lang w:eastAsia="en-IN"/>
                <w14:ligatures w14:val="none"/>
              </w:rPr>
              <w:t>6</w:t>
            </w:r>
          </w:p>
        </w:tc>
        <w:tc>
          <w:tcPr>
            <w:tcW w:w="966" w:type="dxa"/>
            <w:tcBorders>
              <w:top w:val="nil"/>
              <w:left w:val="nil"/>
              <w:bottom w:val="single" w:sz="4" w:space="0" w:color="auto"/>
              <w:right w:val="single" w:sz="4" w:space="0" w:color="auto"/>
            </w:tcBorders>
            <w:vAlign w:val="center"/>
            <w:hideMark/>
          </w:tcPr>
          <w:p w14:paraId="67289EA7" w14:textId="7B763FB0"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7</w:t>
            </w:r>
            <w:r w:rsidR="00DC02C1">
              <w:rPr>
                <w:rFonts w:ascii="Times New Roman" w:eastAsia="Times New Roman" w:hAnsi="Times New Roman" w:cs="Times New Roman"/>
                <w:i/>
                <w:iCs/>
                <w:color w:val="000000"/>
                <w:kern w:val="0"/>
                <w:szCs w:val="24"/>
                <w:lang w:eastAsia="en-IN"/>
                <w14:ligatures w14:val="none"/>
              </w:rPr>
              <w:t>.</w:t>
            </w:r>
            <w:r w:rsidRPr="007506E5">
              <w:rPr>
                <w:rFonts w:ascii="Times New Roman" w:eastAsia="Times New Roman" w:hAnsi="Times New Roman" w:cs="Times New Roman"/>
                <w:i/>
                <w:iCs/>
                <w:color w:val="000000"/>
                <w:kern w:val="0"/>
                <w:szCs w:val="24"/>
                <w:lang w:eastAsia="en-IN"/>
                <w14:ligatures w14:val="none"/>
              </w:rPr>
              <w:t>6</w:t>
            </w:r>
          </w:p>
        </w:tc>
        <w:tc>
          <w:tcPr>
            <w:tcW w:w="1460" w:type="dxa"/>
            <w:tcBorders>
              <w:top w:val="nil"/>
              <w:left w:val="nil"/>
              <w:bottom w:val="single" w:sz="4" w:space="0" w:color="auto"/>
              <w:right w:val="single" w:sz="4" w:space="0" w:color="auto"/>
            </w:tcBorders>
            <w:vAlign w:val="center"/>
            <w:hideMark/>
          </w:tcPr>
          <w:p w14:paraId="1C5B636F" w14:textId="345C37C7"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1</w:t>
            </w:r>
            <w:r w:rsidR="00DC02C1">
              <w:rPr>
                <w:rFonts w:ascii="Times New Roman" w:eastAsia="Times New Roman" w:hAnsi="Times New Roman" w:cs="Times New Roman"/>
                <w:i/>
                <w:iCs/>
                <w:color w:val="000000"/>
                <w:kern w:val="0"/>
                <w:szCs w:val="24"/>
                <w:lang w:eastAsia="en-IN"/>
                <w14:ligatures w14:val="none"/>
              </w:rPr>
              <w:t>.</w:t>
            </w:r>
            <w:r w:rsidRPr="007506E5">
              <w:rPr>
                <w:rFonts w:ascii="Times New Roman" w:eastAsia="Times New Roman" w:hAnsi="Times New Roman" w:cs="Times New Roman"/>
                <w:i/>
                <w:iCs/>
                <w:color w:val="000000"/>
                <w:kern w:val="0"/>
                <w:szCs w:val="24"/>
                <w:lang w:eastAsia="en-IN"/>
                <w14:ligatures w14:val="none"/>
              </w:rPr>
              <w:t>8</w:t>
            </w:r>
          </w:p>
        </w:tc>
        <w:tc>
          <w:tcPr>
            <w:tcW w:w="1240" w:type="dxa"/>
            <w:tcBorders>
              <w:top w:val="nil"/>
              <w:left w:val="nil"/>
              <w:bottom w:val="single" w:sz="4" w:space="0" w:color="auto"/>
              <w:right w:val="single" w:sz="4" w:space="0" w:color="auto"/>
            </w:tcBorders>
            <w:vAlign w:val="center"/>
            <w:hideMark/>
          </w:tcPr>
          <w:p w14:paraId="790248FA" w14:textId="77777777"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28.3</w:t>
            </w:r>
          </w:p>
        </w:tc>
        <w:tc>
          <w:tcPr>
            <w:tcW w:w="822" w:type="dxa"/>
            <w:tcBorders>
              <w:top w:val="nil"/>
              <w:left w:val="nil"/>
              <w:bottom w:val="single" w:sz="4" w:space="0" w:color="auto"/>
              <w:right w:val="single" w:sz="4" w:space="0" w:color="auto"/>
            </w:tcBorders>
            <w:vAlign w:val="center"/>
            <w:hideMark/>
          </w:tcPr>
          <w:p w14:paraId="67B68CBD" w14:textId="77777777"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10.4</w:t>
            </w:r>
          </w:p>
        </w:tc>
        <w:tc>
          <w:tcPr>
            <w:tcW w:w="1082" w:type="dxa"/>
            <w:tcBorders>
              <w:top w:val="nil"/>
              <w:left w:val="nil"/>
              <w:bottom w:val="single" w:sz="4" w:space="0" w:color="auto"/>
              <w:right w:val="single" w:sz="4" w:space="0" w:color="auto"/>
            </w:tcBorders>
            <w:vAlign w:val="center"/>
            <w:hideMark/>
          </w:tcPr>
          <w:p w14:paraId="61421A7B" w14:textId="77777777"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64.3</w:t>
            </w:r>
          </w:p>
        </w:tc>
        <w:tc>
          <w:tcPr>
            <w:tcW w:w="965" w:type="dxa"/>
            <w:tcBorders>
              <w:top w:val="nil"/>
              <w:left w:val="nil"/>
              <w:bottom w:val="single" w:sz="4" w:space="0" w:color="auto"/>
              <w:right w:val="single" w:sz="4" w:space="0" w:color="auto"/>
            </w:tcBorders>
            <w:vAlign w:val="center"/>
            <w:hideMark/>
          </w:tcPr>
          <w:p w14:paraId="3FFEC922" w14:textId="77777777"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15.3</w:t>
            </w:r>
          </w:p>
        </w:tc>
        <w:tc>
          <w:tcPr>
            <w:tcW w:w="926" w:type="dxa"/>
            <w:tcBorders>
              <w:top w:val="nil"/>
              <w:left w:val="nil"/>
              <w:bottom w:val="single" w:sz="4" w:space="0" w:color="auto"/>
              <w:right w:val="single" w:sz="4" w:space="0" w:color="auto"/>
            </w:tcBorders>
            <w:vAlign w:val="center"/>
            <w:hideMark/>
          </w:tcPr>
          <w:p w14:paraId="2C76FF22" w14:textId="77777777"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1.8</w:t>
            </w:r>
          </w:p>
        </w:tc>
        <w:tc>
          <w:tcPr>
            <w:tcW w:w="1082" w:type="dxa"/>
            <w:tcBorders>
              <w:top w:val="nil"/>
              <w:left w:val="nil"/>
              <w:bottom w:val="single" w:sz="4" w:space="0" w:color="auto"/>
              <w:right w:val="single" w:sz="4" w:space="0" w:color="auto"/>
            </w:tcBorders>
            <w:vAlign w:val="center"/>
            <w:hideMark/>
          </w:tcPr>
          <w:p w14:paraId="6C2696C3" w14:textId="77777777"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18.6</w:t>
            </w:r>
          </w:p>
        </w:tc>
        <w:tc>
          <w:tcPr>
            <w:tcW w:w="1082" w:type="dxa"/>
            <w:tcBorders>
              <w:top w:val="nil"/>
              <w:left w:val="nil"/>
              <w:bottom w:val="single" w:sz="4" w:space="0" w:color="auto"/>
              <w:right w:val="single" w:sz="4" w:space="0" w:color="auto"/>
            </w:tcBorders>
            <w:vAlign w:val="center"/>
            <w:hideMark/>
          </w:tcPr>
          <w:p w14:paraId="1F72A7C2" w14:textId="7D6E6F12" w:rsidR="007506E5" w:rsidRPr="007506E5" w:rsidRDefault="007506E5" w:rsidP="007506E5">
            <w:pPr>
              <w:spacing w:after="0" w:line="240" w:lineRule="auto"/>
              <w:jc w:val="center"/>
              <w:rPr>
                <w:rFonts w:ascii="Aptos" w:eastAsia="Times New Roman" w:hAnsi="Aptos" w:cs="Times New Roman"/>
                <w:color w:val="000000"/>
                <w:kern w:val="0"/>
                <w:szCs w:val="24"/>
                <w:lang w:eastAsia="en-IN"/>
                <w14:ligatures w14:val="none"/>
              </w:rPr>
            </w:pPr>
          </w:p>
        </w:tc>
      </w:tr>
      <w:tr w:rsidR="007506E5" w:rsidRPr="007506E5" w14:paraId="614A2219" w14:textId="77777777" w:rsidTr="00C91D91">
        <w:trPr>
          <w:trHeight w:val="20"/>
          <w:jc w:val="center"/>
        </w:trPr>
        <w:tc>
          <w:tcPr>
            <w:tcW w:w="1369" w:type="dxa"/>
            <w:tcBorders>
              <w:top w:val="nil"/>
              <w:left w:val="single" w:sz="4" w:space="0" w:color="auto"/>
              <w:bottom w:val="single" w:sz="4" w:space="0" w:color="auto"/>
              <w:right w:val="single" w:sz="4" w:space="0" w:color="auto"/>
            </w:tcBorders>
            <w:vAlign w:val="center"/>
            <w:hideMark/>
          </w:tcPr>
          <w:p w14:paraId="2024E1B0"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Orissa</w:t>
            </w:r>
          </w:p>
        </w:tc>
        <w:tc>
          <w:tcPr>
            <w:tcW w:w="1473" w:type="dxa"/>
            <w:tcBorders>
              <w:top w:val="nil"/>
              <w:left w:val="nil"/>
              <w:bottom w:val="single" w:sz="4" w:space="0" w:color="auto"/>
              <w:right w:val="single" w:sz="4" w:space="0" w:color="auto"/>
            </w:tcBorders>
            <w:vAlign w:val="center"/>
            <w:hideMark/>
          </w:tcPr>
          <w:p w14:paraId="41F2E757"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16</w:t>
            </w:r>
          </w:p>
        </w:tc>
        <w:tc>
          <w:tcPr>
            <w:tcW w:w="1083" w:type="dxa"/>
            <w:tcBorders>
              <w:top w:val="nil"/>
              <w:left w:val="nil"/>
              <w:bottom w:val="single" w:sz="4" w:space="0" w:color="auto"/>
              <w:right w:val="single" w:sz="4" w:space="0" w:color="auto"/>
            </w:tcBorders>
            <w:vAlign w:val="center"/>
            <w:hideMark/>
          </w:tcPr>
          <w:p w14:paraId="1EA1DC9C"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107</w:t>
            </w:r>
          </w:p>
        </w:tc>
        <w:tc>
          <w:tcPr>
            <w:tcW w:w="862" w:type="dxa"/>
            <w:tcBorders>
              <w:top w:val="nil"/>
              <w:left w:val="nil"/>
              <w:bottom w:val="single" w:sz="4" w:space="0" w:color="auto"/>
              <w:right w:val="single" w:sz="4" w:space="0" w:color="auto"/>
            </w:tcBorders>
            <w:vAlign w:val="center"/>
            <w:hideMark/>
          </w:tcPr>
          <w:p w14:paraId="429904A5"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200</w:t>
            </w:r>
          </w:p>
        </w:tc>
        <w:tc>
          <w:tcPr>
            <w:tcW w:w="966" w:type="dxa"/>
            <w:tcBorders>
              <w:top w:val="nil"/>
              <w:left w:val="nil"/>
              <w:bottom w:val="single" w:sz="4" w:space="0" w:color="auto"/>
              <w:right w:val="single" w:sz="4" w:space="0" w:color="auto"/>
            </w:tcBorders>
            <w:vAlign w:val="center"/>
            <w:hideMark/>
          </w:tcPr>
          <w:p w14:paraId="0353FBB9"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69</w:t>
            </w:r>
          </w:p>
        </w:tc>
        <w:tc>
          <w:tcPr>
            <w:tcW w:w="1460" w:type="dxa"/>
            <w:tcBorders>
              <w:top w:val="nil"/>
              <w:left w:val="nil"/>
              <w:bottom w:val="single" w:sz="4" w:space="0" w:color="auto"/>
              <w:right w:val="single" w:sz="4" w:space="0" w:color="auto"/>
            </w:tcBorders>
            <w:vAlign w:val="center"/>
            <w:hideMark/>
          </w:tcPr>
          <w:p w14:paraId="47EC8A26"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12</w:t>
            </w:r>
          </w:p>
        </w:tc>
        <w:tc>
          <w:tcPr>
            <w:tcW w:w="1240" w:type="dxa"/>
            <w:tcBorders>
              <w:top w:val="nil"/>
              <w:left w:val="nil"/>
              <w:bottom w:val="single" w:sz="4" w:space="0" w:color="auto"/>
              <w:right w:val="single" w:sz="4" w:space="0" w:color="auto"/>
            </w:tcBorders>
            <w:vAlign w:val="center"/>
            <w:hideMark/>
          </w:tcPr>
          <w:p w14:paraId="587CB882"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127</w:t>
            </w:r>
          </w:p>
        </w:tc>
        <w:tc>
          <w:tcPr>
            <w:tcW w:w="822" w:type="dxa"/>
            <w:tcBorders>
              <w:top w:val="nil"/>
              <w:left w:val="nil"/>
              <w:bottom w:val="single" w:sz="4" w:space="0" w:color="auto"/>
              <w:right w:val="single" w:sz="4" w:space="0" w:color="auto"/>
            </w:tcBorders>
            <w:vAlign w:val="center"/>
            <w:hideMark/>
          </w:tcPr>
          <w:p w14:paraId="43BF48DD"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17</w:t>
            </w:r>
          </w:p>
        </w:tc>
        <w:tc>
          <w:tcPr>
            <w:tcW w:w="1082" w:type="dxa"/>
            <w:tcBorders>
              <w:top w:val="nil"/>
              <w:left w:val="nil"/>
              <w:bottom w:val="single" w:sz="4" w:space="0" w:color="auto"/>
              <w:right w:val="single" w:sz="4" w:space="0" w:color="auto"/>
            </w:tcBorders>
            <w:vAlign w:val="center"/>
            <w:hideMark/>
          </w:tcPr>
          <w:p w14:paraId="1C5B26DF"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548</w:t>
            </w:r>
          </w:p>
        </w:tc>
        <w:tc>
          <w:tcPr>
            <w:tcW w:w="965" w:type="dxa"/>
            <w:tcBorders>
              <w:top w:val="nil"/>
              <w:left w:val="nil"/>
              <w:bottom w:val="single" w:sz="4" w:space="0" w:color="auto"/>
              <w:right w:val="single" w:sz="4" w:space="0" w:color="auto"/>
            </w:tcBorders>
            <w:vAlign w:val="center"/>
            <w:hideMark/>
          </w:tcPr>
          <w:p w14:paraId="6FEEF1A8"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154</w:t>
            </w:r>
          </w:p>
        </w:tc>
        <w:tc>
          <w:tcPr>
            <w:tcW w:w="926" w:type="dxa"/>
            <w:tcBorders>
              <w:top w:val="nil"/>
              <w:left w:val="nil"/>
              <w:bottom w:val="single" w:sz="4" w:space="0" w:color="auto"/>
              <w:right w:val="single" w:sz="4" w:space="0" w:color="auto"/>
            </w:tcBorders>
            <w:vAlign w:val="center"/>
            <w:hideMark/>
          </w:tcPr>
          <w:p w14:paraId="3CB9A029"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173</w:t>
            </w:r>
          </w:p>
        </w:tc>
        <w:tc>
          <w:tcPr>
            <w:tcW w:w="1082" w:type="dxa"/>
            <w:tcBorders>
              <w:top w:val="nil"/>
              <w:left w:val="nil"/>
              <w:bottom w:val="single" w:sz="4" w:space="0" w:color="auto"/>
              <w:right w:val="single" w:sz="4" w:space="0" w:color="auto"/>
            </w:tcBorders>
            <w:vAlign w:val="center"/>
            <w:hideMark/>
          </w:tcPr>
          <w:p w14:paraId="38420E8D"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285</w:t>
            </w:r>
          </w:p>
        </w:tc>
        <w:tc>
          <w:tcPr>
            <w:tcW w:w="1082" w:type="dxa"/>
            <w:tcBorders>
              <w:top w:val="nil"/>
              <w:left w:val="nil"/>
              <w:bottom w:val="single" w:sz="4" w:space="0" w:color="auto"/>
              <w:right w:val="single" w:sz="4" w:space="0" w:color="auto"/>
            </w:tcBorders>
            <w:vAlign w:val="center"/>
            <w:hideMark/>
          </w:tcPr>
          <w:p w14:paraId="5934FFE7"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1160</w:t>
            </w:r>
          </w:p>
        </w:tc>
      </w:tr>
      <w:tr w:rsidR="007506E5" w:rsidRPr="007506E5" w14:paraId="11703AF1" w14:textId="77777777" w:rsidTr="00C91D91">
        <w:trPr>
          <w:trHeight w:val="20"/>
          <w:jc w:val="center"/>
        </w:trPr>
        <w:tc>
          <w:tcPr>
            <w:tcW w:w="1369" w:type="dxa"/>
            <w:tcBorders>
              <w:top w:val="nil"/>
              <w:left w:val="single" w:sz="4" w:space="0" w:color="auto"/>
              <w:bottom w:val="single" w:sz="4" w:space="0" w:color="auto"/>
              <w:right w:val="single" w:sz="4" w:space="0" w:color="auto"/>
            </w:tcBorders>
            <w:vAlign w:val="center"/>
            <w:hideMark/>
          </w:tcPr>
          <w:p w14:paraId="740B0979" w14:textId="10A7FAF4" w:rsidR="007506E5" w:rsidRPr="007506E5" w:rsidRDefault="007506E5" w:rsidP="007506E5">
            <w:pPr>
              <w:spacing w:after="0" w:line="240" w:lineRule="auto"/>
              <w:jc w:val="center"/>
              <w:rPr>
                <w:rFonts w:ascii="Aptos" w:eastAsia="Times New Roman" w:hAnsi="Aptos" w:cs="Times New Roman"/>
                <w:color w:val="000000"/>
                <w:kern w:val="0"/>
                <w:szCs w:val="24"/>
                <w:lang w:eastAsia="en-IN"/>
                <w14:ligatures w14:val="none"/>
              </w:rPr>
            </w:pPr>
          </w:p>
        </w:tc>
        <w:tc>
          <w:tcPr>
            <w:tcW w:w="1473" w:type="dxa"/>
            <w:tcBorders>
              <w:top w:val="nil"/>
              <w:left w:val="nil"/>
              <w:bottom w:val="single" w:sz="4" w:space="0" w:color="auto"/>
              <w:right w:val="single" w:sz="4" w:space="0" w:color="auto"/>
            </w:tcBorders>
            <w:vAlign w:val="center"/>
            <w:hideMark/>
          </w:tcPr>
          <w:p w14:paraId="6677527A" w14:textId="10C0676F"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1</w:t>
            </w:r>
            <w:r w:rsidR="005A4048">
              <w:rPr>
                <w:rFonts w:ascii="Times New Roman" w:eastAsia="Times New Roman" w:hAnsi="Times New Roman" w:cs="Times New Roman"/>
                <w:i/>
                <w:iCs/>
                <w:color w:val="000000"/>
                <w:kern w:val="0"/>
                <w:szCs w:val="24"/>
                <w:lang w:eastAsia="en-IN"/>
                <w14:ligatures w14:val="none"/>
              </w:rPr>
              <w:t>.</w:t>
            </w:r>
            <w:r w:rsidRPr="007506E5">
              <w:rPr>
                <w:rFonts w:ascii="Times New Roman" w:eastAsia="Times New Roman" w:hAnsi="Times New Roman" w:cs="Times New Roman"/>
                <w:i/>
                <w:iCs/>
                <w:color w:val="000000"/>
                <w:kern w:val="0"/>
                <w:szCs w:val="24"/>
                <w:lang w:eastAsia="en-IN"/>
                <w14:ligatures w14:val="none"/>
              </w:rPr>
              <w:t>4</w:t>
            </w:r>
          </w:p>
        </w:tc>
        <w:tc>
          <w:tcPr>
            <w:tcW w:w="1083" w:type="dxa"/>
            <w:tcBorders>
              <w:top w:val="nil"/>
              <w:left w:val="nil"/>
              <w:bottom w:val="single" w:sz="4" w:space="0" w:color="auto"/>
              <w:right w:val="single" w:sz="4" w:space="0" w:color="auto"/>
            </w:tcBorders>
            <w:vAlign w:val="center"/>
            <w:hideMark/>
          </w:tcPr>
          <w:p w14:paraId="0AA40557" w14:textId="0E68C97C"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9</w:t>
            </w:r>
            <w:r w:rsidR="005A4048">
              <w:rPr>
                <w:rFonts w:ascii="Times New Roman" w:eastAsia="Times New Roman" w:hAnsi="Times New Roman" w:cs="Times New Roman"/>
                <w:i/>
                <w:iCs/>
                <w:color w:val="000000"/>
                <w:kern w:val="0"/>
                <w:szCs w:val="24"/>
                <w:lang w:eastAsia="en-IN"/>
                <w14:ligatures w14:val="none"/>
              </w:rPr>
              <w:t>.</w:t>
            </w:r>
            <w:r w:rsidRPr="007506E5">
              <w:rPr>
                <w:rFonts w:ascii="Times New Roman" w:eastAsia="Times New Roman" w:hAnsi="Times New Roman" w:cs="Times New Roman"/>
                <w:i/>
                <w:iCs/>
                <w:color w:val="000000"/>
                <w:kern w:val="0"/>
                <w:szCs w:val="24"/>
                <w:lang w:eastAsia="en-IN"/>
                <w14:ligatures w14:val="none"/>
              </w:rPr>
              <w:t>2</w:t>
            </w:r>
          </w:p>
        </w:tc>
        <w:tc>
          <w:tcPr>
            <w:tcW w:w="862" w:type="dxa"/>
            <w:tcBorders>
              <w:top w:val="nil"/>
              <w:left w:val="nil"/>
              <w:bottom w:val="single" w:sz="4" w:space="0" w:color="auto"/>
              <w:right w:val="single" w:sz="4" w:space="0" w:color="auto"/>
            </w:tcBorders>
            <w:vAlign w:val="center"/>
            <w:hideMark/>
          </w:tcPr>
          <w:p w14:paraId="516D871D" w14:textId="594D4774"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17</w:t>
            </w:r>
            <w:r w:rsidR="00DC02C1">
              <w:rPr>
                <w:rFonts w:ascii="Times New Roman" w:eastAsia="Times New Roman" w:hAnsi="Times New Roman" w:cs="Times New Roman"/>
                <w:i/>
                <w:iCs/>
                <w:color w:val="000000"/>
                <w:kern w:val="0"/>
                <w:szCs w:val="24"/>
                <w:lang w:eastAsia="en-IN"/>
                <w14:ligatures w14:val="none"/>
              </w:rPr>
              <w:t>.</w:t>
            </w:r>
            <w:r w:rsidRPr="007506E5">
              <w:rPr>
                <w:rFonts w:ascii="Times New Roman" w:eastAsia="Times New Roman" w:hAnsi="Times New Roman" w:cs="Times New Roman"/>
                <w:i/>
                <w:iCs/>
                <w:color w:val="000000"/>
                <w:kern w:val="0"/>
                <w:szCs w:val="24"/>
                <w:lang w:eastAsia="en-IN"/>
                <w14:ligatures w14:val="none"/>
              </w:rPr>
              <w:t>2</w:t>
            </w:r>
          </w:p>
        </w:tc>
        <w:tc>
          <w:tcPr>
            <w:tcW w:w="966" w:type="dxa"/>
            <w:tcBorders>
              <w:top w:val="nil"/>
              <w:left w:val="nil"/>
              <w:bottom w:val="single" w:sz="4" w:space="0" w:color="auto"/>
              <w:right w:val="single" w:sz="4" w:space="0" w:color="auto"/>
            </w:tcBorders>
            <w:vAlign w:val="center"/>
            <w:hideMark/>
          </w:tcPr>
          <w:p w14:paraId="71E53953" w14:textId="6AA9F07F"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6</w:t>
            </w:r>
            <w:r w:rsidR="00DC02C1">
              <w:rPr>
                <w:rFonts w:ascii="Times New Roman" w:eastAsia="Times New Roman" w:hAnsi="Times New Roman" w:cs="Times New Roman"/>
                <w:i/>
                <w:iCs/>
                <w:color w:val="000000"/>
                <w:kern w:val="0"/>
                <w:szCs w:val="24"/>
                <w:lang w:eastAsia="en-IN"/>
                <w14:ligatures w14:val="none"/>
              </w:rPr>
              <w:t>.</w:t>
            </w:r>
            <w:r w:rsidRPr="007506E5">
              <w:rPr>
                <w:rFonts w:ascii="Times New Roman" w:eastAsia="Times New Roman" w:hAnsi="Times New Roman" w:cs="Times New Roman"/>
                <w:i/>
                <w:iCs/>
                <w:color w:val="000000"/>
                <w:kern w:val="0"/>
                <w:szCs w:val="24"/>
                <w:lang w:eastAsia="en-IN"/>
                <w14:ligatures w14:val="none"/>
              </w:rPr>
              <w:t>0</w:t>
            </w:r>
          </w:p>
        </w:tc>
        <w:tc>
          <w:tcPr>
            <w:tcW w:w="1460" w:type="dxa"/>
            <w:tcBorders>
              <w:top w:val="nil"/>
              <w:left w:val="nil"/>
              <w:bottom w:val="single" w:sz="4" w:space="0" w:color="auto"/>
              <w:right w:val="single" w:sz="4" w:space="0" w:color="auto"/>
            </w:tcBorders>
            <w:vAlign w:val="center"/>
            <w:hideMark/>
          </w:tcPr>
          <w:p w14:paraId="01D52489" w14:textId="079E463A"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1</w:t>
            </w:r>
            <w:r w:rsidR="00DC02C1">
              <w:rPr>
                <w:rFonts w:ascii="Times New Roman" w:eastAsia="Times New Roman" w:hAnsi="Times New Roman" w:cs="Times New Roman"/>
                <w:i/>
                <w:iCs/>
                <w:color w:val="000000"/>
                <w:kern w:val="0"/>
                <w:szCs w:val="24"/>
                <w:lang w:eastAsia="en-IN"/>
                <w14:ligatures w14:val="none"/>
              </w:rPr>
              <w:t>.</w:t>
            </w:r>
            <w:r w:rsidRPr="007506E5">
              <w:rPr>
                <w:rFonts w:ascii="Times New Roman" w:eastAsia="Times New Roman" w:hAnsi="Times New Roman" w:cs="Times New Roman"/>
                <w:i/>
                <w:iCs/>
                <w:color w:val="000000"/>
                <w:kern w:val="0"/>
                <w:szCs w:val="24"/>
                <w:lang w:eastAsia="en-IN"/>
                <w14:ligatures w14:val="none"/>
              </w:rPr>
              <w:t>0</w:t>
            </w:r>
          </w:p>
        </w:tc>
        <w:tc>
          <w:tcPr>
            <w:tcW w:w="1240" w:type="dxa"/>
            <w:tcBorders>
              <w:top w:val="nil"/>
              <w:left w:val="nil"/>
              <w:bottom w:val="single" w:sz="4" w:space="0" w:color="auto"/>
              <w:right w:val="single" w:sz="4" w:space="0" w:color="auto"/>
            </w:tcBorders>
            <w:vAlign w:val="center"/>
            <w:hideMark/>
          </w:tcPr>
          <w:p w14:paraId="68E74727" w14:textId="77777777"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10.9</w:t>
            </w:r>
          </w:p>
        </w:tc>
        <w:tc>
          <w:tcPr>
            <w:tcW w:w="822" w:type="dxa"/>
            <w:tcBorders>
              <w:top w:val="nil"/>
              <w:left w:val="nil"/>
              <w:bottom w:val="single" w:sz="4" w:space="0" w:color="auto"/>
              <w:right w:val="single" w:sz="4" w:space="0" w:color="auto"/>
            </w:tcBorders>
            <w:vAlign w:val="center"/>
            <w:hideMark/>
          </w:tcPr>
          <w:p w14:paraId="0BA18388" w14:textId="77777777"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1.5</w:t>
            </w:r>
          </w:p>
        </w:tc>
        <w:tc>
          <w:tcPr>
            <w:tcW w:w="1082" w:type="dxa"/>
            <w:tcBorders>
              <w:top w:val="nil"/>
              <w:left w:val="nil"/>
              <w:bottom w:val="single" w:sz="4" w:space="0" w:color="auto"/>
              <w:right w:val="single" w:sz="4" w:space="0" w:color="auto"/>
            </w:tcBorders>
            <w:vAlign w:val="center"/>
            <w:hideMark/>
          </w:tcPr>
          <w:p w14:paraId="4E3FB326" w14:textId="77777777"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47.2</w:t>
            </w:r>
          </w:p>
        </w:tc>
        <w:tc>
          <w:tcPr>
            <w:tcW w:w="965" w:type="dxa"/>
            <w:tcBorders>
              <w:top w:val="nil"/>
              <w:left w:val="nil"/>
              <w:bottom w:val="single" w:sz="4" w:space="0" w:color="auto"/>
              <w:right w:val="single" w:sz="4" w:space="0" w:color="auto"/>
            </w:tcBorders>
            <w:vAlign w:val="center"/>
            <w:hideMark/>
          </w:tcPr>
          <w:p w14:paraId="7CC8A23A" w14:textId="77777777"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13.3</w:t>
            </w:r>
          </w:p>
        </w:tc>
        <w:tc>
          <w:tcPr>
            <w:tcW w:w="926" w:type="dxa"/>
            <w:tcBorders>
              <w:top w:val="nil"/>
              <w:left w:val="nil"/>
              <w:bottom w:val="single" w:sz="4" w:space="0" w:color="auto"/>
              <w:right w:val="single" w:sz="4" w:space="0" w:color="auto"/>
            </w:tcBorders>
            <w:vAlign w:val="center"/>
            <w:hideMark/>
          </w:tcPr>
          <w:p w14:paraId="38047AB7" w14:textId="77777777"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14.9</w:t>
            </w:r>
          </w:p>
        </w:tc>
        <w:tc>
          <w:tcPr>
            <w:tcW w:w="1082" w:type="dxa"/>
            <w:tcBorders>
              <w:top w:val="nil"/>
              <w:left w:val="nil"/>
              <w:bottom w:val="single" w:sz="4" w:space="0" w:color="auto"/>
              <w:right w:val="single" w:sz="4" w:space="0" w:color="auto"/>
            </w:tcBorders>
            <w:vAlign w:val="center"/>
            <w:hideMark/>
          </w:tcPr>
          <w:p w14:paraId="1EE48AD6" w14:textId="77777777"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24.6</w:t>
            </w:r>
          </w:p>
        </w:tc>
        <w:tc>
          <w:tcPr>
            <w:tcW w:w="1082" w:type="dxa"/>
            <w:tcBorders>
              <w:top w:val="nil"/>
              <w:left w:val="nil"/>
              <w:bottom w:val="single" w:sz="4" w:space="0" w:color="auto"/>
              <w:right w:val="single" w:sz="4" w:space="0" w:color="auto"/>
            </w:tcBorders>
            <w:vAlign w:val="center"/>
            <w:hideMark/>
          </w:tcPr>
          <w:p w14:paraId="40AEEABD" w14:textId="17532E65" w:rsidR="007506E5" w:rsidRPr="007506E5" w:rsidRDefault="007506E5" w:rsidP="007506E5">
            <w:pPr>
              <w:spacing w:after="0" w:line="240" w:lineRule="auto"/>
              <w:jc w:val="center"/>
              <w:rPr>
                <w:rFonts w:ascii="Aptos" w:eastAsia="Times New Roman" w:hAnsi="Aptos" w:cs="Times New Roman"/>
                <w:color w:val="000000"/>
                <w:kern w:val="0"/>
                <w:szCs w:val="24"/>
                <w:lang w:eastAsia="en-IN"/>
                <w14:ligatures w14:val="none"/>
              </w:rPr>
            </w:pPr>
          </w:p>
        </w:tc>
      </w:tr>
      <w:tr w:rsidR="007506E5" w:rsidRPr="007506E5" w14:paraId="7D83FC3F" w14:textId="77777777" w:rsidTr="00C91D91">
        <w:trPr>
          <w:trHeight w:val="20"/>
          <w:jc w:val="center"/>
        </w:trPr>
        <w:tc>
          <w:tcPr>
            <w:tcW w:w="1369" w:type="dxa"/>
            <w:tcBorders>
              <w:top w:val="nil"/>
              <w:left w:val="single" w:sz="4" w:space="0" w:color="auto"/>
              <w:bottom w:val="single" w:sz="4" w:space="0" w:color="auto"/>
              <w:right w:val="single" w:sz="4" w:space="0" w:color="auto"/>
            </w:tcBorders>
            <w:vAlign w:val="center"/>
            <w:hideMark/>
          </w:tcPr>
          <w:p w14:paraId="1991E0B5"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Punjab</w:t>
            </w:r>
          </w:p>
        </w:tc>
        <w:tc>
          <w:tcPr>
            <w:tcW w:w="1473" w:type="dxa"/>
            <w:tcBorders>
              <w:top w:val="nil"/>
              <w:left w:val="nil"/>
              <w:bottom w:val="single" w:sz="4" w:space="0" w:color="auto"/>
              <w:right w:val="single" w:sz="4" w:space="0" w:color="auto"/>
            </w:tcBorders>
            <w:vAlign w:val="center"/>
            <w:hideMark/>
          </w:tcPr>
          <w:p w14:paraId="0C66393A"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w:t>
            </w:r>
          </w:p>
        </w:tc>
        <w:tc>
          <w:tcPr>
            <w:tcW w:w="1083" w:type="dxa"/>
            <w:tcBorders>
              <w:top w:val="nil"/>
              <w:left w:val="nil"/>
              <w:bottom w:val="single" w:sz="4" w:space="0" w:color="auto"/>
              <w:right w:val="single" w:sz="4" w:space="0" w:color="auto"/>
            </w:tcBorders>
            <w:vAlign w:val="center"/>
            <w:hideMark/>
          </w:tcPr>
          <w:p w14:paraId="48AE25C2"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198</w:t>
            </w:r>
          </w:p>
        </w:tc>
        <w:tc>
          <w:tcPr>
            <w:tcW w:w="862" w:type="dxa"/>
            <w:tcBorders>
              <w:top w:val="nil"/>
              <w:left w:val="nil"/>
              <w:bottom w:val="single" w:sz="4" w:space="0" w:color="auto"/>
              <w:right w:val="single" w:sz="4" w:space="0" w:color="auto"/>
            </w:tcBorders>
            <w:vAlign w:val="center"/>
            <w:hideMark/>
          </w:tcPr>
          <w:p w14:paraId="5BEB6C73"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278</w:t>
            </w:r>
          </w:p>
        </w:tc>
        <w:tc>
          <w:tcPr>
            <w:tcW w:w="966" w:type="dxa"/>
            <w:tcBorders>
              <w:top w:val="nil"/>
              <w:left w:val="nil"/>
              <w:bottom w:val="single" w:sz="4" w:space="0" w:color="auto"/>
              <w:right w:val="single" w:sz="4" w:space="0" w:color="auto"/>
            </w:tcBorders>
            <w:vAlign w:val="center"/>
            <w:hideMark/>
          </w:tcPr>
          <w:p w14:paraId="71AC63F9"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59</w:t>
            </w:r>
          </w:p>
        </w:tc>
        <w:tc>
          <w:tcPr>
            <w:tcW w:w="1460" w:type="dxa"/>
            <w:tcBorders>
              <w:top w:val="nil"/>
              <w:left w:val="nil"/>
              <w:bottom w:val="single" w:sz="4" w:space="0" w:color="auto"/>
              <w:right w:val="single" w:sz="4" w:space="0" w:color="auto"/>
            </w:tcBorders>
            <w:vAlign w:val="center"/>
            <w:hideMark/>
          </w:tcPr>
          <w:p w14:paraId="7D842C62"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9</w:t>
            </w:r>
          </w:p>
        </w:tc>
        <w:tc>
          <w:tcPr>
            <w:tcW w:w="1240" w:type="dxa"/>
            <w:tcBorders>
              <w:top w:val="nil"/>
              <w:left w:val="nil"/>
              <w:bottom w:val="single" w:sz="4" w:space="0" w:color="auto"/>
              <w:right w:val="single" w:sz="4" w:space="0" w:color="auto"/>
            </w:tcBorders>
            <w:vAlign w:val="center"/>
            <w:hideMark/>
          </w:tcPr>
          <w:p w14:paraId="52A79F37"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193</w:t>
            </w:r>
          </w:p>
        </w:tc>
        <w:tc>
          <w:tcPr>
            <w:tcW w:w="822" w:type="dxa"/>
            <w:tcBorders>
              <w:top w:val="nil"/>
              <w:left w:val="nil"/>
              <w:bottom w:val="single" w:sz="4" w:space="0" w:color="auto"/>
              <w:right w:val="single" w:sz="4" w:space="0" w:color="auto"/>
            </w:tcBorders>
            <w:vAlign w:val="center"/>
            <w:hideMark/>
          </w:tcPr>
          <w:p w14:paraId="0393E550"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73</w:t>
            </w:r>
          </w:p>
        </w:tc>
        <w:tc>
          <w:tcPr>
            <w:tcW w:w="1082" w:type="dxa"/>
            <w:tcBorders>
              <w:top w:val="nil"/>
              <w:left w:val="nil"/>
              <w:bottom w:val="single" w:sz="4" w:space="0" w:color="auto"/>
              <w:right w:val="single" w:sz="4" w:space="0" w:color="auto"/>
            </w:tcBorders>
            <w:vAlign w:val="center"/>
            <w:hideMark/>
          </w:tcPr>
          <w:p w14:paraId="5BD0E9DB"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810</w:t>
            </w:r>
          </w:p>
        </w:tc>
        <w:tc>
          <w:tcPr>
            <w:tcW w:w="965" w:type="dxa"/>
            <w:tcBorders>
              <w:top w:val="nil"/>
              <w:left w:val="nil"/>
              <w:bottom w:val="single" w:sz="4" w:space="0" w:color="auto"/>
              <w:right w:val="single" w:sz="4" w:space="0" w:color="auto"/>
            </w:tcBorders>
            <w:vAlign w:val="center"/>
            <w:hideMark/>
          </w:tcPr>
          <w:p w14:paraId="78A84E72"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288</w:t>
            </w:r>
          </w:p>
        </w:tc>
        <w:tc>
          <w:tcPr>
            <w:tcW w:w="926" w:type="dxa"/>
            <w:tcBorders>
              <w:top w:val="nil"/>
              <w:left w:val="nil"/>
              <w:bottom w:val="single" w:sz="4" w:space="0" w:color="auto"/>
              <w:right w:val="single" w:sz="4" w:space="0" w:color="auto"/>
            </w:tcBorders>
            <w:vAlign w:val="center"/>
            <w:hideMark/>
          </w:tcPr>
          <w:p w14:paraId="6BD66E16"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w:t>
            </w:r>
          </w:p>
        </w:tc>
        <w:tc>
          <w:tcPr>
            <w:tcW w:w="1082" w:type="dxa"/>
            <w:tcBorders>
              <w:top w:val="nil"/>
              <w:left w:val="nil"/>
              <w:bottom w:val="single" w:sz="4" w:space="0" w:color="auto"/>
              <w:right w:val="single" w:sz="4" w:space="0" w:color="auto"/>
            </w:tcBorders>
            <w:vAlign w:val="center"/>
            <w:hideMark/>
          </w:tcPr>
          <w:p w14:paraId="1C4A39CE"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682</w:t>
            </w:r>
          </w:p>
        </w:tc>
        <w:tc>
          <w:tcPr>
            <w:tcW w:w="1082" w:type="dxa"/>
            <w:tcBorders>
              <w:top w:val="nil"/>
              <w:left w:val="nil"/>
              <w:bottom w:val="single" w:sz="4" w:space="0" w:color="auto"/>
              <w:right w:val="single" w:sz="4" w:space="0" w:color="auto"/>
            </w:tcBorders>
            <w:vAlign w:val="center"/>
            <w:hideMark/>
          </w:tcPr>
          <w:p w14:paraId="66985865"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1780</w:t>
            </w:r>
          </w:p>
        </w:tc>
      </w:tr>
      <w:tr w:rsidR="007506E5" w:rsidRPr="007506E5" w14:paraId="186DD86A" w14:textId="77777777" w:rsidTr="00C91D91">
        <w:trPr>
          <w:trHeight w:val="20"/>
          <w:jc w:val="center"/>
        </w:trPr>
        <w:tc>
          <w:tcPr>
            <w:tcW w:w="1369" w:type="dxa"/>
            <w:tcBorders>
              <w:top w:val="nil"/>
              <w:left w:val="single" w:sz="4" w:space="0" w:color="auto"/>
              <w:bottom w:val="single" w:sz="4" w:space="0" w:color="auto"/>
              <w:right w:val="single" w:sz="4" w:space="0" w:color="auto"/>
            </w:tcBorders>
            <w:vAlign w:val="center"/>
            <w:hideMark/>
          </w:tcPr>
          <w:p w14:paraId="4B70E9C2" w14:textId="6D27A4AB" w:rsidR="007506E5" w:rsidRPr="007506E5" w:rsidRDefault="007506E5" w:rsidP="007506E5">
            <w:pPr>
              <w:spacing w:after="0" w:line="240" w:lineRule="auto"/>
              <w:jc w:val="center"/>
              <w:rPr>
                <w:rFonts w:ascii="Aptos" w:eastAsia="Times New Roman" w:hAnsi="Aptos" w:cs="Times New Roman"/>
                <w:color w:val="000000"/>
                <w:kern w:val="0"/>
                <w:szCs w:val="24"/>
                <w:lang w:eastAsia="en-IN"/>
                <w14:ligatures w14:val="none"/>
              </w:rPr>
            </w:pPr>
          </w:p>
        </w:tc>
        <w:tc>
          <w:tcPr>
            <w:tcW w:w="1473" w:type="dxa"/>
            <w:tcBorders>
              <w:top w:val="nil"/>
              <w:left w:val="nil"/>
              <w:bottom w:val="single" w:sz="4" w:space="0" w:color="auto"/>
              <w:right w:val="single" w:sz="4" w:space="0" w:color="auto"/>
            </w:tcBorders>
            <w:vAlign w:val="center"/>
            <w:hideMark/>
          </w:tcPr>
          <w:p w14:paraId="45C48E78" w14:textId="24E51501" w:rsidR="007506E5" w:rsidRPr="007506E5" w:rsidRDefault="007506E5" w:rsidP="007506E5">
            <w:pPr>
              <w:spacing w:after="0" w:line="240" w:lineRule="auto"/>
              <w:jc w:val="center"/>
              <w:rPr>
                <w:rFonts w:ascii="Aptos" w:eastAsia="Times New Roman" w:hAnsi="Aptos" w:cs="Times New Roman"/>
                <w:color w:val="000000"/>
                <w:kern w:val="0"/>
                <w:szCs w:val="24"/>
                <w:lang w:eastAsia="en-IN"/>
                <w14:ligatures w14:val="none"/>
              </w:rPr>
            </w:pPr>
          </w:p>
        </w:tc>
        <w:tc>
          <w:tcPr>
            <w:tcW w:w="1083" w:type="dxa"/>
            <w:tcBorders>
              <w:top w:val="nil"/>
              <w:left w:val="nil"/>
              <w:bottom w:val="single" w:sz="4" w:space="0" w:color="auto"/>
              <w:right w:val="single" w:sz="4" w:space="0" w:color="auto"/>
            </w:tcBorders>
            <w:vAlign w:val="center"/>
            <w:hideMark/>
          </w:tcPr>
          <w:p w14:paraId="209A6704" w14:textId="0549B75F"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11</w:t>
            </w:r>
            <w:r w:rsidR="005A4048">
              <w:rPr>
                <w:rFonts w:ascii="Times New Roman" w:eastAsia="Times New Roman" w:hAnsi="Times New Roman" w:cs="Times New Roman"/>
                <w:i/>
                <w:iCs/>
                <w:color w:val="000000"/>
                <w:kern w:val="0"/>
                <w:szCs w:val="24"/>
                <w:lang w:eastAsia="en-IN"/>
                <w14:ligatures w14:val="none"/>
              </w:rPr>
              <w:t>.</w:t>
            </w:r>
            <w:r w:rsidRPr="007506E5">
              <w:rPr>
                <w:rFonts w:ascii="Times New Roman" w:eastAsia="Times New Roman" w:hAnsi="Times New Roman" w:cs="Times New Roman"/>
                <w:i/>
                <w:iCs/>
                <w:color w:val="000000"/>
                <w:kern w:val="0"/>
                <w:szCs w:val="24"/>
                <w:lang w:eastAsia="en-IN"/>
                <w14:ligatures w14:val="none"/>
              </w:rPr>
              <w:t>1</w:t>
            </w:r>
          </w:p>
        </w:tc>
        <w:tc>
          <w:tcPr>
            <w:tcW w:w="862" w:type="dxa"/>
            <w:tcBorders>
              <w:top w:val="nil"/>
              <w:left w:val="nil"/>
              <w:bottom w:val="single" w:sz="4" w:space="0" w:color="auto"/>
              <w:right w:val="single" w:sz="4" w:space="0" w:color="auto"/>
            </w:tcBorders>
            <w:vAlign w:val="center"/>
            <w:hideMark/>
          </w:tcPr>
          <w:p w14:paraId="5E6EBAA0" w14:textId="1909FA33"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15</w:t>
            </w:r>
            <w:r w:rsidR="00DC02C1">
              <w:rPr>
                <w:rFonts w:ascii="Times New Roman" w:eastAsia="Times New Roman" w:hAnsi="Times New Roman" w:cs="Times New Roman"/>
                <w:i/>
                <w:iCs/>
                <w:color w:val="000000"/>
                <w:kern w:val="0"/>
                <w:szCs w:val="24"/>
                <w:lang w:eastAsia="en-IN"/>
                <w14:ligatures w14:val="none"/>
              </w:rPr>
              <w:t>.</w:t>
            </w:r>
            <w:r w:rsidRPr="007506E5">
              <w:rPr>
                <w:rFonts w:ascii="Times New Roman" w:eastAsia="Times New Roman" w:hAnsi="Times New Roman" w:cs="Times New Roman"/>
                <w:i/>
                <w:iCs/>
                <w:color w:val="000000"/>
                <w:kern w:val="0"/>
                <w:szCs w:val="24"/>
                <w:lang w:eastAsia="en-IN"/>
                <w14:ligatures w14:val="none"/>
              </w:rPr>
              <w:t>6</w:t>
            </w:r>
          </w:p>
        </w:tc>
        <w:tc>
          <w:tcPr>
            <w:tcW w:w="966" w:type="dxa"/>
            <w:tcBorders>
              <w:top w:val="nil"/>
              <w:left w:val="nil"/>
              <w:bottom w:val="single" w:sz="4" w:space="0" w:color="auto"/>
              <w:right w:val="single" w:sz="4" w:space="0" w:color="auto"/>
            </w:tcBorders>
            <w:vAlign w:val="center"/>
            <w:hideMark/>
          </w:tcPr>
          <w:p w14:paraId="58FA727A" w14:textId="2DE530E0"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3</w:t>
            </w:r>
            <w:r w:rsidR="00DC02C1">
              <w:rPr>
                <w:rFonts w:ascii="Times New Roman" w:eastAsia="Times New Roman" w:hAnsi="Times New Roman" w:cs="Times New Roman"/>
                <w:i/>
                <w:iCs/>
                <w:color w:val="000000"/>
                <w:kern w:val="0"/>
                <w:szCs w:val="24"/>
                <w:lang w:eastAsia="en-IN"/>
                <w14:ligatures w14:val="none"/>
              </w:rPr>
              <w:t>.</w:t>
            </w:r>
            <w:r w:rsidRPr="007506E5">
              <w:rPr>
                <w:rFonts w:ascii="Times New Roman" w:eastAsia="Times New Roman" w:hAnsi="Times New Roman" w:cs="Times New Roman"/>
                <w:i/>
                <w:iCs/>
                <w:color w:val="000000"/>
                <w:kern w:val="0"/>
                <w:szCs w:val="24"/>
                <w:lang w:eastAsia="en-IN"/>
                <w14:ligatures w14:val="none"/>
              </w:rPr>
              <w:t>3</w:t>
            </w:r>
          </w:p>
        </w:tc>
        <w:tc>
          <w:tcPr>
            <w:tcW w:w="1460" w:type="dxa"/>
            <w:tcBorders>
              <w:top w:val="nil"/>
              <w:left w:val="nil"/>
              <w:bottom w:val="single" w:sz="4" w:space="0" w:color="auto"/>
              <w:right w:val="single" w:sz="4" w:space="0" w:color="auto"/>
            </w:tcBorders>
            <w:vAlign w:val="center"/>
            <w:hideMark/>
          </w:tcPr>
          <w:p w14:paraId="1B0690CF" w14:textId="2F47644C"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0</w:t>
            </w:r>
            <w:r w:rsidR="00DC02C1">
              <w:rPr>
                <w:rFonts w:ascii="Times New Roman" w:eastAsia="Times New Roman" w:hAnsi="Times New Roman" w:cs="Times New Roman"/>
                <w:i/>
                <w:iCs/>
                <w:color w:val="000000"/>
                <w:kern w:val="0"/>
                <w:szCs w:val="24"/>
                <w:lang w:eastAsia="en-IN"/>
                <w14:ligatures w14:val="none"/>
              </w:rPr>
              <w:t>.</w:t>
            </w:r>
            <w:r w:rsidRPr="007506E5">
              <w:rPr>
                <w:rFonts w:ascii="Times New Roman" w:eastAsia="Times New Roman" w:hAnsi="Times New Roman" w:cs="Times New Roman"/>
                <w:i/>
                <w:iCs/>
                <w:color w:val="000000"/>
                <w:kern w:val="0"/>
                <w:szCs w:val="24"/>
                <w:lang w:eastAsia="en-IN"/>
                <w14:ligatures w14:val="none"/>
              </w:rPr>
              <w:t>5</w:t>
            </w:r>
          </w:p>
        </w:tc>
        <w:tc>
          <w:tcPr>
            <w:tcW w:w="1240" w:type="dxa"/>
            <w:tcBorders>
              <w:top w:val="nil"/>
              <w:left w:val="nil"/>
              <w:bottom w:val="single" w:sz="4" w:space="0" w:color="auto"/>
              <w:right w:val="single" w:sz="4" w:space="0" w:color="auto"/>
            </w:tcBorders>
            <w:vAlign w:val="center"/>
            <w:hideMark/>
          </w:tcPr>
          <w:p w14:paraId="65EE0A8C" w14:textId="77777777"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10.8</w:t>
            </w:r>
          </w:p>
        </w:tc>
        <w:tc>
          <w:tcPr>
            <w:tcW w:w="822" w:type="dxa"/>
            <w:tcBorders>
              <w:top w:val="nil"/>
              <w:left w:val="nil"/>
              <w:bottom w:val="single" w:sz="4" w:space="0" w:color="auto"/>
              <w:right w:val="single" w:sz="4" w:space="0" w:color="auto"/>
            </w:tcBorders>
            <w:vAlign w:val="center"/>
            <w:hideMark/>
          </w:tcPr>
          <w:p w14:paraId="78178349" w14:textId="77777777"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4.1</w:t>
            </w:r>
          </w:p>
        </w:tc>
        <w:tc>
          <w:tcPr>
            <w:tcW w:w="1082" w:type="dxa"/>
            <w:tcBorders>
              <w:top w:val="nil"/>
              <w:left w:val="nil"/>
              <w:bottom w:val="single" w:sz="4" w:space="0" w:color="auto"/>
              <w:right w:val="single" w:sz="4" w:space="0" w:color="auto"/>
            </w:tcBorders>
            <w:vAlign w:val="center"/>
            <w:hideMark/>
          </w:tcPr>
          <w:p w14:paraId="39146CF9" w14:textId="77777777"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45.5</w:t>
            </w:r>
          </w:p>
        </w:tc>
        <w:tc>
          <w:tcPr>
            <w:tcW w:w="965" w:type="dxa"/>
            <w:tcBorders>
              <w:top w:val="nil"/>
              <w:left w:val="nil"/>
              <w:bottom w:val="single" w:sz="4" w:space="0" w:color="auto"/>
              <w:right w:val="single" w:sz="4" w:space="0" w:color="auto"/>
            </w:tcBorders>
            <w:vAlign w:val="center"/>
            <w:hideMark/>
          </w:tcPr>
          <w:p w14:paraId="5FA56432" w14:textId="77777777"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16.2</w:t>
            </w:r>
          </w:p>
        </w:tc>
        <w:tc>
          <w:tcPr>
            <w:tcW w:w="926" w:type="dxa"/>
            <w:tcBorders>
              <w:top w:val="nil"/>
              <w:left w:val="nil"/>
              <w:bottom w:val="single" w:sz="4" w:space="0" w:color="auto"/>
              <w:right w:val="single" w:sz="4" w:space="0" w:color="auto"/>
            </w:tcBorders>
            <w:vAlign w:val="center"/>
            <w:hideMark/>
          </w:tcPr>
          <w:p w14:paraId="6701C6E6" w14:textId="03639BF6" w:rsidR="007506E5" w:rsidRPr="007506E5" w:rsidRDefault="007506E5" w:rsidP="007506E5">
            <w:pPr>
              <w:spacing w:after="0" w:line="240" w:lineRule="auto"/>
              <w:jc w:val="center"/>
              <w:rPr>
                <w:rFonts w:ascii="Aptos" w:eastAsia="Times New Roman" w:hAnsi="Aptos" w:cs="Times New Roman"/>
                <w:color w:val="000000"/>
                <w:kern w:val="0"/>
                <w:szCs w:val="24"/>
                <w:lang w:eastAsia="en-IN"/>
                <w14:ligatures w14:val="none"/>
              </w:rPr>
            </w:pPr>
          </w:p>
        </w:tc>
        <w:tc>
          <w:tcPr>
            <w:tcW w:w="1082" w:type="dxa"/>
            <w:tcBorders>
              <w:top w:val="nil"/>
              <w:left w:val="nil"/>
              <w:bottom w:val="single" w:sz="4" w:space="0" w:color="auto"/>
              <w:right w:val="single" w:sz="4" w:space="0" w:color="auto"/>
            </w:tcBorders>
            <w:vAlign w:val="center"/>
            <w:hideMark/>
          </w:tcPr>
          <w:p w14:paraId="4A38659B" w14:textId="77777777"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38.3</w:t>
            </w:r>
          </w:p>
        </w:tc>
        <w:tc>
          <w:tcPr>
            <w:tcW w:w="1082" w:type="dxa"/>
            <w:tcBorders>
              <w:top w:val="nil"/>
              <w:left w:val="nil"/>
              <w:bottom w:val="single" w:sz="4" w:space="0" w:color="auto"/>
              <w:right w:val="single" w:sz="4" w:space="0" w:color="auto"/>
            </w:tcBorders>
            <w:vAlign w:val="center"/>
            <w:hideMark/>
          </w:tcPr>
          <w:p w14:paraId="709ED568" w14:textId="1F62E29E" w:rsidR="007506E5" w:rsidRPr="007506E5" w:rsidRDefault="007506E5" w:rsidP="007506E5">
            <w:pPr>
              <w:spacing w:after="0" w:line="240" w:lineRule="auto"/>
              <w:jc w:val="center"/>
              <w:rPr>
                <w:rFonts w:ascii="Aptos" w:eastAsia="Times New Roman" w:hAnsi="Aptos" w:cs="Times New Roman"/>
                <w:color w:val="000000"/>
                <w:kern w:val="0"/>
                <w:szCs w:val="24"/>
                <w:lang w:eastAsia="en-IN"/>
                <w14:ligatures w14:val="none"/>
              </w:rPr>
            </w:pPr>
          </w:p>
        </w:tc>
      </w:tr>
      <w:tr w:rsidR="007506E5" w:rsidRPr="007506E5" w14:paraId="2788F8FC" w14:textId="77777777" w:rsidTr="00C91D91">
        <w:trPr>
          <w:trHeight w:val="20"/>
          <w:jc w:val="center"/>
        </w:trPr>
        <w:tc>
          <w:tcPr>
            <w:tcW w:w="1369" w:type="dxa"/>
            <w:tcBorders>
              <w:top w:val="nil"/>
              <w:left w:val="single" w:sz="4" w:space="0" w:color="auto"/>
              <w:bottom w:val="single" w:sz="4" w:space="0" w:color="auto"/>
              <w:right w:val="single" w:sz="4" w:space="0" w:color="auto"/>
            </w:tcBorders>
            <w:vAlign w:val="center"/>
            <w:hideMark/>
          </w:tcPr>
          <w:p w14:paraId="4914280F"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Uttar Pradesh</w:t>
            </w:r>
          </w:p>
        </w:tc>
        <w:tc>
          <w:tcPr>
            <w:tcW w:w="1473" w:type="dxa"/>
            <w:tcBorders>
              <w:top w:val="nil"/>
              <w:left w:val="nil"/>
              <w:bottom w:val="single" w:sz="4" w:space="0" w:color="auto"/>
              <w:right w:val="single" w:sz="4" w:space="0" w:color="auto"/>
            </w:tcBorders>
            <w:vAlign w:val="center"/>
            <w:hideMark/>
          </w:tcPr>
          <w:p w14:paraId="2551A137"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100</w:t>
            </w:r>
          </w:p>
        </w:tc>
        <w:tc>
          <w:tcPr>
            <w:tcW w:w="1083" w:type="dxa"/>
            <w:tcBorders>
              <w:top w:val="nil"/>
              <w:left w:val="nil"/>
              <w:bottom w:val="single" w:sz="4" w:space="0" w:color="auto"/>
              <w:right w:val="single" w:sz="4" w:space="0" w:color="auto"/>
            </w:tcBorders>
            <w:vAlign w:val="center"/>
            <w:hideMark/>
          </w:tcPr>
          <w:p w14:paraId="47A285AF"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757</w:t>
            </w:r>
          </w:p>
        </w:tc>
        <w:tc>
          <w:tcPr>
            <w:tcW w:w="862" w:type="dxa"/>
            <w:tcBorders>
              <w:top w:val="nil"/>
              <w:left w:val="nil"/>
              <w:bottom w:val="single" w:sz="4" w:space="0" w:color="auto"/>
              <w:right w:val="single" w:sz="4" w:space="0" w:color="auto"/>
            </w:tcBorders>
            <w:vAlign w:val="center"/>
            <w:hideMark/>
          </w:tcPr>
          <w:p w14:paraId="40EF6816"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632</w:t>
            </w:r>
          </w:p>
        </w:tc>
        <w:tc>
          <w:tcPr>
            <w:tcW w:w="966" w:type="dxa"/>
            <w:tcBorders>
              <w:top w:val="nil"/>
              <w:left w:val="nil"/>
              <w:bottom w:val="single" w:sz="4" w:space="0" w:color="auto"/>
              <w:right w:val="single" w:sz="4" w:space="0" w:color="auto"/>
            </w:tcBorders>
            <w:vAlign w:val="center"/>
            <w:hideMark/>
          </w:tcPr>
          <w:p w14:paraId="3B78E1D8"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233</w:t>
            </w:r>
          </w:p>
        </w:tc>
        <w:tc>
          <w:tcPr>
            <w:tcW w:w="1460" w:type="dxa"/>
            <w:tcBorders>
              <w:top w:val="nil"/>
              <w:left w:val="nil"/>
              <w:bottom w:val="single" w:sz="4" w:space="0" w:color="auto"/>
              <w:right w:val="single" w:sz="4" w:space="0" w:color="auto"/>
            </w:tcBorders>
            <w:vAlign w:val="center"/>
            <w:hideMark/>
          </w:tcPr>
          <w:p w14:paraId="277CEABF"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27</w:t>
            </w:r>
          </w:p>
        </w:tc>
        <w:tc>
          <w:tcPr>
            <w:tcW w:w="1240" w:type="dxa"/>
            <w:tcBorders>
              <w:top w:val="nil"/>
              <w:left w:val="nil"/>
              <w:bottom w:val="single" w:sz="4" w:space="0" w:color="auto"/>
              <w:right w:val="single" w:sz="4" w:space="0" w:color="auto"/>
            </w:tcBorders>
            <w:vAlign w:val="center"/>
            <w:hideMark/>
          </w:tcPr>
          <w:p w14:paraId="7E465B9A"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448</w:t>
            </w:r>
          </w:p>
        </w:tc>
        <w:tc>
          <w:tcPr>
            <w:tcW w:w="822" w:type="dxa"/>
            <w:tcBorders>
              <w:top w:val="nil"/>
              <w:left w:val="nil"/>
              <w:bottom w:val="single" w:sz="4" w:space="0" w:color="auto"/>
              <w:right w:val="single" w:sz="4" w:space="0" w:color="auto"/>
            </w:tcBorders>
            <w:vAlign w:val="center"/>
            <w:hideMark/>
          </w:tcPr>
          <w:p w14:paraId="6C352851"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534</w:t>
            </w:r>
          </w:p>
        </w:tc>
        <w:tc>
          <w:tcPr>
            <w:tcW w:w="1082" w:type="dxa"/>
            <w:tcBorders>
              <w:top w:val="nil"/>
              <w:left w:val="nil"/>
              <w:bottom w:val="single" w:sz="4" w:space="0" w:color="auto"/>
              <w:right w:val="single" w:sz="4" w:space="0" w:color="auto"/>
            </w:tcBorders>
            <w:vAlign w:val="center"/>
            <w:hideMark/>
          </w:tcPr>
          <w:p w14:paraId="4E58918D"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2731</w:t>
            </w:r>
          </w:p>
        </w:tc>
        <w:tc>
          <w:tcPr>
            <w:tcW w:w="965" w:type="dxa"/>
            <w:tcBorders>
              <w:top w:val="nil"/>
              <w:left w:val="nil"/>
              <w:bottom w:val="single" w:sz="4" w:space="0" w:color="auto"/>
              <w:right w:val="single" w:sz="4" w:space="0" w:color="auto"/>
            </w:tcBorders>
            <w:vAlign w:val="center"/>
            <w:hideMark/>
          </w:tcPr>
          <w:p w14:paraId="36D4BE3E"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942</w:t>
            </w:r>
          </w:p>
        </w:tc>
        <w:tc>
          <w:tcPr>
            <w:tcW w:w="926" w:type="dxa"/>
            <w:tcBorders>
              <w:top w:val="nil"/>
              <w:left w:val="nil"/>
              <w:bottom w:val="single" w:sz="4" w:space="0" w:color="auto"/>
              <w:right w:val="single" w:sz="4" w:space="0" w:color="auto"/>
            </w:tcBorders>
            <w:vAlign w:val="center"/>
            <w:hideMark/>
          </w:tcPr>
          <w:p w14:paraId="1A931935"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84</w:t>
            </w:r>
          </w:p>
        </w:tc>
        <w:tc>
          <w:tcPr>
            <w:tcW w:w="1082" w:type="dxa"/>
            <w:tcBorders>
              <w:top w:val="nil"/>
              <w:left w:val="nil"/>
              <w:bottom w:val="single" w:sz="4" w:space="0" w:color="auto"/>
              <w:right w:val="single" w:sz="4" w:space="0" w:color="auto"/>
            </w:tcBorders>
            <w:vAlign w:val="center"/>
            <w:hideMark/>
          </w:tcPr>
          <w:p w14:paraId="183AC113"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1704</w:t>
            </w:r>
          </w:p>
        </w:tc>
        <w:tc>
          <w:tcPr>
            <w:tcW w:w="1082" w:type="dxa"/>
            <w:tcBorders>
              <w:top w:val="nil"/>
              <w:left w:val="nil"/>
              <w:bottom w:val="single" w:sz="4" w:space="0" w:color="auto"/>
              <w:right w:val="single" w:sz="4" w:space="0" w:color="auto"/>
            </w:tcBorders>
            <w:vAlign w:val="center"/>
            <w:hideMark/>
          </w:tcPr>
          <w:p w14:paraId="210DBFEF"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5461</w:t>
            </w:r>
          </w:p>
        </w:tc>
      </w:tr>
      <w:tr w:rsidR="007506E5" w:rsidRPr="007506E5" w14:paraId="67379CC6" w14:textId="77777777" w:rsidTr="00C91D91">
        <w:trPr>
          <w:trHeight w:val="20"/>
          <w:jc w:val="center"/>
        </w:trPr>
        <w:tc>
          <w:tcPr>
            <w:tcW w:w="1369" w:type="dxa"/>
            <w:tcBorders>
              <w:top w:val="nil"/>
              <w:left w:val="single" w:sz="4" w:space="0" w:color="auto"/>
              <w:bottom w:val="single" w:sz="4" w:space="0" w:color="auto"/>
              <w:right w:val="single" w:sz="4" w:space="0" w:color="auto"/>
            </w:tcBorders>
            <w:vAlign w:val="center"/>
            <w:hideMark/>
          </w:tcPr>
          <w:p w14:paraId="4CC4A820" w14:textId="2F9C8E5B" w:rsidR="007506E5" w:rsidRPr="007506E5" w:rsidRDefault="007506E5" w:rsidP="007506E5">
            <w:pPr>
              <w:spacing w:after="0" w:line="240" w:lineRule="auto"/>
              <w:jc w:val="center"/>
              <w:rPr>
                <w:rFonts w:ascii="Aptos" w:eastAsia="Times New Roman" w:hAnsi="Aptos" w:cs="Times New Roman"/>
                <w:color w:val="000000"/>
                <w:kern w:val="0"/>
                <w:szCs w:val="24"/>
                <w:lang w:eastAsia="en-IN"/>
                <w14:ligatures w14:val="none"/>
              </w:rPr>
            </w:pPr>
          </w:p>
        </w:tc>
        <w:tc>
          <w:tcPr>
            <w:tcW w:w="1473" w:type="dxa"/>
            <w:tcBorders>
              <w:top w:val="nil"/>
              <w:left w:val="nil"/>
              <w:bottom w:val="single" w:sz="4" w:space="0" w:color="auto"/>
              <w:right w:val="single" w:sz="4" w:space="0" w:color="auto"/>
            </w:tcBorders>
            <w:vAlign w:val="center"/>
            <w:hideMark/>
          </w:tcPr>
          <w:p w14:paraId="2F729F87" w14:textId="5CB27CF4"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1</w:t>
            </w:r>
            <w:r w:rsidR="005A4048">
              <w:rPr>
                <w:rFonts w:ascii="Times New Roman" w:eastAsia="Times New Roman" w:hAnsi="Times New Roman" w:cs="Times New Roman"/>
                <w:i/>
                <w:iCs/>
                <w:color w:val="000000"/>
                <w:kern w:val="0"/>
                <w:szCs w:val="24"/>
                <w:lang w:eastAsia="en-IN"/>
                <w14:ligatures w14:val="none"/>
              </w:rPr>
              <w:t>.</w:t>
            </w:r>
            <w:r w:rsidRPr="007506E5">
              <w:rPr>
                <w:rFonts w:ascii="Times New Roman" w:eastAsia="Times New Roman" w:hAnsi="Times New Roman" w:cs="Times New Roman"/>
                <w:i/>
                <w:iCs/>
                <w:color w:val="000000"/>
                <w:kern w:val="0"/>
                <w:szCs w:val="24"/>
                <w:lang w:eastAsia="en-IN"/>
                <w14:ligatures w14:val="none"/>
              </w:rPr>
              <w:t>8</w:t>
            </w:r>
          </w:p>
        </w:tc>
        <w:tc>
          <w:tcPr>
            <w:tcW w:w="1083" w:type="dxa"/>
            <w:tcBorders>
              <w:top w:val="nil"/>
              <w:left w:val="nil"/>
              <w:bottom w:val="single" w:sz="4" w:space="0" w:color="auto"/>
              <w:right w:val="single" w:sz="4" w:space="0" w:color="auto"/>
            </w:tcBorders>
            <w:vAlign w:val="center"/>
            <w:hideMark/>
          </w:tcPr>
          <w:p w14:paraId="5B5ED7F5" w14:textId="34D90DA7"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13</w:t>
            </w:r>
            <w:r w:rsidR="005A4048">
              <w:rPr>
                <w:rFonts w:ascii="Times New Roman" w:eastAsia="Times New Roman" w:hAnsi="Times New Roman" w:cs="Times New Roman"/>
                <w:i/>
                <w:iCs/>
                <w:color w:val="000000"/>
                <w:kern w:val="0"/>
                <w:szCs w:val="24"/>
                <w:lang w:eastAsia="en-IN"/>
                <w14:ligatures w14:val="none"/>
              </w:rPr>
              <w:t>.</w:t>
            </w:r>
            <w:r w:rsidRPr="007506E5">
              <w:rPr>
                <w:rFonts w:ascii="Times New Roman" w:eastAsia="Times New Roman" w:hAnsi="Times New Roman" w:cs="Times New Roman"/>
                <w:i/>
                <w:iCs/>
                <w:color w:val="000000"/>
                <w:kern w:val="0"/>
                <w:szCs w:val="24"/>
                <w:lang w:eastAsia="en-IN"/>
                <w14:ligatures w14:val="none"/>
              </w:rPr>
              <w:t>9</w:t>
            </w:r>
          </w:p>
        </w:tc>
        <w:tc>
          <w:tcPr>
            <w:tcW w:w="862" w:type="dxa"/>
            <w:tcBorders>
              <w:top w:val="nil"/>
              <w:left w:val="nil"/>
              <w:bottom w:val="single" w:sz="4" w:space="0" w:color="auto"/>
              <w:right w:val="single" w:sz="4" w:space="0" w:color="auto"/>
            </w:tcBorders>
            <w:vAlign w:val="center"/>
            <w:hideMark/>
          </w:tcPr>
          <w:p w14:paraId="608FAAA4" w14:textId="040D6CD9"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11</w:t>
            </w:r>
            <w:r w:rsidR="00DC02C1">
              <w:rPr>
                <w:rFonts w:ascii="Times New Roman" w:eastAsia="Times New Roman" w:hAnsi="Times New Roman" w:cs="Times New Roman"/>
                <w:i/>
                <w:iCs/>
                <w:color w:val="000000"/>
                <w:kern w:val="0"/>
                <w:szCs w:val="24"/>
                <w:lang w:eastAsia="en-IN"/>
                <w14:ligatures w14:val="none"/>
              </w:rPr>
              <w:t>.</w:t>
            </w:r>
            <w:r w:rsidRPr="007506E5">
              <w:rPr>
                <w:rFonts w:ascii="Times New Roman" w:eastAsia="Times New Roman" w:hAnsi="Times New Roman" w:cs="Times New Roman"/>
                <w:i/>
                <w:iCs/>
                <w:color w:val="000000"/>
                <w:kern w:val="0"/>
                <w:szCs w:val="24"/>
                <w:lang w:eastAsia="en-IN"/>
                <w14:ligatures w14:val="none"/>
              </w:rPr>
              <w:t>6</w:t>
            </w:r>
          </w:p>
        </w:tc>
        <w:tc>
          <w:tcPr>
            <w:tcW w:w="966" w:type="dxa"/>
            <w:tcBorders>
              <w:top w:val="nil"/>
              <w:left w:val="nil"/>
              <w:bottom w:val="single" w:sz="4" w:space="0" w:color="auto"/>
              <w:right w:val="single" w:sz="4" w:space="0" w:color="auto"/>
            </w:tcBorders>
            <w:vAlign w:val="center"/>
            <w:hideMark/>
          </w:tcPr>
          <w:p w14:paraId="02925137" w14:textId="3DA9E8DA"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4</w:t>
            </w:r>
            <w:r w:rsidR="00DC02C1">
              <w:rPr>
                <w:rFonts w:ascii="Times New Roman" w:eastAsia="Times New Roman" w:hAnsi="Times New Roman" w:cs="Times New Roman"/>
                <w:i/>
                <w:iCs/>
                <w:color w:val="000000"/>
                <w:kern w:val="0"/>
                <w:szCs w:val="24"/>
                <w:lang w:eastAsia="en-IN"/>
                <w14:ligatures w14:val="none"/>
              </w:rPr>
              <w:t>.</w:t>
            </w:r>
            <w:r w:rsidRPr="007506E5">
              <w:rPr>
                <w:rFonts w:ascii="Times New Roman" w:eastAsia="Times New Roman" w:hAnsi="Times New Roman" w:cs="Times New Roman"/>
                <w:i/>
                <w:iCs/>
                <w:color w:val="000000"/>
                <w:kern w:val="0"/>
                <w:szCs w:val="24"/>
                <w:lang w:eastAsia="en-IN"/>
                <w14:ligatures w14:val="none"/>
              </w:rPr>
              <w:t>3</w:t>
            </w:r>
          </w:p>
        </w:tc>
        <w:tc>
          <w:tcPr>
            <w:tcW w:w="1460" w:type="dxa"/>
            <w:tcBorders>
              <w:top w:val="nil"/>
              <w:left w:val="nil"/>
              <w:bottom w:val="single" w:sz="4" w:space="0" w:color="auto"/>
              <w:right w:val="single" w:sz="4" w:space="0" w:color="auto"/>
            </w:tcBorders>
            <w:vAlign w:val="center"/>
            <w:hideMark/>
          </w:tcPr>
          <w:p w14:paraId="42425338" w14:textId="7AF2E4EC"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0</w:t>
            </w:r>
            <w:r w:rsidR="00DC02C1">
              <w:rPr>
                <w:rFonts w:ascii="Times New Roman" w:eastAsia="Times New Roman" w:hAnsi="Times New Roman" w:cs="Times New Roman"/>
                <w:i/>
                <w:iCs/>
                <w:color w:val="000000"/>
                <w:kern w:val="0"/>
                <w:szCs w:val="24"/>
                <w:lang w:eastAsia="en-IN"/>
                <w14:ligatures w14:val="none"/>
              </w:rPr>
              <w:t>.</w:t>
            </w:r>
            <w:r w:rsidRPr="007506E5">
              <w:rPr>
                <w:rFonts w:ascii="Times New Roman" w:eastAsia="Times New Roman" w:hAnsi="Times New Roman" w:cs="Times New Roman"/>
                <w:i/>
                <w:iCs/>
                <w:color w:val="000000"/>
                <w:kern w:val="0"/>
                <w:szCs w:val="24"/>
                <w:lang w:eastAsia="en-IN"/>
                <w14:ligatures w14:val="none"/>
              </w:rPr>
              <w:t>5</w:t>
            </w:r>
          </w:p>
        </w:tc>
        <w:tc>
          <w:tcPr>
            <w:tcW w:w="1240" w:type="dxa"/>
            <w:tcBorders>
              <w:top w:val="nil"/>
              <w:left w:val="nil"/>
              <w:bottom w:val="single" w:sz="4" w:space="0" w:color="auto"/>
              <w:right w:val="single" w:sz="4" w:space="0" w:color="auto"/>
            </w:tcBorders>
            <w:vAlign w:val="center"/>
            <w:hideMark/>
          </w:tcPr>
          <w:p w14:paraId="057F5395" w14:textId="77777777"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8.2</w:t>
            </w:r>
          </w:p>
        </w:tc>
        <w:tc>
          <w:tcPr>
            <w:tcW w:w="822" w:type="dxa"/>
            <w:tcBorders>
              <w:top w:val="nil"/>
              <w:left w:val="nil"/>
              <w:bottom w:val="single" w:sz="4" w:space="0" w:color="auto"/>
              <w:right w:val="single" w:sz="4" w:space="0" w:color="auto"/>
            </w:tcBorders>
            <w:vAlign w:val="center"/>
            <w:hideMark/>
          </w:tcPr>
          <w:p w14:paraId="00B62325" w14:textId="77777777"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9.8</w:t>
            </w:r>
          </w:p>
        </w:tc>
        <w:tc>
          <w:tcPr>
            <w:tcW w:w="1082" w:type="dxa"/>
            <w:tcBorders>
              <w:top w:val="nil"/>
              <w:left w:val="nil"/>
              <w:bottom w:val="single" w:sz="4" w:space="0" w:color="auto"/>
              <w:right w:val="single" w:sz="4" w:space="0" w:color="auto"/>
            </w:tcBorders>
            <w:vAlign w:val="center"/>
            <w:hideMark/>
          </w:tcPr>
          <w:p w14:paraId="666EF5C4" w14:textId="3F8B2871"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50</w:t>
            </w:r>
            <w:r w:rsidR="000F3A66">
              <w:rPr>
                <w:rFonts w:ascii="Times New Roman" w:eastAsia="Times New Roman" w:hAnsi="Times New Roman" w:cs="Times New Roman"/>
                <w:i/>
                <w:iCs/>
                <w:color w:val="000000"/>
                <w:kern w:val="0"/>
                <w:szCs w:val="24"/>
                <w:lang w:eastAsia="en-IN"/>
                <w14:ligatures w14:val="none"/>
              </w:rPr>
              <w:t>.0</w:t>
            </w:r>
          </w:p>
        </w:tc>
        <w:tc>
          <w:tcPr>
            <w:tcW w:w="965" w:type="dxa"/>
            <w:tcBorders>
              <w:top w:val="nil"/>
              <w:left w:val="nil"/>
              <w:bottom w:val="single" w:sz="4" w:space="0" w:color="auto"/>
              <w:right w:val="single" w:sz="4" w:space="0" w:color="auto"/>
            </w:tcBorders>
            <w:vAlign w:val="center"/>
            <w:hideMark/>
          </w:tcPr>
          <w:p w14:paraId="49D74A4D" w14:textId="77777777"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17.3</w:t>
            </w:r>
          </w:p>
        </w:tc>
        <w:tc>
          <w:tcPr>
            <w:tcW w:w="926" w:type="dxa"/>
            <w:tcBorders>
              <w:top w:val="nil"/>
              <w:left w:val="nil"/>
              <w:bottom w:val="single" w:sz="4" w:space="0" w:color="auto"/>
              <w:right w:val="single" w:sz="4" w:space="0" w:color="auto"/>
            </w:tcBorders>
            <w:vAlign w:val="center"/>
            <w:hideMark/>
          </w:tcPr>
          <w:p w14:paraId="634A5911" w14:textId="77777777"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1.5</w:t>
            </w:r>
          </w:p>
        </w:tc>
        <w:tc>
          <w:tcPr>
            <w:tcW w:w="1082" w:type="dxa"/>
            <w:tcBorders>
              <w:top w:val="nil"/>
              <w:left w:val="nil"/>
              <w:bottom w:val="single" w:sz="4" w:space="0" w:color="auto"/>
              <w:right w:val="single" w:sz="4" w:space="0" w:color="auto"/>
            </w:tcBorders>
            <w:vAlign w:val="center"/>
            <w:hideMark/>
          </w:tcPr>
          <w:p w14:paraId="3647CD00" w14:textId="77777777"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31.2</w:t>
            </w:r>
          </w:p>
        </w:tc>
        <w:tc>
          <w:tcPr>
            <w:tcW w:w="1082" w:type="dxa"/>
            <w:tcBorders>
              <w:top w:val="nil"/>
              <w:left w:val="nil"/>
              <w:bottom w:val="single" w:sz="4" w:space="0" w:color="auto"/>
              <w:right w:val="single" w:sz="4" w:space="0" w:color="auto"/>
            </w:tcBorders>
            <w:vAlign w:val="center"/>
            <w:hideMark/>
          </w:tcPr>
          <w:p w14:paraId="7B903B15" w14:textId="240E136D" w:rsidR="007506E5" w:rsidRPr="007506E5" w:rsidRDefault="007506E5" w:rsidP="007506E5">
            <w:pPr>
              <w:spacing w:after="0" w:line="240" w:lineRule="auto"/>
              <w:jc w:val="center"/>
              <w:rPr>
                <w:rFonts w:ascii="Aptos" w:eastAsia="Times New Roman" w:hAnsi="Aptos" w:cs="Times New Roman"/>
                <w:color w:val="000000"/>
                <w:kern w:val="0"/>
                <w:szCs w:val="24"/>
                <w:lang w:eastAsia="en-IN"/>
                <w14:ligatures w14:val="none"/>
              </w:rPr>
            </w:pPr>
          </w:p>
        </w:tc>
      </w:tr>
      <w:tr w:rsidR="007506E5" w:rsidRPr="007506E5" w14:paraId="691F4637" w14:textId="77777777" w:rsidTr="00C91D91">
        <w:trPr>
          <w:trHeight w:val="20"/>
          <w:jc w:val="center"/>
        </w:trPr>
        <w:tc>
          <w:tcPr>
            <w:tcW w:w="1369" w:type="dxa"/>
            <w:tcBorders>
              <w:top w:val="nil"/>
              <w:left w:val="single" w:sz="4" w:space="0" w:color="auto"/>
              <w:bottom w:val="single" w:sz="4" w:space="0" w:color="auto"/>
              <w:right w:val="single" w:sz="4" w:space="0" w:color="auto"/>
            </w:tcBorders>
            <w:vAlign w:val="center"/>
            <w:hideMark/>
          </w:tcPr>
          <w:p w14:paraId="5B86336A"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West Bengal</w:t>
            </w:r>
          </w:p>
        </w:tc>
        <w:tc>
          <w:tcPr>
            <w:tcW w:w="1473" w:type="dxa"/>
            <w:tcBorders>
              <w:top w:val="nil"/>
              <w:left w:val="nil"/>
              <w:bottom w:val="single" w:sz="4" w:space="0" w:color="auto"/>
              <w:right w:val="single" w:sz="4" w:space="0" w:color="auto"/>
            </w:tcBorders>
            <w:vAlign w:val="center"/>
            <w:hideMark/>
          </w:tcPr>
          <w:p w14:paraId="466F6165"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64</w:t>
            </w:r>
          </w:p>
        </w:tc>
        <w:tc>
          <w:tcPr>
            <w:tcW w:w="1083" w:type="dxa"/>
            <w:tcBorders>
              <w:top w:val="nil"/>
              <w:left w:val="nil"/>
              <w:bottom w:val="single" w:sz="4" w:space="0" w:color="auto"/>
              <w:right w:val="single" w:sz="4" w:space="0" w:color="auto"/>
            </w:tcBorders>
            <w:vAlign w:val="center"/>
            <w:hideMark/>
          </w:tcPr>
          <w:p w14:paraId="39F82B25"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210</w:t>
            </w:r>
          </w:p>
        </w:tc>
        <w:tc>
          <w:tcPr>
            <w:tcW w:w="862" w:type="dxa"/>
            <w:tcBorders>
              <w:top w:val="nil"/>
              <w:left w:val="nil"/>
              <w:bottom w:val="single" w:sz="4" w:space="0" w:color="auto"/>
              <w:right w:val="single" w:sz="4" w:space="0" w:color="auto"/>
            </w:tcBorders>
            <w:vAlign w:val="center"/>
            <w:hideMark/>
          </w:tcPr>
          <w:p w14:paraId="009C00EA"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671</w:t>
            </w:r>
          </w:p>
        </w:tc>
        <w:tc>
          <w:tcPr>
            <w:tcW w:w="966" w:type="dxa"/>
            <w:tcBorders>
              <w:top w:val="nil"/>
              <w:left w:val="nil"/>
              <w:bottom w:val="single" w:sz="4" w:space="0" w:color="auto"/>
              <w:right w:val="single" w:sz="4" w:space="0" w:color="auto"/>
            </w:tcBorders>
            <w:vAlign w:val="center"/>
            <w:hideMark/>
          </w:tcPr>
          <w:p w14:paraId="7BDBB5A5"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293</w:t>
            </w:r>
          </w:p>
        </w:tc>
        <w:tc>
          <w:tcPr>
            <w:tcW w:w="1460" w:type="dxa"/>
            <w:tcBorders>
              <w:top w:val="nil"/>
              <w:left w:val="nil"/>
              <w:bottom w:val="single" w:sz="4" w:space="0" w:color="auto"/>
              <w:right w:val="single" w:sz="4" w:space="0" w:color="auto"/>
            </w:tcBorders>
            <w:vAlign w:val="center"/>
            <w:hideMark/>
          </w:tcPr>
          <w:p w14:paraId="36D47454"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45</w:t>
            </w:r>
          </w:p>
        </w:tc>
        <w:tc>
          <w:tcPr>
            <w:tcW w:w="1240" w:type="dxa"/>
            <w:tcBorders>
              <w:top w:val="nil"/>
              <w:left w:val="nil"/>
              <w:bottom w:val="single" w:sz="4" w:space="0" w:color="auto"/>
              <w:right w:val="single" w:sz="4" w:space="0" w:color="auto"/>
            </w:tcBorders>
            <w:vAlign w:val="center"/>
            <w:hideMark/>
          </w:tcPr>
          <w:p w14:paraId="0F7F836D"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683</w:t>
            </w:r>
          </w:p>
        </w:tc>
        <w:tc>
          <w:tcPr>
            <w:tcW w:w="822" w:type="dxa"/>
            <w:tcBorders>
              <w:top w:val="nil"/>
              <w:left w:val="nil"/>
              <w:bottom w:val="single" w:sz="4" w:space="0" w:color="auto"/>
              <w:right w:val="single" w:sz="4" w:space="0" w:color="auto"/>
            </w:tcBorders>
            <w:vAlign w:val="center"/>
            <w:hideMark/>
          </w:tcPr>
          <w:p w14:paraId="29E195F6"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363</w:t>
            </w:r>
          </w:p>
        </w:tc>
        <w:tc>
          <w:tcPr>
            <w:tcW w:w="1082" w:type="dxa"/>
            <w:tcBorders>
              <w:top w:val="nil"/>
              <w:left w:val="nil"/>
              <w:bottom w:val="single" w:sz="4" w:space="0" w:color="auto"/>
              <w:right w:val="single" w:sz="4" w:space="0" w:color="auto"/>
            </w:tcBorders>
            <w:vAlign w:val="center"/>
            <w:hideMark/>
          </w:tcPr>
          <w:p w14:paraId="4E42BC08"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2329</w:t>
            </w:r>
          </w:p>
        </w:tc>
        <w:tc>
          <w:tcPr>
            <w:tcW w:w="965" w:type="dxa"/>
            <w:tcBorders>
              <w:top w:val="nil"/>
              <w:left w:val="nil"/>
              <w:bottom w:val="single" w:sz="4" w:space="0" w:color="auto"/>
              <w:right w:val="single" w:sz="4" w:space="0" w:color="auto"/>
            </w:tcBorders>
            <w:vAlign w:val="center"/>
            <w:hideMark/>
          </w:tcPr>
          <w:p w14:paraId="71346B8D"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706</w:t>
            </w:r>
          </w:p>
        </w:tc>
        <w:tc>
          <w:tcPr>
            <w:tcW w:w="926" w:type="dxa"/>
            <w:tcBorders>
              <w:top w:val="nil"/>
              <w:left w:val="nil"/>
              <w:bottom w:val="single" w:sz="4" w:space="0" w:color="auto"/>
              <w:right w:val="single" w:sz="4" w:space="0" w:color="auto"/>
            </w:tcBorders>
            <w:vAlign w:val="center"/>
            <w:hideMark/>
          </w:tcPr>
          <w:p w14:paraId="030EE89A"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156</w:t>
            </w:r>
          </w:p>
        </w:tc>
        <w:tc>
          <w:tcPr>
            <w:tcW w:w="1082" w:type="dxa"/>
            <w:tcBorders>
              <w:top w:val="nil"/>
              <w:left w:val="nil"/>
              <w:bottom w:val="single" w:sz="4" w:space="0" w:color="auto"/>
              <w:right w:val="single" w:sz="4" w:space="0" w:color="auto"/>
            </w:tcBorders>
            <w:vAlign w:val="center"/>
            <w:hideMark/>
          </w:tcPr>
          <w:p w14:paraId="6DFE1078"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667</w:t>
            </w:r>
          </w:p>
        </w:tc>
        <w:tc>
          <w:tcPr>
            <w:tcW w:w="1082" w:type="dxa"/>
            <w:tcBorders>
              <w:top w:val="nil"/>
              <w:left w:val="nil"/>
              <w:bottom w:val="single" w:sz="4" w:space="0" w:color="auto"/>
              <w:right w:val="single" w:sz="4" w:space="0" w:color="auto"/>
            </w:tcBorders>
            <w:vAlign w:val="center"/>
            <w:hideMark/>
          </w:tcPr>
          <w:p w14:paraId="46CAB219"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3858</w:t>
            </w:r>
          </w:p>
        </w:tc>
      </w:tr>
      <w:tr w:rsidR="007506E5" w:rsidRPr="007506E5" w14:paraId="117C08A6" w14:textId="77777777" w:rsidTr="00C91D91">
        <w:trPr>
          <w:trHeight w:val="20"/>
          <w:jc w:val="center"/>
        </w:trPr>
        <w:tc>
          <w:tcPr>
            <w:tcW w:w="1369" w:type="dxa"/>
            <w:tcBorders>
              <w:top w:val="nil"/>
              <w:left w:val="single" w:sz="4" w:space="0" w:color="auto"/>
              <w:bottom w:val="single" w:sz="4" w:space="0" w:color="auto"/>
              <w:right w:val="single" w:sz="4" w:space="0" w:color="auto"/>
            </w:tcBorders>
            <w:vAlign w:val="center"/>
            <w:hideMark/>
          </w:tcPr>
          <w:p w14:paraId="6FD5A3B7" w14:textId="4B0BF252" w:rsidR="007506E5" w:rsidRPr="007506E5" w:rsidRDefault="007506E5" w:rsidP="007506E5">
            <w:pPr>
              <w:spacing w:after="0" w:line="240" w:lineRule="auto"/>
              <w:jc w:val="center"/>
              <w:rPr>
                <w:rFonts w:ascii="Aptos" w:eastAsia="Times New Roman" w:hAnsi="Aptos" w:cs="Times New Roman"/>
                <w:color w:val="000000"/>
                <w:kern w:val="0"/>
                <w:szCs w:val="24"/>
                <w:lang w:eastAsia="en-IN"/>
                <w14:ligatures w14:val="none"/>
              </w:rPr>
            </w:pPr>
          </w:p>
        </w:tc>
        <w:tc>
          <w:tcPr>
            <w:tcW w:w="1473" w:type="dxa"/>
            <w:tcBorders>
              <w:top w:val="nil"/>
              <w:left w:val="nil"/>
              <w:bottom w:val="single" w:sz="4" w:space="0" w:color="auto"/>
              <w:right w:val="single" w:sz="4" w:space="0" w:color="auto"/>
            </w:tcBorders>
            <w:vAlign w:val="center"/>
            <w:hideMark/>
          </w:tcPr>
          <w:p w14:paraId="71F6875B" w14:textId="63AC1C49"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1</w:t>
            </w:r>
            <w:r w:rsidR="005A4048">
              <w:rPr>
                <w:rFonts w:ascii="Times New Roman" w:eastAsia="Times New Roman" w:hAnsi="Times New Roman" w:cs="Times New Roman"/>
                <w:i/>
                <w:iCs/>
                <w:color w:val="000000"/>
                <w:kern w:val="0"/>
                <w:szCs w:val="24"/>
                <w:lang w:eastAsia="en-IN"/>
                <w14:ligatures w14:val="none"/>
              </w:rPr>
              <w:t>.</w:t>
            </w:r>
            <w:r w:rsidRPr="007506E5">
              <w:rPr>
                <w:rFonts w:ascii="Times New Roman" w:eastAsia="Times New Roman" w:hAnsi="Times New Roman" w:cs="Times New Roman"/>
                <w:i/>
                <w:iCs/>
                <w:color w:val="000000"/>
                <w:kern w:val="0"/>
                <w:szCs w:val="24"/>
                <w:lang w:eastAsia="en-IN"/>
                <w14:ligatures w14:val="none"/>
              </w:rPr>
              <w:t>7</w:t>
            </w:r>
          </w:p>
        </w:tc>
        <w:tc>
          <w:tcPr>
            <w:tcW w:w="1083" w:type="dxa"/>
            <w:tcBorders>
              <w:top w:val="nil"/>
              <w:left w:val="nil"/>
              <w:bottom w:val="single" w:sz="4" w:space="0" w:color="auto"/>
              <w:right w:val="single" w:sz="4" w:space="0" w:color="auto"/>
            </w:tcBorders>
            <w:vAlign w:val="center"/>
            <w:hideMark/>
          </w:tcPr>
          <w:p w14:paraId="19B3B335" w14:textId="3063B084"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5</w:t>
            </w:r>
            <w:r w:rsidR="005A4048">
              <w:rPr>
                <w:rFonts w:ascii="Times New Roman" w:eastAsia="Times New Roman" w:hAnsi="Times New Roman" w:cs="Times New Roman"/>
                <w:i/>
                <w:iCs/>
                <w:color w:val="000000"/>
                <w:kern w:val="0"/>
                <w:szCs w:val="24"/>
                <w:lang w:eastAsia="en-IN"/>
                <w14:ligatures w14:val="none"/>
              </w:rPr>
              <w:t>.</w:t>
            </w:r>
            <w:r w:rsidRPr="007506E5">
              <w:rPr>
                <w:rFonts w:ascii="Times New Roman" w:eastAsia="Times New Roman" w:hAnsi="Times New Roman" w:cs="Times New Roman"/>
                <w:i/>
                <w:iCs/>
                <w:color w:val="000000"/>
                <w:kern w:val="0"/>
                <w:szCs w:val="24"/>
                <w:lang w:eastAsia="en-IN"/>
                <w14:ligatures w14:val="none"/>
              </w:rPr>
              <w:t>4</w:t>
            </w:r>
          </w:p>
        </w:tc>
        <w:tc>
          <w:tcPr>
            <w:tcW w:w="862" w:type="dxa"/>
            <w:tcBorders>
              <w:top w:val="nil"/>
              <w:left w:val="nil"/>
              <w:bottom w:val="single" w:sz="4" w:space="0" w:color="auto"/>
              <w:right w:val="single" w:sz="4" w:space="0" w:color="auto"/>
            </w:tcBorders>
            <w:vAlign w:val="center"/>
            <w:hideMark/>
          </w:tcPr>
          <w:p w14:paraId="1DEEC98E" w14:textId="5C49CA4D"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17</w:t>
            </w:r>
            <w:r w:rsidR="00DC02C1">
              <w:rPr>
                <w:rFonts w:ascii="Times New Roman" w:eastAsia="Times New Roman" w:hAnsi="Times New Roman" w:cs="Times New Roman"/>
                <w:i/>
                <w:iCs/>
                <w:color w:val="000000"/>
                <w:kern w:val="0"/>
                <w:szCs w:val="24"/>
                <w:lang w:eastAsia="en-IN"/>
                <w14:ligatures w14:val="none"/>
              </w:rPr>
              <w:t>.</w:t>
            </w:r>
            <w:r w:rsidRPr="007506E5">
              <w:rPr>
                <w:rFonts w:ascii="Times New Roman" w:eastAsia="Times New Roman" w:hAnsi="Times New Roman" w:cs="Times New Roman"/>
                <w:i/>
                <w:iCs/>
                <w:color w:val="000000"/>
                <w:kern w:val="0"/>
                <w:szCs w:val="24"/>
                <w:lang w:eastAsia="en-IN"/>
                <w14:ligatures w14:val="none"/>
              </w:rPr>
              <w:t>4</w:t>
            </w:r>
          </w:p>
        </w:tc>
        <w:tc>
          <w:tcPr>
            <w:tcW w:w="966" w:type="dxa"/>
            <w:tcBorders>
              <w:top w:val="nil"/>
              <w:left w:val="nil"/>
              <w:bottom w:val="single" w:sz="4" w:space="0" w:color="auto"/>
              <w:right w:val="single" w:sz="4" w:space="0" w:color="auto"/>
            </w:tcBorders>
            <w:vAlign w:val="center"/>
            <w:hideMark/>
          </w:tcPr>
          <w:p w14:paraId="6CB70322" w14:textId="2F6A5591"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7</w:t>
            </w:r>
            <w:r w:rsidR="00DC02C1">
              <w:rPr>
                <w:rFonts w:ascii="Times New Roman" w:eastAsia="Times New Roman" w:hAnsi="Times New Roman" w:cs="Times New Roman"/>
                <w:i/>
                <w:iCs/>
                <w:color w:val="000000"/>
                <w:kern w:val="0"/>
                <w:szCs w:val="24"/>
                <w:lang w:eastAsia="en-IN"/>
                <w14:ligatures w14:val="none"/>
              </w:rPr>
              <w:t>.</w:t>
            </w:r>
            <w:r w:rsidRPr="007506E5">
              <w:rPr>
                <w:rFonts w:ascii="Times New Roman" w:eastAsia="Times New Roman" w:hAnsi="Times New Roman" w:cs="Times New Roman"/>
                <w:i/>
                <w:iCs/>
                <w:color w:val="000000"/>
                <w:kern w:val="0"/>
                <w:szCs w:val="24"/>
                <w:lang w:eastAsia="en-IN"/>
                <w14:ligatures w14:val="none"/>
              </w:rPr>
              <w:t>6</w:t>
            </w:r>
          </w:p>
        </w:tc>
        <w:tc>
          <w:tcPr>
            <w:tcW w:w="1460" w:type="dxa"/>
            <w:tcBorders>
              <w:top w:val="nil"/>
              <w:left w:val="nil"/>
              <w:bottom w:val="single" w:sz="4" w:space="0" w:color="auto"/>
              <w:right w:val="single" w:sz="4" w:space="0" w:color="auto"/>
            </w:tcBorders>
            <w:vAlign w:val="center"/>
            <w:hideMark/>
          </w:tcPr>
          <w:p w14:paraId="4400122F" w14:textId="1ED08A6D"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1</w:t>
            </w:r>
            <w:r w:rsidR="00DC02C1">
              <w:rPr>
                <w:rFonts w:ascii="Times New Roman" w:eastAsia="Times New Roman" w:hAnsi="Times New Roman" w:cs="Times New Roman"/>
                <w:i/>
                <w:iCs/>
                <w:color w:val="000000"/>
                <w:kern w:val="0"/>
                <w:szCs w:val="24"/>
                <w:lang w:eastAsia="en-IN"/>
                <w14:ligatures w14:val="none"/>
              </w:rPr>
              <w:t>.</w:t>
            </w:r>
            <w:r w:rsidRPr="007506E5">
              <w:rPr>
                <w:rFonts w:ascii="Times New Roman" w:eastAsia="Times New Roman" w:hAnsi="Times New Roman" w:cs="Times New Roman"/>
                <w:i/>
                <w:iCs/>
                <w:color w:val="000000"/>
                <w:kern w:val="0"/>
                <w:szCs w:val="24"/>
                <w:lang w:eastAsia="en-IN"/>
                <w14:ligatures w14:val="none"/>
              </w:rPr>
              <w:t>2</w:t>
            </w:r>
          </w:p>
        </w:tc>
        <w:tc>
          <w:tcPr>
            <w:tcW w:w="1240" w:type="dxa"/>
            <w:tcBorders>
              <w:top w:val="nil"/>
              <w:left w:val="nil"/>
              <w:bottom w:val="single" w:sz="4" w:space="0" w:color="auto"/>
              <w:right w:val="single" w:sz="4" w:space="0" w:color="auto"/>
            </w:tcBorders>
            <w:vAlign w:val="center"/>
            <w:hideMark/>
          </w:tcPr>
          <w:p w14:paraId="51C65F07" w14:textId="77777777"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17.7</w:t>
            </w:r>
          </w:p>
        </w:tc>
        <w:tc>
          <w:tcPr>
            <w:tcW w:w="822" w:type="dxa"/>
            <w:tcBorders>
              <w:top w:val="nil"/>
              <w:left w:val="nil"/>
              <w:bottom w:val="single" w:sz="4" w:space="0" w:color="auto"/>
              <w:right w:val="single" w:sz="4" w:space="0" w:color="auto"/>
            </w:tcBorders>
            <w:vAlign w:val="center"/>
            <w:hideMark/>
          </w:tcPr>
          <w:p w14:paraId="42387419" w14:textId="77777777"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9.4</w:t>
            </w:r>
          </w:p>
        </w:tc>
        <w:tc>
          <w:tcPr>
            <w:tcW w:w="1082" w:type="dxa"/>
            <w:tcBorders>
              <w:top w:val="nil"/>
              <w:left w:val="nil"/>
              <w:bottom w:val="single" w:sz="4" w:space="0" w:color="auto"/>
              <w:right w:val="single" w:sz="4" w:space="0" w:color="auto"/>
            </w:tcBorders>
            <w:vAlign w:val="center"/>
            <w:hideMark/>
          </w:tcPr>
          <w:p w14:paraId="0ACAB3C9" w14:textId="77777777"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60.4</w:t>
            </w:r>
          </w:p>
        </w:tc>
        <w:tc>
          <w:tcPr>
            <w:tcW w:w="965" w:type="dxa"/>
            <w:tcBorders>
              <w:top w:val="nil"/>
              <w:left w:val="nil"/>
              <w:bottom w:val="single" w:sz="4" w:space="0" w:color="auto"/>
              <w:right w:val="single" w:sz="4" w:space="0" w:color="auto"/>
            </w:tcBorders>
            <w:vAlign w:val="center"/>
            <w:hideMark/>
          </w:tcPr>
          <w:p w14:paraId="1D5FCB30" w14:textId="77777777"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18.3</w:t>
            </w:r>
          </w:p>
        </w:tc>
        <w:tc>
          <w:tcPr>
            <w:tcW w:w="926" w:type="dxa"/>
            <w:tcBorders>
              <w:top w:val="nil"/>
              <w:left w:val="nil"/>
              <w:bottom w:val="single" w:sz="4" w:space="0" w:color="auto"/>
              <w:right w:val="single" w:sz="4" w:space="0" w:color="auto"/>
            </w:tcBorders>
            <w:vAlign w:val="center"/>
            <w:hideMark/>
          </w:tcPr>
          <w:p w14:paraId="7F02A782" w14:textId="0938DF7D"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4</w:t>
            </w:r>
            <w:r w:rsidR="000F3A66">
              <w:rPr>
                <w:rFonts w:ascii="Times New Roman" w:eastAsia="Times New Roman" w:hAnsi="Times New Roman" w:cs="Times New Roman"/>
                <w:i/>
                <w:iCs/>
                <w:color w:val="000000"/>
                <w:kern w:val="0"/>
                <w:szCs w:val="24"/>
                <w:lang w:eastAsia="en-IN"/>
                <w14:ligatures w14:val="none"/>
              </w:rPr>
              <w:t>.0</w:t>
            </w:r>
          </w:p>
        </w:tc>
        <w:tc>
          <w:tcPr>
            <w:tcW w:w="1082" w:type="dxa"/>
            <w:tcBorders>
              <w:top w:val="nil"/>
              <w:left w:val="nil"/>
              <w:bottom w:val="single" w:sz="4" w:space="0" w:color="auto"/>
              <w:right w:val="single" w:sz="4" w:space="0" w:color="auto"/>
            </w:tcBorders>
            <w:vAlign w:val="center"/>
            <w:hideMark/>
          </w:tcPr>
          <w:p w14:paraId="23E11379" w14:textId="77777777"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17.3</w:t>
            </w:r>
          </w:p>
        </w:tc>
        <w:tc>
          <w:tcPr>
            <w:tcW w:w="1082" w:type="dxa"/>
            <w:tcBorders>
              <w:top w:val="nil"/>
              <w:left w:val="nil"/>
              <w:bottom w:val="single" w:sz="4" w:space="0" w:color="auto"/>
              <w:right w:val="single" w:sz="4" w:space="0" w:color="auto"/>
            </w:tcBorders>
            <w:vAlign w:val="center"/>
            <w:hideMark/>
          </w:tcPr>
          <w:p w14:paraId="0CB4DC81" w14:textId="245C16B2" w:rsidR="007506E5" w:rsidRPr="007506E5" w:rsidRDefault="007506E5" w:rsidP="007506E5">
            <w:pPr>
              <w:spacing w:after="0" w:line="240" w:lineRule="auto"/>
              <w:jc w:val="center"/>
              <w:rPr>
                <w:rFonts w:ascii="Aptos" w:eastAsia="Times New Roman" w:hAnsi="Aptos" w:cs="Times New Roman"/>
                <w:color w:val="000000"/>
                <w:kern w:val="0"/>
                <w:szCs w:val="24"/>
                <w:lang w:eastAsia="en-IN"/>
                <w14:ligatures w14:val="none"/>
              </w:rPr>
            </w:pPr>
          </w:p>
        </w:tc>
      </w:tr>
      <w:tr w:rsidR="007506E5" w:rsidRPr="007506E5" w14:paraId="58F8A5DC" w14:textId="77777777" w:rsidTr="00C91D91">
        <w:trPr>
          <w:trHeight w:val="20"/>
          <w:jc w:val="center"/>
        </w:trPr>
        <w:tc>
          <w:tcPr>
            <w:tcW w:w="1369" w:type="dxa"/>
            <w:tcBorders>
              <w:top w:val="nil"/>
              <w:left w:val="single" w:sz="4" w:space="0" w:color="auto"/>
              <w:bottom w:val="single" w:sz="4" w:space="0" w:color="auto"/>
              <w:right w:val="single" w:sz="4" w:space="0" w:color="auto"/>
            </w:tcBorders>
            <w:vAlign w:val="center"/>
            <w:hideMark/>
          </w:tcPr>
          <w:p w14:paraId="5E647C3A"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Hyderabad</w:t>
            </w:r>
          </w:p>
        </w:tc>
        <w:tc>
          <w:tcPr>
            <w:tcW w:w="1473" w:type="dxa"/>
            <w:tcBorders>
              <w:top w:val="nil"/>
              <w:left w:val="nil"/>
              <w:bottom w:val="single" w:sz="4" w:space="0" w:color="auto"/>
              <w:right w:val="single" w:sz="4" w:space="0" w:color="auto"/>
            </w:tcBorders>
            <w:vAlign w:val="center"/>
            <w:hideMark/>
          </w:tcPr>
          <w:p w14:paraId="4FFEB88D"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10</w:t>
            </w:r>
          </w:p>
        </w:tc>
        <w:tc>
          <w:tcPr>
            <w:tcW w:w="1083" w:type="dxa"/>
            <w:tcBorders>
              <w:top w:val="nil"/>
              <w:left w:val="nil"/>
              <w:bottom w:val="single" w:sz="4" w:space="0" w:color="auto"/>
              <w:right w:val="single" w:sz="4" w:space="0" w:color="auto"/>
            </w:tcBorders>
            <w:vAlign w:val="center"/>
            <w:hideMark/>
          </w:tcPr>
          <w:p w14:paraId="79FAE03F"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482</w:t>
            </w:r>
          </w:p>
        </w:tc>
        <w:tc>
          <w:tcPr>
            <w:tcW w:w="862" w:type="dxa"/>
            <w:tcBorders>
              <w:top w:val="nil"/>
              <w:left w:val="nil"/>
              <w:bottom w:val="single" w:sz="4" w:space="0" w:color="auto"/>
              <w:right w:val="single" w:sz="4" w:space="0" w:color="auto"/>
            </w:tcBorders>
            <w:vAlign w:val="center"/>
            <w:hideMark/>
          </w:tcPr>
          <w:p w14:paraId="2879C7BA"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946</w:t>
            </w:r>
          </w:p>
        </w:tc>
        <w:tc>
          <w:tcPr>
            <w:tcW w:w="966" w:type="dxa"/>
            <w:tcBorders>
              <w:top w:val="nil"/>
              <w:left w:val="nil"/>
              <w:bottom w:val="single" w:sz="4" w:space="0" w:color="auto"/>
              <w:right w:val="single" w:sz="4" w:space="0" w:color="auto"/>
            </w:tcBorders>
            <w:vAlign w:val="center"/>
            <w:hideMark/>
          </w:tcPr>
          <w:p w14:paraId="62EFE157"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83</w:t>
            </w:r>
          </w:p>
        </w:tc>
        <w:tc>
          <w:tcPr>
            <w:tcW w:w="1460" w:type="dxa"/>
            <w:tcBorders>
              <w:top w:val="nil"/>
              <w:left w:val="nil"/>
              <w:bottom w:val="single" w:sz="4" w:space="0" w:color="auto"/>
              <w:right w:val="single" w:sz="4" w:space="0" w:color="auto"/>
            </w:tcBorders>
            <w:vAlign w:val="center"/>
            <w:hideMark/>
          </w:tcPr>
          <w:p w14:paraId="27A4BE58"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8</w:t>
            </w:r>
          </w:p>
        </w:tc>
        <w:tc>
          <w:tcPr>
            <w:tcW w:w="1240" w:type="dxa"/>
            <w:tcBorders>
              <w:top w:val="nil"/>
              <w:left w:val="nil"/>
              <w:bottom w:val="single" w:sz="4" w:space="0" w:color="auto"/>
              <w:right w:val="single" w:sz="4" w:space="0" w:color="auto"/>
            </w:tcBorders>
            <w:vAlign w:val="center"/>
            <w:hideMark/>
          </w:tcPr>
          <w:p w14:paraId="7626F37B"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193</w:t>
            </w:r>
          </w:p>
        </w:tc>
        <w:tc>
          <w:tcPr>
            <w:tcW w:w="822" w:type="dxa"/>
            <w:tcBorders>
              <w:top w:val="nil"/>
              <w:left w:val="nil"/>
              <w:bottom w:val="single" w:sz="4" w:space="0" w:color="auto"/>
              <w:right w:val="single" w:sz="4" w:space="0" w:color="auto"/>
            </w:tcBorders>
            <w:vAlign w:val="center"/>
            <w:hideMark/>
          </w:tcPr>
          <w:p w14:paraId="4F57BAC1"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330</w:t>
            </w:r>
          </w:p>
        </w:tc>
        <w:tc>
          <w:tcPr>
            <w:tcW w:w="1082" w:type="dxa"/>
            <w:tcBorders>
              <w:top w:val="nil"/>
              <w:left w:val="nil"/>
              <w:bottom w:val="single" w:sz="4" w:space="0" w:color="auto"/>
              <w:right w:val="single" w:sz="4" w:space="0" w:color="auto"/>
            </w:tcBorders>
            <w:vAlign w:val="center"/>
            <w:hideMark/>
          </w:tcPr>
          <w:p w14:paraId="73A46EBA" w14:textId="57D75F61"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205</w:t>
            </w:r>
            <w:r w:rsidR="000F3A66">
              <w:rPr>
                <w:rFonts w:ascii="Times New Roman" w:eastAsia="Times New Roman" w:hAnsi="Times New Roman" w:cs="Times New Roman"/>
                <w:color w:val="000000"/>
                <w:kern w:val="0"/>
                <w:szCs w:val="24"/>
                <w:lang w:eastAsia="en-IN"/>
                <w14:ligatures w14:val="none"/>
              </w:rPr>
              <w:t>2</w:t>
            </w:r>
          </w:p>
        </w:tc>
        <w:tc>
          <w:tcPr>
            <w:tcW w:w="965" w:type="dxa"/>
            <w:tcBorders>
              <w:top w:val="nil"/>
              <w:left w:val="nil"/>
              <w:bottom w:val="single" w:sz="4" w:space="0" w:color="auto"/>
              <w:right w:val="single" w:sz="4" w:space="0" w:color="auto"/>
            </w:tcBorders>
            <w:vAlign w:val="center"/>
            <w:hideMark/>
          </w:tcPr>
          <w:p w14:paraId="0638D600"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w:t>
            </w:r>
          </w:p>
        </w:tc>
        <w:tc>
          <w:tcPr>
            <w:tcW w:w="926" w:type="dxa"/>
            <w:tcBorders>
              <w:top w:val="nil"/>
              <w:left w:val="nil"/>
              <w:bottom w:val="single" w:sz="4" w:space="0" w:color="auto"/>
              <w:right w:val="single" w:sz="4" w:space="0" w:color="auto"/>
            </w:tcBorders>
            <w:vAlign w:val="center"/>
            <w:hideMark/>
          </w:tcPr>
          <w:p w14:paraId="4D767E5D"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188</w:t>
            </w:r>
          </w:p>
        </w:tc>
        <w:tc>
          <w:tcPr>
            <w:tcW w:w="1082" w:type="dxa"/>
            <w:tcBorders>
              <w:top w:val="nil"/>
              <w:left w:val="nil"/>
              <w:bottom w:val="single" w:sz="4" w:space="0" w:color="auto"/>
              <w:right w:val="single" w:sz="4" w:space="0" w:color="auto"/>
            </w:tcBorders>
            <w:vAlign w:val="center"/>
            <w:hideMark/>
          </w:tcPr>
          <w:p w14:paraId="55DA90BF"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669</w:t>
            </w:r>
          </w:p>
        </w:tc>
        <w:tc>
          <w:tcPr>
            <w:tcW w:w="1082" w:type="dxa"/>
            <w:tcBorders>
              <w:top w:val="nil"/>
              <w:left w:val="nil"/>
              <w:bottom w:val="single" w:sz="4" w:space="0" w:color="auto"/>
              <w:right w:val="single" w:sz="4" w:space="0" w:color="auto"/>
            </w:tcBorders>
            <w:vAlign w:val="center"/>
            <w:hideMark/>
          </w:tcPr>
          <w:p w14:paraId="3CEFDCDC"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2909</w:t>
            </w:r>
          </w:p>
        </w:tc>
      </w:tr>
      <w:tr w:rsidR="007506E5" w:rsidRPr="007506E5" w14:paraId="6C55A1DC" w14:textId="77777777" w:rsidTr="00C91D91">
        <w:trPr>
          <w:trHeight w:val="20"/>
          <w:jc w:val="center"/>
        </w:trPr>
        <w:tc>
          <w:tcPr>
            <w:tcW w:w="1369" w:type="dxa"/>
            <w:tcBorders>
              <w:top w:val="nil"/>
              <w:left w:val="single" w:sz="4" w:space="0" w:color="auto"/>
              <w:bottom w:val="single" w:sz="4" w:space="0" w:color="auto"/>
              <w:right w:val="single" w:sz="4" w:space="0" w:color="auto"/>
            </w:tcBorders>
            <w:vAlign w:val="center"/>
            <w:hideMark/>
          </w:tcPr>
          <w:p w14:paraId="55FFBCC4" w14:textId="7BDF7B82" w:rsidR="007506E5" w:rsidRPr="007506E5" w:rsidRDefault="007506E5" w:rsidP="007506E5">
            <w:pPr>
              <w:spacing w:after="0" w:line="240" w:lineRule="auto"/>
              <w:jc w:val="center"/>
              <w:rPr>
                <w:rFonts w:ascii="Aptos" w:eastAsia="Times New Roman" w:hAnsi="Aptos" w:cs="Times New Roman"/>
                <w:color w:val="000000"/>
                <w:kern w:val="0"/>
                <w:szCs w:val="24"/>
                <w:lang w:eastAsia="en-IN"/>
                <w14:ligatures w14:val="none"/>
              </w:rPr>
            </w:pPr>
          </w:p>
        </w:tc>
        <w:tc>
          <w:tcPr>
            <w:tcW w:w="1473" w:type="dxa"/>
            <w:tcBorders>
              <w:top w:val="nil"/>
              <w:left w:val="nil"/>
              <w:bottom w:val="single" w:sz="4" w:space="0" w:color="auto"/>
              <w:right w:val="single" w:sz="4" w:space="0" w:color="auto"/>
            </w:tcBorders>
            <w:vAlign w:val="center"/>
            <w:hideMark/>
          </w:tcPr>
          <w:p w14:paraId="4EF98EDB" w14:textId="3315A73F"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0</w:t>
            </w:r>
            <w:r w:rsidR="005A4048">
              <w:rPr>
                <w:rFonts w:ascii="Times New Roman" w:eastAsia="Times New Roman" w:hAnsi="Times New Roman" w:cs="Times New Roman"/>
                <w:i/>
                <w:iCs/>
                <w:color w:val="000000"/>
                <w:kern w:val="0"/>
                <w:szCs w:val="24"/>
                <w:lang w:eastAsia="en-IN"/>
                <w14:ligatures w14:val="none"/>
              </w:rPr>
              <w:t>.</w:t>
            </w:r>
            <w:r w:rsidRPr="007506E5">
              <w:rPr>
                <w:rFonts w:ascii="Times New Roman" w:eastAsia="Times New Roman" w:hAnsi="Times New Roman" w:cs="Times New Roman"/>
                <w:i/>
                <w:iCs/>
                <w:color w:val="000000"/>
                <w:kern w:val="0"/>
                <w:szCs w:val="24"/>
                <w:lang w:eastAsia="en-IN"/>
                <w14:ligatures w14:val="none"/>
              </w:rPr>
              <w:t>3</w:t>
            </w:r>
          </w:p>
        </w:tc>
        <w:tc>
          <w:tcPr>
            <w:tcW w:w="1083" w:type="dxa"/>
            <w:tcBorders>
              <w:top w:val="nil"/>
              <w:left w:val="nil"/>
              <w:bottom w:val="single" w:sz="4" w:space="0" w:color="auto"/>
              <w:right w:val="single" w:sz="4" w:space="0" w:color="auto"/>
            </w:tcBorders>
            <w:vAlign w:val="center"/>
            <w:hideMark/>
          </w:tcPr>
          <w:p w14:paraId="56EA57BA" w14:textId="3FB8DE8F"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16</w:t>
            </w:r>
            <w:r w:rsidR="005A4048">
              <w:rPr>
                <w:rFonts w:ascii="Times New Roman" w:eastAsia="Times New Roman" w:hAnsi="Times New Roman" w:cs="Times New Roman"/>
                <w:i/>
                <w:iCs/>
                <w:color w:val="000000"/>
                <w:kern w:val="0"/>
                <w:szCs w:val="24"/>
                <w:lang w:eastAsia="en-IN"/>
                <w14:ligatures w14:val="none"/>
              </w:rPr>
              <w:t>.</w:t>
            </w:r>
            <w:r w:rsidRPr="007506E5">
              <w:rPr>
                <w:rFonts w:ascii="Times New Roman" w:eastAsia="Times New Roman" w:hAnsi="Times New Roman" w:cs="Times New Roman"/>
                <w:i/>
                <w:iCs/>
                <w:color w:val="000000"/>
                <w:kern w:val="0"/>
                <w:szCs w:val="24"/>
                <w:lang w:eastAsia="en-IN"/>
                <w14:ligatures w14:val="none"/>
              </w:rPr>
              <w:t>6</w:t>
            </w:r>
          </w:p>
        </w:tc>
        <w:tc>
          <w:tcPr>
            <w:tcW w:w="862" w:type="dxa"/>
            <w:tcBorders>
              <w:top w:val="nil"/>
              <w:left w:val="nil"/>
              <w:bottom w:val="single" w:sz="4" w:space="0" w:color="auto"/>
              <w:right w:val="single" w:sz="4" w:space="0" w:color="auto"/>
            </w:tcBorders>
            <w:vAlign w:val="center"/>
            <w:hideMark/>
          </w:tcPr>
          <w:p w14:paraId="7734512F" w14:textId="39583C63"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32</w:t>
            </w:r>
            <w:r w:rsidR="00DC02C1">
              <w:rPr>
                <w:rFonts w:ascii="Times New Roman" w:eastAsia="Times New Roman" w:hAnsi="Times New Roman" w:cs="Times New Roman"/>
                <w:i/>
                <w:iCs/>
                <w:color w:val="000000"/>
                <w:kern w:val="0"/>
                <w:szCs w:val="24"/>
                <w:lang w:eastAsia="en-IN"/>
                <w14:ligatures w14:val="none"/>
              </w:rPr>
              <w:t>.</w:t>
            </w:r>
            <w:r w:rsidRPr="007506E5">
              <w:rPr>
                <w:rFonts w:ascii="Times New Roman" w:eastAsia="Times New Roman" w:hAnsi="Times New Roman" w:cs="Times New Roman"/>
                <w:i/>
                <w:iCs/>
                <w:color w:val="000000"/>
                <w:kern w:val="0"/>
                <w:szCs w:val="24"/>
                <w:lang w:eastAsia="en-IN"/>
                <w14:ligatures w14:val="none"/>
              </w:rPr>
              <w:t>5</w:t>
            </w:r>
          </w:p>
        </w:tc>
        <w:tc>
          <w:tcPr>
            <w:tcW w:w="966" w:type="dxa"/>
            <w:tcBorders>
              <w:top w:val="nil"/>
              <w:left w:val="nil"/>
              <w:bottom w:val="single" w:sz="4" w:space="0" w:color="auto"/>
              <w:right w:val="single" w:sz="4" w:space="0" w:color="auto"/>
            </w:tcBorders>
            <w:vAlign w:val="center"/>
            <w:hideMark/>
          </w:tcPr>
          <w:p w14:paraId="2D1B7761" w14:textId="2F48E572"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2</w:t>
            </w:r>
            <w:r w:rsidR="00DC02C1">
              <w:rPr>
                <w:rFonts w:ascii="Times New Roman" w:eastAsia="Times New Roman" w:hAnsi="Times New Roman" w:cs="Times New Roman"/>
                <w:i/>
                <w:iCs/>
                <w:color w:val="000000"/>
                <w:kern w:val="0"/>
                <w:szCs w:val="24"/>
                <w:lang w:eastAsia="en-IN"/>
                <w14:ligatures w14:val="none"/>
              </w:rPr>
              <w:t>.</w:t>
            </w:r>
            <w:r w:rsidRPr="007506E5">
              <w:rPr>
                <w:rFonts w:ascii="Times New Roman" w:eastAsia="Times New Roman" w:hAnsi="Times New Roman" w:cs="Times New Roman"/>
                <w:i/>
                <w:iCs/>
                <w:color w:val="000000"/>
                <w:kern w:val="0"/>
                <w:szCs w:val="24"/>
                <w:lang w:eastAsia="en-IN"/>
                <w14:ligatures w14:val="none"/>
              </w:rPr>
              <w:t>8</w:t>
            </w:r>
          </w:p>
        </w:tc>
        <w:tc>
          <w:tcPr>
            <w:tcW w:w="1460" w:type="dxa"/>
            <w:tcBorders>
              <w:top w:val="nil"/>
              <w:left w:val="nil"/>
              <w:bottom w:val="single" w:sz="4" w:space="0" w:color="auto"/>
              <w:right w:val="single" w:sz="4" w:space="0" w:color="auto"/>
            </w:tcBorders>
            <w:vAlign w:val="center"/>
            <w:hideMark/>
          </w:tcPr>
          <w:p w14:paraId="11BF8F18" w14:textId="61F4E50C"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0</w:t>
            </w:r>
            <w:r w:rsidR="00DC02C1">
              <w:rPr>
                <w:rFonts w:ascii="Times New Roman" w:eastAsia="Times New Roman" w:hAnsi="Times New Roman" w:cs="Times New Roman"/>
                <w:i/>
                <w:iCs/>
                <w:color w:val="000000"/>
                <w:kern w:val="0"/>
                <w:szCs w:val="24"/>
                <w:lang w:eastAsia="en-IN"/>
                <w14:ligatures w14:val="none"/>
              </w:rPr>
              <w:t>.</w:t>
            </w:r>
            <w:r w:rsidRPr="007506E5">
              <w:rPr>
                <w:rFonts w:ascii="Times New Roman" w:eastAsia="Times New Roman" w:hAnsi="Times New Roman" w:cs="Times New Roman"/>
                <w:i/>
                <w:iCs/>
                <w:color w:val="000000"/>
                <w:kern w:val="0"/>
                <w:szCs w:val="24"/>
                <w:lang w:eastAsia="en-IN"/>
                <w14:ligatures w14:val="none"/>
              </w:rPr>
              <w:t>3</w:t>
            </w:r>
          </w:p>
        </w:tc>
        <w:tc>
          <w:tcPr>
            <w:tcW w:w="1240" w:type="dxa"/>
            <w:tcBorders>
              <w:top w:val="nil"/>
              <w:left w:val="nil"/>
              <w:bottom w:val="single" w:sz="4" w:space="0" w:color="auto"/>
              <w:right w:val="single" w:sz="4" w:space="0" w:color="auto"/>
            </w:tcBorders>
            <w:vAlign w:val="center"/>
            <w:hideMark/>
          </w:tcPr>
          <w:p w14:paraId="7CE150CD" w14:textId="77777777"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6.6</w:t>
            </w:r>
          </w:p>
        </w:tc>
        <w:tc>
          <w:tcPr>
            <w:tcW w:w="822" w:type="dxa"/>
            <w:tcBorders>
              <w:top w:val="nil"/>
              <w:left w:val="nil"/>
              <w:bottom w:val="single" w:sz="4" w:space="0" w:color="auto"/>
              <w:right w:val="single" w:sz="4" w:space="0" w:color="auto"/>
            </w:tcBorders>
            <w:vAlign w:val="center"/>
            <w:hideMark/>
          </w:tcPr>
          <w:p w14:paraId="6AE5B471" w14:textId="77777777"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11.3</w:t>
            </w:r>
          </w:p>
        </w:tc>
        <w:tc>
          <w:tcPr>
            <w:tcW w:w="1082" w:type="dxa"/>
            <w:tcBorders>
              <w:top w:val="nil"/>
              <w:left w:val="nil"/>
              <w:bottom w:val="single" w:sz="4" w:space="0" w:color="auto"/>
              <w:right w:val="single" w:sz="4" w:space="0" w:color="auto"/>
            </w:tcBorders>
            <w:vAlign w:val="center"/>
            <w:hideMark/>
          </w:tcPr>
          <w:p w14:paraId="09484984" w14:textId="77777777"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70.5</w:t>
            </w:r>
          </w:p>
        </w:tc>
        <w:tc>
          <w:tcPr>
            <w:tcW w:w="965" w:type="dxa"/>
            <w:tcBorders>
              <w:top w:val="nil"/>
              <w:left w:val="nil"/>
              <w:bottom w:val="single" w:sz="4" w:space="0" w:color="auto"/>
              <w:right w:val="single" w:sz="4" w:space="0" w:color="auto"/>
            </w:tcBorders>
            <w:vAlign w:val="center"/>
            <w:hideMark/>
          </w:tcPr>
          <w:p w14:paraId="3539072C" w14:textId="47922A0E" w:rsidR="007506E5" w:rsidRPr="007506E5" w:rsidRDefault="007506E5" w:rsidP="007506E5">
            <w:pPr>
              <w:spacing w:after="0" w:line="240" w:lineRule="auto"/>
              <w:jc w:val="center"/>
              <w:rPr>
                <w:rFonts w:ascii="Aptos" w:eastAsia="Times New Roman" w:hAnsi="Aptos" w:cs="Times New Roman"/>
                <w:color w:val="000000"/>
                <w:kern w:val="0"/>
                <w:szCs w:val="24"/>
                <w:lang w:eastAsia="en-IN"/>
                <w14:ligatures w14:val="none"/>
              </w:rPr>
            </w:pPr>
          </w:p>
        </w:tc>
        <w:tc>
          <w:tcPr>
            <w:tcW w:w="926" w:type="dxa"/>
            <w:tcBorders>
              <w:top w:val="nil"/>
              <w:left w:val="nil"/>
              <w:bottom w:val="single" w:sz="4" w:space="0" w:color="auto"/>
              <w:right w:val="single" w:sz="4" w:space="0" w:color="auto"/>
            </w:tcBorders>
            <w:vAlign w:val="center"/>
            <w:hideMark/>
          </w:tcPr>
          <w:p w14:paraId="67D501FE" w14:textId="77777777"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6.5</w:t>
            </w:r>
          </w:p>
        </w:tc>
        <w:tc>
          <w:tcPr>
            <w:tcW w:w="1082" w:type="dxa"/>
            <w:tcBorders>
              <w:top w:val="nil"/>
              <w:left w:val="nil"/>
              <w:bottom w:val="single" w:sz="4" w:space="0" w:color="auto"/>
              <w:right w:val="single" w:sz="4" w:space="0" w:color="auto"/>
            </w:tcBorders>
            <w:vAlign w:val="center"/>
            <w:hideMark/>
          </w:tcPr>
          <w:p w14:paraId="71BA5366" w14:textId="77777777"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23</w:t>
            </w:r>
          </w:p>
        </w:tc>
        <w:tc>
          <w:tcPr>
            <w:tcW w:w="1082" w:type="dxa"/>
            <w:tcBorders>
              <w:top w:val="nil"/>
              <w:left w:val="nil"/>
              <w:bottom w:val="single" w:sz="4" w:space="0" w:color="auto"/>
              <w:right w:val="single" w:sz="4" w:space="0" w:color="auto"/>
            </w:tcBorders>
            <w:vAlign w:val="center"/>
            <w:hideMark/>
          </w:tcPr>
          <w:p w14:paraId="141E6000" w14:textId="4D64306E" w:rsidR="007506E5" w:rsidRPr="007506E5" w:rsidRDefault="007506E5" w:rsidP="007506E5">
            <w:pPr>
              <w:spacing w:after="0" w:line="240" w:lineRule="auto"/>
              <w:jc w:val="center"/>
              <w:rPr>
                <w:rFonts w:ascii="Aptos" w:eastAsia="Times New Roman" w:hAnsi="Aptos" w:cs="Times New Roman"/>
                <w:color w:val="000000"/>
                <w:kern w:val="0"/>
                <w:szCs w:val="24"/>
                <w:lang w:eastAsia="en-IN"/>
                <w14:ligatures w14:val="none"/>
              </w:rPr>
            </w:pPr>
          </w:p>
        </w:tc>
      </w:tr>
      <w:tr w:rsidR="007506E5" w:rsidRPr="007506E5" w14:paraId="2BC1BE2A" w14:textId="77777777" w:rsidTr="00C91D91">
        <w:trPr>
          <w:trHeight w:val="20"/>
          <w:jc w:val="center"/>
        </w:trPr>
        <w:tc>
          <w:tcPr>
            <w:tcW w:w="1369" w:type="dxa"/>
            <w:tcBorders>
              <w:top w:val="nil"/>
              <w:left w:val="single" w:sz="4" w:space="0" w:color="auto"/>
              <w:bottom w:val="single" w:sz="4" w:space="0" w:color="auto"/>
              <w:right w:val="single" w:sz="4" w:space="0" w:color="auto"/>
            </w:tcBorders>
            <w:vAlign w:val="center"/>
            <w:hideMark/>
          </w:tcPr>
          <w:p w14:paraId="2C2F682A"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Madhya Bharat</w:t>
            </w:r>
          </w:p>
        </w:tc>
        <w:tc>
          <w:tcPr>
            <w:tcW w:w="1473" w:type="dxa"/>
            <w:tcBorders>
              <w:top w:val="nil"/>
              <w:left w:val="nil"/>
              <w:bottom w:val="single" w:sz="4" w:space="0" w:color="auto"/>
              <w:right w:val="single" w:sz="4" w:space="0" w:color="auto"/>
            </w:tcBorders>
            <w:vAlign w:val="center"/>
            <w:hideMark/>
          </w:tcPr>
          <w:p w14:paraId="31BBD4D2"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w:t>
            </w:r>
          </w:p>
        </w:tc>
        <w:tc>
          <w:tcPr>
            <w:tcW w:w="1083" w:type="dxa"/>
            <w:tcBorders>
              <w:top w:val="nil"/>
              <w:left w:val="nil"/>
              <w:bottom w:val="single" w:sz="4" w:space="0" w:color="auto"/>
              <w:right w:val="single" w:sz="4" w:space="0" w:color="auto"/>
            </w:tcBorders>
            <w:vAlign w:val="center"/>
            <w:hideMark/>
          </w:tcPr>
          <w:p w14:paraId="0DE053A9"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253</w:t>
            </w:r>
          </w:p>
        </w:tc>
        <w:tc>
          <w:tcPr>
            <w:tcW w:w="862" w:type="dxa"/>
            <w:tcBorders>
              <w:top w:val="nil"/>
              <w:left w:val="nil"/>
              <w:bottom w:val="single" w:sz="4" w:space="0" w:color="auto"/>
              <w:right w:val="single" w:sz="4" w:space="0" w:color="auto"/>
            </w:tcBorders>
            <w:vAlign w:val="center"/>
            <w:hideMark/>
          </w:tcPr>
          <w:p w14:paraId="71F625ED"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179</w:t>
            </w:r>
          </w:p>
        </w:tc>
        <w:tc>
          <w:tcPr>
            <w:tcW w:w="966" w:type="dxa"/>
            <w:tcBorders>
              <w:top w:val="nil"/>
              <w:left w:val="nil"/>
              <w:bottom w:val="single" w:sz="4" w:space="0" w:color="auto"/>
              <w:right w:val="single" w:sz="4" w:space="0" w:color="auto"/>
            </w:tcBorders>
            <w:vAlign w:val="center"/>
            <w:hideMark/>
          </w:tcPr>
          <w:p w14:paraId="0B19E365"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41</w:t>
            </w:r>
          </w:p>
        </w:tc>
        <w:tc>
          <w:tcPr>
            <w:tcW w:w="1460" w:type="dxa"/>
            <w:tcBorders>
              <w:top w:val="nil"/>
              <w:left w:val="nil"/>
              <w:bottom w:val="single" w:sz="4" w:space="0" w:color="auto"/>
              <w:right w:val="single" w:sz="4" w:space="0" w:color="auto"/>
            </w:tcBorders>
            <w:vAlign w:val="center"/>
            <w:hideMark/>
          </w:tcPr>
          <w:p w14:paraId="7B355B8D"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2</w:t>
            </w:r>
          </w:p>
        </w:tc>
        <w:tc>
          <w:tcPr>
            <w:tcW w:w="1240" w:type="dxa"/>
            <w:tcBorders>
              <w:top w:val="nil"/>
              <w:left w:val="nil"/>
              <w:bottom w:val="single" w:sz="4" w:space="0" w:color="auto"/>
              <w:right w:val="single" w:sz="4" w:space="0" w:color="auto"/>
            </w:tcBorders>
            <w:vAlign w:val="center"/>
            <w:hideMark/>
          </w:tcPr>
          <w:p w14:paraId="49062376"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68</w:t>
            </w:r>
          </w:p>
        </w:tc>
        <w:tc>
          <w:tcPr>
            <w:tcW w:w="822" w:type="dxa"/>
            <w:tcBorders>
              <w:top w:val="nil"/>
              <w:left w:val="nil"/>
              <w:bottom w:val="single" w:sz="4" w:space="0" w:color="auto"/>
              <w:right w:val="single" w:sz="4" w:space="0" w:color="auto"/>
            </w:tcBorders>
            <w:vAlign w:val="center"/>
            <w:hideMark/>
          </w:tcPr>
          <w:p w14:paraId="0B8B4DCC"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165</w:t>
            </w:r>
          </w:p>
        </w:tc>
        <w:tc>
          <w:tcPr>
            <w:tcW w:w="1082" w:type="dxa"/>
            <w:tcBorders>
              <w:top w:val="nil"/>
              <w:left w:val="nil"/>
              <w:bottom w:val="single" w:sz="4" w:space="0" w:color="auto"/>
              <w:right w:val="single" w:sz="4" w:space="0" w:color="auto"/>
            </w:tcBorders>
            <w:vAlign w:val="center"/>
            <w:hideMark/>
          </w:tcPr>
          <w:p w14:paraId="7A343C1C"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708</w:t>
            </w:r>
          </w:p>
        </w:tc>
        <w:tc>
          <w:tcPr>
            <w:tcW w:w="965" w:type="dxa"/>
            <w:tcBorders>
              <w:top w:val="nil"/>
              <w:left w:val="nil"/>
              <w:bottom w:val="single" w:sz="4" w:space="0" w:color="auto"/>
              <w:right w:val="single" w:sz="4" w:space="0" w:color="auto"/>
            </w:tcBorders>
            <w:vAlign w:val="center"/>
            <w:hideMark/>
          </w:tcPr>
          <w:p w14:paraId="40F2F66F"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6</w:t>
            </w:r>
          </w:p>
        </w:tc>
        <w:tc>
          <w:tcPr>
            <w:tcW w:w="926" w:type="dxa"/>
            <w:tcBorders>
              <w:top w:val="nil"/>
              <w:left w:val="nil"/>
              <w:bottom w:val="single" w:sz="4" w:space="0" w:color="auto"/>
              <w:right w:val="single" w:sz="4" w:space="0" w:color="auto"/>
            </w:tcBorders>
            <w:vAlign w:val="center"/>
            <w:hideMark/>
          </w:tcPr>
          <w:p w14:paraId="43E4C855"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19</w:t>
            </w:r>
          </w:p>
        </w:tc>
        <w:tc>
          <w:tcPr>
            <w:tcW w:w="1082" w:type="dxa"/>
            <w:tcBorders>
              <w:top w:val="nil"/>
              <w:left w:val="nil"/>
              <w:bottom w:val="single" w:sz="4" w:space="0" w:color="auto"/>
              <w:right w:val="single" w:sz="4" w:space="0" w:color="auto"/>
            </w:tcBorders>
            <w:vAlign w:val="center"/>
            <w:hideMark/>
          </w:tcPr>
          <w:p w14:paraId="3AE62DB6"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403</w:t>
            </w:r>
          </w:p>
        </w:tc>
        <w:tc>
          <w:tcPr>
            <w:tcW w:w="1082" w:type="dxa"/>
            <w:tcBorders>
              <w:top w:val="nil"/>
              <w:left w:val="nil"/>
              <w:bottom w:val="single" w:sz="4" w:space="0" w:color="auto"/>
              <w:right w:val="single" w:sz="4" w:space="0" w:color="auto"/>
            </w:tcBorders>
            <w:vAlign w:val="center"/>
            <w:hideMark/>
          </w:tcPr>
          <w:p w14:paraId="2B7467E0"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1136</w:t>
            </w:r>
          </w:p>
        </w:tc>
      </w:tr>
      <w:tr w:rsidR="007506E5" w:rsidRPr="007506E5" w14:paraId="5FDBDCC8" w14:textId="77777777" w:rsidTr="00C91D91">
        <w:trPr>
          <w:trHeight w:val="20"/>
          <w:jc w:val="center"/>
        </w:trPr>
        <w:tc>
          <w:tcPr>
            <w:tcW w:w="1369" w:type="dxa"/>
            <w:tcBorders>
              <w:top w:val="nil"/>
              <w:left w:val="single" w:sz="4" w:space="0" w:color="auto"/>
              <w:bottom w:val="single" w:sz="4" w:space="0" w:color="auto"/>
              <w:right w:val="single" w:sz="4" w:space="0" w:color="auto"/>
            </w:tcBorders>
            <w:vAlign w:val="center"/>
            <w:hideMark/>
          </w:tcPr>
          <w:p w14:paraId="42A9172B" w14:textId="17A2C188" w:rsidR="007506E5" w:rsidRPr="007506E5" w:rsidRDefault="007506E5" w:rsidP="007506E5">
            <w:pPr>
              <w:spacing w:after="0" w:line="240" w:lineRule="auto"/>
              <w:jc w:val="center"/>
              <w:rPr>
                <w:rFonts w:ascii="Aptos" w:eastAsia="Times New Roman" w:hAnsi="Aptos" w:cs="Times New Roman"/>
                <w:color w:val="000000"/>
                <w:kern w:val="0"/>
                <w:szCs w:val="24"/>
                <w:lang w:eastAsia="en-IN"/>
                <w14:ligatures w14:val="none"/>
              </w:rPr>
            </w:pPr>
          </w:p>
        </w:tc>
        <w:tc>
          <w:tcPr>
            <w:tcW w:w="1473" w:type="dxa"/>
            <w:tcBorders>
              <w:top w:val="nil"/>
              <w:left w:val="nil"/>
              <w:bottom w:val="single" w:sz="4" w:space="0" w:color="auto"/>
              <w:right w:val="single" w:sz="4" w:space="0" w:color="auto"/>
            </w:tcBorders>
            <w:vAlign w:val="center"/>
            <w:hideMark/>
          </w:tcPr>
          <w:p w14:paraId="6BEA9227" w14:textId="59E74284" w:rsidR="007506E5" w:rsidRPr="007506E5" w:rsidRDefault="007506E5" w:rsidP="007506E5">
            <w:pPr>
              <w:spacing w:after="0" w:line="240" w:lineRule="auto"/>
              <w:jc w:val="center"/>
              <w:rPr>
                <w:rFonts w:ascii="Aptos" w:eastAsia="Times New Roman" w:hAnsi="Aptos" w:cs="Times New Roman"/>
                <w:color w:val="000000"/>
                <w:kern w:val="0"/>
                <w:szCs w:val="24"/>
                <w:lang w:eastAsia="en-IN"/>
                <w14:ligatures w14:val="none"/>
              </w:rPr>
            </w:pPr>
          </w:p>
        </w:tc>
        <w:tc>
          <w:tcPr>
            <w:tcW w:w="1083" w:type="dxa"/>
            <w:tcBorders>
              <w:top w:val="nil"/>
              <w:left w:val="nil"/>
              <w:bottom w:val="single" w:sz="4" w:space="0" w:color="auto"/>
              <w:right w:val="single" w:sz="4" w:space="0" w:color="auto"/>
            </w:tcBorders>
            <w:vAlign w:val="center"/>
            <w:hideMark/>
          </w:tcPr>
          <w:p w14:paraId="20F5D197" w14:textId="37A8E360"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22</w:t>
            </w:r>
            <w:r w:rsidR="005A4048">
              <w:rPr>
                <w:rFonts w:ascii="Times New Roman" w:eastAsia="Times New Roman" w:hAnsi="Times New Roman" w:cs="Times New Roman"/>
                <w:i/>
                <w:iCs/>
                <w:color w:val="000000"/>
                <w:kern w:val="0"/>
                <w:szCs w:val="24"/>
                <w:lang w:eastAsia="en-IN"/>
                <w14:ligatures w14:val="none"/>
              </w:rPr>
              <w:t>.</w:t>
            </w:r>
            <w:r w:rsidRPr="007506E5">
              <w:rPr>
                <w:rFonts w:ascii="Times New Roman" w:eastAsia="Times New Roman" w:hAnsi="Times New Roman" w:cs="Times New Roman"/>
                <w:i/>
                <w:iCs/>
                <w:color w:val="000000"/>
                <w:kern w:val="0"/>
                <w:szCs w:val="24"/>
                <w:lang w:eastAsia="en-IN"/>
                <w14:ligatures w14:val="none"/>
              </w:rPr>
              <w:t>3</w:t>
            </w:r>
          </w:p>
        </w:tc>
        <w:tc>
          <w:tcPr>
            <w:tcW w:w="862" w:type="dxa"/>
            <w:tcBorders>
              <w:top w:val="nil"/>
              <w:left w:val="nil"/>
              <w:bottom w:val="single" w:sz="4" w:space="0" w:color="auto"/>
              <w:right w:val="single" w:sz="4" w:space="0" w:color="auto"/>
            </w:tcBorders>
            <w:vAlign w:val="center"/>
            <w:hideMark/>
          </w:tcPr>
          <w:p w14:paraId="1176453B" w14:textId="7FB8D4A4"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15</w:t>
            </w:r>
            <w:r w:rsidR="00DC02C1">
              <w:rPr>
                <w:rFonts w:ascii="Times New Roman" w:eastAsia="Times New Roman" w:hAnsi="Times New Roman" w:cs="Times New Roman"/>
                <w:i/>
                <w:iCs/>
                <w:color w:val="000000"/>
                <w:kern w:val="0"/>
                <w:szCs w:val="24"/>
                <w:lang w:eastAsia="en-IN"/>
                <w14:ligatures w14:val="none"/>
              </w:rPr>
              <w:t>.</w:t>
            </w:r>
            <w:r w:rsidRPr="007506E5">
              <w:rPr>
                <w:rFonts w:ascii="Times New Roman" w:eastAsia="Times New Roman" w:hAnsi="Times New Roman" w:cs="Times New Roman"/>
                <w:i/>
                <w:iCs/>
                <w:color w:val="000000"/>
                <w:kern w:val="0"/>
                <w:szCs w:val="24"/>
                <w:lang w:eastAsia="en-IN"/>
                <w14:ligatures w14:val="none"/>
              </w:rPr>
              <w:t>8</w:t>
            </w:r>
          </w:p>
        </w:tc>
        <w:tc>
          <w:tcPr>
            <w:tcW w:w="966" w:type="dxa"/>
            <w:tcBorders>
              <w:top w:val="nil"/>
              <w:left w:val="nil"/>
              <w:bottom w:val="single" w:sz="4" w:space="0" w:color="auto"/>
              <w:right w:val="single" w:sz="4" w:space="0" w:color="auto"/>
            </w:tcBorders>
            <w:vAlign w:val="center"/>
            <w:hideMark/>
          </w:tcPr>
          <w:p w14:paraId="014AA4D4" w14:textId="17A38AE3"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3</w:t>
            </w:r>
            <w:r w:rsidR="00DC02C1">
              <w:rPr>
                <w:rFonts w:ascii="Times New Roman" w:eastAsia="Times New Roman" w:hAnsi="Times New Roman" w:cs="Times New Roman"/>
                <w:i/>
                <w:iCs/>
                <w:color w:val="000000"/>
                <w:kern w:val="0"/>
                <w:szCs w:val="24"/>
                <w:lang w:eastAsia="en-IN"/>
                <w14:ligatures w14:val="none"/>
              </w:rPr>
              <w:t>.</w:t>
            </w:r>
            <w:r w:rsidRPr="007506E5">
              <w:rPr>
                <w:rFonts w:ascii="Times New Roman" w:eastAsia="Times New Roman" w:hAnsi="Times New Roman" w:cs="Times New Roman"/>
                <w:i/>
                <w:iCs/>
                <w:color w:val="000000"/>
                <w:kern w:val="0"/>
                <w:szCs w:val="24"/>
                <w:lang w:eastAsia="en-IN"/>
                <w14:ligatures w14:val="none"/>
              </w:rPr>
              <w:t>6</w:t>
            </w:r>
          </w:p>
        </w:tc>
        <w:tc>
          <w:tcPr>
            <w:tcW w:w="1460" w:type="dxa"/>
            <w:tcBorders>
              <w:top w:val="nil"/>
              <w:left w:val="nil"/>
              <w:bottom w:val="single" w:sz="4" w:space="0" w:color="auto"/>
              <w:right w:val="single" w:sz="4" w:space="0" w:color="auto"/>
            </w:tcBorders>
            <w:vAlign w:val="center"/>
            <w:hideMark/>
          </w:tcPr>
          <w:p w14:paraId="27A21BEE" w14:textId="2EB3E212"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0</w:t>
            </w:r>
            <w:r w:rsidR="00DC02C1">
              <w:rPr>
                <w:rFonts w:ascii="Times New Roman" w:eastAsia="Times New Roman" w:hAnsi="Times New Roman" w:cs="Times New Roman"/>
                <w:i/>
                <w:iCs/>
                <w:color w:val="000000"/>
                <w:kern w:val="0"/>
                <w:szCs w:val="24"/>
                <w:lang w:eastAsia="en-IN"/>
                <w14:ligatures w14:val="none"/>
              </w:rPr>
              <w:t>.</w:t>
            </w:r>
            <w:r w:rsidRPr="007506E5">
              <w:rPr>
                <w:rFonts w:ascii="Times New Roman" w:eastAsia="Times New Roman" w:hAnsi="Times New Roman" w:cs="Times New Roman"/>
                <w:i/>
                <w:iCs/>
                <w:color w:val="000000"/>
                <w:kern w:val="0"/>
                <w:szCs w:val="24"/>
                <w:lang w:eastAsia="en-IN"/>
                <w14:ligatures w14:val="none"/>
              </w:rPr>
              <w:t>2</w:t>
            </w:r>
          </w:p>
        </w:tc>
        <w:tc>
          <w:tcPr>
            <w:tcW w:w="1240" w:type="dxa"/>
            <w:tcBorders>
              <w:top w:val="nil"/>
              <w:left w:val="nil"/>
              <w:bottom w:val="single" w:sz="4" w:space="0" w:color="auto"/>
              <w:right w:val="single" w:sz="4" w:space="0" w:color="auto"/>
            </w:tcBorders>
            <w:vAlign w:val="center"/>
            <w:hideMark/>
          </w:tcPr>
          <w:p w14:paraId="111634CF" w14:textId="77777777"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6</w:t>
            </w:r>
          </w:p>
        </w:tc>
        <w:tc>
          <w:tcPr>
            <w:tcW w:w="822" w:type="dxa"/>
            <w:tcBorders>
              <w:top w:val="nil"/>
              <w:left w:val="nil"/>
              <w:bottom w:val="single" w:sz="4" w:space="0" w:color="auto"/>
              <w:right w:val="single" w:sz="4" w:space="0" w:color="auto"/>
            </w:tcBorders>
            <w:vAlign w:val="center"/>
            <w:hideMark/>
          </w:tcPr>
          <w:p w14:paraId="1BF4A2C9" w14:textId="77777777"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14.5</w:t>
            </w:r>
          </w:p>
        </w:tc>
        <w:tc>
          <w:tcPr>
            <w:tcW w:w="1082" w:type="dxa"/>
            <w:tcBorders>
              <w:top w:val="nil"/>
              <w:left w:val="nil"/>
              <w:bottom w:val="single" w:sz="4" w:space="0" w:color="auto"/>
              <w:right w:val="single" w:sz="4" w:space="0" w:color="auto"/>
            </w:tcBorders>
            <w:vAlign w:val="center"/>
            <w:hideMark/>
          </w:tcPr>
          <w:p w14:paraId="1315AFFC" w14:textId="77777777"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62.3</w:t>
            </w:r>
          </w:p>
        </w:tc>
        <w:tc>
          <w:tcPr>
            <w:tcW w:w="965" w:type="dxa"/>
            <w:tcBorders>
              <w:top w:val="nil"/>
              <w:left w:val="nil"/>
              <w:bottom w:val="single" w:sz="4" w:space="0" w:color="auto"/>
              <w:right w:val="single" w:sz="4" w:space="0" w:color="auto"/>
            </w:tcBorders>
            <w:vAlign w:val="center"/>
            <w:hideMark/>
          </w:tcPr>
          <w:p w14:paraId="420CFFCC" w14:textId="77777777"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0.5</w:t>
            </w:r>
          </w:p>
        </w:tc>
        <w:tc>
          <w:tcPr>
            <w:tcW w:w="926" w:type="dxa"/>
            <w:tcBorders>
              <w:top w:val="nil"/>
              <w:left w:val="nil"/>
              <w:bottom w:val="single" w:sz="4" w:space="0" w:color="auto"/>
              <w:right w:val="single" w:sz="4" w:space="0" w:color="auto"/>
            </w:tcBorders>
            <w:vAlign w:val="center"/>
            <w:hideMark/>
          </w:tcPr>
          <w:p w14:paraId="07BDFB82" w14:textId="77777777"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1.7</w:t>
            </w:r>
          </w:p>
        </w:tc>
        <w:tc>
          <w:tcPr>
            <w:tcW w:w="1082" w:type="dxa"/>
            <w:tcBorders>
              <w:top w:val="nil"/>
              <w:left w:val="nil"/>
              <w:bottom w:val="single" w:sz="4" w:space="0" w:color="auto"/>
              <w:right w:val="single" w:sz="4" w:space="0" w:color="auto"/>
            </w:tcBorders>
            <w:vAlign w:val="center"/>
            <w:hideMark/>
          </w:tcPr>
          <w:p w14:paraId="1E666379" w14:textId="77777777"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35.5</w:t>
            </w:r>
          </w:p>
        </w:tc>
        <w:tc>
          <w:tcPr>
            <w:tcW w:w="1082" w:type="dxa"/>
            <w:tcBorders>
              <w:top w:val="nil"/>
              <w:left w:val="nil"/>
              <w:bottom w:val="single" w:sz="4" w:space="0" w:color="auto"/>
              <w:right w:val="single" w:sz="4" w:space="0" w:color="auto"/>
            </w:tcBorders>
            <w:vAlign w:val="center"/>
            <w:hideMark/>
          </w:tcPr>
          <w:p w14:paraId="5902EA1A" w14:textId="17EFA011" w:rsidR="007506E5" w:rsidRPr="007506E5" w:rsidRDefault="007506E5" w:rsidP="007506E5">
            <w:pPr>
              <w:spacing w:after="0" w:line="240" w:lineRule="auto"/>
              <w:jc w:val="center"/>
              <w:rPr>
                <w:rFonts w:ascii="Aptos" w:eastAsia="Times New Roman" w:hAnsi="Aptos" w:cs="Times New Roman"/>
                <w:color w:val="000000"/>
                <w:kern w:val="0"/>
                <w:szCs w:val="24"/>
                <w:lang w:eastAsia="en-IN"/>
                <w14:ligatures w14:val="none"/>
              </w:rPr>
            </w:pPr>
          </w:p>
        </w:tc>
      </w:tr>
      <w:tr w:rsidR="007506E5" w:rsidRPr="007506E5" w14:paraId="4FC72DC5" w14:textId="77777777" w:rsidTr="00C91D91">
        <w:trPr>
          <w:trHeight w:val="20"/>
          <w:jc w:val="center"/>
        </w:trPr>
        <w:tc>
          <w:tcPr>
            <w:tcW w:w="1369" w:type="dxa"/>
            <w:tcBorders>
              <w:top w:val="nil"/>
              <w:left w:val="single" w:sz="4" w:space="0" w:color="auto"/>
              <w:bottom w:val="single" w:sz="4" w:space="0" w:color="auto"/>
              <w:right w:val="single" w:sz="4" w:space="0" w:color="auto"/>
            </w:tcBorders>
            <w:vAlign w:val="center"/>
            <w:hideMark/>
          </w:tcPr>
          <w:p w14:paraId="10B1CFBB"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Mysore</w:t>
            </w:r>
          </w:p>
        </w:tc>
        <w:tc>
          <w:tcPr>
            <w:tcW w:w="1473" w:type="dxa"/>
            <w:tcBorders>
              <w:top w:val="nil"/>
              <w:left w:val="nil"/>
              <w:bottom w:val="single" w:sz="4" w:space="0" w:color="auto"/>
              <w:right w:val="single" w:sz="4" w:space="0" w:color="auto"/>
            </w:tcBorders>
            <w:vAlign w:val="center"/>
            <w:hideMark/>
          </w:tcPr>
          <w:p w14:paraId="107B0211"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w:t>
            </w:r>
          </w:p>
        </w:tc>
        <w:tc>
          <w:tcPr>
            <w:tcW w:w="1083" w:type="dxa"/>
            <w:tcBorders>
              <w:top w:val="nil"/>
              <w:left w:val="nil"/>
              <w:bottom w:val="single" w:sz="4" w:space="0" w:color="auto"/>
              <w:right w:val="single" w:sz="4" w:space="0" w:color="auto"/>
            </w:tcBorders>
            <w:vAlign w:val="center"/>
            <w:hideMark/>
          </w:tcPr>
          <w:p w14:paraId="5A0B0471"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131</w:t>
            </w:r>
          </w:p>
        </w:tc>
        <w:tc>
          <w:tcPr>
            <w:tcW w:w="862" w:type="dxa"/>
            <w:tcBorders>
              <w:top w:val="nil"/>
              <w:left w:val="nil"/>
              <w:bottom w:val="single" w:sz="4" w:space="0" w:color="auto"/>
              <w:right w:val="single" w:sz="4" w:space="0" w:color="auto"/>
            </w:tcBorders>
            <w:vAlign w:val="center"/>
            <w:hideMark/>
          </w:tcPr>
          <w:p w14:paraId="73B63AB7"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211</w:t>
            </w:r>
          </w:p>
        </w:tc>
        <w:tc>
          <w:tcPr>
            <w:tcW w:w="966" w:type="dxa"/>
            <w:tcBorders>
              <w:top w:val="nil"/>
              <w:left w:val="nil"/>
              <w:bottom w:val="single" w:sz="4" w:space="0" w:color="auto"/>
              <w:right w:val="single" w:sz="4" w:space="0" w:color="auto"/>
            </w:tcBorders>
            <w:vAlign w:val="center"/>
            <w:hideMark/>
          </w:tcPr>
          <w:p w14:paraId="30F76C40"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51</w:t>
            </w:r>
          </w:p>
        </w:tc>
        <w:tc>
          <w:tcPr>
            <w:tcW w:w="1460" w:type="dxa"/>
            <w:tcBorders>
              <w:top w:val="nil"/>
              <w:left w:val="nil"/>
              <w:bottom w:val="single" w:sz="4" w:space="0" w:color="auto"/>
              <w:right w:val="single" w:sz="4" w:space="0" w:color="auto"/>
            </w:tcBorders>
            <w:vAlign w:val="center"/>
            <w:hideMark/>
          </w:tcPr>
          <w:p w14:paraId="1F00B123"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10</w:t>
            </w:r>
          </w:p>
        </w:tc>
        <w:tc>
          <w:tcPr>
            <w:tcW w:w="1240" w:type="dxa"/>
            <w:tcBorders>
              <w:top w:val="nil"/>
              <w:left w:val="nil"/>
              <w:bottom w:val="single" w:sz="4" w:space="0" w:color="auto"/>
              <w:right w:val="single" w:sz="4" w:space="0" w:color="auto"/>
            </w:tcBorders>
            <w:vAlign w:val="center"/>
            <w:hideMark/>
          </w:tcPr>
          <w:p w14:paraId="7898560A"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164</w:t>
            </w:r>
          </w:p>
        </w:tc>
        <w:tc>
          <w:tcPr>
            <w:tcW w:w="822" w:type="dxa"/>
            <w:tcBorders>
              <w:top w:val="nil"/>
              <w:left w:val="nil"/>
              <w:bottom w:val="single" w:sz="4" w:space="0" w:color="auto"/>
              <w:right w:val="single" w:sz="4" w:space="0" w:color="auto"/>
            </w:tcBorders>
            <w:vAlign w:val="center"/>
            <w:hideMark/>
          </w:tcPr>
          <w:p w14:paraId="0729C508"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79</w:t>
            </w:r>
          </w:p>
        </w:tc>
        <w:tc>
          <w:tcPr>
            <w:tcW w:w="1082" w:type="dxa"/>
            <w:tcBorders>
              <w:top w:val="nil"/>
              <w:left w:val="nil"/>
              <w:bottom w:val="single" w:sz="4" w:space="0" w:color="auto"/>
              <w:right w:val="single" w:sz="4" w:space="0" w:color="auto"/>
            </w:tcBorders>
            <w:vAlign w:val="center"/>
            <w:hideMark/>
          </w:tcPr>
          <w:p w14:paraId="68788012"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646</w:t>
            </w:r>
          </w:p>
        </w:tc>
        <w:tc>
          <w:tcPr>
            <w:tcW w:w="965" w:type="dxa"/>
            <w:tcBorders>
              <w:top w:val="nil"/>
              <w:left w:val="nil"/>
              <w:bottom w:val="single" w:sz="4" w:space="0" w:color="auto"/>
              <w:right w:val="single" w:sz="4" w:space="0" w:color="auto"/>
            </w:tcBorders>
            <w:vAlign w:val="center"/>
            <w:hideMark/>
          </w:tcPr>
          <w:p w14:paraId="71D62D45"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w:t>
            </w:r>
          </w:p>
        </w:tc>
        <w:tc>
          <w:tcPr>
            <w:tcW w:w="926" w:type="dxa"/>
            <w:tcBorders>
              <w:top w:val="nil"/>
              <w:left w:val="nil"/>
              <w:bottom w:val="single" w:sz="4" w:space="0" w:color="auto"/>
              <w:right w:val="single" w:sz="4" w:space="0" w:color="auto"/>
            </w:tcBorders>
            <w:vAlign w:val="center"/>
            <w:hideMark/>
          </w:tcPr>
          <w:p w14:paraId="40939E23"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403</w:t>
            </w:r>
          </w:p>
        </w:tc>
        <w:tc>
          <w:tcPr>
            <w:tcW w:w="1082" w:type="dxa"/>
            <w:tcBorders>
              <w:top w:val="nil"/>
              <w:left w:val="nil"/>
              <w:bottom w:val="single" w:sz="4" w:space="0" w:color="auto"/>
              <w:right w:val="single" w:sz="4" w:space="0" w:color="auto"/>
            </w:tcBorders>
            <w:vAlign w:val="center"/>
            <w:hideMark/>
          </w:tcPr>
          <w:p w14:paraId="7A26781B"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373</w:t>
            </w:r>
          </w:p>
        </w:tc>
        <w:tc>
          <w:tcPr>
            <w:tcW w:w="1082" w:type="dxa"/>
            <w:tcBorders>
              <w:top w:val="nil"/>
              <w:left w:val="nil"/>
              <w:bottom w:val="single" w:sz="4" w:space="0" w:color="auto"/>
              <w:right w:val="single" w:sz="4" w:space="0" w:color="auto"/>
            </w:tcBorders>
            <w:vAlign w:val="center"/>
            <w:hideMark/>
          </w:tcPr>
          <w:p w14:paraId="30DAAA62"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1422(d)</w:t>
            </w:r>
          </w:p>
        </w:tc>
      </w:tr>
      <w:tr w:rsidR="007506E5" w:rsidRPr="007506E5" w14:paraId="5AFB0ED4" w14:textId="77777777" w:rsidTr="00C91D91">
        <w:trPr>
          <w:trHeight w:val="20"/>
          <w:jc w:val="center"/>
        </w:trPr>
        <w:tc>
          <w:tcPr>
            <w:tcW w:w="1369" w:type="dxa"/>
            <w:tcBorders>
              <w:top w:val="nil"/>
              <w:left w:val="single" w:sz="4" w:space="0" w:color="auto"/>
              <w:bottom w:val="single" w:sz="4" w:space="0" w:color="auto"/>
              <w:right w:val="single" w:sz="4" w:space="0" w:color="auto"/>
            </w:tcBorders>
            <w:vAlign w:val="center"/>
            <w:hideMark/>
          </w:tcPr>
          <w:p w14:paraId="2733B2F0" w14:textId="5EDC650B" w:rsidR="007506E5" w:rsidRPr="007506E5" w:rsidRDefault="007506E5" w:rsidP="007506E5">
            <w:pPr>
              <w:spacing w:after="0" w:line="240" w:lineRule="auto"/>
              <w:jc w:val="center"/>
              <w:rPr>
                <w:rFonts w:ascii="Aptos" w:eastAsia="Times New Roman" w:hAnsi="Aptos" w:cs="Times New Roman"/>
                <w:color w:val="000000"/>
                <w:kern w:val="0"/>
                <w:szCs w:val="24"/>
                <w:lang w:eastAsia="en-IN"/>
                <w14:ligatures w14:val="none"/>
              </w:rPr>
            </w:pPr>
          </w:p>
        </w:tc>
        <w:tc>
          <w:tcPr>
            <w:tcW w:w="1473" w:type="dxa"/>
            <w:tcBorders>
              <w:top w:val="nil"/>
              <w:left w:val="nil"/>
              <w:bottom w:val="single" w:sz="4" w:space="0" w:color="auto"/>
              <w:right w:val="single" w:sz="4" w:space="0" w:color="auto"/>
            </w:tcBorders>
            <w:vAlign w:val="center"/>
            <w:hideMark/>
          </w:tcPr>
          <w:p w14:paraId="056468E6" w14:textId="481D5207" w:rsidR="007506E5" w:rsidRPr="007506E5" w:rsidRDefault="007506E5" w:rsidP="007506E5">
            <w:pPr>
              <w:spacing w:after="0" w:line="240" w:lineRule="auto"/>
              <w:jc w:val="center"/>
              <w:rPr>
                <w:rFonts w:ascii="Aptos" w:eastAsia="Times New Roman" w:hAnsi="Aptos" w:cs="Times New Roman"/>
                <w:color w:val="000000"/>
                <w:kern w:val="0"/>
                <w:szCs w:val="24"/>
                <w:lang w:eastAsia="en-IN"/>
                <w14:ligatures w14:val="none"/>
              </w:rPr>
            </w:pPr>
          </w:p>
        </w:tc>
        <w:tc>
          <w:tcPr>
            <w:tcW w:w="1083" w:type="dxa"/>
            <w:tcBorders>
              <w:top w:val="nil"/>
              <w:left w:val="nil"/>
              <w:bottom w:val="single" w:sz="4" w:space="0" w:color="auto"/>
              <w:right w:val="single" w:sz="4" w:space="0" w:color="auto"/>
            </w:tcBorders>
            <w:vAlign w:val="center"/>
            <w:hideMark/>
          </w:tcPr>
          <w:p w14:paraId="7818EC82" w14:textId="6636B7A4"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9</w:t>
            </w:r>
            <w:r w:rsidR="005A4048">
              <w:rPr>
                <w:rFonts w:ascii="Times New Roman" w:eastAsia="Times New Roman" w:hAnsi="Times New Roman" w:cs="Times New Roman"/>
                <w:i/>
                <w:iCs/>
                <w:color w:val="000000"/>
                <w:kern w:val="0"/>
                <w:szCs w:val="24"/>
                <w:lang w:eastAsia="en-IN"/>
                <w14:ligatures w14:val="none"/>
              </w:rPr>
              <w:t>.</w:t>
            </w:r>
            <w:r w:rsidRPr="007506E5">
              <w:rPr>
                <w:rFonts w:ascii="Times New Roman" w:eastAsia="Times New Roman" w:hAnsi="Times New Roman" w:cs="Times New Roman"/>
                <w:i/>
                <w:iCs/>
                <w:color w:val="000000"/>
                <w:kern w:val="0"/>
                <w:szCs w:val="24"/>
                <w:lang w:eastAsia="en-IN"/>
                <w14:ligatures w14:val="none"/>
              </w:rPr>
              <w:t>2</w:t>
            </w:r>
          </w:p>
        </w:tc>
        <w:tc>
          <w:tcPr>
            <w:tcW w:w="862" w:type="dxa"/>
            <w:tcBorders>
              <w:top w:val="nil"/>
              <w:left w:val="nil"/>
              <w:bottom w:val="single" w:sz="4" w:space="0" w:color="auto"/>
              <w:right w:val="single" w:sz="4" w:space="0" w:color="auto"/>
            </w:tcBorders>
            <w:vAlign w:val="center"/>
            <w:hideMark/>
          </w:tcPr>
          <w:p w14:paraId="6F3636D4" w14:textId="7411E7BA"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14</w:t>
            </w:r>
            <w:r w:rsidR="00DC02C1">
              <w:rPr>
                <w:rFonts w:ascii="Times New Roman" w:eastAsia="Times New Roman" w:hAnsi="Times New Roman" w:cs="Times New Roman"/>
                <w:i/>
                <w:iCs/>
                <w:color w:val="000000"/>
                <w:kern w:val="0"/>
                <w:szCs w:val="24"/>
                <w:lang w:eastAsia="en-IN"/>
                <w14:ligatures w14:val="none"/>
              </w:rPr>
              <w:t>.</w:t>
            </w:r>
            <w:r w:rsidRPr="007506E5">
              <w:rPr>
                <w:rFonts w:ascii="Times New Roman" w:eastAsia="Times New Roman" w:hAnsi="Times New Roman" w:cs="Times New Roman"/>
                <w:i/>
                <w:iCs/>
                <w:color w:val="000000"/>
                <w:kern w:val="0"/>
                <w:szCs w:val="24"/>
                <w:lang w:eastAsia="en-IN"/>
                <w14:ligatures w14:val="none"/>
              </w:rPr>
              <w:t>8</w:t>
            </w:r>
          </w:p>
        </w:tc>
        <w:tc>
          <w:tcPr>
            <w:tcW w:w="966" w:type="dxa"/>
            <w:tcBorders>
              <w:top w:val="nil"/>
              <w:left w:val="nil"/>
              <w:bottom w:val="single" w:sz="4" w:space="0" w:color="auto"/>
              <w:right w:val="single" w:sz="4" w:space="0" w:color="auto"/>
            </w:tcBorders>
            <w:vAlign w:val="center"/>
            <w:hideMark/>
          </w:tcPr>
          <w:p w14:paraId="0DE249BF" w14:textId="38081175"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3</w:t>
            </w:r>
            <w:r w:rsidR="00DC02C1">
              <w:rPr>
                <w:rFonts w:ascii="Times New Roman" w:eastAsia="Times New Roman" w:hAnsi="Times New Roman" w:cs="Times New Roman"/>
                <w:i/>
                <w:iCs/>
                <w:color w:val="000000"/>
                <w:kern w:val="0"/>
                <w:szCs w:val="24"/>
                <w:lang w:eastAsia="en-IN"/>
                <w14:ligatures w14:val="none"/>
              </w:rPr>
              <w:t>.</w:t>
            </w:r>
            <w:r w:rsidRPr="007506E5">
              <w:rPr>
                <w:rFonts w:ascii="Times New Roman" w:eastAsia="Times New Roman" w:hAnsi="Times New Roman" w:cs="Times New Roman"/>
                <w:i/>
                <w:iCs/>
                <w:color w:val="000000"/>
                <w:kern w:val="0"/>
                <w:szCs w:val="24"/>
                <w:lang w:eastAsia="en-IN"/>
                <w14:ligatures w14:val="none"/>
              </w:rPr>
              <w:t>6</w:t>
            </w:r>
          </w:p>
        </w:tc>
        <w:tc>
          <w:tcPr>
            <w:tcW w:w="1460" w:type="dxa"/>
            <w:tcBorders>
              <w:top w:val="nil"/>
              <w:left w:val="nil"/>
              <w:bottom w:val="single" w:sz="4" w:space="0" w:color="auto"/>
              <w:right w:val="single" w:sz="4" w:space="0" w:color="auto"/>
            </w:tcBorders>
            <w:vAlign w:val="center"/>
            <w:hideMark/>
          </w:tcPr>
          <w:p w14:paraId="3D33D910" w14:textId="5249EF52"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0</w:t>
            </w:r>
            <w:r w:rsidR="00DC02C1">
              <w:rPr>
                <w:rFonts w:ascii="Times New Roman" w:eastAsia="Times New Roman" w:hAnsi="Times New Roman" w:cs="Times New Roman"/>
                <w:i/>
                <w:iCs/>
                <w:color w:val="000000"/>
                <w:kern w:val="0"/>
                <w:szCs w:val="24"/>
                <w:lang w:eastAsia="en-IN"/>
                <w14:ligatures w14:val="none"/>
              </w:rPr>
              <w:t>.</w:t>
            </w:r>
            <w:r w:rsidRPr="007506E5">
              <w:rPr>
                <w:rFonts w:ascii="Times New Roman" w:eastAsia="Times New Roman" w:hAnsi="Times New Roman" w:cs="Times New Roman"/>
                <w:i/>
                <w:iCs/>
                <w:color w:val="000000"/>
                <w:kern w:val="0"/>
                <w:szCs w:val="24"/>
                <w:lang w:eastAsia="en-IN"/>
                <w14:ligatures w14:val="none"/>
              </w:rPr>
              <w:t>7</w:t>
            </w:r>
          </w:p>
        </w:tc>
        <w:tc>
          <w:tcPr>
            <w:tcW w:w="1240" w:type="dxa"/>
            <w:tcBorders>
              <w:top w:val="nil"/>
              <w:left w:val="nil"/>
              <w:bottom w:val="single" w:sz="4" w:space="0" w:color="auto"/>
              <w:right w:val="single" w:sz="4" w:space="0" w:color="auto"/>
            </w:tcBorders>
            <w:vAlign w:val="center"/>
            <w:hideMark/>
          </w:tcPr>
          <w:p w14:paraId="091B08E4" w14:textId="77777777"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11.5</w:t>
            </w:r>
          </w:p>
        </w:tc>
        <w:tc>
          <w:tcPr>
            <w:tcW w:w="822" w:type="dxa"/>
            <w:tcBorders>
              <w:top w:val="nil"/>
              <w:left w:val="nil"/>
              <w:bottom w:val="single" w:sz="4" w:space="0" w:color="auto"/>
              <w:right w:val="single" w:sz="4" w:space="0" w:color="auto"/>
            </w:tcBorders>
            <w:vAlign w:val="center"/>
            <w:hideMark/>
          </w:tcPr>
          <w:p w14:paraId="6D30D0A4" w14:textId="77777777"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5.6</w:t>
            </w:r>
          </w:p>
        </w:tc>
        <w:tc>
          <w:tcPr>
            <w:tcW w:w="1082" w:type="dxa"/>
            <w:tcBorders>
              <w:top w:val="nil"/>
              <w:left w:val="nil"/>
              <w:bottom w:val="single" w:sz="4" w:space="0" w:color="auto"/>
              <w:right w:val="single" w:sz="4" w:space="0" w:color="auto"/>
            </w:tcBorders>
            <w:vAlign w:val="center"/>
            <w:hideMark/>
          </w:tcPr>
          <w:p w14:paraId="04C11E2A" w14:textId="77777777"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45.4</w:t>
            </w:r>
          </w:p>
        </w:tc>
        <w:tc>
          <w:tcPr>
            <w:tcW w:w="965" w:type="dxa"/>
            <w:tcBorders>
              <w:top w:val="nil"/>
              <w:left w:val="nil"/>
              <w:bottom w:val="single" w:sz="4" w:space="0" w:color="auto"/>
              <w:right w:val="single" w:sz="4" w:space="0" w:color="auto"/>
            </w:tcBorders>
            <w:vAlign w:val="center"/>
            <w:hideMark/>
          </w:tcPr>
          <w:p w14:paraId="7FAEEB06" w14:textId="27E0BA20" w:rsidR="007506E5" w:rsidRPr="007506E5" w:rsidRDefault="007506E5" w:rsidP="007506E5">
            <w:pPr>
              <w:spacing w:after="0" w:line="240" w:lineRule="auto"/>
              <w:jc w:val="center"/>
              <w:rPr>
                <w:rFonts w:ascii="Aptos" w:eastAsia="Times New Roman" w:hAnsi="Aptos" w:cs="Times New Roman"/>
                <w:color w:val="000000"/>
                <w:kern w:val="0"/>
                <w:szCs w:val="24"/>
                <w:lang w:eastAsia="en-IN"/>
                <w14:ligatures w14:val="none"/>
              </w:rPr>
            </w:pPr>
          </w:p>
        </w:tc>
        <w:tc>
          <w:tcPr>
            <w:tcW w:w="926" w:type="dxa"/>
            <w:tcBorders>
              <w:top w:val="nil"/>
              <w:left w:val="nil"/>
              <w:bottom w:val="single" w:sz="4" w:space="0" w:color="auto"/>
              <w:right w:val="single" w:sz="4" w:space="0" w:color="auto"/>
            </w:tcBorders>
            <w:vAlign w:val="center"/>
            <w:hideMark/>
          </w:tcPr>
          <w:p w14:paraId="747B471A" w14:textId="77777777"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28.3</w:t>
            </w:r>
          </w:p>
        </w:tc>
        <w:tc>
          <w:tcPr>
            <w:tcW w:w="1082" w:type="dxa"/>
            <w:tcBorders>
              <w:top w:val="nil"/>
              <w:left w:val="nil"/>
              <w:bottom w:val="single" w:sz="4" w:space="0" w:color="auto"/>
              <w:right w:val="single" w:sz="4" w:space="0" w:color="auto"/>
            </w:tcBorders>
            <w:vAlign w:val="center"/>
            <w:hideMark/>
          </w:tcPr>
          <w:p w14:paraId="3863AF73" w14:textId="77777777"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26.2</w:t>
            </w:r>
          </w:p>
        </w:tc>
        <w:tc>
          <w:tcPr>
            <w:tcW w:w="1082" w:type="dxa"/>
            <w:tcBorders>
              <w:top w:val="nil"/>
              <w:left w:val="nil"/>
              <w:bottom w:val="single" w:sz="4" w:space="0" w:color="auto"/>
              <w:right w:val="single" w:sz="4" w:space="0" w:color="auto"/>
            </w:tcBorders>
            <w:vAlign w:val="center"/>
            <w:hideMark/>
          </w:tcPr>
          <w:p w14:paraId="634EA41E" w14:textId="73512075" w:rsidR="007506E5" w:rsidRPr="007506E5" w:rsidRDefault="007506E5" w:rsidP="007506E5">
            <w:pPr>
              <w:spacing w:after="0" w:line="240" w:lineRule="auto"/>
              <w:jc w:val="center"/>
              <w:rPr>
                <w:rFonts w:ascii="Aptos" w:eastAsia="Times New Roman" w:hAnsi="Aptos" w:cs="Times New Roman"/>
                <w:color w:val="000000"/>
                <w:kern w:val="0"/>
                <w:szCs w:val="24"/>
                <w:lang w:eastAsia="en-IN"/>
                <w14:ligatures w14:val="none"/>
              </w:rPr>
            </w:pPr>
          </w:p>
        </w:tc>
      </w:tr>
      <w:tr w:rsidR="007506E5" w:rsidRPr="007506E5" w14:paraId="14E794C6" w14:textId="77777777" w:rsidTr="00C91D91">
        <w:trPr>
          <w:trHeight w:val="20"/>
          <w:jc w:val="center"/>
        </w:trPr>
        <w:tc>
          <w:tcPr>
            <w:tcW w:w="1369" w:type="dxa"/>
            <w:tcBorders>
              <w:top w:val="nil"/>
              <w:left w:val="single" w:sz="4" w:space="0" w:color="auto"/>
              <w:bottom w:val="single" w:sz="4" w:space="0" w:color="auto"/>
              <w:right w:val="single" w:sz="4" w:space="0" w:color="auto"/>
            </w:tcBorders>
            <w:vAlign w:val="center"/>
            <w:hideMark/>
          </w:tcPr>
          <w:p w14:paraId="6C74C57D"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Patiala &amp; East Punjab States Union</w:t>
            </w:r>
          </w:p>
        </w:tc>
        <w:tc>
          <w:tcPr>
            <w:tcW w:w="1473" w:type="dxa"/>
            <w:tcBorders>
              <w:top w:val="nil"/>
              <w:left w:val="nil"/>
              <w:bottom w:val="single" w:sz="4" w:space="0" w:color="auto"/>
              <w:right w:val="single" w:sz="4" w:space="0" w:color="auto"/>
            </w:tcBorders>
            <w:vAlign w:val="center"/>
            <w:hideMark/>
          </w:tcPr>
          <w:p w14:paraId="56C92A85"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w:t>
            </w:r>
          </w:p>
        </w:tc>
        <w:tc>
          <w:tcPr>
            <w:tcW w:w="1083" w:type="dxa"/>
            <w:tcBorders>
              <w:top w:val="nil"/>
              <w:left w:val="nil"/>
              <w:bottom w:val="single" w:sz="4" w:space="0" w:color="auto"/>
              <w:right w:val="single" w:sz="4" w:space="0" w:color="auto"/>
            </w:tcBorders>
            <w:vAlign w:val="center"/>
            <w:hideMark/>
          </w:tcPr>
          <w:p w14:paraId="7E710F8C"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90</w:t>
            </w:r>
          </w:p>
        </w:tc>
        <w:tc>
          <w:tcPr>
            <w:tcW w:w="862" w:type="dxa"/>
            <w:tcBorders>
              <w:top w:val="nil"/>
              <w:left w:val="nil"/>
              <w:bottom w:val="single" w:sz="4" w:space="0" w:color="auto"/>
              <w:right w:val="single" w:sz="4" w:space="0" w:color="auto"/>
            </w:tcBorders>
            <w:vAlign w:val="center"/>
            <w:hideMark/>
          </w:tcPr>
          <w:p w14:paraId="526E68E4"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235</w:t>
            </w:r>
          </w:p>
        </w:tc>
        <w:tc>
          <w:tcPr>
            <w:tcW w:w="966" w:type="dxa"/>
            <w:tcBorders>
              <w:top w:val="nil"/>
              <w:left w:val="nil"/>
              <w:bottom w:val="single" w:sz="4" w:space="0" w:color="auto"/>
              <w:right w:val="single" w:sz="4" w:space="0" w:color="auto"/>
            </w:tcBorders>
            <w:vAlign w:val="center"/>
            <w:hideMark/>
          </w:tcPr>
          <w:p w14:paraId="70BAD68E"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19</w:t>
            </w:r>
          </w:p>
        </w:tc>
        <w:tc>
          <w:tcPr>
            <w:tcW w:w="1460" w:type="dxa"/>
            <w:tcBorders>
              <w:top w:val="nil"/>
              <w:left w:val="nil"/>
              <w:bottom w:val="single" w:sz="4" w:space="0" w:color="auto"/>
              <w:right w:val="single" w:sz="4" w:space="0" w:color="auto"/>
            </w:tcBorders>
            <w:vAlign w:val="center"/>
            <w:hideMark/>
          </w:tcPr>
          <w:p w14:paraId="4AC5FCB9"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4</w:t>
            </w:r>
          </w:p>
        </w:tc>
        <w:tc>
          <w:tcPr>
            <w:tcW w:w="1240" w:type="dxa"/>
            <w:tcBorders>
              <w:top w:val="nil"/>
              <w:left w:val="nil"/>
              <w:bottom w:val="single" w:sz="4" w:space="0" w:color="auto"/>
              <w:right w:val="single" w:sz="4" w:space="0" w:color="auto"/>
            </w:tcBorders>
            <w:vAlign w:val="center"/>
            <w:hideMark/>
          </w:tcPr>
          <w:p w14:paraId="287D17DB"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47</w:t>
            </w:r>
          </w:p>
        </w:tc>
        <w:tc>
          <w:tcPr>
            <w:tcW w:w="822" w:type="dxa"/>
            <w:tcBorders>
              <w:top w:val="nil"/>
              <w:left w:val="nil"/>
              <w:bottom w:val="single" w:sz="4" w:space="0" w:color="auto"/>
              <w:right w:val="single" w:sz="4" w:space="0" w:color="auto"/>
            </w:tcBorders>
            <w:vAlign w:val="center"/>
            <w:hideMark/>
          </w:tcPr>
          <w:p w14:paraId="6208ED72"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34</w:t>
            </w:r>
          </w:p>
        </w:tc>
        <w:tc>
          <w:tcPr>
            <w:tcW w:w="1082" w:type="dxa"/>
            <w:tcBorders>
              <w:top w:val="nil"/>
              <w:left w:val="nil"/>
              <w:bottom w:val="single" w:sz="4" w:space="0" w:color="auto"/>
              <w:right w:val="single" w:sz="4" w:space="0" w:color="auto"/>
            </w:tcBorders>
            <w:vAlign w:val="center"/>
            <w:hideMark/>
          </w:tcPr>
          <w:p w14:paraId="0B8A13CC"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429</w:t>
            </w:r>
          </w:p>
        </w:tc>
        <w:tc>
          <w:tcPr>
            <w:tcW w:w="965" w:type="dxa"/>
            <w:tcBorders>
              <w:top w:val="nil"/>
              <w:left w:val="nil"/>
              <w:bottom w:val="single" w:sz="4" w:space="0" w:color="auto"/>
              <w:right w:val="single" w:sz="4" w:space="0" w:color="auto"/>
            </w:tcBorders>
            <w:vAlign w:val="center"/>
            <w:hideMark/>
          </w:tcPr>
          <w:p w14:paraId="4B26235E"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15</w:t>
            </w:r>
          </w:p>
        </w:tc>
        <w:tc>
          <w:tcPr>
            <w:tcW w:w="926" w:type="dxa"/>
            <w:tcBorders>
              <w:top w:val="nil"/>
              <w:left w:val="nil"/>
              <w:bottom w:val="single" w:sz="4" w:space="0" w:color="auto"/>
              <w:right w:val="single" w:sz="4" w:space="0" w:color="auto"/>
            </w:tcBorders>
            <w:vAlign w:val="center"/>
            <w:hideMark/>
          </w:tcPr>
          <w:p w14:paraId="1127B813"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15</w:t>
            </w:r>
          </w:p>
        </w:tc>
        <w:tc>
          <w:tcPr>
            <w:tcW w:w="1082" w:type="dxa"/>
            <w:tcBorders>
              <w:top w:val="nil"/>
              <w:left w:val="nil"/>
              <w:bottom w:val="single" w:sz="4" w:space="0" w:color="auto"/>
              <w:right w:val="single" w:sz="4" w:space="0" w:color="auto"/>
            </w:tcBorders>
            <w:vAlign w:val="center"/>
            <w:hideMark/>
          </w:tcPr>
          <w:p w14:paraId="3BCD6C19"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137</w:t>
            </w:r>
          </w:p>
        </w:tc>
        <w:tc>
          <w:tcPr>
            <w:tcW w:w="1082" w:type="dxa"/>
            <w:tcBorders>
              <w:top w:val="nil"/>
              <w:left w:val="nil"/>
              <w:bottom w:val="single" w:sz="4" w:space="0" w:color="auto"/>
              <w:right w:val="single" w:sz="4" w:space="0" w:color="auto"/>
            </w:tcBorders>
            <w:vAlign w:val="center"/>
            <w:hideMark/>
          </w:tcPr>
          <w:p w14:paraId="52B8C197"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596</w:t>
            </w:r>
          </w:p>
        </w:tc>
      </w:tr>
      <w:tr w:rsidR="007506E5" w:rsidRPr="007506E5" w14:paraId="403697E8" w14:textId="77777777" w:rsidTr="00C91D91">
        <w:trPr>
          <w:trHeight w:val="20"/>
          <w:jc w:val="center"/>
        </w:trPr>
        <w:tc>
          <w:tcPr>
            <w:tcW w:w="1369" w:type="dxa"/>
            <w:tcBorders>
              <w:top w:val="nil"/>
              <w:left w:val="single" w:sz="4" w:space="0" w:color="auto"/>
              <w:bottom w:val="single" w:sz="4" w:space="0" w:color="auto"/>
              <w:right w:val="single" w:sz="4" w:space="0" w:color="auto"/>
            </w:tcBorders>
            <w:vAlign w:val="center"/>
            <w:hideMark/>
          </w:tcPr>
          <w:p w14:paraId="13433E62" w14:textId="0A57299C" w:rsidR="007506E5" w:rsidRPr="007506E5" w:rsidRDefault="007506E5" w:rsidP="007506E5">
            <w:pPr>
              <w:spacing w:after="0" w:line="240" w:lineRule="auto"/>
              <w:jc w:val="center"/>
              <w:rPr>
                <w:rFonts w:ascii="Aptos" w:eastAsia="Times New Roman" w:hAnsi="Aptos" w:cs="Times New Roman"/>
                <w:color w:val="000000"/>
                <w:kern w:val="0"/>
                <w:szCs w:val="24"/>
                <w:lang w:eastAsia="en-IN"/>
                <w14:ligatures w14:val="none"/>
              </w:rPr>
            </w:pPr>
          </w:p>
        </w:tc>
        <w:tc>
          <w:tcPr>
            <w:tcW w:w="1473" w:type="dxa"/>
            <w:tcBorders>
              <w:top w:val="nil"/>
              <w:left w:val="nil"/>
              <w:bottom w:val="single" w:sz="4" w:space="0" w:color="auto"/>
              <w:right w:val="single" w:sz="4" w:space="0" w:color="auto"/>
            </w:tcBorders>
            <w:vAlign w:val="center"/>
            <w:hideMark/>
          </w:tcPr>
          <w:p w14:paraId="15BCEFE6" w14:textId="4CE3F7F3" w:rsidR="007506E5" w:rsidRPr="007506E5" w:rsidRDefault="007506E5" w:rsidP="007506E5">
            <w:pPr>
              <w:spacing w:after="0" w:line="240" w:lineRule="auto"/>
              <w:jc w:val="center"/>
              <w:rPr>
                <w:rFonts w:ascii="Aptos" w:eastAsia="Times New Roman" w:hAnsi="Aptos" w:cs="Times New Roman"/>
                <w:color w:val="000000"/>
                <w:kern w:val="0"/>
                <w:szCs w:val="24"/>
                <w:lang w:eastAsia="en-IN"/>
                <w14:ligatures w14:val="none"/>
              </w:rPr>
            </w:pPr>
          </w:p>
        </w:tc>
        <w:tc>
          <w:tcPr>
            <w:tcW w:w="1083" w:type="dxa"/>
            <w:tcBorders>
              <w:top w:val="nil"/>
              <w:left w:val="nil"/>
              <w:bottom w:val="single" w:sz="4" w:space="0" w:color="auto"/>
              <w:right w:val="single" w:sz="4" w:space="0" w:color="auto"/>
            </w:tcBorders>
            <w:vAlign w:val="center"/>
            <w:hideMark/>
          </w:tcPr>
          <w:p w14:paraId="0C4C0A2C" w14:textId="2BB9B98A"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15</w:t>
            </w:r>
            <w:r w:rsidR="005A4048">
              <w:rPr>
                <w:rFonts w:ascii="Times New Roman" w:eastAsia="Times New Roman" w:hAnsi="Times New Roman" w:cs="Times New Roman"/>
                <w:i/>
                <w:iCs/>
                <w:color w:val="000000"/>
                <w:kern w:val="0"/>
                <w:szCs w:val="24"/>
                <w:lang w:eastAsia="en-IN"/>
                <w14:ligatures w14:val="none"/>
              </w:rPr>
              <w:t>.</w:t>
            </w:r>
            <w:r w:rsidRPr="007506E5">
              <w:rPr>
                <w:rFonts w:ascii="Times New Roman" w:eastAsia="Times New Roman" w:hAnsi="Times New Roman" w:cs="Times New Roman"/>
                <w:i/>
                <w:iCs/>
                <w:color w:val="000000"/>
                <w:kern w:val="0"/>
                <w:szCs w:val="24"/>
                <w:lang w:eastAsia="en-IN"/>
                <w14:ligatures w14:val="none"/>
              </w:rPr>
              <w:t>1</w:t>
            </w:r>
          </w:p>
        </w:tc>
        <w:tc>
          <w:tcPr>
            <w:tcW w:w="862" w:type="dxa"/>
            <w:tcBorders>
              <w:top w:val="nil"/>
              <w:left w:val="nil"/>
              <w:bottom w:val="single" w:sz="4" w:space="0" w:color="auto"/>
              <w:right w:val="single" w:sz="4" w:space="0" w:color="auto"/>
            </w:tcBorders>
            <w:vAlign w:val="center"/>
            <w:hideMark/>
          </w:tcPr>
          <w:p w14:paraId="5C2EF5A0" w14:textId="3D5218B1"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39</w:t>
            </w:r>
            <w:r w:rsidR="00DC02C1">
              <w:rPr>
                <w:rFonts w:ascii="Times New Roman" w:eastAsia="Times New Roman" w:hAnsi="Times New Roman" w:cs="Times New Roman"/>
                <w:i/>
                <w:iCs/>
                <w:color w:val="000000"/>
                <w:kern w:val="0"/>
                <w:szCs w:val="24"/>
                <w:lang w:eastAsia="en-IN"/>
                <w14:ligatures w14:val="none"/>
              </w:rPr>
              <w:t>.</w:t>
            </w:r>
            <w:r w:rsidRPr="007506E5">
              <w:rPr>
                <w:rFonts w:ascii="Times New Roman" w:eastAsia="Times New Roman" w:hAnsi="Times New Roman" w:cs="Times New Roman"/>
                <w:i/>
                <w:iCs/>
                <w:color w:val="000000"/>
                <w:kern w:val="0"/>
                <w:szCs w:val="24"/>
                <w:lang w:eastAsia="en-IN"/>
                <w14:ligatures w14:val="none"/>
              </w:rPr>
              <w:t>4</w:t>
            </w:r>
          </w:p>
        </w:tc>
        <w:tc>
          <w:tcPr>
            <w:tcW w:w="966" w:type="dxa"/>
            <w:tcBorders>
              <w:top w:val="nil"/>
              <w:left w:val="nil"/>
              <w:bottom w:val="single" w:sz="4" w:space="0" w:color="auto"/>
              <w:right w:val="single" w:sz="4" w:space="0" w:color="auto"/>
            </w:tcBorders>
            <w:vAlign w:val="center"/>
            <w:hideMark/>
          </w:tcPr>
          <w:p w14:paraId="1091EB72" w14:textId="7BB5141C"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3</w:t>
            </w:r>
            <w:r w:rsidR="00DC02C1">
              <w:rPr>
                <w:rFonts w:ascii="Times New Roman" w:eastAsia="Times New Roman" w:hAnsi="Times New Roman" w:cs="Times New Roman"/>
                <w:i/>
                <w:iCs/>
                <w:color w:val="000000"/>
                <w:kern w:val="0"/>
                <w:szCs w:val="24"/>
                <w:lang w:eastAsia="en-IN"/>
                <w14:ligatures w14:val="none"/>
              </w:rPr>
              <w:t>.</w:t>
            </w:r>
            <w:r w:rsidRPr="007506E5">
              <w:rPr>
                <w:rFonts w:ascii="Times New Roman" w:eastAsia="Times New Roman" w:hAnsi="Times New Roman" w:cs="Times New Roman"/>
                <w:i/>
                <w:iCs/>
                <w:color w:val="000000"/>
                <w:kern w:val="0"/>
                <w:szCs w:val="24"/>
                <w:lang w:eastAsia="en-IN"/>
                <w14:ligatures w14:val="none"/>
              </w:rPr>
              <w:t>2</w:t>
            </w:r>
          </w:p>
        </w:tc>
        <w:tc>
          <w:tcPr>
            <w:tcW w:w="1460" w:type="dxa"/>
            <w:tcBorders>
              <w:top w:val="nil"/>
              <w:left w:val="nil"/>
              <w:bottom w:val="single" w:sz="4" w:space="0" w:color="auto"/>
              <w:right w:val="single" w:sz="4" w:space="0" w:color="auto"/>
            </w:tcBorders>
            <w:vAlign w:val="center"/>
            <w:hideMark/>
          </w:tcPr>
          <w:p w14:paraId="4902329B" w14:textId="305A3746"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0</w:t>
            </w:r>
            <w:r w:rsidR="00DC02C1">
              <w:rPr>
                <w:rFonts w:ascii="Times New Roman" w:eastAsia="Times New Roman" w:hAnsi="Times New Roman" w:cs="Times New Roman"/>
                <w:i/>
                <w:iCs/>
                <w:color w:val="000000"/>
                <w:kern w:val="0"/>
                <w:szCs w:val="24"/>
                <w:lang w:eastAsia="en-IN"/>
                <w14:ligatures w14:val="none"/>
              </w:rPr>
              <w:t>.</w:t>
            </w:r>
            <w:r w:rsidRPr="007506E5">
              <w:rPr>
                <w:rFonts w:ascii="Times New Roman" w:eastAsia="Times New Roman" w:hAnsi="Times New Roman" w:cs="Times New Roman"/>
                <w:i/>
                <w:iCs/>
                <w:color w:val="000000"/>
                <w:kern w:val="0"/>
                <w:szCs w:val="24"/>
                <w:lang w:eastAsia="en-IN"/>
                <w14:ligatures w14:val="none"/>
              </w:rPr>
              <w:t>7</w:t>
            </w:r>
          </w:p>
        </w:tc>
        <w:tc>
          <w:tcPr>
            <w:tcW w:w="1240" w:type="dxa"/>
            <w:tcBorders>
              <w:top w:val="nil"/>
              <w:left w:val="nil"/>
              <w:bottom w:val="single" w:sz="4" w:space="0" w:color="auto"/>
              <w:right w:val="single" w:sz="4" w:space="0" w:color="auto"/>
            </w:tcBorders>
            <w:vAlign w:val="center"/>
            <w:hideMark/>
          </w:tcPr>
          <w:p w14:paraId="745C3501" w14:textId="77777777"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7.9</w:t>
            </w:r>
          </w:p>
        </w:tc>
        <w:tc>
          <w:tcPr>
            <w:tcW w:w="822" w:type="dxa"/>
            <w:tcBorders>
              <w:top w:val="nil"/>
              <w:left w:val="nil"/>
              <w:bottom w:val="single" w:sz="4" w:space="0" w:color="auto"/>
              <w:right w:val="single" w:sz="4" w:space="0" w:color="auto"/>
            </w:tcBorders>
            <w:vAlign w:val="center"/>
            <w:hideMark/>
          </w:tcPr>
          <w:p w14:paraId="106A5942" w14:textId="77777777"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5.7</w:t>
            </w:r>
          </w:p>
        </w:tc>
        <w:tc>
          <w:tcPr>
            <w:tcW w:w="1082" w:type="dxa"/>
            <w:tcBorders>
              <w:top w:val="nil"/>
              <w:left w:val="nil"/>
              <w:bottom w:val="single" w:sz="4" w:space="0" w:color="auto"/>
              <w:right w:val="single" w:sz="4" w:space="0" w:color="auto"/>
            </w:tcBorders>
            <w:vAlign w:val="center"/>
            <w:hideMark/>
          </w:tcPr>
          <w:p w14:paraId="5AEEF00C" w14:textId="62CE3273"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72</w:t>
            </w:r>
            <w:r w:rsidR="000F3A66">
              <w:rPr>
                <w:rFonts w:ascii="Times New Roman" w:eastAsia="Times New Roman" w:hAnsi="Times New Roman" w:cs="Times New Roman"/>
                <w:i/>
                <w:iCs/>
                <w:color w:val="000000"/>
                <w:kern w:val="0"/>
                <w:szCs w:val="24"/>
                <w:lang w:eastAsia="en-IN"/>
                <w14:ligatures w14:val="none"/>
              </w:rPr>
              <w:t>.0</w:t>
            </w:r>
          </w:p>
        </w:tc>
        <w:tc>
          <w:tcPr>
            <w:tcW w:w="965" w:type="dxa"/>
            <w:tcBorders>
              <w:top w:val="nil"/>
              <w:left w:val="nil"/>
              <w:bottom w:val="single" w:sz="4" w:space="0" w:color="auto"/>
              <w:right w:val="single" w:sz="4" w:space="0" w:color="auto"/>
            </w:tcBorders>
            <w:vAlign w:val="center"/>
            <w:hideMark/>
          </w:tcPr>
          <w:p w14:paraId="1B7BE99B" w14:textId="77777777"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2.5</w:t>
            </w:r>
          </w:p>
        </w:tc>
        <w:tc>
          <w:tcPr>
            <w:tcW w:w="926" w:type="dxa"/>
            <w:tcBorders>
              <w:top w:val="nil"/>
              <w:left w:val="nil"/>
              <w:bottom w:val="single" w:sz="4" w:space="0" w:color="auto"/>
              <w:right w:val="single" w:sz="4" w:space="0" w:color="auto"/>
            </w:tcBorders>
            <w:vAlign w:val="center"/>
            <w:hideMark/>
          </w:tcPr>
          <w:p w14:paraId="7BBDB2B3" w14:textId="77777777"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2.5</w:t>
            </w:r>
          </w:p>
        </w:tc>
        <w:tc>
          <w:tcPr>
            <w:tcW w:w="1082" w:type="dxa"/>
            <w:tcBorders>
              <w:top w:val="nil"/>
              <w:left w:val="nil"/>
              <w:bottom w:val="single" w:sz="4" w:space="0" w:color="auto"/>
              <w:right w:val="single" w:sz="4" w:space="0" w:color="auto"/>
            </w:tcBorders>
            <w:vAlign w:val="center"/>
            <w:hideMark/>
          </w:tcPr>
          <w:p w14:paraId="377D8399" w14:textId="77777777"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23</w:t>
            </w:r>
          </w:p>
        </w:tc>
        <w:tc>
          <w:tcPr>
            <w:tcW w:w="1082" w:type="dxa"/>
            <w:tcBorders>
              <w:top w:val="nil"/>
              <w:left w:val="nil"/>
              <w:bottom w:val="single" w:sz="4" w:space="0" w:color="auto"/>
              <w:right w:val="single" w:sz="4" w:space="0" w:color="auto"/>
            </w:tcBorders>
            <w:vAlign w:val="center"/>
            <w:hideMark/>
          </w:tcPr>
          <w:p w14:paraId="652E671C" w14:textId="60ABFA8B" w:rsidR="007506E5" w:rsidRPr="007506E5" w:rsidRDefault="007506E5" w:rsidP="007506E5">
            <w:pPr>
              <w:spacing w:after="0" w:line="240" w:lineRule="auto"/>
              <w:jc w:val="center"/>
              <w:rPr>
                <w:rFonts w:ascii="Aptos" w:eastAsia="Times New Roman" w:hAnsi="Aptos" w:cs="Times New Roman"/>
                <w:color w:val="000000"/>
                <w:kern w:val="0"/>
                <w:szCs w:val="24"/>
                <w:lang w:eastAsia="en-IN"/>
                <w14:ligatures w14:val="none"/>
              </w:rPr>
            </w:pPr>
          </w:p>
        </w:tc>
      </w:tr>
      <w:tr w:rsidR="007506E5" w:rsidRPr="007506E5" w14:paraId="049E2D43" w14:textId="77777777" w:rsidTr="00C91D91">
        <w:trPr>
          <w:trHeight w:val="20"/>
          <w:jc w:val="center"/>
        </w:trPr>
        <w:tc>
          <w:tcPr>
            <w:tcW w:w="1369" w:type="dxa"/>
            <w:tcBorders>
              <w:top w:val="nil"/>
              <w:left w:val="single" w:sz="4" w:space="0" w:color="auto"/>
              <w:bottom w:val="single" w:sz="4" w:space="0" w:color="auto"/>
              <w:right w:val="single" w:sz="4" w:space="0" w:color="auto"/>
            </w:tcBorders>
            <w:vAlign w:val="center"/>
            <w:hideMark/>
          </w:tcPr>
          <w:p w14:paraId="096E66FE"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Rajasthan</w:t>
            </w:r>
          </w:p>
        </w:tc>
        <w:tc>
          <w:tcPr>
            <w:tcW w:w="1473" w:type="dxa"/>
            <w:tcBorders>
              <w:top w:val="nil"/>
              <w:left w:val="nil"/>
              <w:bottom w:val="single" w:sz="4" w:space="0" w:color="auto"/>
              <w:right w:val="single" w:sz="4" w:space="0" w:color="auto"/>
            </w:tcBorders>
            <w:vAlign w:val="center"/>
            <w:hideMark/>
          </w:tcPr>
          <w:p w14:paraId="6B71CB3A"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w:t>
            </w:r>
          </w:p>
        </w:tc>
        <w:tc>
          <w:tcPr>
            <w:tcW w:w="1083" w:type="dxa"/>
            <w:tcBorders>
              <w:top w:val="nil"/>
              <w:left w:val="nil"/>
              <w:bottom w:val="single" w:sz="4" w:space="0" w:color="auto"/>
              <w:right w:val="single" w:sz="4" w:space="0" w:color="auto"/>
            </w:tcBorders>
            <w:vAlign w:val="center"/>
            <w:hideMark/>
          </w:tcPr>
          <w:p w14:paraId="078E6FAD"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315</w:t>
            </w:r>
          </w:p>
        </w:tc>
        <w:tc>
          <w:tcPr>
            <w:tcW w:w="862" w:type="dxa"/>
            <w:tcBorders>
              <w:top w:val="nil"/>
              <w:left w:val="nil"/>
              <w:bottom w:val="single" w:sz="4" w:space="0" w:color="auto"/>
              <w:right w:val="single" w:sz="4" w:space="0" w:color="auto"/>
            </w:tcBorders>
            <w:vAlign w:val="center"/>
            <w:hideMark/>
          </w:tcPr>
          <w:p w14:paraId="7E5F0035"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293</w:t>
            </w:r>
          </w:p>
        </w:tc>
        <w:tc>
          <w:tcPr>
            <w:tcW w:w="966" w:type="dxa"/>
            <w:tcBorders>
              <w:top w:val="nil"/>
              <w:left w:val="nil"/>
              <w:bottom w:val="single" w:sz="4" w:space="0" w:color="auto"/>
              <w:right w:val="single" w:sz="4" w:space="0" w:color="auto"/>
            </w:tcBorders>
            <w:vAlign w:val="center"/>
            <w:hideMark/>
          </w:tcPr>
          <w:p w14:paraId="1D97F295"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47</w:t>
            </w:r>
          </w:p>
        </w:tc>
        <w:tc>
          <w:tcPr>
            <w:tcW w:w="1460" w:type="dxa"/>
            <w:tcBorders>
              <w:top w:val="nil"/>
              <w:left w:val="nil"/>
              <w:bottom w:val="single" w:sz="4" w:space="0" w:color="auto"/>
              <w:right w:val="single" w:sz="4" w:space="0" w:color="auto"/>
            </w:tcBorders>
            <w:vAlign w:val="center"/>
            <w:hideMark/>
          </w:tcPr>
          <w:p w14:paraId="69420562"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4</w:t>
            </w:r>
          </w:p>
        </w:tc>
        <w:tc>
          <w:tcPr>
            <w:tcW w:w="1240" w:type="dxa"/>
            <w:tcBorders>
              <w:top w:val="nil"/>
              <w:left w:val="nil"/>
              <w:bottom w:val="single" w:sz="4" w:space="0" w:color="auto"/>
              <w:right w:val="single" w:sz="4" w:space="0" w:color="auto"/>
            </w:tcBorders>
            <w:vAlign w:val="center"/>
            <w:hideMark/>
          </w:tcPr>
          <w:p w14:paraId="24D576D7"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w:t>
            </w:r>
          </w:p>
        </w:tc>
        <w:tc>
          <w:tcPr>
            <w:tcW w:w="822" w:type="dxa"/>
            <w:tcBorders>
              <w:top w:val="nil"/>
              <w:left w:val="nil"/>
              <w:bottom w:val="single" w:sz="4" w:space="0" w:color="auto"/>
              <w:right w:val="single" w:sz="4" w:space="0" w:color="auto"/>
            </w:tcBorders>
            <w:vAlign w:val="center"/>
            <w:hideMark/>
          </w:tcPr>
          <w:p w14:paraId="2C3CE1B6"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445</w:t>
            </w:r>
          </w:p>
        </w:tc>
        <w:tc>
          <w:tcPr>
            <w:tcW w:w="1082" w:type="dxa"/>
            <w:tcBorders>
              <w:top w:val="nil"/>
              <w:left w:val="nil"/>
              <w:bottom w:val="single" w:sz="4" w:space="0" w:color="auto"/>
              <w:right w:val="single" w:sz="4" w:space="0" w:color="auto"/>
            </w:tcBorders>
            <w:vAlign w:val="center"/>
            <w:hideMark/>
          </w:tcPr>
          <w:p w14:paraId="36ABC129"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1104</w:t>
            </w:r>
          </w:p>
        </w:tc>
        <w:tc>
          <w:tcPr>
            <w:tcW w:w="965" w:type="dxa"/>
            <w:tcBorders>
              <w:top w:val="nil"/>
              <w:left w:val="nil"/>
              <w:bottom w:val="single" w:sz="4" w:space="0" w:color="auto"/>
              <w:right w:val="single" w:sz="4" w:space="0" w:color="auto"/>
            </w:tcBorders>
            <w:vAlign w:val="center"/>
            <w:hideMark/>
          </w:tcPr>
          <w:p w14:paraId="761E04A7"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12</w:t>
            </w:r>
          </w:p>
        </w:tc>
        <w:tc>
          <w:tcPr>
            <w:tcW w:w="926" w:type="dxa"/>
            <w:tcBorders>
              <w:top w:val="nil"/>
              <w:left w:val="nil"/>
              <w:bottom w:val="single" w:sz="4" w:space="0" w:color="auto"/>
              <w:right w:val="single" w:sz="4" w:space="0" w:color="auto"/>
            </w:tcBorders>
            <w:vAlign w:val="center"/>
            <w:hideMark/>
          </w:tcPr>
          <w:p w14:paraId="78A574CC"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37</w:t>
            </w:r>
          </w:p>
        </w:tc>
        <w:tc>
          <w:tcPr>
            <w:tcW w:w="1082" w:type="dxa"/>
            <w:tcBorders>
              <w:top w:val="nil"/>
              <w:left w:val="nil"/>
              <w:bottom w:val="single" w:sz="4" w:space="0" w:color="auto"/>
              <w:right w:val="single" w:sz="4" w:space="0" w:color="auto"/>
            </w:tcBorders>
            <w:vAlign w:val="center"/>
            <w:hideMark/>
          </w:tcPr>
          <w:p w14:paraId="7E7EB94E"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406</w:t>
            </w:r>
          </w:p>
        </w:tc>
        <w:tc>
          <w:tcPr>
            <w:tcW w:w="1082" w:type="dxa"/>
            <w:tcBorders>
              <w:top w:val="nil"/>
              <w:left w:val="nil"/>
              <w:bottom w:val="single" w:sz="4" w:space="0" w:color="auto"/>
              <w:right w:val="single" w:sz="4" w:space="0" w:color="auto"/>
            </w:tcBorders>
            <w:vAlign w:val="center"/>
            <w:hideMark/>
          </w:tcPr>
          <w:p w14:paraId="5E97E7A2"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1560</w:t>
            </w:r>
          </w:p>
        </w:tc>
      </w:tr>
      <w:tr w:rsidR="007506E5" w:rsidRPr="007506E5" w14:paraId="1E893250" w14:textId="77777777" w:rsidTr="00C91D91">
        <w:trPr>
          <w:trHeight w:val="20"/>
          <w:jc w:val="center"/>
        </w:trPr>
        <w:tc>
          <w:tcPr>
            <w:tcW w:w="1369" w:type="dxa"/>
            <w:tcBorders>
              <w:top w:val="nil"/>
              <w:left w:val="single" w:sz="4" w:space="0" w:color="auto"/>
              <w:bottom w:val="single" w:sz="4" w:space="0" w:color="auto"/>
              <w:right w:val="single" w:sz="4" w:space="0" w:color="auto"/>
            </w:tcBorders>
            <w:vAlign w:val="center"/>
            <w:hideMark/>
          </w:tcPr>
          <w:p w14:paraId="433B1D09" w14:textId="40B79B76" w:rsidR="007506E5" w:rsidRPr="007506E5" w:rsidRDefault="007506E5" w:rsidP="007506E5">
            <w:pPr>
              <w:spacing w:after="0" w:line="240" w:lineRule="auto"/>
              <w:jc w:val="center"/>
              <w:rPr>
                <w:rFonts w:ascii="Aptos" w:eastAsia="Times New Roman" w:hAnsi="Aptos" w:cs="Times New Roman"/>
                <w:color w:val="000000"/>
                <w:kern w:val="0"/>
                <w:szCs w:val="24"/>
                <w:lang w:eastAsia="en-IN"/>
                <w14:ligatures w14:val="none"/>
              </w:rPr>
            </w:pPr>
          </w:p>
        </w:tc>
        <w:tc>
          <w:tcPr>
            <w:tcW w:w="1473" w:type="dxa"/>
            <w:tcBorders>
              <w:top w:val="nil"/>
              <w:left w:val="nil"/>
              <w:bottom w:val="single" w:sz="4" w:space="0" w:color="auto"/>
              <w:right w:val="single" w:sz="4" w:space="0" w:color="auto"/>
            </w:tcBorders>
            <w:vAlign w:val="center"/>
            <w:hideMark/>
          </w:tcPr>
          <w:p w14:paraId="4DD5B6DD" w14:textId="5ED3C619" w:rsidR="007506E5" w:rsidRPr="007506E5" w:rsidRDefault="007506E5" w:rsidP="007506E5">
            <w:pPr>
              <w:spacing w:after="0" w:line="240" w:lineRule="auto"/>
              <w:jc w:val="center"/>
              <w:rPr>
                <w:rFonts w:ascii="Aptos" w:eastAsia="Times New Roman" w:hAnsi="Aptos" w:cs="Times New Roman"/>
                <w:color w:val="000000"/>
                <w:kern w:val="0"/>
                <w:szCs w:val="24"/>
                <w:lang w:eastAsia="en-IN"/>
                <w14:ligatures w14:val="none"/>
              </w:rPr>
            </w:pPr>
          </w:p>
        </w:tc>
        <w:tc>
          <w:tcPr>
            <w:tcW w:w="1083" w:type="dxa"/>
            <w:tcBorders>
              <w:top w:val="nil"/>
              <w:left w:val="nil"/>
              <w:bottom w:val="single" w:sz="4" w:space="0" w:color="auto"/>
              <w:right w:val="single" w:sz="4" w:space="0" w:color="auto"/>
            </w:tcBorders>
            <w:vAlign w:val="center"/>
            <w:hideMark/>
          </w:tcPr>
          <w:p w14:paraId="1AD518E6" w14:textId="3D3519AF"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20</w:t>
            </w:r>
            <w:r w:rsidR="005A4048">
              <w:rPr>
                <w:rFonts w:ascii="Times New Roman" w:eastAsia="Times New Roman" w:hAnsi="Times New Roman" w:cs="Times New Roman"/>
                <w:i/>
                <w:iCs/>
                <w:color w:val="000000"/>
                <w:kern w:val="0"/>
                <w:szCs w:val="24"/>
                <w:lang w:eastAsia="en-IN"/>
                <w14:ligatures w14:val="none"/>
              </w:rPr>
              <w:t>.</w:t>
            </w:r>
            <w:r w:rsidRPr="007506E5">
              <w:rPr>
                <w:rFonts w:ascii="Times New Roman" w:eastAsia="Times New Roman" w:hAnsi="Times New Roman" w:cs="Times New Roman"/>
                <w:i/>
                <w:iCs/>
                <w:color w:val="000000"/>
                <w:kern w:val="0"/>
                <w:szCs w:val="24"/>
                <w:lang w:eastAsia="en-IN"/>
                <w14:ligatures w14:val="none"/>
              </w:rPr>
              <w:t>2</w:t>
            </w:r>
          </w:p>
        </w:tc>
        <w:tc>
          <w:tcPr>
            <w:tcW w:w="862" w:type="dxa"/>
            <w:tcBorders>
              <w:top w:val="nil"/>
              <w:left w:val="nil"/>
              <w:bottom w:val="single" w:sz="4" w:space="0" w:color="auto"/>
              <w:right w:val="single" w:sz="4" w:space="0" w:color="auto"/>
            </w:tcBorders>
            <w:vAlign w:val="center"/>
            <w:hideMark/>
          </w:tcPr>
          <w:p w14:paraId="7C28F682" w14:textId="7BEF162D"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18</w:t>
            </w:r>
            <w:r w:rsidR="00DC02C1">
              <w:rPr>
                <w:rFonts w:ascii="Times New Roman" w:eastAsia="Times New Roman" w:hAnsi="Times New Roman" w:cs="Times New Roman"/>
                <w:i/>
                <w:iCs/>
                <w:color w:val="000000"/>
                <w:kern w:val="0"/>
                <w:szCs w:val="24"/>
                <w:lang w:eastAsia="en-IN"/>
                <w14:ligatures w14:val="none"/>
              </w:rPr>
              <w:t>.</w:t>
            </w:r>
            <w:r w:rsidRPr="007506E5">
              <w:rPr>
                <w:rFonts w:ascii="Times New Roman" w:eastAsia="Times New Roman" w:hAnsi="Times New Roman" w:cs="Times New Roman"/>
                <w:i/>
                <w:iCs/>
                <w:color w:val="000000"/>
                <w:kern w:val="0"/>
                <w:szCs w:val="24"/>
                <w:lang w:eastAsia="en-IN"/>
                <w14:ligatures w14:val="none"/>
              </w:rPr>
              <w:t>8</w:t>
            </w:r>
          </w:p>
        </w:tc>
        <w:tc>
          <w:tcPr>
            <w:tcW w:w="966" w:type="dxa"/>
            <w:tcBorders>
              <w:top w:val="nil"/>
              <w:left w:val="nil"/>
              <w:bottom w:val="single" w:sz="4" w:space="0" w:color="auto"/>
              <w:right w:val="single" w:sz="4" w:space="0" w:color="auto"/>
            </w:tcBorders>
            <w:vAlign w:val="center"/>
            <w:hideMark/>
          </w:tcPr>
          <w:p w14:paraId="4A85D9F4" w14:textId="0A53BD0A"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3</w:t>
            </w:r>
            <w:r w:rsidR="00DC02C1">
              <w:rPr>
                <w:rFonts w:ascii="Times New Roman" w:eastAsia="Times New Roman" w:hAnsi="Times New Roman" w:cs="Times New Roman"/>
                <w:i/>
                <w:iCs/>
                <w:color w:val="000000"/>
                <w:kern w:val="0"/>
                <w:szCs w:val="24"/>
                <w:lang w:eastAsia="en-IN"/>
                <w14:ligatures w14:val="none"/>
              </w:rPr>
              <w:t>.</w:t>
            </w:r>
            <w:r w:rsidRPr="007506E5">
              <w:rPr>
                <w:rFonts w:ascii="Times New Roman" w:eastAsia="Times New Roman" w:hAnsi="Times New Roman" w:cs="Times New Roman"/>
                <w:i/>
                <w:iCs/>
                <w:color w:val="000000"/>
                <w:kern w:val="0"/>
                <w:szCs w:val="24"/>
                <w:lang w:eastAsia="en-IN"/>
                <w14:ligatures w14:val="none"/>
              </w:rPr>
              <w:t>0</w:t>
            </w:r>
          </w:p>
        </w:tc>
        <w:tc>
          <w:tcPr>
            <w:tcW w:w="1460" w:type="dxa"/>
            <w:tcBorders>
              <w:top w:val="nil"/>
              <w:left w:val="nil"/>
              <w:bottom w:val="single" w:sz="4" w:space="0" w:color="auto"/>
              <w:right w:val="single" w:sz="4" w:space="0" w:color="auto"/>
            </w:tcBorders>
            <w:vAlign w:val="center"/>
            <w:hideMark/>
          </w:tcPr>
          <w:p w14:paraId="0C0741E1" w14:textId="03567978"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0</w:t>
            </w:r>
            <w:r w:rsidR="00DC02C1">
              <w:rPr>
                <w:rFonts w:ascii="Times New Roman" w:eastAsia="Times New Roman" w:hAnsi="Times New Roman" w:cs="Times New Roman"/>
                <w:i/>
                <w:iCs/>
                <w:color w:val="000000"/>
                <w:kern w:val="0"/>
                <w:szCs w:val="24"/>
                <w:lang w:eastAsia="en-IN"/>
                <w14:ligatures w14:val="none"/>
              </w:rPr>
              <w:t>.</w:t>
            </w:r>
            <w:r w:rsidRPr="007506E5">
              <w:rPr>
                <w:rFonts w:ascii="Times New Roman" w:eastAsia="Times New Roman" w:hAnsi="Times New Roman" w:cs="Times New Roman"/>
                <w:i/>
                <w:iCs/>
                <w:color w:val="000000"/>
                <w:kern w:val="0"/>
                <w:szCs w:val="24"/>
                <w:lang w:eastAsia="en-IN"/>
                <w14:ligatures w14:val="none"/>
              </w:rPr>
              <w:t>3</w:t>
            </w:r>
          </w:p>
        </w:tc>
        <w:tc>
          <w:tcPr>
            <w:tcW w:w="1240" w:type="dxa"/>
            <w:tcBorders>
              <w:top w:val="nil"/>
              <w:left w:val="nil"/>
              <w:bottom w:val="single" w:sz="4" w:space="0" w:color="auto"/>
              <w:right w:val="single" w:sz="4" w:space="0" w:color="auto"/>
            </w:tcBorders>
            <w:vAlign w:val="center"/>
            <w:hideMark/>
          </w:tcPr>
          <w:p w14:paraId="0D771F38" w14:textId="2DF32CB1" w:rsidR="007506E5" w:rsidRPr="007506E5" w:rsidRDefault="000F3A66" w:rsidP="007506E5">
            <w:pPr>
              <w:spacing w:after="0" w:line="240" w:lineRule="auto"/>
              <w:jc w:val="center"/>
              <w:rPr>
                <w:rFonts w:ascii="Aptos" w:eastAsia="Times New Roman" w:hAnsi="Aptos"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w:t>
            </w:r>
          </w:p>
        </w:tc>
        <w:tc>
          <w:tcPr>
            <w:tcW w:w="822" w:type="dxa"/>
            <w:tcBorders>
              <w:top w:val="nil"/>
              <w:left w:val="nil"/>
              <w:bottom w:val="single" w:sz="4" w:space="0" w:color="auto"/>
              <w:right w:val="single" w:sz="4" w:space="0" w:color="auto"/>
            </w:tcBorders>
            <w:vAlign w:val="center"/>
            <w:hideMark/>
          </w:tcPr>
          <w:p w14:paraId="2DF56FF3" w14:textId="77777777"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28.5</w:t>
            </w:r>
          </w:p>
        </w:tc>
        <w:tc>
          <w:tcPr>
            <w:tcW w:w="1082" w:type="dxa"/>
            <w:tcBorders>
              <w:top w:val="nil"/>
              <w:left w:val="nil"/>
              <w:bottom w:val="single" w:sz="4" w:space="0" w:color="auto"/>
              <w:right w:val="single" w:sz="4" w:space="0" w:color="auto"/>
            </w:tcBorders>
            <w:vAlign w:val="center"/>
            <w:hideMark/>
          </w:tcPr>
          <w:p w14:paraId="3BD4977E" w14:textId="77777777"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70.8</w:t>
            </w:r>
          </w:p>
        </w:tc>
        <w:tc>
          <w:tcPr>
            <w:tcW w:w="965" w:type="dxa"/>
            <w:tcBorders>
              <w:top w:val="nil"/>
              <w:left w:val="nil"/>
              <w:bottom w:val="single" w:sz="4" w:space="0" w:color="auto"/>
              <w:right w:val="single" w:sz="4" w:space="0" w:color="auto"/>
            </w:tcBorders>
            <w:vAlign w:val="center"/>
            <w:hideMark/>
          </w:tcPr>
          <w:p w14:paraId="65C48AEC" w14:textId="77777777"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0.8</w:t>
            </w:r>
          </w:p>
        </w:tc>
        <w:tc>
          <w:tcPr>
            <w:tcW w:w="926" w:type="dxa"/>
            <w:tcBorders>
              <w:top w:val="nil"/>
              <w:left w:val="nil"/>
              <w:bottom w:val="single" w:sz="4" w:space="0" w:color="auto"/>
              <w:right w:val="single" w:sz="4" w:space="0" w:color="auto"/>
            </w:tcBorders>
            <w:vAlign w:val="center"/>
            <w:hideMark/>
          </w:tcPr>
          <w:p w14:paraId="40126AE2" w14:textId="77777777"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2.4</w:t>
            </w:r>
          </w:p>
        </w:tc>
        <w:tc>
          <w:tcPr>
            <w:tcW w:w="1082" w:type="dxa"/>
            <w:tcBorders>
              <w:top w:val="nil"/>
              <w:left w:val="nil"/>
              <w:bottom w:val="single" w:sz="4" w:space="0" w:color="auto"/>
              <w:right w:val="single" w:sz="4" w:space="0" w:color="auto"/>
            </w:tcBorders>
            <w:vAlign w:val="center"/>
            <w:hideMark/>
          </w:tcPr>
          <w:p w14:paraId="1D9B3034" w14:textId="77777777"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26</w:t>
            </w:r>
          </w:p>
        </w:tc>
        <w:tc>
          <w:tcPr>
            <w:tcW w:w="1082" w:type="dxa"/>
            <w:tcBorders>
              <w:top w:val="nil"/>
              <w:left w:val="nil"/>
              <w:bottom w:val="single" w:sz="4" w:space="0" w:color="auto"/>
              <w:right w:val="single" w:sz="4" w:space="0" w:color="auto"/>
            </w:tcBorders>
            <w:vAlign w:val="center"/>
            <w:hideMark/>
          </w:tcPr>
          <w:p w14:paraId="6594F508" w14:textId="6ED156AE" w:rsidR="007506E5" w:rsidRPr="007506E5" w:rsidRDefault="007506E5" w:rsidP="007506E5">
            <w:pPr>
              <w:spacing w:after="0" w:line="240" w:lineRule="auto"/>
              <w:jc w:val="center"/>
              <w:rPr>
                <w:rFonts w:ascii="Aptos" w:eastAsia="Times New Roman" w:hAnsi="Aptos" w:cs="Times New Roman"/>
                <w:color w:val="000000"/>
                <w:kern w:val="0"/>
                <w:szCs w:val="24"/>
                <w:lang w:eastAsia="en-IN"/>
                <w14:ligatures w14:val="none"/>
              </w:rPr>
            </w:pPr>
          </w:p>
        </w:tc>
      </w:tr>
      <w:tr w:rsidR="007506E5" w:rsidRPr="007506E5" w14:paraId="4587CDE9" w14:textId="77777777" w:rsidTr="00C91D91">
        <w:trPr>
          <w:trHeight w:val="20"/>
          <w:jc w:val="center"/>
        </w:trPr>
        <w:tc>
          <w:tcPr>
            <w:tcW w:w="1369" w:type="dxa"/>
            <w:tcBorders>
              <w:top w:val="nil"/>
              <w:left w:val="single" w:sz="4" w:space="0" w:color="auto"/>
              <w:bottom w:val="single" w:sz="4" w:space="0" w:color="auto"/>
              <w:right w:val="single" w:sz="4" w:space="0" w:color="auto"/>
            </w:tcBorders>
            <w:vAlign w:val="center"/>
            <w:hideMark/>
          </w:tcPr>
          <w:p w14:paraId="105BEAF3"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Saurashtra</w:t>
            </w:r>
          </w:p>
        </w:tc>
        <w:tc>
          <w:tcPr>
            <w:tcW w:w="1473" w:type="dxa"/>
            <w:tcBorders>
              <w:top w:val="nil"/>
              <w:left w:val="nil"/>
              <w:bottom w:val="single" w:sz="4" w:space="0" w:color="auto"/>
              <w:right w:val="single" w:sz="4" w:space="0" w:color="auto"/>
            </w:tcBorders>
            <w:vAlign w:val="center"/>
            <w:hideMark/>
          </w:tcPr>
          <w:p w14:paraId="3151357C"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w:t>
            </w:r>
          </w:p>
        </w:tc>
        <w:tc>
          <w:tcPr>
            <w:tcW w:w="1083" w:type="dxa"/>
            <w:tcBorders>
              <w:top w:val="nil"/>
              <w:left w:val="nil"/>
              <w:bottom w:val="single" w:sz="4" w:space="0" w:color="auto"/>
              <w:right w:val="single" w:sz="4" w:space="0" w:color="auto"/>
            </w:tcBorders>
            <w:vAlign w:val="center"/>
            <w:hideMark/>
          </w:tcPr>
          <w:p w14:paraId="137D9B49"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152</w:t>
            </w:r>
          </w:p>
        </w:tc>
        <w:tc>
          <w:tcPr>
            <w:tcW w:w="862" w:type="dxa"/>
            <w:tcBorders>
              <w:top w:val="nil"/>
              <w:left w:val="nil"/>
              <w:bottom w:val="single" w:sz="4" w:space="0" w:color="auto"/>
              <w:right w:val="single" w:sz="4" w:space="0" w:color="auto"/>
            </w:tcBorders>
            <w:vAlign w:val="center"/>
            <w:hideMark/>
          </w:tcPr>
          <w:p w14:paraId="54BAECB3"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17</w:t>
            </w:r>
          </w:p>
        </w:tc>
        <w:tc>
          <w:tcPr>
            <w:tcW w:w="966" w:type="dxa"/>
            <w:tcBorders>
              <w:top w:val="nil"/>
              <w:left w:val="nil"/>
              <w:bottom w:val="single" w:sz="4" w:space="0" w:color="auto"/>
              <w:right w:val="single" w:sz="4" w:space="0" w:color="auto"/>
            </w:tcBorders>
            <w:vAlign w:val="center"/>
            <w:hideMark/>
          </w:tcPr>
          <w:p w14:paraId="22177D2D"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23</w:t>
            </w:r>
          </w:p>
        </w:tc>
        <w:tc>
          <w:tcPr>
            <w:tcW w:w="1460" w:type="dxa"/>
            <w:tcBorders>
              <w:top w:val="nil"/>
              <w:left w:val="nil"/>
              <w:bottom w:val="single" w:sz="4" w:space="0" w:color="auto"/>
              <w:right w:val="single" w:sz="4" w:space="0" w:color="auto"/>
            </w:tcBorders>
            <w:vAlign w:val="center"/>
            <w:hideMark/>
          </w:tcPr>
          <w:p w14:paraId="7A29DB45"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9</w:t>
            </w:r>
          </w:p>
        </w:tc>
        <w:tc>
          <w:tcPr>
            <w:tcW w:w="1240" w:type="dxa"/>
            <w:tcBorders>
              <w:top w:val="nil"/>
              <w:left w:val="nil"/>
              <w:bottom w:val="single" w:sz="4" w:space="0" w:color="auto"/>
              <w:right w:val="single" w:sz="4" w:space="0" w:color="auto"/>
            </w:tcBorders>
            <w:vAlign w:val="center"/>
            <w:hideMark/>
          </w:tcPr>
          <w:p w14:paraId="32CDE18D"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27</w:t>
            </w:r>
          </w:p>
        </w:tc>
        <w:tc>
          <w:tcPr>
            <w:tcW w:w="822" w:type="dxa"/>
            <w:tcBorders>
              <w:top w:val="nil"/>
              <w:left w:val="nil"/>
              <w:bottom w:val="single" w:sz="4" w:space="0" w:color="auto"/>
              <w:right w:val="single" w:sz="4" w:space="0" w:color="auto"/>
            </w:tcBorders>
            <w:vAlign w:val="center"/>
            <w:hideMark/>
          </w:tcPr>
          <w:p w14:paraId="1F529EE3"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63</w:t>
            </w:r>
          </w:p>
        </w:tc>
        <w:tc>
          <w:tcPr>
            <w:tcW w:w="1082" w:type="dxa"/>
            <w:tcBorders>
              <w:top w:val="nil"/>
              <w:left w:val="nil"/>
              <w:bottom w:val="single" w:sz="4" w:space="0" w:color="auto"/>
              <w:right w:val="single" w:sz="4" w:space="0" w:color="auto"/>
            </w:tcBorders>
            <w:vAlign w:val="center"/>
            <w:hideMark/>
          </w:tcPr>
          <w:p w14:paraId="3FA63AF0"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291</w:t>
            </w:r>
          </w:p>
        </w:tc>
        <w:tc>
          <w:tcPr>
            <w:tcW w:w="965" w:type="dxa"/>
            <w:tcBorders>
              <w:top w:val="nil"/>
              <w:left w:val="nil"/>
              <w:bottom w:val="single" w:sz="4" w:space="0" w:color="auto"/>
              <w:right w:val="single" w:sz="4" w:space="0" w:color="auto"/>
            </w:tcBorders>
            <w:vAlign w:val="center"/>
            <w:hideMark/>
          </w:tcPr>
          <w:p w14:paraId="672FE62C"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w:t>
            </w:r>
          </w:p>
        </w:tc>
        <w:tc>
          <w:tcPr>
            <w:tcW w:w="926" w:type="dxa"/>
            <w:tcBorders>
              <w:top w:val="nil"/>
              <w:left w:val="nil"/>
              <w:bottom w:val="single" w:sz="4" w:space="0" w:color="auto"/>
              <w:right w:val="single" w:sz="4" w:space="0" w:color="auto"/>
            </w:tcBorders>
            <w:vAlign w:val="center"/>
            <w:hideMark/>
          </w:tcPr>
          <w:p w14:paraId="339E0FC9"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300</w:t>
            </w:r>
          </w:p>
        </w:tc>
        <w:tc>
          <w:tcPr>
            <w:tcW w:w="1082" w:type="dxa"/>
            <w:tcBorders>
              <w:top w:val="nil"/>
              <w:left w:val="nil"/>
              <w:bottom w:val="single" w:sz="4" w:space="0" w:color="auto"/>
              <w:right w:val="single" w:sz="4" w:space="0" w:color="auto"/>
            </w:tcBorders>
            <w:vAlign w:val="center"/>
            <w:hideMark/>
          </w:tcPr>
          <w:p w14:paraId="51D057C7"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161</w:t>
            </w:r>
          </w:p>
        </w:tc>
        <w:tc>
          <w:tcPr>
            <w:tcW w:w="1082" w:type="dxa"/>
            <w:tcBorders>
              <w:top w:val="nil"/>
              <w:left w:val="nil"/>
              <w:bottom w:val="single" w:sz="4" w:space="0" w:color="auto"/>
              <w:right w:val="single" w:sz="4" w:space="0" w:color="auto"/>
            </w:tcBorders>
            <w:vAlign w:val="center"/>
            <w:hideMark/>
          </w:tcPr>
          <w:p w14:paraId="40C44B41"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752</w:t>
            </w:r>
          </w:p>
        </w:tc>
      </w:tr>
      <w:tr w:rsidR="007506E5" w:rsidRPr="007506E5" w14:paraId="7195F93C" w14:textId="77777777" w:rsidTr="00C91D91">
        <w:trPr>
          <w:trHeight w:val="20"/>
          <w:jc w:val="center"/>
        </w:trPr>
        <w:tc>
          <w:tcPr>
            <w:tcW w:w="1369" w:type="dxa"/>
            <w:tcBorders>
              <w:top w:val="nil"/>
              <w:left w:val="single" w:sz="4" w:space="0" w:color="auto"/>
              <w:bottom w:val="single" w:sz="4" w:space="0" w:color="auto"/>
              <w:right w:val="single" w:sz="4" w:space="0" w:color="auto"/>
            </w:tcBorders>
            <w:vAlign w:val="center"/>
            <w:hideMark/>
          </w:tcPr>
          <w:p w14:paraId="05F3408F" w14:textId="6FF73AA2" w:rsidR="007506E5" w:rsidRPr="007506E5" w:rsidRDefault="007506E5" w:rsidP="007506E5">
            <w:pPr>
              <w:spacing w:after="0" w:line="240" w:lineRule="auto"/>
              <w:jc w:val="center"/>
              <w:rPr>
                <w:rFonts w:ascii="Aptos" w:eastAsia="Times New Roman" w:hAnsi="Aptos" w:cs="Times New Roman"/>
                <w:color w:val="000000"/>
                <w:kern w:val="0"/>
                <w:szCs w:val="24"/>
                <w:lang w:eastAsia="en-IN"/>
                <w14:ligatures w14:val="none"/>
              </w:rPr>
            </w:pPr>
          </w:p>
        </w:tc>
        <w:tc>
          <w:tcPr>
            <w:tcW w:w="1473" w:type="dxa"/>
            <w:tcBorders>
              <w:top w:val="nil"/>
              <w:left w:val="nil"/>
              <w:bottom w:val="single" w:sz="4" w:space="0" w:color="auto"/>
              <w:right w:val="single" w:sz="4" w:space="0" w:color="auto"/>
            </w:tcBorders>
            <w:vAlign w:val="center"/>
            <w:hideMark/>
          </w:tcPr>
          <w:p w14:paraId="60006A6A" w14:textId="7A914891" w:rsidR="007506E5" w:rsidRPr="007506E5" w:rsidRDefault="007506E5" w:rsidP="007506E5">
            <w:pPr>
              <w:spacing w:after="0" w:line="240" w:lineRule="auto"/>
              <w:jc w:val="center"/>
              <w:rPr>
                <w:rFonts w:ascii="Aptos" w:eastAsia="Times New Roman" w:hAnsi="Aptos" w:cs="Times New Roman"/>
                <w:color w:val="000000"/>
                <w:kern w:val="0"/>
                <w:szCs w:val="24"/>
                <w:lang w:eastAsia="en-IN"/>
                <w14:ligatures w14:val="none"/>
              </w:rPr>
            </w:pPr>
          </w:p>
        </w:tc>
        <w:tc>
          <w:tcPr>
            <w:tcW w:w="1083" w:type="dxa"/>
            <w:tcBorders>
              <w:top w:val="nil"/>
              <w:left w:val="nil"/>
              <w:bottom w:val="single" w:sz="4" w:space="0" w:color="auto"/>
              <w:right w:val="single" w:sz="4" w:space="0" w:color="auto"/>
            </w:tcBorders>
            <w:vAlign w:val="center"/>
            <w:hideMark/>
          </w:tcPr>
          <w:p w14:paraId="0AFF54C1" w14:textId="38779896"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20</w:t>
            </w:r>
            <w:r w:rsidR="005A4048">
              <w:rPr>
                <w:rFonts w:ascii="Times New Roman" w:eastAsia="Times New Roman" w:hAnsi="Times New Roman" w:cs="Times New Roman"/>
                <w:i/>
                <w:iCs/>
                <w:color w:val="000000"/>
                <w:kern w:val="0"/>
                <w:szCs w:val="24"/>
                <w:lang w:eastAsia="en-IN"/>
                <w14:ligatures w14:val="none"/>
              </w:rPr>
              <w:t>.</w:t>
            </w:r>
            <w:r w:rsidRPr="007506E5">
              <w:rPr>
                <w:rFonts w:ascii="Times New Roman" w:eastAsia="Times New Roman" w:hAnsi="Times New Roman" w:cs="Times New Roman"/>
                <w:i/>
                <w:iCs/>
                <w:color w:val="000000"/>
                <w:kern w:val="0"/>
                <w:szCs w:val="24"/>
                <w:lang w:eastAsia="en-IN"/>
                <w14:ligatures w14:val="none"/>
              </w:rPr>
              <w:t>2</w:t>
            </w:r>
          </w:p>
        </w:tc>
        <w:tc>
          <w:tcPr>
            <w:tcW w:w="862" w:type="dxa"/>
            <w:tcBorders>
              <w:top w:val="nil"/>
              <w:left w:val="nil"/>
              <w:bottom w:val="single" w:sz="4" w:space="0" w:color="auto"/>
              <w:right w:val="single" w:sz="4" w:space="0" w:color="auto"/>
            </w:tcBorders>
            <w:vAlign w:val="center"/>
            <w:hideMark/>
          </w:tcPr>
          <w:p w14:paraId="00632757" w14:textId="190B5AE8"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2</w:t>
            </w:r>
            <w:r w:rsidR="00DC02C1">
              <w:rPr>
                <w:rFonts w:ascii="Times New Roman" w:eastAsia="Times New Roman" w:hAnsi="Times New Roman" w:cs="Times New Roman"/>
                <w:i/>
                <w:iCs/>
                <w:color w:val="000000"/>
                <w:kern w:val="0"/>
                <w:szCs w:val="24"/>
                <w:lang w:eastAsia="en-IN"/>
                <w14:ligatures w14:val="none"/>
              </w:rPr>
              <w:t>.</w:t>
            </w:r>
            <w:r w:rsidRPr="007506E5">
              <w:rPr>
                <w:rFonts w:ascii="Times New Roman" w:eastAsia="Times New Roman" w:hAnsi="Times New Roman" w:cs="Times New Roman"/>
                <w:i/>
                <w:iCs/>
                <w:color w:val="000000"/>
                <w:kern w:val="0"/>
                <w:szCs w:val="24"/>
                <w:lang w:eastAsia="en-IN"/>
                <w14:ligatures w14:val="none"/>
              </w:rPr>
              <w:t>3</w:t>
            </w:r>
          </w:p>
        </w:tc>
        <w:tc>
          <w:tcPr>
            <w:tcW w:w="966" w:type="dxa"/>
            <w:tcBorders>
              <w:top w:val="nil"/>
              <w:left w:val="nil"/>
              <w:bottom w:val="single" w:sz="4" w:space="0" w:color="auto"/>
              <w:right w:val="single" w:sz="4" w:space="0" w:color="auto"/>
            </w:tcBorders>
            <w:vAlign w:val="center"/>
            <w:hideMark/>
          </w:tcPr>
          <w:p w14:paraId="76E8E30F" w14:textId="731EF9B9"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3</w:t>
            </w:r>
            <w:r w:rsidR="00DC02C1">
              <w:rPr>
                <w:rFonts w:ascii="Times New Roman" w:eastAsia="Times New Roman" w:hAnsi="Times New Roman" w:cs="Times New Roman"/>
                <w:i/>
                <w:iCs/>
                <w:color w:val="000000"/>
                <w:kern w:val="0"/>
                <w:szCs w:val="24"/>
                <w:lang w:eastAsia="en-IN"/>
                <w14:ligatures w14:val="none"/>
              </w:rPr>
              <w:t>.</w:t>
            </w:r>
            <w:r w:rsidRPr="007506E5">
              <w:rPr>
                <w:rFonts w:ascii="Times New Roman" w:eastAsia="Times New Roman" w:hAnsi="Times New Roman" w:cs="Times New Roman"/>
                <w:i/>
                <w:iCs/>
                <w:color w:val="000000"/>
                <w:kern w:val="0"/>
                <w:szCs w:val="24"/>
                <w:lang w:eastAsia="en-IN"/>
                <w14:ligatures w14:val="none"/>
              </w:rPr>
              <w:t>1</w:t>
            </w:r>
          </w:p>
        </w:tc>
        <w:tc>
          <w:tcPr>
            <w:tcW w:w="1460" w:type="dxa"/>
            <w:tcBorders>
              <w:top w:val="nil"/>
              <w:left w:val="nil"/>
              <w:bottom w:val="single" w:sz="4" w:space="0" w:color="auto"/>
              <w:right w:val="single" w:sz="4" w:space="0" w:color="auto"/>
            </w:tcBorders>
            <w:vAlign w:val="center"/>
            <w:hideMark/>
          </w:tcPr>
          <w:p w14:paraId="5F5BA7F7" w14:textId="3DF67468"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1</w:t>
            </w:r>
            <w:r w:rsidR="00DC02C1">
              <w:rPr>
                <w:rFonts w:ascii="Times New Roman" w:eastAsia="Times New Roman" w:hAnsi="Times New Roman" w:cs="Times New Roman"/>
                <w:i/>
                <w:iCs/>
                <w:color w:val="000000"/>
                <w:kern w:val="0"/>
                <w:szCs w:val="24"/>
                <w:lang w:eastAsia="en-IN"/>
                <w14:ligatures w14:val="none"/>
              </w:rPr>
              <w:t>.</w:t>
            </w:r>
            <w:r w:rsidRPr="007506E5">
              <w:rPr>
                <w:rFonts w:ascii="Times New Roman" w:eastAsia="Times New Roman" w:hAnsi="Times New Roman" w:cs="Times New Roman"/>
                <w:i/>
                <w:iCs/>
                <w:color w:val="000000"/>
                <w:kern w:val="0"/>
                <w:szCs w:val="24"/>
                <w:lang w:eastAsia="en-IN"/>
                <w14:ligatures w14:val="none"/>
              </w:rPr>
              <w:t>2</w:t>
            </w:r>
          </w:p>
        </w:tc>
        <w:tc>
          <w:tcPr>
            <w:tcW w:w="1240" w:type="dxa"/>
            <w:tcBorders>
              <w:top w:val="nil"/>
              <w:left w:val="nil"/>
              <w:bottom w:val="single" w:sz="4" w:space="0" w:color="auto"/>
              <w:right w:val="single" w:sz="4" w:space="0" w:color="auto"/>
            </w:tcBorders>
            <w:vAlign w:val="center"/>
            <w:hideMark/>
          </w:tcPr>
          <w:p w14:paraId="5A479E26" w14:textId="77777777"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3.6</w:t>
            </w:r>
          </w:p>
        </w:tc>
        <w:tc>
          <w:tcPr>
            <w:tcW w:w="822" w:type="dxa"/>
            <w:tcBorders>
              <w:top w:val="nil"/>
              <w:left w:val="nil"/>
              <w:bottom w:val="single" w:sz="4" w:space="0" w:color="auto"/>
              <w:right w:val="single" w:sz="4" w:space="0" w:color="auto"/>
            </w:tcBorders>
            <w:vAlign w:val="center"/>
            <w:hideMark/>
          </w:tcPr>
          <w:p w14:paraId="088AF578" w14:textId="77777777"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8.3</w:t>
            </w:r>
          </w:p>
        </w:tc>
        <w:tc>
          <w:tcPr>
            <w:tcW w:w="1082" w:type="dxa"/>
            <w:tcBorders>
              <w:top w:val="nil"/>
              <w:left w:val="nil"/>
              <w:bottom w:val="single" w:sz="4" w:space="0" w:color="auto"/>
              <w:right w:val="single" w:sz="4" w:space="0" w:color="auto"/>
            </w:tcBorders>
            <w:vAlign w:val="center"/>
            <w:hideMark/>
          </w:tcPr>
          <w:p w14:paraId="55F7B204" w14:textId="77777777"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38.7</w:t>
            </w:r>
          </w:p>
        </w:tc>
        <w:tc>
          <w:tcPr>
            <w:tcW w:w="965" w:type="dxa"/>
            <w:tcBorders>
              <w:top w:val="nil"/>
              <w:left w:val="nil"/>
              <w:bottom w:val="single" w:sz="4" w:space="0" w:color="auto"/>
              <w:right w:val="single" w:sz="4" w:space="0" w:color="auto"/>
            </w:tcBorders>
            <w:vAlign w:val="center"/>
            <w:hideMark/>
          </w:tcPr>
          <w:p w14:paraId="1A7530DA" w14:textId="3299DC49" w:rsidR="007506E5" w:rsidRPr="007506E5" w:rsidRDefault="007506E5" w:rsidP="007506E5">
            <w:pPr>
              <w:spacing w:after="0" w:line="240" w:lineRule="auto"/>
              <w:jc w:val="center"/>
              <w:rPr>
                <w:rFonts w:ascii="Aptos" w:eastAsia="Times New Roman" w:hAnsi="Aptos" w:cs="Times New Roman"/>
                <w:color w:val="000000"/>
                <w:kern w:val="0"/>
                <w:szCs w:val="24"/>
                <w:lang w:eastAsia="en-IN"/>
                <w14:ligatures w14:val="none"/>
              </w:rPr>
            </w:pPr>
          </w:p>
        </w:tc>
        <w:tc>
          <w:tcPr>
            <w:tcW w:w="926" w:type="dxa"/>
            <w:tcBorders>
              <w:top w:val="nil"/>
              <w:left w:val="nil"/>
              <w:bottom w:val="single" w:sz="4" w:space="0" w:color="auto"/>
              <w:right w:val="single" w:sz="4" w:space="0" w:color="auto"/>
            </w:tcBorders>
            <w:vAlign w:val="center"/>
            <w:hideMark/>
          </w:tcPr>
          <w:p w14:paraId="1CDFD62B" w14:textId="77777777"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39.9</w:t>
            </w:r>
          </w:p>
        </w:tc>
        <w:tc>
          <w:tcPr>
            <w:tcW w:w="1082" w:type="dxa"/>
            <w:tcBorders>
              <w:top w:val="nil"/>
              <w:left w:val="nil"/>
              <w:bottom w:val="single" w:sz="4" w:space="0" w:color="auto"/>
              <w:right w:val="single" w:sz="4" w:space="0" w:color="auto"/>
            </w:tcBorders>
            <w:vAlign w:val="center"/>
            <w:hideMark/>
          </w:tcPr>
          <w:p w14:paraId="5227E139" w14:textId="77777777"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21.4</w:t>
            </w:r>
          </w:p>
        </w:tc>
        <w:tc>
          <w:tcPr>
            <w:tcW w:w="1082" w:type="dxa"/>
            <w:tcBorders>
              <w:top w:val="nil"/>
              <w:left w:val="nil"/>
              <w:bottom w:val="single" w:sz="4" w:space="0" w:color="auto"/>
              <w:right w:val="single" w:sz="4" w:space="0" w:color="auto"/>
            </w:tcBorders>
            <w:vAlign w:val="center"/>
            <w:hideMark/>
          </w:tcPr>
          <w:p w14:paraId="5EF82AFC" w14:textId="53A4AEDD" w:rsidR="007506E5" w:rsidRPr="007506E5" w:rsidRDefault="007506E5" w:rsidP="007506E5">
            <w:pPr>
              <w:spacing w:after="0" w:line="240" w:lineRule="auto"/>
              <w:jc w:val="center"/>
              <w:rPr>
                <w:rFonts w:ascii="Aptos" w:eastAsia="Times New Roman" w:hAnsi="Aptos" w:cs="Times New Roman"/>
                <w:color w:val="000000"/>
                <w:kern w:val="0"/>
                <w:szCs w:val="24"/>
                <w:lang w:eastAsia="en-IN"/>
                <w14:ligatures w14:val="none"/>
              </w:rPr>
            </w:pPr>
          </w:p>
        </w:tc>
      </w:tr>
      <w:tr w:rsidR="007506E5" w:rsidRPr="007506E5" w14:paraId="4E57AE24" w14:textId="77777777" w:rsidTr="00C91D91">
        <w:trPr>
          <w:trHeight w:val="20"/>
          <w:jc w:val="center"/>
        </w:trPr>
        <w:tc>
          <w:tcPr>
            <w:tcW w:w="1369" w:type="dxa"/>
            <w:tcBorders>
              <w:top w:val="nil"/>
              <w:left w:val="single" w:sz="4" w:space="0" w:color="auto"/>
              <w:bottom w:val="single" w:sz="4" w:space="0" w:color="auto"/>
              <w:right w:val="single" w:sz="4" w:space="0" w:color="auto"/>
            </w:tcBorders>
            <w:vAlign w:val="center"/>
            <w:hideMark/>
          </w:tcPr>
          <w:p w14:paraId="21875E05"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Travancore-Cochin</w:t>
            </w:r>
          </w:p>
        </w:tc>
        <w:tc>
          <w:tcPr>
            <w:tcW w:w="1473" w:type="dxa"/>
            <w:tcBorders>
              <w:top w:val="nil"/>
              <w:left w:val="nil"/>
              <w:bottom w:val="single" w:sz="4" w:space="0" w:color="auto"/>
              <w:right w:val="single" w:sz="4" w:space="0" w:color="auto"/>
            </w:tcBorders>
            <w:vAlign w:val="center"/>
            <w:hideMark/>
          </w:tcPr>
          <w:p w14:paraId="612EBCF5"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99</w:t>
            </w:r>
          </w:p>
        </w:tc>
        <w:tc>
          <w:tcPr>
            <w:tcW w:w="1083" w:type="dxa"/>
            <w:tcBorders>
              <w:top w:val="nil"/>
              <w:left w:val="nil"/>
              <w:bottom w:val="single" w:sz="4" w:space="0" w:color="auto"/>
              <w:right w:val="single" w:sz="4" w:space="0" w:color="auto"/>
            </w:tcBorders>
            <w:vAlign w:val="center"/>
            <w:hideMark/>
          </w:tcPr>
          <w:p w14:paraId="5913E65C"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71</w:t>
            </w:r>
          </w:p>
        </w:tc>
        <w:tc>
          <w:tcPr>
            <w:tcW w:w="862" w:type="dxa"/>
            <w:tcBorders>
              <w:top w:val="nil"/>
              <w:left w:val="nil"/>
              <w:bottom w:val="single" w:sz="4" w:space="0" w:color="auto"/>
              <w:right w:val="single" w:sz="4" w:space="0" w:color="auto"/>
            </w:tcBorders>
            <w:vAlign w:val="center"/>
            <w:hideMark/>
          </w:tcPr>
          <w:p w14:paraId="6B792BB7"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240</w:t>
            </w:r>
          </w:p>
        </w:tc>
        <w:tc>
          <w:tcPr>
            <w:tcW w:w="966" w:type="dxa"/>
            <w:tcBorders>
              <w:top w:val="nil"/>
              <w:left w:val="nil"/>
              <w:bottom w:val="single" w:sz="4" w:space="0" w:color="auto"/>
              <w:right w:val="single" w:sz="4" w:space="0" w:color="auto"/>
            </w:tcBorders>
            <w:vAlign w:val="center"/>
            <w:hideMark/>
          </w:tcPr>
          <w:p w14:paraId="228EF295"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89</w:t>
            </w:r>
          </w:p>
        </w:tc>
        <w:tc>
          <w:tcPr>
            <w:tcW w:w="1460" w:type="dxa"/>
            <w:tcBorders>
              <w:top w:val="nil"/>
              <w:left w:val="nil"/>
              <w:bottom w:val="single" w:sz="4" w:space="0" w:color="auto"/>
              <w:right w:val="single" w:sz="4" w:space="0" w:color="auto"/>
            </w:tcBorders>
            <w:vAlign w:val="center"/>
            <w:hideMark/>
          </w:tcPr>
          <w:p w14:paraId="60FD1592"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30</w:t>
            </w:r>
          </w:p>
        </w:tc>
        <w:tc>
          <w:tcPr>
            <w:tcW w:w="1240" w:type="dxa"/>
            <w:tcBorders>
              <w:top w:val="nil"/>
              <w:left w:val="nil"/>
              <w:bottom w:val="single" w:sz="4" w:space="0" w:color="auto"/>
              <w:right w:val="single" w:sz="4" w:space="0" w:color="auto"/>
            </w:tcBorders>
            <w:vAlign w:val="center"/>
            <w:hideMark/>
          </w:tcPr>
          <w:p w14:paraId="68315AE7"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249</w:t>
            </w:r>
          </w:p>
        </w:tc>
        <w:tc>
          <w:tcPr>
            <w:tcW w:w="822" w:type="dxa"/>
            <w:tcBorders>
              <w:top w:val="nil"/>
              <w:left w:val="nil"/>
              <w:bottom w:val="single" w:sz="4" w:space="0" w:color="auto"/>
              <w:right w:val="single" w:sz="4" w:space="0" w:color="auto"/>
            </w:tcBorders>
            <w:vAlign w:val="center"/>
            <w:hideMark/>
          </w:tcPr>
          <w:p w14:paraId="48793A17"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92</w:t>
            </w:r>
          </w:p>
        </w:tc>
        <w:tc>
          <w:tcPr>
            <w:tcW w:w="1082" w:type="dxa"/>
            <w:tcBorders>
              <w:top w:val="nil"/>
              <w:left w:val="nil"/>
              <w:bottom w:val="single" w:sz="4" w:space="0" w:color="auto"/>
              <w:right w:val="single" w:sz="4" w:space="0" w:color="auto"/>
            </w:tcBorders>
            <w:vAlign w:val="center"/>
            <w:hideMark/>
          </w:tcPr>
          <w:p w14:paraId="6DB66CF4"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870</w:t>
            </w:r>
          </w:p>
        </w:tc>
        <w:tc>
          <w:tcPr>
            <w:tcW w:w="965" w:type="dxa"/>
            <w:tcBorders>
              <w:top w:val="nil"/>
              <w:left w:val="nil"/>
              <w:bottom w:val="single" w:sz="4" w:space="0" w:color="auto"/>
              <w:right w:val="single" w:sz="4" w:space="0" w:color="auto"/>
            </w:tcBorders>
            <w:vAlign w:val="center"/>
            <w:hideMark/>
          </w:tcPr>
          <w:p w14:paraId="0A7EBC5D"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w:t>
            </w:r>
          </w:p>
        </w:tc>
        <w:tc>
          <w:tcPr>
            <w:tcW w:w="926" w:type="dxa"/>
            <w:tcBorders>
              <w:top w:val="nil"/>
              <w:left w:val="nil"/>
              <w:bottom w:val="single" w:sz="4" w:space="0" w:color="auto"/>
              <w:right w:val="single" w:sz="4" w:space="0" w:color="auto"/>
            </w:tcBorders>
            <w:vAlign w:val="center"/>
            <w:hideMark/>
          </w:tcPr>
          <w:p w14:paraId="3B0CE8AB"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363</w:t>
            </w:r>
          </w:p>
        </w:tc>
        <w:tc>
          <w:tcPr>
            <w:tcW w:w="1082" w:type="dxa"/>
            <w:tcBorders>
              <w:top w:val="nil"/>
              <w:left w:val="nil"/>
              <w:bottom w:val="single" w:sz="4" w:space="0" w:color="auto"/>
              <w:right w:val="single" w:sz="4" w:space="0" w:color="auto"/>
            </w:tcBorders>
            <w:vAlign w:val="center"/>
            <w:hideMark/>
          </w:tcPr>
          <w:p w14:paraId="7946BA64"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557</w:t>
            </w:r>
          </w:p>
        </w:tc>
        <w:tc>
          <w:tcPr>
            <w:tcW w:w="1082" w:type="dxa"/>
            <w:tcBorders>
              <w:top w:val="nil"/>
              <w:left w:val="nil"/>
              <w:bottom w:val="single" w:sz="4" w:space="0" w:color="auto"/>
              <w:right w:val="single" w:sz="4" w:space="0" w:color="auto"/>
            </w:tcBorders>
            <w:vAlign w:val="center"/>
            <w:hideMark/>
          </w:tcPr>
          <w:p w14:paraId="2969791A"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1790</w:t>
            </w:r>
          </w:p>
        </w:tc>
      </w:tr>
      <w:tr w:rsidR="007506E5" w:rsidRPr="007506E5" w14:paraId="7B3A7492" w14:textId="77777777" w:rsidTr="00C91D91">
        <w:trPr>
          <w:trHeight w:val="20"/>
          <w:jc w:val="center"/>
        </w:trPr>
        <w:tc>
          <w:tcPr>
            <w:tcW w:w="1369" w:type="dxa"/>
            <w:tcBorders>
              <w:top w:val="nil"/>
              <w:left w:val="single" w:sz="4" w:space="0" w:color="auto"/>
              <w:bottom w:val="single" w:sz="4" w:space="0" w:color="auto"/>
              <w:right w:val="single" w:sz="4" w:space="0" w:color="auto"/>
            </w:tcBorders>
            <w:vAlign w:val="center"/>
            <w:hideMark/>
          </w:tcPr>
          <w:p w14:paraId="14C070CD" w14:textId="6FD54606" w:rsidR="007506E5" w:rsidRPr="007506E5" w:rsidRDefault="007506E5" w:rsidP="007506E5">
            <w:pPr>
              <w:spacing w:after="0" w:line="240" w:lineRule="auto"/>
              <w:jc w:val="center"/>
              <w:rPr>
                <w:rFonts w:ascii="Aptos" w:eastAsia="Times New Roman" w:hAnsi="Aptos" w:cs="Times New Roman"/>
                <w:color w:val="000000"/>
                <w:kern w:val="0"/>
                <w:szCs w:val="24"/>
                <w:lang w:eastAsia="en-IN"/>
                <w14:ligatures w14:val="none"/>
              </w:rPr>
            </w:pPr>
          </w:p>
        </w:tc>
        <w:tc>
          <w:tcPr>
            <w:tcW w:w="1473" w:type="dxa"/>
            <w:tcBorders>
              <w:top w:val="nil"/>
              <w:left w:val="nil"/>
              <w:bottom w:val="single" w:sz="4" w:space="0" w:color="auto"/>
              <w:right w:val="single" w:sz="4" w:space="0" w:color="auto"/>
            </w:tcBorders>
            <w:vAlign w:val="center"/>
            <w:hideMark/>
          </w:tcPr>
          <w:p w14:paraId="35B41428" w14:textId="737A2760"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5</w:t>
            </w:r>
            <w:r w:rsidR="005A4048">
              <w:rPr>
                <w:rFonts w:ascii="Times New Roman" w:eastAsia="Times New Roman" w:hAnsi="Times New Roman" w:cs="Times New Roman"/>
                <w:i/>
                <w:iCs/>
                <w:color w:val="000000"/>
                <w:kern w:val="0"/>
                <w:szCs w:val="24"/>
                <w:lang w:eastAsia="en-IN"/>
                <w14:ligatures w14:val="none"/>
              </w:rPr>
              <w:t>.</w:t>
            </w:r>
            <w:r w:rsidRPr="007506E5">
              <w:rPr>
                <w:rFonts w:ascii="Times New Roman" w:eastAsia="Times New Roman" w:hAnsi="Times New Roman" w:cs="Times New Roman"/>
                <w:i/>
                <w:iCs/>
                <w:color w:val="000000"/>
                <w:kern w:val="0"/>
                <w:szCs w:val="24"/>
                <w:lang w:eastAsia="en-IN"/>
                <w14:ligatures w14:val="none"/>
              </w:rPr>
              <w:t>5</w:t>
            </w:r>
          </w:p>
        </w:tc>
        <w:tc>
          <w:tcPr>
            <w:tcW w:w="1083" w:type="dxa"/>
            <w:tcBorders>
              <w:top w:val="nil"/>
              <w:left w:val="nil"/>
              <w:bottom w:val="single" w:sz="4" w:space="0" w:color="auto"/>
              <w:right w:val="single" w:sz="4" w:space="0" w:color="auto"/>
            </w:tcBorders>
            <w:vAlign w:val="center"/>
            <w:hideMark/>
          </w:tcPr>
          <w:p w14:paraId="58761866" w14:textId="371F5093"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4</w:t>
            </w:r>
            <w:r w:rsidR="005A4048">
              <w:rPr>
                <w:rFonts w:ascii="Times New Roman" w:eastAsia="Times New Roman" w:hAnsi="Times New Roman" w:cs="Times New Roman"/>
                <w:i/>
                <w:iCs/>
                <w:color w:val="000000"/>
                <w:kern w:val="0"/>
                <w:szCs w:val="24"/>
                <w:lang w:eastAsia="en-IN"/>
                <w14:ligatures w14:val="none"/>
              </w:rPr>
              <w:t>.</w:t>
            </w:r>
            <w:r w:rsidRPr="007506E5">
              <w:rPr>
                <w:rFonts w:ascii="Times New Roman" w:eastAsia="Times New Roman" w:hAnsi="Times New Roman" w:cs="Times New Roman"/>
                <w:i/>
                <w:iCs/>
                <w:color w:val="000000"/>
                <w:kern w:val="0"/>
                <w:szCs w:val="24"/>
                <w:lang w:eastAsia="en-IN"/>
                <w14:ligatures w14:val="none"/>
              </w:rPr>
              <w:t>0</w:t>
            </w:r>
          </w:p>
        </w:tc>
        <w:tc>
          <w:tcPr>
            <w:tcW w:w="862" w:type="dxa"/>
            <w:tcBorders>
              <w:top w:val="nil"/>
              <w:left w:val="nil"/>
              <w:bottom w:val="single" w:sz="4" w:space="0" w:color="auto"/>
              <w:right w:val="single" w:sz="4" w:space="0" w:color="auto"/>
            </w:tcBorders>
            <w:vAlign w:val="center"/>
            <w:hideMark/>
          </w:tcPr>
          <w:p w14:paraId="4592E10A" w14:textId="3A92D073"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13</w:t>
            </w:r>
            <w:r w:rsidR="00DC02C1">
              <w:rPr>
                <w:rFonts w:ascii="Times New Roman" w:eastAsia="Times New Roman" w:hAnsi="Times New Roman" w:cs="Times New Roman"/>
                <w:i/>
                <w:iCs/>
                <w:color w:val="000000"/>
                <w:kern w:val="0"/>
                <w:szCs w:val="24"/>
                <w:lang w:eastAsia="en-IN"/>
                <w14:ligatures w14:val="none"/>
              </w:rPr>
              <w:t>.</w:t>
            </w:r>
            <w:r w:rsidRPr="007506E5">
              <w:rPr>
                <w:rFonts w:ascii="Times New Roman" w:eastAsia="Times New Roman" w:hAnsi="Times New Roman" w:cs="Times New Roman"/>
                <w:i/>
                <w:iCs/>
                <w:color w:val="000000"/>
                <w:kern w:val="0"/>
                <w:szCs w:val="24"/>
                <w:lang w:eastAsia="en-IN"/>
                <w14:ligatures w14:val="none"/>
              </w:rPr>
              <w:t>4</w:t>
            </w:r>
          </w:p>
        </w:tc>
        <w:tc>
          <w:tcPr>
            <w:tcW w:w="966" w:type="dxa"/>
            <w:tcBorders>
              <w:top w:val="nil"/>
              <w:left w:val="nil"/>
              <w:bottom w:val="single" w:sz="4" w:space="0" w:color="auto"/>
              <w:right w:val="single" w:sz="4" w:space="0" w:color="auto"/>
            </w:tcBorders>
            <w:vAlign w:val="center"/>
            <w:hideMark/>
          </w:tcPr>
          <w:p w14:paraId="2ED00A43" w14:textId="291C5091"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5</w:t>
            </w:r>
            <w:r w:rsidR="00DC02C1">
              <w:rPr>
                <w:rFonts w:ascii="Times New Roman" w:eastAsia="Times New Roman" w:hAnsi="Times New Roman" w:cs="Times New Roman"/>
                <w:i/>
                <w:iCs/>
                <w:color w:val="000000"/>
                <w:kern w:val="0"/>
                <w:szCs w:val="24"/>
                <w:lang w:eastAsia="en-IN"/>
                <w14:ligatures w14:val="none"/>
              </w:rPr>
              <w:t>.</w:t>
            </w:r>
            <w:r w:rsidRPr="007506E5">
              <w:rPr>
                <w:rFonts w:ascii="Times New Roman" w:eastAsia="Times New Roman" w:hAnsi="Times New Roman" w:cs="Times New Roman"/>
                <w:i/>
                <w:iCs/>
                <w:color w:val="000000"/>
                <w:kern w:val="0"/>
                <w:szCs w:val="24"/>
                <w:lang w:eastAsia="en-IN"/>
                <w14:ligatures w14:val="none"/>
              </w:rPr>
              <w:t>0</w:t>
            </w:r>
          </w:p>
        </w:tc>
        <w:tc>
          <w:tcPr>
            <w:tcW w:w="1460" w:type="dxa"/>
            <w:tcBorders>
              <w:top w:val="nil"/>
              <w:left w:val="nil"/>
              <w:bottom w:val="single" w:sz="4" w:space="0" w:color="auto"/>
              <w:right w:val="single" w:sz="4" w:space="0" w:color="auto"/>
            </w:tcBorders>
            <w:vAlign w:val="center"/>
            <w:hideMark/>
          </w:tcPr>
          <w:p w14:paraId="7E2666B5" w14:textId="4FAE33BF"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1</w:t>
            </w:r>
            <w:r w:rsidR="00DC02C1">
              <w:rPr>
                <w:rFonts w:ascii="Times New Roman" w:eastAsia="Times New Roman" w:hAnsi="Times New Roman" w:cs="Times New Roman"/>
                <w:i/>
                <w:iCs/>
                <w:color w:val="000000"/>
                <w:kern w:val="0"/>
                <w:szCs w:val="24"/>
                <w:lang w:eastAsia="en-IN"/>
                <w14:ligatures w14:val="none"/>
              </w:rPr>
              <w:t>.</w:t>
            </w:r>
            <w:r w:rsidRPr="007506E5">
              <w:rPr>
                <w:rFonts w:ascii="Times New Roman" w:eastAsia="Times New Roman" w:hAnsi="Times New Roman" w:cs="Times New Roman"/>
                <w:i/>
                <w:iCs/>
                <w:color w:val="000000"/>
                <w:kern w:val="0"/>
                <w:szCs w:val="24"/>
                <w:lang w:eastAsia="en-IN"/>
                <w14:ligatures w14:val="none"/>
              </w:rPr>
              <w:t>7</w:t>
            </w:r>
          </w:p>
        </w:tc>
        <w:tc>
          <w:tcPr>
            <w:tcW w:w="1240" w:type="dxa"/>
            <w:tcBorders>
              <w:top w:val="nil"/>
              <w:left w:val="nil"/>
              <w:bottom w:val="single" w:sz="4" w:space="0" w:color="auto"/>
              <w:right w:val="single" w:sz="4" w:space="0" w:color="auto"/>
            </w:tcBorders>
            <w:vAlign w:val="center"/>
            <w:hideMark/>
          </w:tcPr>
          <w:p w14:paraId="223F1AB4" w14:textId="77777777"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13.9</w:t>
            </w:r>
          </w:p>
        </w:tc>
        <w:tc>
          <w:tcPr>
            <w:tcW w:w="822" w:type="dxa"/>
            <w:tcBorders>
              <w:top w:val="nil"/>
              <w:left w:val="nil"/>
              <w:bottom w:val="single" w:sz="4" w:space="0" w:color="auto"/>
              <w:right w:val="single" w:sz="4" w:space="0" w:color="auto"/>
            </w:tcBorders>
            <w:vAlign w:val="center"/>
            <w:hideMark/>
          </w:tcPr>
          <w:p w14:paraId="69F0230F" w14:textId="77777777"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5.1</w:t>
            </w:r>
          </w:p>
        </w:tc>
        <w:tc>
          <w:tcPr>
            <w:tcW w:w="1082" w:type="dxa"/>
            <w:tcBorders>
              <w:top w:val="nil"/>
              <w:left w:val="nil"/>
              <w:bottom w:val="single" w:sz="4" w:space="0" w:color="auto"/>
              <w:right w:val="single" w:sz="4" w:space="0" w:color="auto"/>
            </w:tcBorders>
            <w:vAlign w:val="center"/>
            <w:hideMark/>
          </w:tcPr>
          <w:p w14:paraId="3C7DF514" w14:textId="77777777"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48.6</w:t>
            </w:r>
          </w:p>
        </w:tc>
        <w:tc>
          <w:tcPr>
            <w:tcW w:w="965" w:type="dxa"/>
            <w:tcBorders>
              <w:top w:val="nil"/>
              <w:left w:val="nil"/>
              <w:bottom w:val="single" w:sz="4" w:space="0" w:color="auto"/>
              <w:right w:val="single" w:sz="4" w:space="0" w:color="auto"/>
            </w:tcBorders>
            <w:vAlign w:val="center"/>
            <w:hideMark/>
          </w:tcPr>
          <w:p w14:paraId="472FD90E" w14:textId="63EC4A0A" w:rsidR="007506E5" w:rsidRPr="007506E5" w:rsidRDefault="007506E5" w:rsidP="007506E5">
            <w:pPr>
              <w:spacing w:after="0" w:line="240" w:lineRule="auto"/>
              <w:jc w:val="center"/>
              <w:rPr>
                <w:rFonts w:ascii="Aptos" w:eastAsia="Times New Roman" w:hAnsi="Aptos" w:cs="Times New Roman"/>
                <w:color w:val="000000"/>
                <w:kern w:val="0"/>
                <w:szCs w:val="24"/>
                <w:lang w:eastAsia="en-IN"/>
                <w14:ligatures w14:val="none"/>
              </w:rPr>
            </w:pPr>
          </w:p>
        </w:tc>
        <w:tc>
          <w:tcPr>
            <w:tcW w:w="926" w:type="dxa"/>
            <w:tcBorders>
              <w:top w:val="nil"/>
              <w:left w:val="nil"/>
              <w:bottom w:val="single" w:sz="4" w:space="0" w:color="auto"/>
              <w:right w:val="single" w:sz="4" w:space="0" w:color="auto"/>
            </w:tcBorders>
            <w:vAlign w:val="center"/>
            <w:hideMark/>
          </w:tcPr>
          <w:p w14:paraId="11A6D14B" w14:textId="77777777"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20.3</w:t>
            </w:r>
          </w:p>
        </w:tc>
        <w:tc>
          <w:tcPr>
            <w:tcW w:w="1082" w:type="dxa"/>
            <w:tcBorders>
              <w:top w:val="nil"/>
              <w:left w:val="nil"/>
              <w:bottom w:val="single" w:sz="4" w:space="0" w:color="auto"/>
              <w:right w:val="single" w:sz="4" w:space="0" w:color="auto"/>
            </w:tcBorders>
            <w:vAlign w:val="center"/>
            <w:hideMark/>
          </w:tcPr>
          <w:p w14:paraId="47B7F09B" w14:textId="77777777"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31.1</w:t>
            </w:r>
          </w:p>
        </w:tc>
        <w:tc>
          <w:tcPr>
            <w:tcW w:w="1082" w:type="dxa"/>
            <w:tcBorders>
              <w:top w:val="nil"/>
              <w:left w:val="nil"/>
              <w:bottom w:val="single" w:sz="4" w:space="0" w:color="auto"/>
              <w:right w:val="single" w:sz="4" w:space="0" w:color="auto"/>
            </w:tcBorders>
            <w:vAlign w:val="center"/>
            <w:hideMark/>
          </w:tcPr>
          <w:p w14:paraId="76963349" w14:textId="7AE15731" w:rsidR="007506E5" w:rsidRPr="007506E5" w:rsidRDefault="007506E5" w:rsidP="007506E5">
            <w:pPr>
              <w:spacing w:after="0" w:line="240" w:lineRule="auto"/>
              <w:jc w:val="center"/>
              <w:rPr>
                <w:rFonts w:ascii="Aptos" w:eastAsia="Times New Roman" w:hAnsi="Aptos" w:cs="Times New Roman"/>
                <w:color w:val="000000"/>
                <w:kern w:val="0"/>
                <w:szCs w:val="24"/>
                <w:lang w:eastAsia="en-IN"/>
                <w14:ligatures w14:val="none"/>
              </w:rPr>
            </w:pPr>
          </w:p>
        </w:tc>
      </w:tr>
      <w:tr w:rsidR="007506E5" w:rsidRPr="007506E5" w14:paraId="4A8D7C11" w14:textId="77777777" w:rsidTr="00C91D91">
        <w:trPr>
          <w:trHeight w:val="20"/>
          <w:jc w:val="center"/>
        </w:trPr>
        <w:tc>
          <w:tcPr>
            <w:tcW w:w="1369" w:type="dxa"/>
            <w:vMerge w:val="restart"/>
            <w:tcBorders>
              <w:top w:val="nil"/>
              <w:left w:val="single" w:sz="4" w:space="0" w:color="auto"/>
              <w:bottom w:val="single" w:sz="4" w:space="0" w:color="auto"/>
              <w:right w:val="single" w:sz="4" w:space="0" w:color="auto"/>
            </w:tcBorders>
            <w:vAlign w:val="center"/>
            <w:hideMark/>
          </w:tcPr>
          <w:p w14:paraId="0C970B64"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TOTAL</w:t>
            </w:r>
          </w:p>
        </w:tc>
        <w:tc>
          <w:tcPr>
            <w:tcW w:w="1473" w:type="dxa"/>
            <w:tcBorders>
              <w:top w:val="nil"/>
              <w:left w:val="nil"/>
              <w:bottom w:val="single" w:sz="4" w:space="0" w:color="auto"/>
              <w:right w:val="single" w:sz="4" w:space="0" w:color="auto"/>
            </w:tcBorders>
            <w:vAlign w:val="center"/>
            <w:hideMark/>
          </w:tcPr>
          <w:p w14:paraId="199CA2AB"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439</w:t>
            </w:r>
          </w:p>
        </w:tc>
        <w:tc>
          <w:tcPr>
            <w:tcW w:w="1083" w:type="dxa"/>
            <w:tcBorders>
              <w:top w:val="nil"/>
              <w:left w:val="nil"/>
              <w:bottom w:val="single" w:sz="4" w:space="0" w:color="auto"/>
              <w:right w:val="single" w:sz="4" w:space="0" w:color="auto"/>
            </w:tcBorders>
            <w:vAlign w:val="center"/>
            <w:hideMark/>
          </w:tcPr>
          <w:p w14:paraId="29193B76"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5074</w:t>
            </w:r>
          </w:p>
        </w:tc>
        <w:tc>
          <w:tcPr>
            <w:tcW w:w="862" w:type="dxa"/>
            <w:tcBorders>
              <w:top w:val="nil"/>
              <w:left w:val="nil"/>
              <w:bottom w:val="single" w:sz="4" w:space="0" w:color="auto"/>
              <w:right w:val="single" w:sz="4" w:space="0" w:color="auto"/>
            </w:tcBorders>
            <w:vAlign w:val="center"/>
            <w:hideMark/>
          </w:tcPr>
          <w:p w14:paraId="480AE054"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4893</w:t>
            </w:r>
          </w:p>
        </w:tc>
        <w:tc>
          <w:tcPr>
            <w:tcW w:w="966" w:type="dxa"/>
            <w:tcBorders>
              <w:top w:val="nil"/>
              <w:left w:val="nil"/>
              <w:bottom w:val="single" w:sz="4" w:space="0" w:color="auto"/>
              <w:right w:val="single" w:sz="4" w:space="0" w:color="auto"/>
            </w:tcBorders>
            <w:vAlign w:val="center"/>
            <w:hideMark/>
          </w:tcPr>
          <w:p w14:paraId="644CD4C6"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2236</w:t>
            </w:r>
          </w:p>
        </w:tc>
        <w:tc>
          <w:tcPr>
            <w:tcW w:w="1460" w:type="dxa"/>
            <w:tcBorders>
              <w:top w:val="nil"/>
              <w:left w:val="nil"/>
              <w:bottom w:val="single" w:sz="4" w:space="0" w:color="auto"/>
              <w:right w:val="single" w:sz="4" w:space="0" w:color="auto"/>
            </w:tcBorders>
            <w:vAlign w:val="center"/>
            <w:hideMark/>
          </w:tcPr>
          <w:p w14:paraId="728B9D19"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393</w:t>
            </w:r>
          </w:p>
        </w:tc>
        <w:tc>
          <w:tcPr>
            <w:tcW w:w="1240" w:type="dxa"/>
            <w:tcBorders>
              <w:top w:val="nil"/>
              <w:left w:val="nil"/>
              <w:bottom w:val="single" w:sz="4" w:space="0" w:color="auto"/>
              <w:right w:val="single" w:sz="4" w:space="0" w:color="auto"/>
            </w:tcBorders>
            <w:vAlign w:val="center"/>
            <w:hideMark/>
          </w:tcPr>
          <w:p w14:paraId="7116BADF"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5955</w:t>
            </w:r>
          </w:p>
        </w:tc>
        <w:tc>
          <w:tcPr>
            <w:tcW w:w="822" w:type="dxa"/>
            <w:tcBorders>
              <w:top w:val="nil"/>
              <w:left w:val="nil"/>
              <w:bottom w:val="single" w:sz="4" w:space="0" w:color="auto"/>
              <w:right w:val="single" w:sz="4" w:space="0" w:color="auto"/>
            </w:tcBorders>
            <w:vAlign w:val="center"/>
            <w:hideMark/>
          </w:tcPr>
          <w:p w14:paraId="100BE158"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3944</w:t>
            </w:r>
          </w:p>
        </w:tc>
        <w:tc>
          <w:tcPr>
            <w:tcW w:w="1082" w:type="dxa"/>
            <w:tcBorders>
              <w:top w:val="nil"/>
              <w:left w:val="nil"/>
              <w:bottom w:val="single" w:sz="4" w:space="0" w:color="auto"/>
              <w:right w:val="single" w:sz="4" w:space="0" w:color="auto"/>
            </w:tcBorders>
            <w:vAlign w:val="center"/>
            <w:hideMark/>
          </w:tcPr>
          <w:p w14:paraId="32D0A8D6"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22934</w:t>
            </w:r>
          </w:p>
        </w:tc>
        <w:tc>
          <w:tcPr>
            <w:tcW w:w="965" w:type="dxa"/>
            <w:tcBorders>
              <w:top w:val="nil"/>
              <w:left w:val="nil"/>
              <w:bottom w:val="single" w:sz="4" w:space="0" w:color="auto"/>
              <w:right w:val="single" w:sz="4" w:space="0" w:color="auto"/>
            </w:tcBorders>
            <w:vAlign w:val="center"/>
            <w:hideMark/>
          </w:tcPr>
          <w:p w14:paraId="09E9F89B"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5260</w:t>
            </w:r>
          </w:p>
        </w:tc>
        <w:tc>
          <w:tcPr>
            <w:tcW w:w="926" w:type="dxa"/>
            <w:tcBorders>
              <w:top w:val="nil"/>
              <w:left w:val="nil"/>
              <w:bottom w:val="single" w:sz="4" w:space="0" w:color="auto"/>
              <w:right w:val="single" w:sz="4" w:space="0" w:color="auto"/>
            </w:tcBorders>
            <w:vAlign w:val="center"/>
            <w:hideMark/>
          </w:tcPr>
          <w:p w14:paraId="6FF30422"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2370</w:t>
            </w:r>
          </w:p>
        </w:tc>
        <w:tc>
          <w:tcPr>
            <w:tcW w:w="1082" w:type="dxa"/>
            <w:tcBorders>
              <w:top w:val="nil"/>
              <w:left w:val="nil"/>
              <w:bottom w:val="single" w:sz="4" w:space="0" w:color="auto"/>
              <w:right w:val="single" w:sz="4" w:space="0" w:color="auto"/>
            </w:tcBorders>
            <w:vAlign w:val="center"/>
            <w:hideMark/>
          </w:tcPr>
          <w:p w14:paraId="58F28489"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10102</w:t>
            </w:r>
          </w:p>
        </w:tc>
        <w:tc>
          <w:tcPr>
            <w:tcW w:w="1082" w:type="dxa"/>
            <w:tcBorders>
              <w:top w:val="nil"/>
              <w:left w:val="nil"/>
              <w:bottom w:val="single" w:sz="4" w:space="0" w:color="auto"/>
              <w:right w:val="single" w:sz="4" w:space="0" w:color="auto"/>
            </w:tcBorders>
            <w:vAlign w:val="center"/>
            <w:hideMark/>
          </w:tcPr>
          <w:p w14:paraId="6AD36318"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r w:rsidRPr="007506E5">
              <w:rPr>
                <w:rFonts w:ascii="Times New Roman" w:eastAsia="Times New Roman" w:hAnsi="Times New Roman" w:cs="Times New Roman"/>
                <w:color w:val="000000"/>
                <w:kern w:val="0"/>
                <w:szCs w:val="24"/>
                <w:lang w:eastAsia="en-IN"/>
                <w14:ligatures w14:val="none"/>
              </w:rPr>
              <w:t>40666</w:t>
            </w:r>
          </w:p>
        </w:tc>
      </w:tr>
      <w:tr w:rsidR="007506E5" w:rsidRPr="007506E5" w14:paraId="3B6EB2A6" w14:textId="77777777" w:rsidTr="00C91D91">
        <w:trPr>
          <w:trHeight w:val="20"/>
          <w:jc w:val="center"/>
        </w:trPr>
        <w:tc>
          <w:tcPr>
            <w:tcW w:w="1369" w:type="dxa"/>
            <w:vMerge/>
            <w:tcBorders>
              <w:top w:val="nil"/>
              <w:left w:val="single" w:sz="4" w:space="0" w:color="auto"/>
              <w:bottom w:val="single" w:sz="4" w:space="0" w:color="auto"/>
              <w:right w:val="single" w:sz="4" w:space="0" w:color="auto"/>
            </w:tcBorders>
            <w:vAlign w:val="center"/>
            <w:hideMark/>
          </w:tcPr>
          <w:p w14:paraId="30DD64D4" w14:textId="77777777" w:rsidR="007506E5" w:rsidRPr="007506E5" w:rsidRDefault="007506E5" w:rsidP="007506E5">
            <w:pPr>
              <w:spacing w:after="0" w:line="240" w:lineRule="auto"/>
              <w:jc w:val="center"/>
              <w:rPr>
                <w:rFonts w:ascii="Times New Roman" w:eastAsia="Times New Roman" w:hAnsi="Times New Roman" w:cs="Times New Roman"/>
                <w:color w:val="000000"/>
                <w:kern w:val="0"/>
                <w:szCs w:val="24"/>
                <w:lang w:eastAsia="en-IN"/>
                <w14:ligatures w14:val="none"/>
              </w:rPr>
            </w:pPr>
          </w:p>
        </w:tc>
        <w:tc>
          <w:tcPr>
            <w:tcW w:w="1473" w:type="dxa"/>
            <w:tcBorders>
              <w:top w:val="nil"/>
              <w:left w:val="nil"/>
              <w:bottom w:val="single" w:sz="4" w:space="0" w:color="auto"/>
              <w:right w:val="single" w:sz="4" w:space="0" w:color="auto"/>
            </w:tcBorders>
            <w:vAlign w:val="center"/>
            <w:hideMark/>
          </w:tcPr>
          <w:p w14:paraId="3871EBE3" w14:textId="7734A956"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1</w:t>
            </w:r>
            <w:r w:rsidR="005A4048">
              <w:rPr>
                <w:rFonts w:ascii="Times New Roman" w:eastAsia="Times New Roman" w:hAnsi="Times New Roman" w:cs="Times New Roman"/>
                <w:i/>
                <w:iCs/>
                <w:color w:val="000000"/>
                <w:kern w:val="0"/>
                <w:szCs w:val="24"/>
                <w:lang w:eastAsia="en-IN"/>
                <w14:ligatures w14:val="none"/>
              </w:rPr>
              <w:t>.</w:t>
            </w:r>
            <w:r w:rsidRPr="007506E5">
              <w:rPr>
                <w:rFonts w:ascii="Times New Roman" w:eastAsia="Times New Roman" w:hAnsi="Times New Roman" w:cs="Times New Roman"/>
                <w:i/>
                <w:iCs/>
                <w:color w:val="000000"/>
                <w:kern w:val="0"/>
                <w:szCs w:val="24"/>
                <w:lang w:eastAsia="en-IN"/>
                <w14:ligatures w14:val="none"/>
              </w:rPr>
              <w:t>1</w:t>
            </w:r>
          </w:p>
        </w:tc>
        <w:tc>
          <w:tcPr>
            <w:tcW w:w="1083" w:type="dxa"/>
            <w:tcBorders>
              <w:top w:val="nil"/>
              <w:left w:val="nil"/>
              <w:bottom w:val="single" w:sz="4" w:space="0" w:color="auto"/>
              <w:right w:val="single" w:sz="4" w:space="0" w:color="auto"/>
            </w:tcBorders>
            <w:vAlign w:val="center"/>
            <w:hideMark/>
          </w:tcPr>
          <w:p w14:paraId="05733943" w14:textId="5BED683B"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12</w:t>
            </w:r>
            <w:r w:rsidR="005A4048">
              <w:rPr>
                <w:rFonts w:ascii="Times New Roman" w:eastAsia="Times New Roman" w:hAnsi="Times New Roman" w:cs="Times New Roman"/>
                <w:i/>
                <w:iCs/>
                <w:color w:val="000000"/>
                <w:kern w:val="0"/>
                <w:szCs w:val="24"/>
                <w:lang w:eastAsia="en-IN"/>
                <w14:ligatures w14:val="none"/>
              </w:rPr>
              <w:t>.</w:t>
            </w:r>
            <w:r w:rsidRPr="007506E5">
              <w:rPr>
                <w:rFonts w:ascii="Times New Roman" w:eastAsia="Times New Roman" w:hAnsi="Times New Roman" w:cs="Times New Roman"/>
                <w:i/>
                <w:iCs/>
                <w:color w:val="000000"/>
                <w:kern w:val="0"/>
                <w:szCs w:val="24"/>
                <w:lang w:eastAsia="en-IN"/>
                <w14:ligatures w14:val="none"/>
              </w:rPr>
              <w:t>5</w:t>
            </w:r>
          </w:p>
        </w:tc>
        <w:tc>
          <w:tcPr>
            <w:tcW w:w="862" w:type="dxa"/>
            <w:tcBorders>
              <w:top w:val="nil"/>
              <w:left w:val="nil"/>
              <w:bottom w:val="single" w:sz="4" w:space="0" w:color="auto"/>
              <w:right w:val="single" w:sz="4" w:space="0" w:color="auto"/>
            </w:tcBorders>
            <w:vAlign w:val="center"/>
            <w:hideMark/>
          </w:tcPr>
          <w:p w14:paraId="306871FE" w14:textId="79FA731D"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12</w:t>
            </w:r>
            <w:r w:rsidR="00DC02C1">
              <w:rPr>
                <w:rFonts w:ascii="Times New Roman" w:eastAsia="Times New Roman" w:hAnsi="Times New Roman" w:cs="Times New Roman"/>
                <w:i/>
                <w:iCs/>
                <w:color w:val="000000"/>
                <w:kern w:val="0"/>
                <w:szCs w:val="24"/>
                <w:lang w:eastAsia="en-IN"/>
                <w14:ligatures w14:val="none"/>
              </w:rPr>
              <w:t>.</w:t>
            </w:r>
            <w:r w:rsidRPr="007506E5">
              <w:rPr>
                <w:rFonts w:ascii="Times New Roman" w:eastAsia="Times New Roman" w:hAnsi="Times New Roman" w:cs="Times New Roman"/>
                <w:i/>
                <w:iCs/>
                <w:color w:val="000000"/>
                <w:kern w:val="0"/>
                <w:szCs w:val="24"/>
                <w:lang w:eastAsia="en-IN"/>
                <w14:ligatures w14:val="none"/>
              </w:rPr>
              <w:t>0</w:t>
            </w:r>
          </w:p>
        </w:tc>
        <w:tc>
          <w:tcPr>
            <w:tcW w:w="966" w:type="dxa"/>
            <w:tcBorders>
              <w:top w:val="nil"/>
              <w:left w:val="nil"/>
              <w:bottom w:val="single" w:sz="4" w:space="0" w:color="auto"/>
              <w:right w:val="single" w:sz="4" w:space="0" w:color="auto"/>
            </w:tcBorders>
            <w:vAlign w:val="center"/>
            <w:hideMark/>
          </w:tcPr>
          <w:p w14:paraId="31E9EF05" w14:textId="7DA400E2"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5</w:t>
            </w:r>
            <w:r w:rsidR="00DC02C1">
              <w:rPr>
                <w:rFonts w:ascii="Times New Roman" w:eastAsia="Times New Roman" w:hAnsi="Times New Roman" w:cs="Times New Roman"/>
                <w:i/>
                <w:iCs/>
                <w:color w:val="000000"/>
                <w:kern w:val="0"/>
                <w:szCs w:val="24"/>
                <w:lang w:eastAsia="en-IN"/>
                <w14:ligatures w14:val="none"/>
              </w:rPr>
              <w:t>.</w:t>
            </w:r>
            <w:r w:rsidRPr="007506E5">
              <w:rPr>
                <w:rFonts w:ascii="Times New Roman" w:eastAsia="Times New Roman" w:hAnsi="Times New Roman" w:cs="Times New Roman"/>
                <w:i/>
                <w:iCs/>
                <w:color w:val="000000"/>
                <w:kern w:val="0"/>
                <w:szCs w:val="24"/>
                <w:lang w:eastAsia="en-IN"/>
                <w14:ligatures w14:val="none"/>
              </w:rPr>
              <w:t>5</w:t>
            </w:r>
          </w:p>
        </w:tc>
        <w:tc>
          <w:tcPr>
            <w:tcW w:w="1460" w:type="dxa"/>
            <w:tcBorders>
              <w:top w:val="nil"/>
              <w:left w:val="nil"/>
              <w:bottom w:val="single" w:sz="4" w:space="0" w:color="auto"/>
              <w:right w:val="single" w:sz="4" w:space="0" w:color="auto"/>
            </w:tcBorders>
            <w:vAlign w:val="center"/>
            <w:hideMark/>
          </w:tcPr>
          <w:p w14:paraId="7683732C" w14:textId="5D3E1810"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1</w:t>
            </w:r>
            <w:r w:rsidR="00DC02C1">
              <w:rPr>
                <w:rFonts w:ascii="Times New Roman" w:eastAsia="Times New Roman" w:hAnsi="Times New Roman" w:cs="Times New Roman"/>
                <w:i/>
                <w:iCs/>
                <w:color w:val="000000"/>
                <w:kern w:val="0"/>
                <w:szCs w:val="24"/>
                <w:lang w:eastAsia="en-IN"/>
                <w14:ligatures w14:val="none"/>
              </w:rPr>
              <w:t>.</w:t>
            </w:r>
            <w:r w:rsidRPr="007506E5">
              <w:rPr>
                <w:rFonts w:ascii="Times New Roman" w:eastAsia="Times New Roman" w:hAnsi="Times New Roman" w:cs="Times New Roman"/>
                <w:i/>
                <w:iCs/>
                <w:color w:val="000000"/>
                <w:kern w:val="0"/>
                <w:szCs w:val="24"/>
                <w:lang w:eastAsia="en-IN"/>
                <w14:ligatures w14:val="none"/>
              </w:rPr>
              <w:t>0</w:t>
            </w:r>
          </w:p>
        </w:tc>
        <w:tc>
          <w:tcPr>
            <w:tcW w:w="1240" w:type="dxa"/>
            <w:tcBorders>
              <w:top w:val="nil"/>
              <w:left w:val="nil"/>
              <w:bottom w:val="single" w:sz="4" w:space="0" w:color="auto"/>
              <w:right w:val="single" w:sz="4" w:space="0" w:color="auto"/>
            </w:tcBorders>
            <w:vAlign w:val="center"/>
            <w:hideMark/>
          </w:tcPr>
          <w:p w14:paraId="2BE64F74" w14:textId="77777777"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14.6</w:t>
            </w:r>
          </w:p>
        </w:tc>
        <w:tc>
          <w:tcPr>
            <w:tcW w:w="822" w:type="dxa"/>
            <w:tcBorders>
              <w:top w:val="nil"/>
              <w:left w:val="nil"/>
              <w:bottom w:val="single" w:sz="4" w:space="0" w:color="auto"/>
              <w:right w:val="single" w:sz="4" w:space="0" w:color="auto"/>
            </w:tcBorders>
            <w:vAlign w:val="center"/>
            <w:hideMark/>
          </w:tcPr>
          <w:p w14:paraId="3D82E158" w14:textId="77777777"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9.7</w:t>
            </w:r>
          </w:p>
        </w:tc>
        <w:tc>
          <w:tcPr>
            <w:tcW w:w="1082" w:type="dxa"/>
            <w:tcBorders>
              <w:top w:val="nil"/>
              <w:left w:val="nil"/>
              <w:bottom w:val="single" w:sz="4" w:space="0" w:color="auto"/>
              <w:right w:val="single" w:sz="4" w:space="0" w:color="auto"/>
            </w:tcBorders>
            <w:vAlign w:val="center"/>
            <w:hideMark/>
          </w:tcPr>
          <w:p w14:paraId="610BBC64" w14:textId="77777777"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56.4</w:t>
            </w:r>
          </w:p>
        </w:tc>
        <w:tc>
          <w:tcPr>
            <w:tcW w:w="965" w:type="dxa"/>
            <w:tcBorders>
              <w:top w:val="nil"/>
              <w:left w:val="nil"/>
              <w:bottom w:val="single" w:sz="4" w:space="0" w:color="auto"/>
              <w:right w:val="single" w:sz="4" w:space="0" w:color="auto"/>
            </w:tcBorders>
            <w:vAlign w:val="center"/>
            <w:hideMark/>
          </w:tcPr>
          <w:p w14:paraId="1A4736DA" w14:textId="77777777"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12.9</w:t>
            </w:r>
          </w:p>
        </w:tc>
        <w:tc>
          <w:tcPr>
            <w:tcW w:w="926" w:type="dxa"/>
            <w:tcBorders>
              <w:top w:val="nil"/>
              <w:left w:val="nil"/>
              <w:bottom w:val="single" w:sz="4" w:space="0" w:color="auto"/>
              <w:right w:val="single" w:sz="4" w:space="0" w:color="auto"/>
            </w:tcBorders>
            <w:vAlign w:val="center"/>
            <w:hideMark/>
          </w:tcPr>
          <w:p w14:paraId="390FF99A" w14:textId="77777777"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5.8</w:t>
            </w:r>
          </w:p>
        </w:tc>
        <w:tc>
          <w:tcPr>
            <w:tcW w:w="1082" w:type="dxa"/>
            <w:tcBorders>
              <w:top w:val="nil"/>
              <w:left w:val="nil"/>
              <w:bottom w:val="single" w:sz="4" w:space="0" w:color="auto"/>
              <w:right w:val="single" w:sz="4" w:space="0" w:color="auto"/>
            </w:tcBorders>
            <w:vAlign w:val="center"/>
            <w:hideMark/>
          </w:tcPr>
          <w:p w14:paraId="34E74976" w14:textId="77777777" w:rsidR="007506E5" w:rsidRPr="007506E5" w:rsidRDefault="007506E5" w:rsidP="007506E5">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7506E5">
              <w:rPr>
                <w:rFonts w:ascii="Times New Roman" w:eastAsia="Times New Roman" w:hAnsi="Times New Roman" w:cs="Times New Roman"/>
                <w:i/>
                <w:iCs/>
                <w:color w:val="000000"/>
                <w:kern w:val="0"/>
                <w:szCs w:val="24"/>
                <w:lang w:eastAsia="en-IN"/>
                <w14:ligatures w14:val="none"/>
              </w:rPr>
              <w:t>24.8</w:t>
            </w:r>
          </w:p>
        </w:tc>
        <w:tc>
          <w:tcPr>
            <w:tcW w:w="1082" w:type="dxa"/>
            <w:tcBorders>
              <w:top w:val="nil"/>
              <w:left w:val="nil"/>
              <w:bottom w:val="single" w:sz="4" w:space="0" w:color="auto"/>
              <w:right w:val="single" w:sz="4" w:space="0" w:color="auto"/>
            </w:tcBorders>
            <w:vAlign w:val="center"/>
            <w:hideMark/>
          </w:tcPr>
          <w:p w14:paraId="27F9F668" w14:textId="31DAF2C8" w:rsidR="007506E5" w:rsidRPr="007506E5" w:rsidRDefault="007506E5" w:rsidP="007506E5">
            <w:pPr>
              <w:spacing w:after="0" w:line="240" w:lineRule="auto"/>
              <w:jc w:val="center"/>
              <w:rPr>
                <w:rFonts w:ascii="Aptos" w:eastAsia="Times New Roman" w:hAnsi="Aptos" w:cs="Times New Roman"/>
                <w:color w:val="000000"/>
                <w:kern w:val="0"/>
                <w:szCs w:val="24"/>
                <w:lang w:eastAsia="en-IN"/>
                <w14:ligatures w14:val="none"/>
              </w:rPr>
            </w:pPr>
          </w:p>
        </w:tc>
      </w:tr>
    </w:tbl>
    <w:p w14:paraId="681C967B" w14:textId="77777777" w:rsidR="00A21177" w:rsidRPr="00A21177" w:rsidRDefault="00A21177" w:rsidP="00A21177">
      <w:pPr>
        <w:pStyle w:val="Sources"/>
      </w:pPr>
      <w:r w:rsidRPr="00A21177">
        <w:t>(a) In the figures of Provisional Accounts for 1951-52 obtained from the Accountants General, the collections from "Sales Tax and Taxes on Motor Spirit" were not indicated separately. The figures for "Other Taxes and Duties" have been retained as shown in the Revised Estimates for the year and the residue shown as receipts under "Sales Taxes". Similarly since details of "Grants and Subventions" from the Centre have not been given, the figures for "Grants and Subventions" have been calculated after a comparison with the Revised Estimates.</w:t>
      </w:r>
    </w:p>
    <w:p w14:paraId="2BC5CE51" w14:textId="77777777" w:rsidR="00A21177" w:rsidRPr="00A21177" w:rsidRDefault="00A21177" w:rsidP="00A21177">
      <w:pPr>
        <w:pStyle w:val="Sources"/>
      </w:pPr>
      <w:r w:rsidRPr="00A21177">
        <w:t>(b) Excludes transfers from Revenue Reserve Funds.</w:t>
      </w:r>
    </w:p>
    <w:p w14:paraId="5E88C6E6" w14:textId="77777777" w:rsidR="00A21177" w:rsidRPr="00A21177" w:rsidRDefault="00A21177" w:rsidP="00A21177">
      <w:pPr>
        <w:pStyle w:val="Sources"/>
      </w:pPr>
      <w:r w:rsidRPr="00A21177">
        <w:t>(c) Excludes Income Tax Share.</w:t>
      </w:r>
    </w:p>
    <w:p w14:paraId="633DEF53" w14:textId="40435EB7" w:rsidR="007506E5" w:rsidRDefault="00A21177" w:rsidP="00A21177">
      <w:pPr>
        <w:pStyle w:val="Sources"/>
      </w:pPr>
      <w:r w:rsidRPr="00A21177">
        <w:t>(d) Only net receipts under "Industries and Supplies" included.</w:t>
      </w:r>
    </w:p>
    <w:p w14:paraId="2BF57ACE" w14:textId="77777777" w:rsidR="007506E5" w:rsidRPr="005534D4" w:rsidRDefault="007506E5" w:rsidP="00F75806">
      <w:pPr>
        <w:pStyle w:val="NoSpacing"/>
        <w:rPr>
          <w:rFonts w:ascii="Times New Roman" w:hAnsi="Times New Roman" w:cs="Times New Roman"/>
          <w:szCs w:val="24"/>
        </w:rPr>
      </w:pPr>
    </w:p>
    <w:p w14:paraId="497B7415" w14:textId="77777777" w:rsidR="007506E5" w:rsidRDefault="007506E5" w:rsidP="00755A71">
      <w:pPr>
        <w:pStyle w:val="NoSpacing"/>
        <w:rPr>
          <w:rFonts w:ascii="Times New Roman" w:hAnsi="Times New Roman" w:cs="Times New Roman"/>
          <w:szCs w:val="24"/>
        </w:rPr>
        <w:sectPr w:rsidR="007506E5" w:rsidSect="007506E5">
          <w:pgSz w:w="16838" w:h="11906" w:orient="landscape"/>
          <w:pgMar w:top="1134" w:right="1440" w:bottom="1440" w:left="1440" w:header="709" w:footer="709" w:gutter="0"/>
          <w:cols w:space="708"/>
          <w:docGrid w:linePitch="360"/>
        </w:sectPr>
      </w:pPr>
    </w:p>
    <w:p w14:paraId="0527CB77" w14:textId="03165435" w:rsidR="00A21177" w:rsidRPr="00A21177" w:rsidRDefault="005A190F" w:rsidP="0075507D">
      <w:pPr>
        <w:pStyle w:val="Heading3"/>
        <w:rPr>
          <w:rStyle w:val="Heading2Char"/>
          <w:b/>
          <w:bCs/>
        </w:rPr>
      </w:pPr>
      <w:bookmarkStart w:id="29" w:name="_Toc221007138"/>
      <w:r w:rsidRPr="00A21177">
        <w:rPr>
          <w:rStyle w:val="Heading2Char"/>
          <w:b/>
          <w:bCs/>
        </w:rPr>
        <w:lastRenderedPageBreak/>
        <w:t>5(c).—Composition of Revenue of Part A and Part B States</w:t>
      </w:r>
      <w:r w:rsidR="00A21177" w:rsidRPr="00A21177">
        <w:rPr>
          <w:rStyle w:val="Heading2Char"/>
          <w:b/>
          <w:bCs/>
        </w:rPr>
        <w:t xml:space="preserve"> under Main Heads—1952-53 (Budget Estimates)</w:t>
      </w:r>
      <w:bookmarkEnd w:id="29"/>
    </w:p>
    <w:p w14:paraId="6C1E7419" w14:textId="70E6FD2A" w:rsidR="005A190F" w:rsidRDefault="005A190F" w:rsidP="005A190F">
      <w:pPr>
        <w:pStyle w:val="NoSpacing"/>
        <w:jc w:val="center"/>
        <w:rPr>
          <w:rFonts w:ascii="Times New Roman" w:hAnsi="Times New Roman" w:cs="Times New Roman"/>
        </w:rPr>
      </w:pPr>
      <w:r w:rsidRPr="00A21177">
        <w:rPr>
          <w:rFonts w:ascii="Times New Roman" w:hAnsi="Times New Roman" w:cs="Times New Roman"/>
        </w:rPr>
        <w:t>Percentages of collections to the total revenue of the</w:t>
      </w:r>
      <w:r w:rsidR="00A21177" w:rsidRPr="00A21177">
        <w:rPr>
          <w:rFonts w:ascii="Times New Roman" w:hAnsi="Times New Roman" w:cs="Times New Roman"/>
        </w:rPr>
        <w:t xml:space="preserve"> respective States are given against each head in italics.</w:t>
      </w:r>
    </w:p>
    <w:p w14:paraId="72B96301" w14:textId="77777777" w:rsidR="00A21177" w:rsidRDefault="00A21177" w:rsidP="005A190F">
      <w:pPr>
        <w:pStyle w:val="NoSpacing"/>
        <w:jc w:val="center"/>
        <w:rPr>
          <w:rFonts w:ascii="Times New Roman" w:hAnsi="Times New Roman" w:cs="Times New Roman"/>
        </w:rPr>
      </w:pPr>
    </w:p>
    <w:tbl>
      <w:tblPr>
        <w:tblW w:w="14310" w:type="dxa"/>
        <w:tblLook w:val="04A0" w:firstRow="1" w:lastRow="0" w:firstColumn="1" w:lastColumn="0" w:noHBand="0" w:noVBand="1"/>
      </w:tblPr>
      <w:tblGrid>
        <w:gridCol w:w="1389"/>
        <w:gridCol w:w="1496"/>
        <w:gridCol w:w="1096"/>
        <w:gridCol w:w="870"/>
        <w:gridCol w:w="977"/>
        <w:gridCol w:w="1483"/>
        <w:gridCol w:w="1257"/>
        <w:gridCol w:w="830"/>
        <w:gridCol w:w="1096"/>
        <w:gridCol w:w="976"/>
        <w:gridCol w:w="936"/>
        <w:gridCol w:w="1096"/>
        <w:gridCol w:w="1096"/>
      </w:tblGrid>
      <w:tr w:rsidR="00A21177" w:rsidRPr="00A21177" w14:paraId="41D04452" w14:textId="77777777" w:rsidTr="00C91D91">
        <w:trPr>
          <w:trHeight w:val="20"/>
        </w:trPr>
        <w:tc>
          <w:tcPr>
            <w:tcW w:w="1360" w:type="dxa"/>
            <w:tcBorders>
              <w:top w:val="single" w:sz="4" w:space="0" w:color="auto"/>
              <w:left w:val="single" w:sz="4" w:space="0" w:color="auto"/>
              <w:bottom w:val="single" w:sz="4" w:space="0" w:color="auto"/>
              <w:right w:val="single" w:sz="4" w:space="0" w:color="auto"/>
            </w:tcBorders>
            <w:vAlign w:val="center"/>
            <w:hideMark/>
          </w:tcPr>
          <w:p w14:paraId="45B7CD72" w14:textId="33512E91" w:rsidR="00A21177" w:rsidRPr="00C91D91" w:rsidRDefault="00A21177" w:rsidP="00A21177">
            <w:pPr>
              <w:spacing w:after="0" w:line="240" w:lineRule="auto"/>
              <w:jc w:val="center"/>
              <w:rPr>
                <w:rFonts w:ascii="Aptos" w:eastAsia="Times New Roman" w:hAnsi="Aptos" w:cs="Times New Roman"/>
                <w:b/>
                <w:bCs/>
                <w:color w:val="000000"/>
                <w:kern w:val="0"/>
                <w:szCs w:val="24"/>
                <w:lang w:eastAsia="en-IN"/>
                <w14:ligatures w14:val="none"/>
              </w:rPr>
            </w:pPr>
          </w:p>
        </w:tc>
        <w:tc>
          <w:tcPr>
            <w:tcW w:w="1463" w:type="dxa"/>
            <w:tcBorders>
              <w:top w:val="single" w:sz="4" w:space="0" w:color="auto"/>
              <w:left w:val="nil"/>
              <w:bottom w:val="single" w:sz="4" w:space="0" w:color="auto"/>
              <w:right w:val="single" w:sz="4" w:space="0" w:color="auto"/>
            </w:tcBorders>
            <w:vAlign w:val="center"/>
            <w:hideMark/>
          </w:tcPr>
          <w:p w14:paraId="375173F1" w14:textId="77777777" w:rsidR="00A21177" w:rsidRPr="00C91D91" w:rsidRDefault="00A21177" w:rsidP="00A21177">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C91D91">
              <w:rPr>
                <w:rFonts w:ascii="Times New Roman" w:eastAsia="Times New Roman" w:hAnsi="Times New Roman" w:cs="Times New Roman"/>
                <w:b/>
                <w:bCs/>
                <w:color w:val="000000"/>
                <w:kern w:val="0"/>
                <w:szCs w:val="24"/>
                <w:lang w:eastAsia="en-IN"/>
                <w14:ligatures w14:val="none"/>
              </w:rPr>
              <w:t>Agricultural Income Tax</w:t>
            </w:r>
          </w:p>
        </w:tc>
        <w:tc>
          <w:tcPr>
            <w:tcW w:w="1075" w:type="dxa"/>
            <w:tcBorders>
              <w:top w:val="single" w:sz="4" w:space="0" w:color="auto"/>
              <w:left w:val="nil"/>
              <w:bottom w:val="single" w:sz="4" w:space="0" w:color="auto"/>
              <w:right w:val="single" w:sz="4" w:space="0" w:color="auto"/>
            </w:tcBorders>
            <w:vAlign w:val="center"/>
            <w:hideMark/>
          </w:tcPr>
          <w:p w14:paraId="4AD9C31C" w14:textId="77777777" w:rsidR="00A21177" w:rsidRPr="00C91D91" w:rsidRDefault="00A21177" w:rsidP="00A21177">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C91D91">
              <w:rPr>
                <w:rFonts w:ascii="Times New Roman" w:eastAsia="Times New Roman" w:hAnsi="Times New Roman" w:cs="Times New Roman"/>
                <w:b/>
                <w:bCs/>
                <w:color w:val="000000"/>
                <w:kern w:val="0"/>
                <w:szCs w:val="24"/>
                <w:lang w:eastAsia="en-IN"/>
                <w14:ligatures w14:val="none"/>
              </w:rPr>
              <w:t>Land Revenue</w:t>
            </w:r>
          </w:p>
        </w:tc>
        <w:tc>
          <w:tcPr>
            <w:tcW w:w="856" w:type="dxa"/>
            <w:tcBorders>
              <w:top w:val="single" w:sz="4" w:space="0" w:color="auto"/>
              <w:left w:val="nil"/>
              <w:bottom w:val="single" w:sz="4" w:space="0" w:color="auto"/>
              <w:right w:val="single" w:sz="4" w:space="0" w:color="auto"/>
            </w:tcBorders>
            <w:vAlign w:val="center"/>
            <w:hideMark/>
          </w:tcPr>
          <w:p w14:paraId="1F1EEBDB" w14:textId="77777777" w:rsidR="00A21177" w:rsidRPr="00C91D91" w:rsidRDefault="00A21177" w:rsidP="00A21177">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C91D91">
              <w:rPr>
                <w:rFonts w:ascii="Times New Roman" w:eastAsia="Times New Roman" w:hAnsi="Times New Roman" w:cs="Times New Roman"/>
                <w:b/>
                <w:bCs/>
                <w:color w:val="000000"/>
                <w:kern w:val="0"/>
                <w:szCs w:val="24"/>
                <w:lang w:eastAsia="en-IN"/>
                <w14:ligatures w14:val="none"/>
              </w:rPr>
              <w:t>State Excise</w:t>
            </w:r>
          </w:p>
        </w:tc>
        <w:tc>
          <w:tcPr>
            <w:tcW w:w="959" w:type="dxa"/>
            <w:tcBorders>
              <w:top w:val="single" w:sz="4" w:space="0" w:color="auto"/>
              <w:left w:val="nil"/>
              <w:bottom w:val="single" w:sz="4" w:space="0" w:color="auto"/>
              <w:right w:val="single" w:sz="4" w:space="0" w:color="auto"/>
            </w:tcBorders>
            <w:vAlign w:val="center"/>
            <w:hideMark/>
          </w:tcPr>
          <w:p w14:paraId="004AEC81" w14:textId="77777777" w:rsidR="00A21177" w:rsidRPr="00C91D91" w:rsidRDefault="00A21177" w:rsidP="00A21177">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C91D91">
              <w:rPr>
                <w:rFonts w:ascii="Times New Roman" w:eastAsia="Times New Roman" w:hAnsi="Times New Roman" w:cs="Times New Roman"/>
                <w:b/>
                <w:bCs/>
                <w:color w:val="000000"/>
                <w:kern w:val="0"/>
                <w:szCs w:val="24"/>
                <w:lang w:eastAsia="en-IN"/>
                <w14:ligatures w14:val="none"/>
              </w:rPr>
              <w:t>Stamps</w:t>
            </w:r>
          </w:p>
        </w:tc>
        <w:tc>
          <w:tcPr>
            <w:tcW w:w="1450" w:type="dxa"/>
            <w:tcBorders>
              <w:top w:val="single" w:sz="4" w:space="0" w:color="auto"/>
              <w:left w:val="nil"/>
              <w:bottom w:val="single" w:sz="4" w:space="0" w:color="auto"/>
              <w:right w:val="single" w:sz="4" w:space="0" w:color="auto"/>
            </w:tcBorders>
            <w:vAlign w:val="center"/>
            <w:hideMark/>
          </w:tcPr>
          <w:p w14:paraId="555FD054" w14:textId="77777777" w:rsidR="00A21177" w:rsidRPr="00C91D91" w:rsidRDefault="00A21177" w:rsidP="00A21177">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C91D91">
              <w:rPr>
                <w:rFonts w:ascii="Times New Roman" w:eastAsia="Times New Roman" w:hAnsi="Times New Roman" w:cs="Times New Roman"/>
                <w:b/>
                <w:bCs/>
                <w:color w:val="000000"/>
                <w:kern w:val="0"/>
                <w:szCs w:val="24"/>
                <w:lang w:eastAsia="en-IN"/>
                <w14:ligatures w14:val="none"/>
              </w:rPr>
              <w:t>Registration</w:t>
            </w:r>
          </w:p>
        </w:tc>
        <w:tc>
          <w:tcPr>
            <w:tcW w:w="1231" w:type="dxa"/>
            <w:tcBorders>
              <w:top w:val="single" w:sz="4" w:space="0" w:color="auto"/>
              <w:left w:val="nil"/>
              <w:bottom w:val="single" w:sz="4" w:space="0" w:color="auto"/>
              <w:right w:val="single" w:sz="4" w:space="0" w:color="auto"/>
            </w:tcBorders>
            <w:vAlign w:val="center"/>
            <w:hideMark/>
          </w:tcPr>
          <w:p w14:paraId="57C7FA96" w14:textId="77777777" w:rsidR="00A21177" w:rsidRPr="00C91D91" w:rsidRDefault="00A21177" w:rsidP="00A21177">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C91D91">
              <w:rPr>
                <w:rFonts w:ascii="Times New Roman" w:eastAsia="Times New Roman" w:hAnsi="Times New Roman" w:cs="Times New Roman"/>
                <w:b/>
                <w:bCs/>
                <w:color w:val="000000"/>
                <w:kern w:val="0"/>
                <w:szCs w:val="24"/>
                <w:lang w:eastAsia="en-IN"/>
                <w14:ligatures w14:val="none"/>
              </w:rPr>
              <w:t>Sales Taxes (including taxes on Motor Spirit)</w:t>
            </w:r>
          </w:p>
        </w:tc>
        <w:tc>
          <w:tcPr>
            <w:tcW w:w="817" w:type="dxa"/>
            <w:tcBorders>
              <w:top w:val="single" w:sz="4" w:space="0" w:color="auto"/>
              <w:left w:val="nil"/>
              <w:bottom w:val="single" w:sz="4" w:space="0" w:color="auto"/>
              <w:right w:val="single" w:sz="4" w:space="0" w:color="auto"/>
            </w:tcBorders>
            <w:vAlign w:val="center"/>
            <w:hideMark/>
          </w:tcPr>
          <w:p w14:paraId="2DE52D14" w14:textId="77777777" w:rsidR="00A21177" w:rsidRPr="00C91D91" w:rsidRDefault="00A21177" w:rsidP="00A21177">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C91D91">
              <w:rPr>
                <w:rFonts w:ascii="Times New Roman" w:eastAsia="Times New Roman" w:hAnsi="Times New Roman" w:cs="Times New Roman"/>
                <w:b/>
                <w:bCs/>
                <w:color w:val="000000"/>
                <w:kern w:val="0"/>
                <w:szCs w:val="24"/>
                <w:lang w:eastAsia="en-IN"/>
                <w14:ligatures w14:val="none"/>
              </w:rPr>
              <w:t>Other Taxes</w:t>
            </w:r>
          </w:p>
        </w:tc>
        <w:tc>
          <w:tcPr>
            <w:tcW w:w="1074" w:type="dxa"/>
            <w:tcBorders>
              <w:top w:val="single" w:sz="4" w:space="0" w:color="auto"/>
              <w:left w:val="nil"/>
              <w:bottom w:val="single" w:sz="4" w:space="0" w:color="auto"/>
              <w:right w:val="single" w:sz="4" w:space="0" w:color="auto"/>
            </w:tcBorders>
            <w:vAlign w:val="center"/>
            <w:hideMark/>
          </w:tcPr>
          <w:p w14:paraId="4BFF10E9" w14:textId="77777777" w:rsidR="00A21177" w:rsidRPr="00C91D91" w:rsidRDefault="00A21177" w:rsidP="00A21177">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C91D91">
              <w:rPr>
                <w:rFonts w:ascii="Times New Roman" w:eastAsia="Times New Roman" w:hAnsi="Times New Roman" w:cs="Times New Roman"/>
                <w:b/>
                <w:bCs/>
                <w:color w:val="000000"/>
                <w:kern w:val="0"/>
                <w:szCs w:val="24"/>
                <w:lang w:eastAsia="en-IN"/>
                <w14:ligatures w14:val="none"/>
              </w:rPr>
              <w:t>Total Tax Revenue (a)</w:t>
            </w:r>
          </w:p>
        </w:tc>
        <w:tc>
          <w:tcPr>
            <w:tcW w:w="958" w:type="dxa"/>
            <w:tcBorders>
              <w:top w:val="single" w:sz="4" w:space="0" w:color="auto"/>
              <w:left w:val="nil"/>
              <w:bottom w:val="single" w:sz="4" w:space="0" w:color="auto"/>
              <w:right w:val="single" w:sz="4" w:space="0" w:color="auto"/>
            </w:tcBorders>
            <w:vAlign w:val="center"/>
            <w:hideMark/>
          </w:tcPr>
          <w:p w14:paraId="1338A0C6" w14:textId="77777777" w:rsidR="00A21177" w:rsidRPr="00C91D91" w:rsidRDefault="00A21177" w:rsidP="00A21177">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C91D91">
              <w:rPr>
                <w:rFonts w:ascii="Times New Roman" w:eastAsia="Times New Roman" w:hAnsi="Times New Roman" w:cs="Times New Roman"/>
                <w:b/>
                <w:bCs/>
                <w:color w:val="000000"/>
                <w:kern w:val="0"/>
                <w:szCs w:val="24"/>
                <w:lang w:eastAsia="en-IN"/>
                <w14:ligatures w14:val="none"/>
              </w:rPr>
              <w:t>Income Tax Share</w:t>
            </w:r>
          </w:p>
        </w:tc>
        <w:tc>
          <w:tcPr>
            <w:tcW w:w="919" w:type="dxa"/>
            <w:tcBorders>
              <w:top w:val="single" w:sz="4" w:space="0" w:color="auto"/>
              <w:left w:val="nil"/>
              <w:bottom w:val="single" w:sz="4" w:space="0" w:color="auto"/>
              <w:right w:val="single" w:sz="4" w:space="0" w:color="auto"/>
            </w:tcBorders>
            <w:vAlign w:val="center"/>
            <w:hideMark/>
          </w:tcPr>
          <w:p w14:paraId="7E7C9581" w14:textId="77777777" w:rsidR="00A21177" w:rsidRPr="00C91D91" w:rsidRDefault="00A21177" w:rsidP="00A21177">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C91D91">
              <w:rPr>
                <w:rFonts w:ascii="Times New Roman" w:eastAsia="Times New Roman" w:hAnsi="Times New Roman" w:cs="Times New Roman"/>
                <w:b/>
                <w:bCs/>
                <w:color w:val="000000"/>
                <w:kern w:val="0"/>
                <w:szCs w:val="24"/>
                <w:lang w:eastAsia="en-IN"/>
                <w14:ligatures w14:val="none"/>
              </w:rPr>
              <w:t>Grants from the Centre</w:t>
            </w:r>
          </w:p>
        </w:tc>
        <w:tc>
          <w:tcPr>
            <w:tcW w:w="1074" w:type="dxa"/>
            <w:tcBorders>
              <w:top w:val="single" w:sz="4" w:space="0" w:color="auto"/>
              <w:left w:val="nil"/>
              <w:bottom w:val="single" w:sz="4" w:space="0" w:color="auto"/>
              <w:right w:val="single" w:sz="4" w:space="0" w:color="auto"/>
            </w:tcBorders>
            <w:vAlign w:val="center"/>
            <w:hideMark/>
          </w:tcPr>
          <w:p w14:paraId="0C80844E" w14:textId="77777777" w:rsidR="00A21177" w:rsidRPr="00C91D91" w:rsidRDefault="00A21177" w:rsidP="00A21177">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C91D91">
              <w:rPr>
                <w:rFonts w:ascii="Times New Roman" w:eastAsia="Times New Roman" w:hAnsi="Times New Roman" w:cs="Times New Roman"/>
                <w:b/>
                <w:bCs/>
                <w:color w:val="000000"/>
                <w:kern w:val="0"/>
                <w:szCs w:val="24"/>
                <w:lang w:eastAsia="en-IN"/>
                <w14:ligatures w14:val="none"/>
              </w:rPr>
              <w:t>Other Items of Revenue (b)</w:t>
            </w:r>
          </w:p>
        </w:tc>
        <w:tc>
          <w:tcPr>
            <w:tcW w:w="1074" w:type="dxa"/>
            <w:tcBorders>
              <w:top w:val="single" w:sz="4" w:space="0" w:color="auto"/>
              <w:left w:val="nil"/>
              <w:bottom w:val="single" w:sz="4" w:space="0" w:color="auto"/>
              <w:right w:val="single" w:sz="4" w:space="0" w:color="auto"/>
            </w:tcBorders>
            <w:vAlign w:val="center"/>
            <w:hideMark/>
          </w:tcPr>
          <w:p w14:paraId="3960635A" w14:textId="77777777" w:rsidR="00A21177" w:rsidRPr="00C91D91" w:rsidRDefault="00A21177" w:rsidP="00A21177">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C91D91">
              <w:rPr>
                <w:rFonts w:ascii="Times New Roman" w:eastAsia="Times New Roman" w:hAnsi="Times New Roman" w:cs="Times New Roman"/>
                <w:b/>
                <w:bCs/>
                <w:color w:val="000000"/>
                <w:kern w:val="0"/>
                <w:szCs w:val="24"/>
                <w:lang w:eastAsia="en-IN"/>
                <w14:ligatures w14:val="none"/>
              </w:rPr>
              <w:t>Total Revenue (b)</w:t>
            </w:r>
          </w:p>
        </w:tc>
      </w:tr>
      <w:tr w:rsidR="00A21177" w:rsidRPr="00A21177" w14:paraId="0F0B2838" w14:textId="77777777" w:rsidTr="00C91D91">
        <w:trPr>
          <w:trHeight w:val="20"/>
        </w:trPr>
        <w:tc>
          <w:tcPr>
            <w:tcW w:w="1360" w:type="dxa"/>
            <w:tcBorders>
              <w:top w:val="nil"/>
              <w:left w:val="single" w:sz="4" w:space="0" w:color="auto"/>
              <w:bottom w:val="single" w:sz="4" w:space="0" w:color="auto"/>
              <w:right w:val="single" w:sz="4" w:space="0" w:color="auto"/>
            </w:tcBorders>
            <w:vAlign w:val="center"/>
            <w:hideMark/>
          </w:tcPr>
          <w:p w14:paraId="6DD9C259"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Assam</w:t>
            </w:r>
          </w:p>
        </w:tc>
        <w:tc>
          <w:tcPr>
            <w:tcW w:w="1463" w:type="dxa"/>
            <w:tcBorders>
              <w:top w:val="nil"/>
              <w:left w:val="nil"/>
              <w:bottom w:val="single" w:sz="4" w:space="0" w:color="auto"/>
              <w:right w:val="single" w:sz="4" w:space="0" w:color="auto"/>
            </w:tcBorders>
            <w:vAlign w:val="center"/>
            <w:hideMark/>
          </w:tcPr>
          <w:p w14:paraId="5601B1E3"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71</w:t>
            </w:r>
          </w:p>
        </w:tc>
        <w:tc>
          <w:tcPr>
            <w:tcW w:w="1075" w:type="dxa"/>
            <w:tcBorders>
              <w:top w:val="nil"/>
              <w:left w:val="nil"/>
              <w:bottom w:val="single" w:sz="4" w:space="0" w:color="auto"/>
              <w:right w:val="single" w:sz="4" w:space="0" w:color="auto"/>
            </w:tcBorders>
            <w:vAlign w:val="center"/>
            <w:hideMark/>
          </w:tcPr>
          <w:p w14:paraId="1A123E7D"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165</w:t>
            </w:r>
          </w:p>
        </w:tc>
        <w:tc>
          <w:tcPr>
            <w:tcW w:w="856" w:type="dxa"/>
            <w:tcBorders>
              <w:top w:val="nil"/>
              <w:left w:val="nil"/>
              <w:bottom w:val="single" w:sz="4" w:space="0" w:color="auto"/>
              <w:right w:val="single" w:sz="4" w:space="0" w:color="auto"/>
            </w:tcBorders>
            <w:vAlign w:val="center"/>
            <w:hideMark/>
          </w:tcPr>
          <w:p w14:paraId="48F3FFE6"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76</w:t>
            </w:r>
          </w:p>
        </w:tc>
        <w:tc>
          <w:tcPr>
            <w:tcW w:w="959" w:type="dxa"/>
            <w:tcBorders>
              <w:top w:val="nil"/>
              <w:left w:val="nil"/>
              <w:bottom w:val="single" w:sz="4" w:space="0" w:color="auto"/>
              <w:right w:val="single" w:sz="4" w:space="0" w:color="auto"/>
            </w:tcBorders>
            <w:vAlign w:val="center"/>
            <w:hideMark/>
          </w:tcPr>
          <w:p w14:paraId="53AD0720"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26</w:t>
            </w:r>
          </w:p>
        </w:tc>
        <w:tc>
          <w:tcPr>
            <w:tcW w:w="1450" w:type="dxa"/>
            <w:tcBorders>
              <w:top w:val="nil"/>
              <w:left w:val="nil"/>
              <w:bottom w:val="single" w:sz="4" w:space="0" w:color="auto"/>
              <w:right w:val="single" w:sz="4" w:space="0" w:color="auto"/>
            </w:tcBorders>
            <w:vAlign w:val="center"/>
            <w:hideMark/>
          </w:tcPr>
          <w:p w14:paraId="2FF73808"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4</w:t>
            </w:r>
          </w:p>
        </w:tc>
        <w:tc>
          <w:tcPr>
            <w:tcW w:w="1231" w:type="dxa"/>
            <w:tcBorders>
              <w:top w:val="nil"/>
              <w:left w:val="nil"/>
              <w:bottom w:val="single" w:sz="4" w:space="0" w:color="auto"/>
              <w:right w:val="single" w:sz="4" w:space="0" w:color="auto"/>
            </w:tcBorders>
            <w:vAlign w:val="center"/>
            <w:hideMark/>
          </w:tcPr>
          <w:p w14:paraId="3A2D69D7"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75</w:t>
            </w:r>
          </w:p>
        </w:tc>
        <w:tc>
          <w:tcPr>
            <w:tcW w:w="817" w:type="dxa"/>
            <w:tcBorders>
              <w:top w:val="nil"/>
              <w:left w:val="nil"/>
              <w:bottom w:val="single" w:sz="4" w:space="0" w:color="auto"/>
              <w:right w:val="single" w:sz="4" w:space="0" w:color="auto"/>
            </w:tcBorders>
            <w:vAlign w:val="center"/>
            <w:hideMark/>
          </w:tcPr>
          <w:p w14:paraId="7B423C43"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43</w:t>
            </w:r>
          </w:p>
        </w:tc>
        <w:tc>
          <w:tcPr>
            <w:tcW w:w="1074" w:type="dxa"/>
            <w:tcBorders>
              <w:top w:val="nil"/>
              <w:left w:val="nil"/>
              <w:bottom w:val="single" w:sz="4" w:space="0" w:color="auto"/>
              <w:right w:val="single" w:sz="4" w:space="0" w:color="auto"/>
            </w:tcBorders>
            <w:vAlign w:val="center"/>
            <w:hideMark/>
          </w:tcPr>
          <w:p w14:paraId="370ECA68"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460</w:t>
            </w:r>
          </w:p>
        </w:tc>
        <w:tc>
          <w:tcPr>
            <w:tcW w:w="958" w:type="dxa"/>
            <w:tcBorders>
              <w:top w:val="nil"/>
              <w:left w:val="nil"/>
              <w:bottom w:val="single" w:sz="4" w:space="0" w:color="auto"/>
              <w:right w:val="single" w:sz="4" w:space="0" w:color="auto"/>
            </w:tcBorders>
            <w:vAlign w:val="center"/>
            <w:hideMark/>
          </w:tcPr>
          <w:p w14:paraId="4D77B931"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151</w:t>
            </w:r>
          </w:p>
        </w:tc>
        <w:tc>
          <w:tcPr>
            <w:tcW w:w="919" w:type="dxa"/>
            <w:tcBorders>
              <w:top w:val="nil"/>
              <w:left w:val="nil"/>
              <w:bottom w:val="single" w:sz="4" w:space="0" w:color="auto"/>
              <w:right w:val="single" w:sz="4" w:space="0" w:color="auto"/>
            </w:tcBorders>
            <w:vAlign w:val="center"/>
            <w:hideMark/>
          </w:tcPr>
          <w:p w14:paraId="05087C99"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158</w:t>
            </w:r>
          </w:p>
        </w:tc>
        <w:tc>
          <w:tcPr>
            <w:tcW w:w="1074" w:type="dxa"/>
            <w:tcBorders>
              <w:top w:val="nil"/>
              <w:left w:val="nil"/>
              <w:bottom w:val="single" w:sz="4" w:space="0" w:color="auto"/>
              <w:right w:val="single" w:sz="4" w:space="0" w:color="auto"/>
            </w:tcBorders>
            <w:vAlign w:val="center"/>
            <w:hideMark/>
          </w:tcPr>
          <w:p w14:paraId="31A0AD5C"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236</w:t>
            </w:r>
          </w:p>
        </w:tc>
        <w:tc>
          <w:tcPr>
            <w:tcW w:w="1074" w:type="dxa"/>
            <w:tcBorders>
              <w:top w:val="nil"/>
              <w:left w:val="nil"/>
              <w:bottom w:val="single" w:sz="4" w:space="0" w:color="auto"/>
              <w:right w:val="single" w:sz="4" w:space="0" w:color="auto"/>
            </w:tcBorders>
            <w:vAlign w:val="center"/>
            <w:hideMark/>
          </w:tcPr>
          <w:p w14:paraId="7C27699A"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1005</w:t>
            </w:r>
          </w:p>
        </w:tc>
      </w:tr>
      <w:tr w:rsidR="00A21177" w:rsidRPr="00A21177" w14:paraId="0407A531" w14:textId="77777777" w:rsidTr="00C91D91">
        <w:trPr>
          <w:trHeight w:val="20"/>
        </w:trPr>
        <w:tc>
          <w:tcPr>
            <w:tcW w:w="1360" w:type="dxa"/>
            <w:tcBorders>
              <w:top w:val="nil"/>
              <w:left w:val="single" w:sz="4" w:space="0" w:color="auto"/>
              <w:bottom w:val="single" w:sz="4" w:space="0" w:color="auto"/>
              <w:right w:val="single" w:sz="4" w:space="0" w:color="auto"/>
            </w:tcBorders>
            <w:vAlign w:val="center"/>
            <w:hideMark/>
          </w:tcPr>
          <w:p w14:paraId="3A1295C8" w14:textId="4C74389B" w:rsidR="00A21177" w:rsidRPr="00A21177" w:rsidRDefault="00A21177" w:rsidP="00A21177">
            <w:pPr>
              <w:spacing w:after="0" w:line="240" w:lineRule="auto"/>
              <w:jc w:val="center"/>
              <w:rPr>
                <w:rFonts w:ascii="Aptos" w:eastAsia="Times New Roman" w:hAnsi="Aptos" w:cs="Times New Roman"/>
                <w:color w:val="000000"/>
                <w:kern w:val="0"/>
                <w:szCs w:val="24"/>
                <w:lang w:eastAsia="en-IN"/>
                <w14:ligatures w14:val="none"/>
              </w:rPr>
            </w:pPr>
          </w:p>
        </w:tc>
        <w:tc>
          <w:tcPr>
            <w:tcW w:w="1463" w:type="dxa"/>
            <w:tcBorders>
              <w:top w:val="nil"/>
              <w:left w:val="nil"/>
              <w:bottom w:val="single" w:sz="4" w:space="0" w:color="auto"/>
              <w:right w:val="single" w:sz="4" w:space="0" w:color="auto"/>
            </w:tcBorders>
            <w:vAlign w:val="center"/>
            <w:hideMark/>
          </w:tcPr>
          <w:p w14:paraId="7608DE4A" w14:textId="36177406"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7</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1</w:t>
            </w:r>
          </w:p>
        </w:tc>
        <w:tc>
          <w:tcPr>
            <w:tcW w:w="1075" w:type="dxa"/>
            <w:tcBorders>
              <w:top w:val="nil"/>
              <w:left w:val="nil"/>
              <w:bottom w:val="single" w:sz="4" w:space="0" w:color="auto"/>
              <w:right w:val="single" w:sz="4" w:space="0" w:color="auto"/>
            </w:tcBorders>
            <w:vAlign w:val="center"/>
            <w:hideMark/>
          </w:tcPr>
          <w:p w14:paraId="4D44A568" w14:textId="52021E93"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16</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4</w:t>
            </w:r>
          </w:p>
        </w:tc>
        <w:tc>
          <w:tcPr>
            <w:tcW w:w="856" w:type="dxa"/>
            <w:tcBorders>
              <w:top w:val="nil"/>
              <w:left w:val="nil"/>
              <w:bottom w:val="single" w:sz="4" w:space="0" w:color="auto"/>
              <w:right w:val="single" w:sz="4" w:space="0" w:color="auto"/>
            </w:tcBorders>
            <w:vAlign w:val="center"/>
            <w:hideMark/>
          </w:tcPr>
          <w:p w14:paraId="5D8A6F9B" w14:textId="1BA3D5F2"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7</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6</w:t>
            </w:r>
          </w:p>
        </w:tc>
        <w:tc>
          <w:tcPr>
            <w:tcW w:w="959" w:type="dxa"/>
            <w:tcBorders>
              <w:top w:val="nil"/>
              <w:left w:val="nil"/>
              <w:bottom w:val="single" w:sz="4" w:space="0" w:color="auto"/>
              <w:right w:val="single" w:sz="4" w:space="0" w:color="auto"/>
            </w:tcBorders>
            <w:vAlign w:val="center"/>
            <w:hideMark/>
          </w:tcPr>
          <w:p w14:paraId="22E86B92" w14:textId="08B65FE3"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2</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6</w:t>
            </w:r>
          </w:p>
        </w:tc>
        <w:tc>
          <w:tcPr>
            <w:tcW w:w="1450" w:type="dxa"/>
            <w:tcBorders>
              <w:top w:val="nil"/>
              <w:left w:val="nil"/>
              <w:bottom w:val="single" w:sz="4" w:space="0" w:color="auto"/>
              <w:right w:val="single" w:sz="4" w:space="0" w:color="auto"/>
            </w:tcBorders>
            <w:vAlign w:val="center"/>
            <w:hideMark/>
          </w:tcPr>
          <w:p w14:paraId="497386D9" w14:textId="155C884E"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0</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4</w:t>
            </w:r>
          </w:p>
        </w:tc>
        <w:tc>
          <w:tcPr>
            <w:tcW w:w="1231" w:type="dxa"/>
            <w:tcBorders>
              <w:top w:val="nil"/>
              <w:left w:val="nil"/>
              <w:bottom w:val="single" w:sz="4" w:space="0" w:color="auto"/>
              <w:right w:val="single" w:sz="4" w:space="0" w:color="auto"/>
            </w:tcBorders>
            <w:vAlign w:val="center"/>
            <w:hideMark/>
          </w:tcPr>
          <w:p w14:paraId="7008FF42" w14:textId="4B9A8B3E"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7</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5</w:t>
            </w:r>
          </w:p>
        </w:tc>
        <w:tc>
          <w:tcPr>
            <w:tcW w:w="817" w:type="dxa"/>
            <w:tcBorders>
              <w:top w:val="nil"/>
              <w:left w:val="nil"/>
              <w:bottom w:val="single" w:sz="4" w:space="0" w:color="auto"/>
              <w:right w:val="single" w:sz="4" w:space="0" w:color="auto"/>
            </w:tcBorders>
            <w:vAlign w:val="center"/>
            <w:hideMark/>
          </w:tcPr>
          <w:p w14:paraId="24356B4F" w14:textId="0981E884"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4</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3</w:t>
            </w:r>
          </w:p>
        </w:tc>
        <w:tc>
          <w:tcPr>
            <w:tcW w:w="1074" w:type="dxa"/>
            <w:tcBorders>
              <w:top w:val="nil"/>
              <w:left w:val="nil"/>
              <w:bottom w:val="single" w:sz="4" w:space="0" w:color="auto"/>
              <w:right w:val="single" w:sz="4" w:space="0" w:color="auto"/>
            </w:tcBorders>
            <w:vAlign w:val="center"/>
            <w:hideMark/>
          </w:tcPr>
          <w:p w14:paraId="30627191" w14:textId="6907117A"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45</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8</w:t>
            </w:r>
          </w:p>
        </w:tc>
        <w:tc>
          <w:tcPr>
            <w:tcW w:w="958" w:type="dxa"/>
            <w:tcBorders>
              <w:top w:val="nil"/>
              <w:left w:val="nil"/>
              <w:bottom w:val="single" w:sz="4" w:space="0" w:color="auto"/>
              <w:right w:val="single" w:sz="4" w:space="0" w:color="auto"/>
            </w:tcBorders>
            <w:vAlign w:val="center"/>
            <w:hideMark/>
          </w:tcPr>
          <w:p w14:paraId="4BABA689" w14:textId="72C58324"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15</w:t>
            </w:r>
            <w:r w:rsidR="00974BB4">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0</w:t>
            </w:r>
          </w:p>
        </w:tc>
        <w:tc>
          <w:tcPr>
            <w:tcW w:w="919" w:type="dxa"/>
            <w:tcBorders>
              <w:top w:val="nil"/>
              <w:left w:val="nil"/>
              <w:bottom w:val="single" w:sz="4" w:space="0" w:color="auto"/>
              <w:right w:val="single" w:sz="4" w:space="0" w:color="auto"/>
            </w:tcBorders>
            <w:vAlign w:val="center"/>
            <w:hideMark/>
          </w:tcPr>
          <w:p w14:paraId="1320ADF7" w14:textId="17A7D37D"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15</w:t>
            </w:r>
            <w:r w:rsidR="00974BB4">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7</w:t>
            </w:r>
          </w:p>
        </w:tc>
        <w:tc>
          <w:tcPr>
            <w:tcW w:w="1074" w:type="dxa"/>
            <w:tcBorders>
              <w:top w:val="nil"/>
              <w:left w:val="nil"/>
              <w:bottom w:val="single" w:sz="4" w:space="0" w:color="auto"/>
              <w:right w:val="single" w:sz="4" w:space="0" w:color="auto"/>
            </w:tcBorders>
            <w:vAlign w:val="center"/>
            <w:hideMark/>
          </w:tcPr>
          <w:p w14:paraId="67BE8830" w14:textId="49A0EE01"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23</w:t>
            </w:r>
            <w:r w:rsidR="00974BB4">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5</w:t>
            </w:r>
          </w:p>
        </w:tc>
        <w:tc>
          <w:tcPr>
            <w:tcW w:w="1074" w:type="dxa"/>
            <w:tcBorders>
              <w:top w:val="nil"/>
              <w:left w:val="nil"/>
              <w:bottom w:val="single" w:sz="4" w:space="0" w:color="auto"/>
              <w:right w:val="single" w:sz="4" w:space="0" w:color="auto"/>
            </w:tcBorders>
            <w:vAlign w:val="center"/>
            <w:hideMark/>
          </w:tcPr>
          <w:p w14:paraId="137B80C4" w14:textId="21AC7A89" w:rsidR="00A21177" w:rsidRPr="00A21177" w:rsidRDefault="00A21177" w:rsidP="00A21177">
            <w:pPr>
              <w:spacing w:after="0" w:line="240" w:lineRule="auto"/>
              <w:jc w:val="center"/>
              <w:rPr>
                <w:rFonts w:ascii="Aptos" w:eastAsia="Times New Roman" w:hAnsi="Aptos" w:cs="Times New Roman"/>
                <w:color w:val="000000"/>
                <w:kern w:val="0"/>
                <w:szCs w:val="24"/>
                <w:lang w:eastAsia="en-IN"/>
                <w14:ligatures w14:val="none"/>
              </w:rPr>
            </w:pPr>
          </w:p>
        </w:tc>
      </w:tr>
      <w:tr w:rsidR="00A21177" w:rsidRPr="00A21177" w14:paraId="293AFC4C" w14:textId="77777777" w:rsidTr="00C91D91">
        <w:trPr>
          <w:trHeight w:val="20"/>
        </w:trPr>
        <w:tc>
          <w:tcPr>
            <w:tcW w:w="1360" w:type="dxa"/>
            <w:tcBorders>
              <w:top w:val="nil"/>
              <w:left w:val="single" w:sz="4" w:space="0" w:color="auto"/>
              <w:bottom w:val="single" w:sz="4" w:space="0" w:color="auto"/>
              <w:right w:val="single" w:sz="4" w:space="0" w:color="auto"/>
            </w:tcBorders>
            <w:vAlign w:val="center"/>
            <w:hideMark/>
          </w:tcPr>
          <w:p w14:paraId="3458EEF1"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Bihar</w:t>
            </w:r>
          </w:p>
        </w:tc>
        <w:tc>
          <w:tcPr>
            <w:tcW w:w="1463" w:type="dxa"/>
            <w:tcBorders>
              <w:top w:val="nil"/>
              <w:left w:val="nil"/>
              <w:bottom w:val="single" w:sz="4" w:space="0" w:color="auto"/>
              <w:right w:val="single" w:sz="4" w:space="0" w:color="auto"/>
            </w:tcBorders>
            <w:vAlign w:val="center"/>
            <w:hideMark/>
          </w:tcPr>
          <w:p w14:paraId="52D3587C"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40</w:t>
            </w:r>
          </w:p>
        </w:tc>
        <w:tc>
          <w:tcPr>
            <w:tcW w:w="1075" w:type="dxa"/>
            <w:tcBorders>
              <w:top w:val="nil"/>
              <w:left w:val="nil"/>
              <w:bottom w:val="single" w:sz="4" w:space="0" w:color="auto"/>
              <w:right w:val="single" w:sz="4" w:space="0" w:color="auto"/>
            </w:tcBorders>
            <w:vAlign w:val="center"/>
            <w:hideMark/>
          </w:tcPr>
          <w:p w14:paraId="10F66B16"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159</w:t>
            </w:r>
          </w:p>
        </w:tc>
        <w:tc>
          <w:tcPr>
            <w:tcW w:w="856" w:type="dxa"/>
            <w:tcBorders>
              <w:top w:val="nil"/>
              <w:left w:val="nil"/>
              <w:bottom w:val="single" w:sz="4" w:space="0" w:color="auto"/>
              <w:right w:val="single" w:sz="4" w:space="0" w:color="auto"/>
            </w:tcBorders>
            <w:vAlign w:val="center"/>
            <w:hideMark/>
          </w:tcPr>
          <w:p w14:paraId="5876DCE5"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580</w:t>
            </w:r>
          </w:p>
        </w:tc>
        <w:tc>
          <w:tcPr>
            <w:tcW w:w="959" w:type="dxa"/>
            <w:tcBorders>
              <w:top w:val="nil"/>
              <w:left w:val="nil"/>
              <w:bottom w:val="single" w:sz="4" w:space="0" w:color="auto"/>
              <w:right w:val="single" w:sz="4" w:space="0" w:color="auto"/>
            </w:tcBorders>
            <w:vAlign w:val="center"/>
            <w:hideMark/>
          </w:tcPr>
          <w:p w14:paraId="630515FB"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257</w:t>
            </w:r>
          </w:p>
        </w:tc>
        <w:tc>
          <w:tcPr>
            <w:tcW w:w="1450" w:type="dxa"/>
            <w:tcBorders>
              <w:top w:val="nil"/>
              <w:left w:val="nil"/>
              <w:bottom w:val="single" w:sz="4" w:space="0" w:color="auto"/>
              <w:right w:val="single" w:sz="4" w:space="0" w:color="auto"/>
            </w:tcBorders>
            <w:vAlign w:val="center"/>
            <w:hideMark/>
          </w:tcPr>
          <w:p w14:paraId="55292163"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70</w:t>
            </w:r>
          </w:p>
        </w:tc>
        <w:tc>
          <w:tcPr>
            <w:tcW w:w="1231" w:type="dxa"/>
            <w:tcBorders>
              <w:top w:val="nil"/>
              <w:left w:val="nil"/>
              <w:bottom w:val="single" w:sz="4" w:space="0" w:color="auto"/>
              <w:right w:val="single" w:sz="4" w:space="0" w:color="auto"/>
            </w:tcBorders>
            <w:vAlign w:val="center"/>
            <w:hideMark/>
          </w:tcPr>
          <w:p w14:paraId="25F2BFB0"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335</w:t>
            </w:r>
          </w:p>
        </w:tc>
        <w:tc>
          <w:tcPr>
            <w:tcW w:w="817" w:type="dxa"/>
            <w:tcBorders>
              <w:top w:val="nil"/>
              <w:left w:val="nil"/>
              <w:bottom w:val="single" w:sz="4" w:space="0" w:color="auto"/>
              <w:right w:val="single" w:sz="4" w:space="0" w:color="auto"/>
            </w:tcBorders>
            <w:vAlign w:val="center"/>
            <w:hideMark/>
          </w:tcPr>
          <w:p w14:paraId="6CB08BEA"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67</w:t>
            </w:r>
          </w:p>
        </w:tc>
        <w:tc>
          <w:tcPr>
            <w:tcW w:w="1074" w:type="dxa"/>
            <w:tcBorders>
              <w:top w:val="nil"/>
              <w:left w:val="nil"/>
              <w:bottom w:val="single" w:sz="4" w:space="0" w:color="auto"/>
              <w:right w:val="single" w:sz="4" w:space="0" w:color="auto"/>
            </w:tcBorders>
            <w:vAlign w:val="center"/>
            <w:hideMark/>
          </w:tcPr>
          <w:p w14:paraId="4BF48D10"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1508</w:t>
            </w:r>
          </w:p>
        </w:tc>
        <w:tc>
          <w:tcPr>
            <w:tcW w:w="958" w:type="dxa"/>
            <w:tcBorders>
              <w:top w:val="nil"/>
              <w:left w:val="nil"/>
              <w:bottom w:val="single" w:sz="4" w:space="0" w:color="auto"/>
              <w:right w:val="single" w:sz="4" w:space="0" w:color="auto"/>
            </w:tcBorders>
            <w:vAlign w:val="center"/>
            <w:hideMark/>
          </w:tcPr>
          <w:p w14:paraId="7FD47ECB"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631</w:t>
            </w:r>
          </w:p>
        </w:tc>
        <w:tc>
          <w:tcPr>
            <w:tcW w:w="919" w:type="dxa"/>
            <w:tcBorders>
              <w:top w:val="nil"/>
              <w:left w:val="nil"/>
              <w:bottom w:val="single" w:sz="4" w:space="0" w:color="auto"/>
              <w:right w:val="single" w:sz="4" w:space="0" w:color="auto"/>
            </w:tcBorders>
            <w:vAlign w:val="center"/>
            <w:hideMark/>
          </w:tcPr>
          <w:p w14:paraId="161125BD"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207</w:t>
            </w:r>
          </w:p>
        </w:tc>
        <w:tc>
          <w:tcPr>
            <w:tcW w:w="1074" w:type="dxa"/>
            <w:tcBorders>
              <w:top w:val="nil"/>
              <w:left w:val="nil"/>
              <w:bottom w:val="single" w:sz="4" w:space="0" w:color="auto"/>
              <w:right w:val="single" w:sz="4" w:space="0" w:color="auto"/>
            </w:tcBorders>
            <w:vAlign w:val="center"/>
            <w:hideMark/>
          </w:tcPr>
          <w:p w14:paraId="2AE17E08"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483</w:t>
            </w:r>
          </w:p>
        </w:tc>
        <w:tc>
          <w:tcPr>
            <w:tcW w:w="1074" w:type="dxa"/>
            <w:tcBorders>
              <w:top w:val="nil"/>
              <w:left w:val="nil"/>
              <w:bottom w:val="single" w:sz="4" w:space="0" w:color="auto"/>
              <w:right w:val="single" w:sz="4" w:space="0" w:color="auto"/>
            </w:tcBorders>
            <w:vAlign w:val="center"/>
            <w:hideMark/>
          </w:tcPr>
          <w:p w14:paraId="27ACBF7E"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2829</w:t>
            </w:r>
          </w:p>
        </w:tc>
      </w:tr>
      <w:tr w:rsidR="00A21177" w:rsidRPr="00A21177" w14:paraId="3879F383" w14:textId="77777777" w:rsidTr="00C91D91">
        <w:trPr>
          <w:trHeight w:val="20"/>
        </w:trPr>
        <w:tc>
          <w:tcPr>
            <w:tcW w:w="1360" w:type="dxa"/>
            <w:tcBorders>
              <w:top w:val="nil"/>
              <w:left w:val="single" w:sz="4" w:space="0" w:color="auto"/>
              <w:bottom w:val="single" w:sz="4" w:space="0" w:color="auto"/>
              <w:right w:val="single" w:sz="4" w:space="0" w:color="auto"/>
            </w:tcBorders>
            <w:vAlign w:val="center"/>
            <w:hideMark/>
          </w:tcPr>
          <w:p w14:paraId="56EDB9F0" w14:textId="70E5A6A5" w:rsidR="00A21177" w:rsidRPr="00A21177" w:rsidRDefault="00A21177" w:rsidP="00A21177">
            <w:pPr>
              <w:spacing w:after="0" w:line="240" w:lineRule="auto"/>
              <w:jc w:val="center"/>
              <w:rPr>
                <w:rFonts w:ascii="Aptos" w:eastAsia="Times New Roman" w:hAnsi="Aptos" w:cs="Times New Roman"/>
                <w:color w:val="000000"/>
                <w:kern w:val="0"/>
                <w:szCs w:val="24"/>
                <w:lang w:eastAsia="en-IN"/>
                <w14:ligatures w14:val="none"/>
              </w:rPr>
            </w:pPr>
          </w:p>
        </w:tc>
        <w:tc>
          <w:tcPr>
            <w:tcW w:w="1463" w:type="dxa"/>
            <w:tcBorders>
              <w:top w:val="nil"/>
              <w:left w:val="nil"/>
              <w:bottom w:val="single" w:sz="4" w:space="0" w:color="auto"/>
              <w:right w:val="single" w:sz="4" w:space="0" w:color="auto"/>
            </w:tcBorders>
            <w:vAlign w:val="center"/>
            <w:hideMark/>
          </w:tcPr>
          <w:p w14:paraId="79030D37" w14:textId="4E04EC36"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1</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4</w:t>
            </w:r>
          </w:p>
        </w:tc>
        <w:tc>
          <w:tcPr>
            <w:tcW w:w="1075" w:type="dxa"/>
            <w:tcBorders>
              <w:top w:val="nil"/>
              <w:left w:val="nil"/>
              <w:bottom w:val="single" w:sz="4" w:space="0" w:color="auto"/>
              <w:right w:val="single" w:sz="4" w:space="0" w:color="auto"/>
            </w:tcBorders>
            <w:vAlign w:val="center"/>
            <w:hideMark/>
          </w:tcPr>
          <w:p w14:paraId="051EFFCE" w14:textId="7AC93DC0"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5</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6</w:t>
            </w:r>
          </w:p>
        </w:tc>
        <w:tc>
          <w:tcPr>
            <w:tcW w:w="856" w:type="dxa"/>
            <w:tcBorders>
              <w:top w:val="nil"/>
              <w:left w:val="nil"/>
              <w:bottom w:val="single" w:sz="4" w:space="0" w:color="auto"/>
              <w:right w:val="single" w:sz="4" w:space="0" w:color="auto"/>
            </w:tcBorders>
            <w:vAlign w:val="center"/>
            <w:hideMark/>
          </w:tcPr>
          <w:p w14:paraId="11482907" w14:textId="53926494"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20</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5</w:t>
            </w:r>
          </w:p>
        </w:tc>
        <w:tc>
          <w:tcPr>
            <w:tcW w:w="959" w:type="dxa"/>
            <w:tcBorders>
              <w:top w:val="nil"/>
              <w:left w:val="nil"/>
              <w:bottom w:val="single" w:sz="4" w:space="0" w:color="auto"/>
              <w:right w:val="single" w:sz="4" w:space="0" w:color="auto"/>
            </w:tcBorders>
            <w:vAlign w:val="center"/>
            <w:hideMark/>
          </w:tcPr>
          <w:p w14:paraId="185AA4F2" w14:textId="4941E338"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9</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1</w:t>
            </w:r>
          </w:p>
        </w:tc>
        <w:tc>
          <w:tcPr>
            <w:tcW w:w="1450" w:type="dxa"/>
            <w:tcBorders>
              <w:top w:val="nil"/>
              <w:left w:val="nil"/>
              <w:bottom w:val="single" w:sz="4" w:space="0" w:color="auto"/>
              <w:right w:val="single" w:sz="4" w:space="0" w:color="auto"/>
            </w:tcBorders>
            <w:vAlign w:val="center"/>
            <w:hideMark/>
          </w:tcPr>
          <w:p w14:paraId="6876A29E" w14:textId="23B3EF1A"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2</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5</w:t>
            </w:r>
          </w:p>
        </w:tc>
        <w:tc>
          <w:tcPr>
            <w:tcW w:w="1231" w:type="dxa"/>
            <w:tcBorders>
              <w:top w:val="nil"/>
              <w:left w:val="nil"/>
              <w:bottom w:val="single" w:sz="4" w:space="0" w:color="auto"/>
              <w:right w:val="single" w:sz="4" w:space="0" w:color="auto"/>
            </w:tcBorders>
            <w:vAlign w:val="center"/>
            <w:hideMark/>
          </w:tcPr>
          <w:p w14:paraId="2A4964E9" w14:textId="6434E6CF"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11</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8</w:t>
            </w:r>
          </w:p>
        </w:tc>
        <w:tc>
          <w:tcPr>
            <w:tcW w:w="817" w:type="dxa"/>
            <w:tcBorders>
              <w:top w:val="nil"/>
              <w:left w:val="nil"/>
              <w:bottom w:val="single" w:sz="4" w:space="0" w:color="auto"/>
              <w:right w:val="single" w:sz="4" w:space="0" w:color="auto"/>
            </w:tcBorders>
            <w:vAlign w:val="center"/>
            <w:hideMark/>
          </w:tcPr>
          <w:p w14:paraId="5CB10C7E" w14:textId="3F5665ED"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2</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4</w:t>
            </w:r>
          </w:p>
        </w:tc>
        <w:tc>
          <w:tcPr>
            <w:tcW w:w="1074" w:type="dxa"/>
            <w:tcBorders>
              <w:top w:val="nil"/>
              <w:left w:val="nil"/>
              <w:bottom w:val="single" w:sz="4" w:space="0" w:color="auto"/>
              <w:right w:val="single" w:sz="4" w:space="0" w:color="auto"/>
            </w:tcBorders>
            <w:vAlign w:val="center"/>
            <w:hideMark/>
          </w:tcPr>
          <w:p w14:paraId="0F39336A" w14:textId="72E659C9"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53</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3</w:t>
            </w:r>
          </w:p>
        </w:tc>
        <w:tc>
          <w:tcPr>
            <w:tcW w:w="958" w:type="dxa"/>
            <w:tcBorders>
              <w:top w:val="nil"/>
              <w:left w:val="nil"/>
              <w:bottom w:val="single" w:sz="4" w:space="0" w:color="auto"/>
              <w:right w:val="single" w:sz="4" w:space="0" w:color="auto"/>
            </w:tcBorders>
            <w:vAlign w:val="center"/>
            <w:hideMark/>
          </w:tcPr>
          <w:p w14:paraId="207623BB" w14:textId="55086513"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22</w:t>
            </w:r>
            <w:r w:rsidR="00974BB4">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3</w:t>
            </w:r>
          </w:p>
        </w:tc>
        <w:tc>
          <w:tcPr>
            <w:tcW w:w="919" w:type="dxa"/>
            <w:tcBorders>
              <w:top w:val="nil"/>
              <w:left w:val="nil"/>
              <w:bottom w:val="single" w:sz="4" w:space="0" w:color="auto"/>
              <w:right w:val="single" w:sz="4" w:space="0" w:color="auto"/>
            </w:tcBorders>
            <w:vAlign w:val="center"/>
            <w:hideMark/>
          </w:tcPr>
          <w:p w14:paraId="6F457594" w14:textId="0596615B"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7</w:t>
            </w:r>
            <w:r w:rsidR="00974BB4">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3</w:t>
            </w:r>
          </w:p>
        </w:tc>
        <w:tc>
          <w:tcPr>
            <w:tcW w:w="1074" w:type="dxa"/>
            <w:tcBorders>
              <w:top w:val="nil"/>
              <w:left w:val="nil"/>
              <w:bottom w:val="single" w:sz="4" w:space="0" w:color="auto"/>
              <w:right w:val="single" w:sz="4" w:space="0" w:color="auto"/>
            </w:tcBorders>
            <w:vAlign w:val="center"/>
            <w:hideMark/>
          </w:tcPr>
          <w:p w14:paraId="56BC94E4" w14:textId="101744F2"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17</w:t>
            </w:r>
            <w:r w:rsidR="00974BB4">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1</w:t>
            </w:r>
          </w:p>
        </w:tc>
        <w:tc>
          <w:tcPr>
            <w:tcW w:w="1074" w:type="dxa"/>
            <w:tcBorders>
              <w:top w:val="nil"/>
              <w:left w:val="nil"/>
              <w:bottom w:val="single" w:sz="4" w:space="0" w:color="auto"/>
              <w:right w:val="single" w:sz="4" w:space="0" w:color="auto"/>
            </w:tcBorders>
            <w:vAlign w:val="center"/>
            <w:hideMark/>
          </w:tcPr>
          <w:p w14:paraId="1BA8DED9" w14:textId="3536EFB8" w:rsidR="00A21177" w:rsidRPr="00A21177" w:rsidRDefault="00A21177" w:rsidP="00A21177">
            <w:pPr>
              <w:spacing w:after="0" w:line="240" w:lineRule="auto"/>
              <w:jc w:val="center"/>
              <w:rPr>
                <w:rFonts w:ascii="Aptos" w:eastAsia="Times New Roman" w:hAnsi="Aptos" w:cs="Times New Roman"/>
                <w:color w:val="000000"/>
                <w:kern w:val="0"/>
                <w:szCs w:val="24"/>
                <w:lang w:eastAsia="en-IN"/>
                <w14:ligatures w14:val="none"/>
              </w:rPr>
            </w:pPr>
          </w:p>
        </w:tc>
      </w:tr>
      <w:tr w:rsidR="00A21177" w:rsidRPr="00A21177" w14:paraId="5F189053" w14:textId="77777777" w:rsidTr="00C91D91">
        <w:trPr>
          <w:trHeight w:val="20"/>
        </w:trPr>
        <w:tc>
          <w:tcPr>
            <w:tcW w:w="1360" w:type="dxa"/>
            <w:tcBorders>
              <w:top w:val="nil"/>
              <w:left w:val="single" w:sz="4" w:space="0" w:color="auto"/>
              <w:bottom w:val="single" w:sz="4" w:space="0" w:color="auto"/>
              <w:right w:val="single" w:sz="4" w:space="0" w:color="auto"/>
            </w:tcBorders>
            <w:vAlign w:val="center"/>
            <w:hideMark/>
          </w:tcPr>
          <w:p w14:paraId="397FC9C6"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Bombay</w:t>
            </w:r>
          </w:p>
        </w:tc>
        <w:tc>
          <w:tcPr>
            <w:tcW w:w="1463" w:type="dxa"/>
            <w:tcBorders>
              <w:top w:val="nil"/>
              <w:left w:val="nil"/>
              <w:bottom w:val="single" w:sz="4" w:space="0" w:color="auto"/>
              <w:right w:val="single" w:sz="4" w:space="0" w:color="auto"/>
            </w:tcBorders>
            <w:vAlign w:val="center"/>
            <w:hideMark/>
          </w:tcPr>
          <w:p w14:paraId="766C7AF5"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w:t>
            </w:r>
          </w:p>
        </w:tc>
        <w:tc>
          <w:tcPr>
            <w:tcW w:w="1075" w:type="dxa"/>
            <w:tcBorders>
              <w:top w:val="nil"/>
              <w:left w:val="nil"/>
              <w:bottom w:val="single" w:sz="4" w:space="0" w:color="auto"/>
              <w:right w:val="single" w:sz="4" w:space="0" w:color="auto"/>
            </w:tcBorders>
            <w:vAlign w:val="center"/>
            <w:hideMark/>
          </w:tcPr>
          <w:p w14:paraId="3AB5F487"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761</w:t>
            </w:r>
          </w:p>
        </w:tc>
        <w:tc>
          <w:tcPr>
            <w:tcW w:w="856" w:type="dxa"/>
            <w:tcBorders>
              <w:top w:val="nil"/>
              <w:left w:val="nil"/>
              <w:bottom w:val="single" w:sz="4" w:space="0" w:color="auto"/>
              <w:right w:val="single" w:sz="4" w:space="0" w:color="auto"/>
            </w:tcBorders>
            <w:vAlign w:val="center"/>
            <w:hideMark/>
          </w:tcPr>
          <w:p w14:paraId="7172ABB1"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107</w:t>
            </w:r>
          </w:p>
        </w:tc>
        <w:tc>
          <w:tcPr>
            <w:tcW w:w="959" w:type="dxa"/>
            <w:tcBorders>
              <w:top w:val="nil"/>
              <w:left w:val="nil"/>
              <w:bottom w:val="single" w:sz="4" w:space="0" w:color="auto"/>
              <w:right w:val="single" w:sz="4" w:space="0" w:color="auto"/>
            </w:tcBorders>
            <w:vAlign w:val="center"/>
            <w:hideMark/>
          </w:tcPr>
          <w:p w14:paraId="57319E89"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436</w:t>
            </w:r>
          </w:p>
        </w:tc>
        <w:tc>
          <w:tcPr>
            <w:tcW w:w="1450" w:type="dxa"/>
            <w:tcBorders>
              <w:top w:val="nil"/>
              <w:left w:val="nil"/>
              <w:bottom w:val="single" w:sz="4" w:space="0" w:color="auto"/>
              <w:right w:val="single" w:sz="4" w:space="0" w:color="auto"/>
            </w:tcBorders>
            <w:vAlign w:val="center"/>
            <w:hideMark/>
          </w:tcPr>
          <w:p w14:paraId="259BC3B7"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32</w:t>
            </w:r>
          </w:p>
        </w:tc>
        <w:tc>
          <w:tcPr>
            <w:tcW w:w="1231" w:type="dxa"/>
            <w:tcBorders>
              <w:top w:val="nil"/>
              <w:left w:val="nil"/>
              <w:bottom w:val="single" w:sz="4" w:space="0" w:color="auto"/>
              <w:right w:val="single" w:sz="4" w:space="0" w:color="auto"/>
            </w:tcBorders>
            <w:vAlign w:val="center"/>
            <w:hideMark/>
          </w:tcPr>
          <w:p w14:paraId="63B00411"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1472</w:t>
            </w:r>
          </w:p>
        </w:tc>
        <w:tc>
          <w:tcPr>
            <w:tcW w:w="817" w:type="dxa"/>
            <w:tcBorders>
              <w:top w:val="nil"/>
              <w:left w:val="nil"/>
              <w:bottom w:val="single" w:sz="4" w:space="0" w:color="auto"/>
              <w:right w:val="single" w:sz="4" w:space="0" w:color="auto"/>
            </w:tcBorders>
            <w:vAlign w:val="center"/>
            <w:hideMark/>
          </w:tcPr>
          <w:p w14:paraId="7298F00A"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935</w:t>
            </w:r>
          </w:p>
        </w:tc>
        <w:tc>
          <w:tcPr>
            <w:tcW w:w="1074" w:type="dxa"/>
            <w:tcBorders>
              <w:top w:val="nil"/>
              <w:left w:val="nil"/>
              <w:bottom w:val="single" w:sz="4" w:space="0" w:color="auto"/>
              <w:right w:val="single" w:sz="4" w:space="0" w:color="auto"/>
            </w:tcBorders>
            <w:vAlign w:val="center"/>
            <w:hideMark/>
          </w:tcPr>
          <w:p w14:paraId="703DB71A"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3743</w:t>
            </w:r>
          </w:p>
        </w:tc>
        <w:tc>
          <w:tcPr>
            <w:tcW w:w="958" w:type="dxa"/>
            <w:tcBorders>
              <w:top w:val="nil"/>
              <w:left w:val="nil"/>
              <w:bottom w:val="single" w:sz="4" w:space="0" w:color="auto"/>
              <w:right w:val="single" w:sz="4" w:space="0" w:color="auto"/>
            </w:tcBorders>
            <w:vAlign w:val="center"/>
            <w:hideMark/>
          </w:tcPr>
          <w:p w14:paraId="0AA649DF"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1060</w:t>
            </w:r>
          </w:p>
        </w:tc>
        <w:tc>
          <w:tcPr>
            <w:tcW w:w="919" w:type="dxa"/>
            <w:tcBorders>
              <w:top w:val="nil"/>
              <w:left w:val="nil"/>
              <w:bottom w:val="single" w:sz="4" w:space="0" w:color="auto"/>
              <w:right w:val="single" w:sz="4" w:space="0" w:color="auto"/>
            </w:tcBorders>
            <w:vAlign w:val="center"/>
            <w:hideMark/>
          </w:tcPr>
          <w:p w14:paraId="286CB95E"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145</w:t>
            </w:r>
          </w:p>
        </w:tc>
        <w:tc>
          <w:tcPr>
            <w:tcW w:w="1074" w:type="dxa"/>
            <w:tcBorders>
              <w:top w:val="nil"/>
              <w:left w:val="nil"/>
              <w:bottom w:val="single" w:sz="4" w:space="0" w:color="auto"/>
              <w:right w:val="single" w:sz="4" w:space="0" w:color="auto"/>
            </w:tcBorders>
            <w:vAlign w:val="center"/>
            <w:hideMark/>
          </w:tcPr>
          <w:p w14:paraId="6E101E51"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1555</w:t>
            </w:r>
          </w:p>
        </w:tc>
        <w:tc>
          <w:tcPr>
            <w:tcW w:w="1074" w:type="dxa"/>
            <w:tcBorders>
              <w:top w:val="nil"/>
              <w:left w:val="nil"/>
              <w:bottom w:val="single" w:sz="4" w:space="0" w:color="auto"/>
              <w:right w:val="single" w:sz="4" w:space="0" w:color="auto"/>
            </w:tcBorders>
            <w:vAlign w:val="center"/>
            <w:hideMark/>
          </w:tcPr>
          <w:p w14:paraId="7B67FB17"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6503</w:t>
            </w:r>
          </w:p>
        </w:tc>
      </w:tr>
      <w:tr w:rsidR="00A21177" w:rsidRPr="00A21177" w14:paraId="64FFCE86" w14:textId="77777777" w:rsidTr="00C91D91">
        <w:trPr>
          <w:trHeight w:val="20"/>
        </w:trPr>
        <w:tc>
          <w:tcPr>
            <w:tcW w:w="1360" w:type="dxa"/>
            <w:tcBorders>
              <w:top w:val="nil"/>
              <w:left w:val="single" w:sz="4" w:space="0" w:color="auto"/>
              <w:bottom w:val="single" w:sz="4" w:space="0" w:color="auto"/>
              <w:right w:val="single" w:sz="4" w:space="0" w:color="auto"/>
            </w:tcBorders>
            <w:vAlign w:val="center"/>
            <w:hideMark/>
          </w:tcPr>
          <w:p w14:paraId="4C659A71" w14:textId="17972F5A" w:rsidR="00A21177" w:rsidRPr="00A21177" w:rsidRDefault="00A21177" w:rsidP="00A21177">
            <w:pPr>
              <w:spacing w:after="0" w:line="240" w:lineRule="auto"/>
              <w:jc w:val="center"/>
              <w:rPr>
                <w:rFonts w:ascii="Aptos" w:eastAsia="Times New Roman" w:hAnsi="Aptos" w:cs="Times New Roman"/>
                <w:color w:val="000000"/>
                <w:kern w:val="0"/>
                <w:szCs w:val="24"/>
                <w:lang w:eastAsia="en-IN"/>
                <w14:ligatures w14:val="none"/>
              </w:rPr>
            </w:pPr>
          </w:p>
        </w:tc>
        <w:tc>
          <w:tcPr>
            <w:tcW w:w="1463" w:type="dxa"/>
            <w:tcBorders>
              <w:top w:val="nil"/>
              <w:left w:val="nil"/>
              <w:bottom w:val="single" w:sz="4" w:space="0" w:color="auto"/>
              <w:right w:val="single" w:sz="4" w:space="0" w:color="auto"/>
            </w:tcBorders>
            <w:vAlign w:val="center"/>
            <w:hideMark/>
          </w:tcPr>
          <w:p w14:paraId="70E2B62B" w14:textId="1E004A71" w:rsidR="00A21177" w:rsidRPr="00A21177" w:rsidRDefault="00A21177" w:rsidP="00A21177">
            <w:pPr>
              <w:spacing w:after="0" w:line="240" w:lineRule="auto"/>
              <w:jc w:val="center"/>
              <w:rPr>
                <w:rFonts w:ascii="Aptos" w:eastAsia="Times New Roman" w:hAnsi="Aptos" w:cs="Times New Roman"/>
                <w:color w:val="000000"/>
                <w:kern w:val="0"/>
                <w:szCs w:val="24"/>
                <w:lang w:eastAsia="en-IN"/>
                <w14:ligatures w14:val="none"/>
              </w:rPr>
            </w:pPr>
          </w:p>
        </w:tc>
        <w:tc>
          <w:tcPr>
            <w:tcW w:w="1075" w:type="dxa"/>
            <w:tcBorders>
              <w:top w:val="nil"/>
              <w:left w:val="nil"/>
              <w:bottom w:val="single" w:sz="4" w:space="0" w:color="auto"/>
              <w:right w:val="single" w:sz="4" w:space="0" w:color="auto"/>
            </w:tcBorders>
            <w:vAlign w:val="center"/>
            <w:hideMark/>
          </w:tcPr>
          <w:p w14:paraId="447376A6" w14:textId="2A7D6EC4"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11</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7</w:t>
            </w:r>
          </w:p>
        </w:tc>
        <w:tc>
          <w:tcPr>
            <w:tcW w:w="856" w:type="dxa"/>
            <w:tcBorders>
              <w:top w:val="nil"/>
              <w:left w:val="nil"/>
              <w:bottom w:val="single" w:sz="4" w:space="0" w:color="auto"/>
              <w:right w:val="single" w:sz="4" w:space="0" w:color="auto"/>
            </w:tcBorders>
            <w:vAlign w:val="center"/>
            <w:hideMark/>
          </w:tcPr>
          <w:p w14:paraId="1C9B8EDB" w14:textId="769267A7"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1</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6</w:t>
            </w:r>
          </w:p>
        </w:tc>
        <w:tc>
          <w:tcPr>
            <w:tcW w:w="959" w:type="dxa"/>
            <w:tcBorders>
              <w:top w:val="nil"/>
              <w:left w:val="nil"/>
              <w:bottom w:val="single" w:sz="4" w:space="0" w:color="auto"/>
              <w:right w:val="single" w:sz="4" w:space="0" w:color="auto"/>
            </w:tcBorders>
            <w:vAlign w:val="center"/>
            <w:hideMark/>
          </w:tcPr>
          <w:p w14:paraId="16C42527" w14:textId="1FB3595A"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6</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7</w:t>
            </w:r>
          </w:p>
        </w:tc>
        <w:tc>
          <w:tcPr>
            <w:tcW w:w="1450" w:type="dxa"/>
            <w:tcBorders>
              <w:top w:val="nil"/>
              <w:left w:val="nil"/>
              <w:bottom w:val="single" w:sz="4" w:space="0" w:color="auto"/>
              <w:right w:val="single" w:sz="4" w:space="0" w:color="auto"/>
            </w:tcBorders>
            <w:vAlign w:val="center"/>
            <w:hideMark/>
          </w:tcPr>
          <w:p w14:paraId="7DD2087B" w14:textId="1A5E0D6E"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0</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5</w:t>
            </w:r>
          </w:p>
        </w:tc>
        <w:tc>
          <w:tcPr>
            <w:tcW w:w="1231" w:type="dxa"/>
            <w:tcBorders>
              <w:top w:val="nil"/>
              <w:left w:val="nil"/>
              <w:bottom w:val="single" w:sz="4" w:space="0" w:color="auto"/>
              <w:right w:val="single" w:sz="4" w:space="0" w:color="auto"/>
            </w:tcBorders>
            <w:vAlign w:val="center"/>
            <w:hideMark/>
          </w:tcPr>
          <w:p w14:paraId="7D9C432D" w14:textId="57AD64E9"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22</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6</w:t>
            </w:r>
          </w:p>
        </w:tc>
        <w:tc>
          <w:tcPr>
            <w:tcW w:w="817" w:type="dxa"/>
            <w:tcBorders>
              <w:top w:val="nil"/>
              <w:left w:val="nil"/>
              <w:bottom w:val="single" w:sz="4" w:space="0" w:color="auto"/>
              <w:right w:val="single" w:sz="4" w:space="0" w:color="auto"/>
            </w:tcBorders>
            <w:vAlign w:val="center"/>
            <w:hideMark/>
          </w:tcPr>
          <w:p w14:paraId="6ECA1626" w14:textId="0852DABA"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14</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4</w:t>
            </w:r>
          </w:p>
        </w:tc>
        <w:tc>
          <w:tcPr>
            <w:tcW w:w="1074" w:type="dxa"/>
            <w:tcBorders>
              <w:top w:val="nil"/>
              <w:left w:val="nil"/>
              <w:bottom w:val="single" w:sz="4" w:space="0" w:color="auto"/>
              <w:right w:val="single" w:sz="4" w:space="0" w:color="auto"/>
            </w:tcBorders>
            <w:vAlign w:val="center"/>
            <w:hideMark/>
          </w:tcPr>
          <w:p w14:paraId="59C092EF" w14:textId="0D3E0837"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57</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6</w:t>
            </w:r>
          </w:p>
        </w:tc>
        <w:tc>
          <w:tcPr>
            <w:tcW w:w="958" w:type="dxa"/>
            <w:tcBorders>
              <w:top w:val="nil"/>
              <w:left w:val="nil"/>
              <w:bottom w:val="single" w:sz="4" w:space="0" w:color="auto"/>
              <w:right w:val="single" w:sz="4" w:space="0" w:color="auto"/>
            </w:tcBorders>
            <w:vAlign w:val="center"/>
            <w:hideMark/>
          </w:tcPr>
          <w:p w14:paraId="4BD1C0A7" w14:textId="3E1A77BF"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16·</w:t>
            </w:r>
            <w:r w:rsidR="00974BB4">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3</w:t>
            </w:r>
          </w:p>
        </w:tc>
        <w:tc>
          <w:tcPr>
            <w:tcW w:w="919" w:type="dxa"/>
            <w:tcBorders>
              <w:top w:val="nil"/>
              <w:left w:val="nil"/>
              <w:bottom w:val="single" w:sz="4" w:space="0" w:color="auto"/>
              <w:right w:val="single" w:sz="4" w:space="0" w:color="auto"/>
            </w:tcBorders>
            <w:vAlign w:val="center"/>
            <w:hideMark/>
          </w:tcPr>
          <w:p w14:paraId="48D89ABD" w14:textId="26E04104"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2</w:t>
            </w:r>
            <w:r w:rsidR="00974BB4">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2</w:t>
            </w:r>
          </w:p>
        </w:tc>
        <w:tc>
          <w:tcPr>
            <w:tcW w:w="1074" w:type="dxa"/>
            <w:tcBorders>
              <w:top w:val="nil"/>
              <w:left w:val="nil"/>
              <w:bottom w:val="single" w:sz="4" w:space="0" w:color="auto"/>
              <w:right w:val="single" w:sz="4" w:space="0" w:color="auto"/>
            </w:tcBorders>
            <w:vAlign w:val="center"/>
            <w:hideMark/>
          </w:tcPr>
          <w:p w14:paraId="38B516DB" w14:textId="4FD94107"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23</w:t>
            </w:r>
            <w:r w:rsidR="00974BB4">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9</w:t>
            </w:r>
          </w:p>
        </w:tc>
        <w:tc>
          <w:tcPr>
            <w:tcW w:w="1074" w:type="dxa"/>
            <w:tcBorders>
              <w:top w:val="nil"/>
              <w:left w:val="nil"/>
              <w:bottom w:val="single" w:sz="4" w:space="0" w:color="auto"/>
              <w:right w:val="single" w:sz="4" w:space="0" w:color="auto"/>
            </w:tcBorders>
            <w:vAlign w:val="center"/>
            <w:hideMark/>
          </w:tcPr>
          <w:p w14:paraId="163AB35E" w14:textId="0C34941D" w:rsidR="00A21177" w:rsidRPr="00A21177" w:rsidRDefault="00A21177" w:rsidP="00A21177">
            <w:pPr>
              <w:spacing w:after="0" w:line="240" w:lineRule="auto"/>
              <w:jc w:val="center"/>
              <w:rPr>
                <w:rFonts w:ascii="Aptos" w:eastAsia="Times New Roman" w:hAnsi="Aptos" w:cs="Times New Roman"/>
                <w:color w:val="000000"/>
                <w:kern w:val="0"/>
                <w:szCs w:val="24"/>
                <w:lang w:eastAsia="en-IN"/>
                <w14:ligatures w14:val="none"/>
              </w:rPr>
            </w:pPr>
          </w:p>
        </w:tc>
      </w:tr>
      <w:tr w:rsidR="00A21177" w:rsidRPr="00A21177" w14:paraId="3FAAD465" w14:textId="77777777" w:rsidTr="00C91D91">
        <w:trPr>
          <w:trHeight w:val="20"/>
        </w:trPr>
        <w:tc>
          <w:tcPr>
            <w:tcW w:w="1360" w:type="dxa"/>
            <w:tcBorders>
              <w:top w:val="nil"/>
              <w:left w:val="single" w:sz="4" w:space="0" w:color="auto"/>
              <w:bottom w:val="single" w:sz="4" w:space="0" w:color="auto"/>
              <w:right w:val="single" w:sz="4" w:space="0" w:color="auto"/>
            </w:tcBorders>
            <w:vAlign w:val="center"/>
            <w:hideMark/>
          </w:tcPr>
          <w:p w14:paraId="44A2DF6B"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Madhya Pradesh</w:t>
            </w:r>
          </w:p>
        </w:tc>
        <w:tc>
          <w:tcPr>
            <w:tcW w:w="1463" w:type="dxa"/>
            <w:tcBorders>
              <w:top w:val="nil"/>
              <w:left w:val="nil"/>
              <w:bottom w:val="single" w:sz="4" w:space="0" w:color="auto"/>
              <w:right w:val="single" w:sz="4" w:space="0" w:color="auto"/>
            </w:tcBorders>
            <w:vAlign w:val="center"/>
            <w:hideMark/>
          </w:tcPr>
          <w:p w14:paraId="3761E590"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w:t>
            </w:r>
          </w:p>
        </w:tc>
        <w:tc>
          <w:tcPr>
            <w:tcW w:w="1075" w:type="dxa"/>
            <w:tcBorders>
              <w:top w:val="nil"/>
              <w:left w:val="nil"/>
              <w:bottom w:val="single" w:sz="4" w:space="0" w:color="auto"/>
              <w:right w:val="single" w:sz="4" w:space="0" w:color="auto"/>
            </w:tcBorders>
            <w:vAlign w:val="center"/>
            <w:hideMark/>
          </w:tcPr>
          <w:p w14:paraId="41B0890C"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456</w:t>
            </w:r>
          </w:p>
        </w:tc>
        <w:tc>
          <w:tcPr>
            <w:tcW w:w="856" w:type="dxa"/>
            <w:tcBorders>
              <w:top w:val="nil"/>
              <w:left w:val="nil"/>
              <w:bottom w:val="single" w:sz="4" w:space="0" w:color="auto"/>
              <w:right w:val="single" w:sz="4" w:space="0" w:color="auto"/>
            </w:tcBorders>
            <w:vAlign w:val="center"/>
            <w:hideMark/>
          </w:tcPr>
          <w:p w14:paraId="2C8672FE"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223</w:t>
            </w:r>
          </w:p>
        </w:tc>
        <w:tc>
          <w:tcPr>
            <w:tcW w:w="959" w:type="dxa"/>
            <w:tcBorders>
              <w:top w:val="nil"/>
              <w:left w:val="nil"/>
              <w:bottom w:val="single" w:sz="4" w:space="0" w:color="auto"/>
              <w:right w:val="single" w:sz="4" w:space="0" w:color="auto"/>
            </w:tcBorders>
            <w:vAlign w:val="center"/>
            <w:hideMark/>
          </w:tcPr>
          <w:p w14:paraId="3CF647C0"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107</w:t>
            </w:r>
          </w:p>
        </w:tc>
        <w:tc>
          <w:tcPr>
            <w:tcW w:w="1450" w:type="dxa"/>
            <w:tcBorders>
              <w:top w:val="nil"/>
              <w:left w:val="nil"/>
              <w:bottom w:val="single" w:sz="4" w:space="0" w:color="auto"/>
              <w:right w:val="single" w:sz="4" w:space="0" w:color="auto"/>
            </w:tcBorders>
            <w:vAlign w:val="center"/>
            <w:hideMark/>
          </w:tcPr>
          <w:p w14:paraId="4F2B638C"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25</w:t>
            </w:r>
          </w:p>
        </w:tc>
        <w:tc>
          <w:tcPr>
            <w:tcW w:w="1231" w:type="dxa"/>
            <w:tcBorders>
              <w:top w:val="nil"/>
              <w:left w:val="nil"/>
              <w:bottom w:val="single" w:sz="4" w:space="0" w:color="auto"/>
              <w:right w:val="single" w:sz="4" w:space="0" w:color="auto"/>
            </w:tcBorders>
            <w:vAlign w:val="center"/>
            <w:hideMark/>
          </w:tcPr>
          <w:p w14:paraId="4E96C0AF"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198</w:t>
            </w:r>
          </w:p>
        </w:tc>
        <w:tc>
          <w:tcPr>
            <w:tcW w:w="817" w:type="dxa"/>
            <w:tcBorders>
              <w:top w:val="nil"/>
              <w:left w:val="nil"/>
              <w:bottom w:val="single" w:sz="4" w:space="0" w:color="auto"/>
              <w:right w:val="single" w:sz="4" w:space="0" w:color="auto"/>
            </w:tcBorders>
            <w:vAlign w:val="center"/>
            <w:hideMark/>
          </w:tcPr>
          <w:p w14:paraId="086AD6B7"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83</w:t>
            </w:r>
          </w:p>
        </w:tc>
        <w:tc>
          <w:tcPr>
            <w:tcW w:w="1074" w:type="dxa"/>
            <w:tcBorders>
              <w:top w:val="nil"/>
              <w:left w:val="nil"/>
              <w:bottom w:val="single" w:sz="4" w:space="0" w:color="auto"/>
              <w:right w:val="single" w:sz="4" w:space="0" w:color="auto"/>
            </w:tcBorders>
            <w:vAlign w:val="center"/>
            <w:hideMark/>
          </w:tcPr>
          <w:p w14:paraId="05BBD57E"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1092</w:t>
            </w:r>
          </w:p>
        </w:tc>
        <w:tc>
          <w:tcPr>
            <w:tcW w:w="958" w:type="dxa"/>
            <w:tcBorders>
              <w:top w:val="nil"/>
              <w:left w:val="nil"/>
              <w:bottom w:val="single" w:sz="4" w:space="0" w:color="auto"/>
              <w:right w:val="single" w:sz="4" w:space="0" w:color="auto"/>
            </w:tcBorders>
            <w:vAlign w:val="center"/>
            <w:hideMark/>
          </w:tcPr>
          <w:p w14:paraId="11FA004B"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303</w:t>
            </w:r>
          </w:p>
        </w:tc>
        <w:tc>
          <w:tcPr>
            <w:tcW w:w="919" w:type="dxa"/>
            <w:tcBorders>
              <w:top w:val="nil"/>
              <w:left w:val="nil"/>
              <w:bottom w:val="single" w:sz="4" w:space="0" w:color="auto"/>
              <w:right w:val="single" w:sz="4" w:space="0" w:color="auto"/>
            </w:tcBorders>
            <w:vAlign w:val="center"/>
            <w:hideMark/>
          </w:tcPr>
          <w:p w14:paraId="3EE9F598"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69</w:t>
            </w:r>
          </w:p>
        </w:tc>
        <w:tc>
          <w:tcPr>
            <w:tcW w:w="1074" w:type="dxa"/>
            <w:tcBorders>
              <w:top w:val="nil"/>
              <w:left w:val="nil"/>
              <w:bottom w:val="single" w:sz="4" w:space="0" w:color="auto"/>
              <w:right w:val="single" w:sz="4" w:space="0" w:color="auto"/>
            </w:tcBorders>
            <w:vAlign w:val="center"/>
            <w:hideMark/>
          </w:tcPr>
          <w:p w14:paraId="307F9279"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636</w:t>
            </w:r>
          </w:p>
        </w:tc>
        <w:tc>
          <w:tcPr>
            <w:tcW w:w="1074" w:type="dxa"/>
            <w:tcBorders>
              <w:top w:val="nil"/>
              <w:left w:val="nil"/>
              <w:bottom w:val="single" w:sz="4" w:space="0" w:color="auto"/>
              <w:right w:val="single" w:sz="4" w:space="0" w:color="auto"/>
            </w:tcBorders>
            <w:vAlign w:val="center"/>
            <w:hideMark/>
          </w:tcPr>
          <w:p w14:paraId="29230606"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2100</w:t>
            </w:r>
          </w:p>
        </w:tc>
      </w:tr>
      <w:tr w:rsidR="00A21177" w:rsidRPr="00A21177" w14:paraId="6F518BBB" w14:textId="77777777" w:rsidTr="00C91D91">
        <w:trPr>
          <w:trHeight w:val="20"/>
        </w:trPr>
        <w:tc>
          <w:tcPr>
            <w:tcW w:w="1360" w:type="dxa"/>
            <w:tcBorders>
              <w:top w:val="nil"/>
              <w:left w:val="single" w:sz="4" w:space="0" w:color="auto"/>
              <w:bottom w:val="single" w:sz="4" w:space="0" w:color="auto"/>
              <w:right w:val="single" w:sz="4" w:space="0" w:color="auto"/>
            </w:tcBorders>
            <w:vAlign w:val="center"/>
            <w:hideMark/>
          </w:tcPr>
          <w:p w14:paraId="17A2F3B8" w14:textId="5822E5D0" w:rsidR="00A21177" w:rsidRPr="00A21177" w:rsidRDefault="00A21177" w:rsidP="00A21177">
            <w:pPr>
              <w:spacing w:after="0" w:line="240" w:lineRule="auto"/>
              <w:jc w:val="center"/>
              <w:rPr>
                <w:rFonts w:ascii="Aptos" w:eastAsia="Times New Roman" w:hAnsi="Aptos" w:cs="Times New Roman"/>
                <w:color w:val="000000"/>
                <w:kern w:val="0"/>
                <w:szCs w:val="24"/>
                <w:lang w:eastAsia="en-IN"/>
                <w14:ligatures w14:val="none"/>
              </w:rPr>
            </w:pPr>
          </w:p>
        </w:tc>
        <w:tc>
          <w:tcPr>
            <w:tcW w:w="1463" w:type="dxa"/>
            <w:tcBorders>
              <w:top w:val="nil"/>
              <w:left w:val="nil"/>
              <w:bottom w:val="single" w:sz="4" w:space="0" w:color="auto"/>
              <w:right w:val="single" w:sz="4" w:space="0" w:color="auto"/>
            </w:tcBorders>
            <w:vAlign w:val="center"/>
            <w:hideMark/>
          </w:tcPr>
          <w:p w14:paraId="616CA931" w14:textId="4DD74F21" w:rsidR="00A21177" w:rsidRPr="00A21177" w:rsidRDefault="00A21177" w:rsidP="00A21177">
            <w:pPr>
              <w:spacing w:after="0" w:line="240" w:lineRule="auto"/>
              <w:jc w:val="center"/>
              <w:rPr>
                <w:rFonts w:ascii="Aptos" w:eastAsia="Times New Roman" w:hAnsi="Aptos" w:cs="Times New Roman"/>
                <w:color w:val="000000"/>
                <w:kern w:val="0"/>
                <w:szCs w:val="24"/>
                <w:lang w:eastAsia="en-IN"/>
                <w14:ligatures w14:val="none"/>
              </w:rPr>
            </w:pPr>
          </w:p>
        </w:tc>
        <w:tc>
          <w:tcPr>
            <w:tcW w:w="1075" w:type="dxa"/>
            <w:tcBorders>
              <w:top w:val="nil"/>
              <w:left w:val="nil"/>
              <w:bottom w:val="single" w:sz="4" w:space="0" w:color="auto"/>
              <w:right w:val="single" w:sz="4" w:space="0" w:color="auto"/>
            </w:tcBorders>
            <w:vAlign w:val="center"/>
            <w:hideMark/>
          </w:tcPr>
          <w:p w14:paraId="20A3A45B" w14:textId="427ED95B"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21</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7</w:t>
            </w:r>
          </w:p>
        </w:tc>
        <w:tc>
          <w:tcPr>
            <w:tcW w:w="856" w:type="dxa"/>
            <w:tcBorders>
              <w:top w:val="nil"/>
              <w:left w:val="nil"/>
              <w:bottom w:val="single" w:sz="4" w:space="0" w:color="auto"/>
              <w:right w:val="single" w:sz="4" w:space="0" w:color="auto"/>
            </w:tcBorders>
            <w:vAlign w:val="center"/>
            <w:hideMark/>
          </w:tcPr>
          <w:p w14:paraId="40E4EB95" w14:textId="221769D5"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10</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6</w:t>
            </w:r>
          </w:p>
        </w:tc>
        <w:tc>
          <w:tcPr>
            <w:tcW w:w="959" w:type="dxa"/>
            <w:tcBorders>
              <w:top w:val="nil"/>
              <w:left w:val="nil"/>
              <w:bottom w:val="single" w:sz="4" w:space="0" w:color="auto"/>
              <w:right w:val="single" w:sz="4" w:space="0" w:color="auto"/>
            </w:tcBorders>
            <w:vAlign w:val="center"/>
            <w:hideMark/>
          </w:tcPr>
          <w:p w14:paraId="292E99A2" w14:textId="0C2B246A"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5</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1</w:t>
            </w:r>
          </w:p>
        </w:tc>
        <w:tc>
          <w:tcPr>
            <w:tcW w:w="1450" w:type="dxa"/>
            <w:tcBorders>
              <w:top w:val="nil"/>
              <w:left w:val="nil"/>
              <w:bottom w:val="single" w:sz="4" w:space="0" w:color="auto"/>
              <w:right w:val="single" w:sz="4" w:space="0" w:color="auto"/>
            </w:tcBorders>
            <w:vAlign w:val="center"/>
            <w:hideMark/>
          </w:tcPr>
          <w:p w14:paraId="7BC8A1E8" w14:textId="238F9AEB"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1</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2</w:t>
            </w:r>
          </w:p>
        </w:tc>
        <w:tc>
          <w:tcPr>
            <w:tcW w:w="1231" w:type="dxa"/>
            <w:tcBorders>
              <w:top w:val="nil"/>
              <w:left w:val="nil"/>
              <w:bottom w:val="single" w:sz="4" w:space="0" w:color="auto"/>
              <w:right w:val="single" w:sz="4" w:space="0" w:color="auto"/>
            </w:tcBorders>
            <w:vAlign w:val="center"/>
            <w:hideMark/>
          </w:tcPr>
          <w:p w14:paraId="5AF83B1D" w14:textId="0BE777ED"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9</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4</w:t>
            </w:r>
          </w:p>
        </w:tc>
        <w:tc>
          <w:tcPr>
            <w:tcW w:w="817" w:type="dxa"/>
            <w:tcBorders>
              <w:top w:val="nil"/>
              <w:left w:val="nil"/>
              <w:bottom w:val="single" w:sz="4" w:space="0" w:color="auto"/>
              <w:right w:val="single" w:sz="4" w:space="0" w:color="auto"/>
            </w:tcBorders>
            <w:vAlign w:val="center"/>
            <w:hideMark/>
          </w:tcPr>
          <w:p w14:paraId="0000AEDE" w14:textId="560DCC84"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4</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0</w:t>
            </w:r>
          </w:p>
        </w:tc>
        <w:tc>
          <w:tcPr>
            <w:tcW w:w="1074" w:type="dxa"/>
            <w:tcBorders>
              <w:top w:val="nil"/>
              <w:left w:val="nil"/>
              <w:bottom w:val="single" w:sz="4" w:space="0" w:color="auto"/>
              <w:right w:val="single" w:sz="4" w:space="0" w:color="auto"/>
            </w:tcBorders>
            <w:vAlign w:val="center"/>
            <w:hideMark/>
          </w:tcPr>
          <w:p w14:paraId="35411A45" w14:textId="3AA5A670"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52</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0</w:t>
            </w:r>
          </w:p>
        </w:tc>
        <w:tc>
          <w:tcPr>
            <w:tcW w:w="958" w:type="dxa"/>
            <w:tcBorders>
              <w:top w:val="nil"/>
              <w:left w:val="nil"/>
              <w:bottom w:val="single" w:sz="4" w:space="0" w:color="auto"/>
              <w:right w:val="single" w:sz="4" w:space="0" w:color="auto"/>
            </w:tcBorders>
            <w:vAlign w:val="center"/>
            <w:hideMark/>
          </w:tcPr>
          <w:p w14:paraId="1D999592" w14:textId="386293DD"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14</w:t>
            </w:r>
            <w:r w:rsidR="00974BB4">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4</w:t>
            </w:r>
          </w:p>
        </w:tc>
        <w:tc>
          <w:tcPr>
            <w:tcW w:w="919" w:type="dxa"/>
            <w:tcBorders>
              <w:top w:val="nil"/>
              <w:left w:val="nil"/>
              <w:bottom w:val="single" w:sz="4" w:space="0" w:color="auto"/>
              <w:right w:val="single" w:sz="4" w:space="0" w:color="auto"/>
            </w:tcBorders>
            <w:vAlign w:val="center"/>
            <w:hideMark/>
          </w:tcPr>
          <w:p w14:paraId="280BD4C3" w14:textId="0276266C"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3</w:t>
            </w:r>
            <w:r w:rsidR="00974BB4">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3</w:t>
            </w:r>
          </w:p>
        </w:tc>
        <w:tc>
          <w:tcPr>
            <w:tcW w:w="1074" w:type="dxa"/>
            <w:tcBorders>
              <w:top w:val="nil"/>
              <w:left w:val="nil"/>
              <w:bottom w:val="single" w:sz="4" w:space="0" w:color="auto"/>
              <w:right w:val="single" w:sz="4" w:space="0" w:color="auto"/>
            </w:tcBorders>
            <w:vAlign w:val="center"/>
            <w:hideMark/>
          </w:tcPr>
          <w:p w14:paraId="68EE04B2" w14:textId="1789397F"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30</w:t>
            </w:r>
            <w:r w:rsidR="00974BB4">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3</w:t>
            </w:r>
          </w:p>
        </w:tc>
        <w:tc>
          <w:tcPr>
            <w:tcW w:w="1074" w:type="dxa"/>
            <w:tcBorders>
              <w:top w:val="nil"/>
              <w:left w:val="nil"/>
              <w:bottom w:val="single" w:sz="4" w:space="0" w:color="auto"/>
              <w:right w:val="single" w:sz="4" w:space="0" w:color="auto"/>
            </w:tcBorders>
            <w:vAlign w:val="center"/>
            <w:hideMark/>
          </w:tcPr>
          <w:p w14:paraId="0E3701ED" w14:textId="58037469" w:rsidR="00A21177" w:rsidRPr="00A21177" w:rsidRDefault="00A21177" w:rsidP="00A21177">
            <w:pPr>
              <w:spacing w:after="0" w:line="240" w:lineRule="auto"/>
              <w:jc w:val="center"/>
              <w:rPr>
                <w:rFonts w:ascii="Aptos" w:eastAsia="Times New Roman" w:hAnsi="Aptos" w:cs="Times New Roman"/>
                <w:color w:val="000000"/>
                <w:kern w:val="0"/>
                <w:szCs w:val="24"/>
                <w:lang w:eastAsia="en-IN"/>
                <w14:ligatures w14:val="none"/>
              </w:rPr>
            </w:pPr>
          </w:p>
        </w:tc>
      </w:tr>
      <w:tr w:rsidR="00A21177" w:rsidRPr="00A21177" w14:paraId="041DF6D3" w14:textId="77777777" w:rsidTr="00C91D91">
        <w:trPr>
          <w:trHeight w:val="20"/>
        </w:trPr>
        <w:tc>
          <w:tcPr>
            <w:tcW w:w="1360" w:type="dxa"/>
            <w:tcBorders>
              <w:top w:val="nil"/>
              <w:left w:val="single" w:sz="4" w:space="0" w:color="auto"/>
              <w:bottom w:val="single" w:sz="4" w:space="0" w:color="auto"/>
              <w:right w:val="single" w:sz="4" w:space="0" w:color="auto"/>
            </w:tcBorders>
            <w:vAlign w:val="center"/>
            <w:hideMark/>
          </w:tcPr>
          <w:p w14:paraId="266A6C56"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Madras</w:t>
            </w:r>
          </w:p>
        </w:tc>
        <w:tc>
          <w:tcPr>
            <w:tcW w:w="1463" w:type="dxa"/>
            <w:tcBorders>
              <w:top w:val="nil"/>
              <w:left w:val="nil"/>
              <w:bottom w:val="single" w:sz="4" w:space="0" w:color="auto"/>
              <w:right w:val="single" w:sz="4" w:space="0" w:color="auto"/>
            </w:tcBorders>
            <w:vAlign w:val="center"/>
            <w:hideMark/>
          </w:tcPr>
          <w:p w14:paraId="5BCAEC31"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w:t>
            </w:r>
          </w:p>
        </w:tc>
        <w:tc>
          <w:tcPr>
            <w:tcW w:w="1075" w:type="dxa"/>
            <w:tcBorders>
              <w:top w:val="nil"/>
              <w:left w:val="nil"/>
              <w:bottom w:val="single" w:sz="4" w:space="0" w:color="auto"/>
              <w:right w:val="single" w:sz="4" w:space="0" w:color="auto"/>
            </w:tcBorders>
            <w:vAlign w:val="center"/>
            <w:hideMark/>
          </w:tcPr>
          <w:p w14:paraId="12D4028C"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913</w:t>
            </w:r>
          </w:p>
        </w:tc>
        <w:tc>
          <w:tcPr>
            <w:tcW w:w="856" w:type="dxa"/>
            <w:tcBorders>
              <w:top w:val="nil"/>
              <w:left w:val="nil"/>
              <w:bottom w:val="single" w:sz="4" w:space="0" w:color="auto"/>
              <w:right w:val="single" w:sz="4" w:space="0" w:color="auto"/>
            </w:tcBorders>
            <w:vAlign w:val="center"/>
            <w:hideMark/>
          </w:tcPr>
          <w:p w14:paraId="6A727A2A"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49</w:t>
            </w:r>
          </w:p>
        </w:tc>
        <w:tc>
          <w:tcPr>
            <w:tcW w:w="959" w:type="dxa"/>
            <w:tcBorders>
              <w:top w:val="nil"/>
              <w:left w:val="nil"/>
              <w:bottom w:val="single" w:sz="4" w:space="0" w:color="auto"/>
              <w:right w:val="single" w:sz="4" w:space="0" w:color="auto"/>
            </w:tcBorders>
            <w:vAlign w:val="center"/>
            <w:hideMark/>
          </w:tcPr>
          <w:p w14:paraId="44C59E22"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475</w:t>
            </w:r>
          </w:p>
        </w:tc>
        <w:tc>
          <w:tcPr>
            <w:tcW w:w="1450" w:type="dxa"/>
            <w:tcBorders>
              <w:top w:val="nil"/>
              <w:left w:val="nil"/>
              <w:bottom w:val="single" w:sz="4" w:space="0" w:color="auto"/>
              <w:right w:val="single" w:sz="4" w:space="0" w:color="auto"/>
            </w:tcBorders>
            <w:vAlign w:val="center"/>
            <w:hideMark/>
          </w:tcPr>
          <w:p w14:paraId="6C50685F"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120</w:t>
            </w:r>
          </w:p>
        </w:tc>
        <w:tc>
          <w:tcPr>
            <w:tcW w:w="1231" w:type="dxa"/>
            <w:tcBorders>
              <w:top w:val="nil"/>
              <w:left w:val="nil"/>
              <w:bottom w:val="single" w:sz="4" w:space="0" w:color="auto"/>
              <w:right w:val="single" w:sz="4" w:space="0" w:color="auto"/>
            </w:tcBorders>
            <w:vAlign w:val="center"/>
            <w:hideMark/>
          </w:tcPr>
          <w:p w14:paraId="63C10589"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1595</w:t>
            </w:r>
          </w:p>
        </w:tc>
        <w:tc>
          <w:tcPr>
            <w:tcW w:w="817" w:type="dxa"/>
            <w:tcBorders>
              <w:top w:val="nil"/>
              <w:left w:val="nil"/>
              <w:bottom w:val="single" w:sz="4" w:space="0" w:color="auto"/>
              <w:right w:val="single" w:sz="4" w:space="0" w:color="auto"/>
            </w:tcBorders>
            <w:vAlign w:val="center"/>
            <w:hideMark/>
          </w:tcPr>
          <w:p w14:paraId="7EFE50E0"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711</w:t>
            </w:r>
          </w:p>
        </w:tc>
        <w:tc>
          <w:tcPr>
            <w:tcW w:w="1074" w:type="dxa"/>
            <w:tcBorders>
              <w:top w:val="nil"/>
              <w:left w:val="nil"/>
              <w:bottom w:val="single" w:sz="4" w:space="0" w:color="auto"/>
              <w:right w:val="single" w:sz="4" w:space="0" w:color="auto"/>
            </w:tcBorders>
            <w:vAlign w:val="center"/>
            <w:hideMark/>
          </w:tcPr>
          <w:p w14:paraId="7D71A818"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3863</w:t>
            </w:r>
          </w:p>
        </w:tc>
        <w:tc>
          <w:tcPr>
            <w:tcW w:w="958" w:type="dxa"/>
            <w:tcBorders>
              <w:top w:val="nil"/>
              <w:left w:val="nil"/>
              <w:bottom w:val="single" w:sz="4" w:space="0" w:color="auto"/>
              <w:right w:val="single" w:sz="4" w:space="0" w:color="auto"/>
            </w:tcBorders>
            <w:vAlign w:val="center"/>
            <w:hideMark/>
          </w:tcPr>
          <w:p w14:paraId="0C4A9157"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883</w:t>
            </w:r>
          </w:p>
        </w:tc>
        <w:tc>
          <w:tcPr>
            <w:tcW w:w="919" w:type="dxa"/>
            <w:tcBorders>
              <w:top w:val="nil"/>
              <w:left w:val="nil"/>
              <w:bottom w:val="single" w:sz="4" w:space="0" w:color="auto"/>
              <w:right w:val="single" w:sz="4" w:space="0" w:color="auto"/>
            </w:tcBorders>
            <w:vAlign w:val="center"/>
            <w:hideMark/>
          </w:tcPr>
          <w:p w14:paraId="23B66A62"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50</w:t>
            </w:r>
          </w:p>
        </w:tc>
        <w:tc>
          <w:tcPr>
            <w:tcW w:w="1074" w:type="dxa"/>
            <w:tcBorders>
              <w:top w:val="nil"/>
              <w:left w:val="nil"/>
              <w:bottom w:val="single" w:sz="4" w:space="0" w:color="auto"/>
              <w:right w:val="single" w:sz="4" w:space="0" w:color="auto"/>
            </w:tcBorders>
            <w:vAlign w:val="center"/>
            <w:hideMark/>
          </w:tcPr>
          <w:p w14:paraId="281BF8C9"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1650</w:t>
            </w:r>
          </w:p>
        </w:tc>
        <w:tc>
          <w:tcPr>
            <w:tcW w:w="1074" w:type="dxa"/>
            <w:tcBorders>
              <w:top w:val="nil"/>
              <w:left w:val="nil"/>
              <w:bottom w:val="single" w:sz="4" w:space="0" w:color="auto"/>
              <w:right w:val="single" w:sz="4" w:space="0" w:color="auto"/>
            </w:tcBorders>
            <w:vAlign w:val="center"/>
            <w:hideMark/>
          </w:tcPr>
          <w:p w14:paraId="5423FFED"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6446</w:t>
            </w:r>
          </w:p>
        </w:tc>
      </w:tr>
      <w:tr w:rsidR="00A21177" w:rsidRPr="00A21177" w14:paraId="20270EB6" w14:textId="77777777" w:rsidTr="00C91D91">
        <w:trPr>
          <w:trHeight w:val="20"/>
        </w:trPr>
        <w:tc>
          <w:tcPr>
            <w:tcW w:w="1360" w:type="dxa"/>
            <w:tcBorders>
              <w:top w:val="nil"/>
              <w:left w:val="single" w:sz="4" w:space="0" w:color="auto"/>
              <w:bottom w:val="single" w:sz="4" w:space="0" w:color="auto"/>
              <w:right w:val="single" w:sz="4" w:space="0" w:color="auto"/>
            </w:tcBorders>
            <w:vAlign w:val="center"/>
            <w:hideMark/>
          </w:tcPr>
          <w:p w14:paraId="0C92BA52" w14:textId="1795CEAB" w:rsidR="00A21177" w:rsidRPr="00A21177" w:rsidRDefault="00A21177" w:rsidP="00A21177">
            <w:pPr>
              <w:spacing w:after="0" w:line="240" w:lineRule="auto"/>
              <w:jc w:val="center"/>
              <w:rPr>
                <w:rFonts w:ascii="Aptos" w:eastAsia="Times New Roman" w:hAnsi="Aptos" w:cs="Times New Roman"/>
                <w:color w:val="000000"/>
                <w:kern w:val="0"/>
                <w:szCs w:val="24"/>
                <w:lang w:eastAsia="en-IN"/>
                <w14:ligatures w14:val="none"/>
              </w:rPr>
            </w:pPr>
          </w:p>
        </w:tc>
        <w:tc>
          <w:tcPr>
            <w:tcW w:w="1463" w:type="dxa"/>
            <w:tcBorders>
              <w:top w:val="nil"/>
              <w:left w:val="nil"/>
              <w:bottom w:val="single" w:sz="4" w:space="0" w:color="auto"/>
              <w:right w:val="single" w:sz="4" w:space="0" w:color="auto"/>
            </w:tcBorders>
            <w:vAlign w:val="center"/>
            <w:hideMark/>
          </w:tcPr>
          <w:p w14:paraId="7402A212" w14:textId="69262686" w:rsidR="00A21177" w:rsidRPr="00A21177" w:rsidRDefault="00A21177" w:rsidP="00A21177">
            <w:pPr>
              <w:spacing w:after="0" w:line="240" w:lineRule="auto"/>
              <w:jc w:val="center"/>
              <w:rPr>
                <w:rFonts w:ascii="Aptos" w:eastAsia="Times New Roman" w:hAnsi="Aptos" w:cs="Times New Roman"/>
                <w:color w:val="000000"/>
                <w:kern w:val="0"/>
                <w:szCs w:val="24"/>
                <w:lang w:eastAsia="en-IN"/>
                <w14:ligatures w14:val="none"/>
              </w:rPr>
            </w:pPr>
          </w:p>
        </w:tc>
        <w:tc>
          <w:tcPr>
            <w:tcW w:w="1075" w:type="dxa"/>
            <w:tcBorders>
              <w:top w:val="nil"/>
              <w:left w:val="nil"/>
              <w:bottom w:val="single" w:sz="4" w:space="0" w:color="auto"/>
              <w:right w:val="single" w:sz="4" w:space="0" w:color="auto"/>
            </w:tcBorders>
            <w:vAlign w:val="center"/>
            <w:hideMark/>
          </w:tcPr>
          <w:p w14:paraId="241074EB" w14:textId="23ADA59E"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14</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2</w:t>
            </w:r>
          </w:p>
        </w:tc>
        <w:tc>
          <w:tcPr>
            <w:tcW w:w="856" w:type="dxa"/>
            <w:tcBorders>
              <w:top w:val="nil"/>
              <w:left w:val="nil"/>
              <w:bottom w:val="single" w:sz="4" w:space="0" w:color="auto"/>
              <w:right w:val="single" w:sz="4" w:space="0" w:color="auto"/>
            </w:tcBorders>
            <w:vAlign w:val="center"/>
            <w:hideMark/>
          </w:tcPr>
          <w:p w14:paraId="26620FE6" w14:textId="02666490"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0</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8</w:t>
            </w:r>
          </w:p>
        </w:tc>
        <w:tc>
          <w:tcPr>
            <w:tcW w:w="959" w:type="dxa"/>
            <w:tcBorders>
              <w:top w:val="nil"/>
              <w:left w:val="nil"/>
              <w:bottom w:val="single" w:sz="4" w:space="0" w:color="auto"/>
              <w:right w:val="single" w:sz="4" w:space="0" w:color="auto"/>
            </w:tcBorders>
            <w:vAlign w:val="center"/>
            <w:hideMark/>
          </w:tcPr>
          <w:p w14:paraId="1B08AAB2" w14:textId="79171855"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7</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4</w:t>
            </w:r>
          </w:p>
        </w:tc>
        <w:tc>
          <w:tcPr>
            <w:tcW w:w="1450" w:type="dxa"/>
            <w:tcBorders>
              <w:top w:val="nil"/>
              <w:left w:val="nil"/>
              <w:bottom w:val="single" w:sz="4" w:space="0" w:color="auto"/>
              <w:right w:val="single" w:sz="4" w:space="0" w:color="auto"/>
            </w:tcBorders>
            <w:vAlign w:val="center"/>
            <w:hideMark/>
          </w:tcPr>
          <w:p w14:paraId="368934B9" w14:textId="700DD3A1"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1</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9</w:t>
            </w:r>
          </w:p>
        </w:tc>
        <w:tc>
          <w:tcPr>
            <w:tcW w:w="1231" w:type="dxa"/>
            <w:tcBorders>
              <w:top w:val="nil"/>
              <w:left w:val="nil"/>
              <w:bottom w:val="single" w:sz="4" w:space="0" w:color="auto"/>
              <w:right w:val="single" w:sz="4" w:space="0" w:color="auto"/>
            </w:tcBorders>
            <w:vAlign w:val="center"/>
            <w:hideMark/>
          </w:tcPr>
          <w:p w14:paraId="48B870AD" w14:textId="270992DB"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24</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7</w:t>
            </w:r>
          </w:p>
        </w:tc>
        <w:tc>
          <w:tcPr>
            <w:tcW w:w="817" w:type="dxa"/>
            <w:tcBorders>
              <w:top w:val="nil"/>
              <w:left w:val="nil"/>
              <w:bottom w:val="single" w:sz="4" w:space="0" w:color="auto"/>
              <w:right w:val="single" w:sz="4" w:space="0" w:color="auto"/>
            </w:tcBorders>
            <w:vAlign w:val="center"/>
            <w:hideMark/>
          </w:tcPr>
          <w:p w14:paraId="66C78406" w14:textId="4525C658"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11</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0</w:t>
            </w:r>
          </w:p>
        </w:tc>
        <w:tc>
          <w:tcPr>
            <w:tcW w:w="1074" w:type="dxa"/>
            <w:tcBorders>
              <w:top w:val="nil"/>
              <w:left w:val="nil"/>
              <w:bottom w:val="single" w:sz="4" w:space="0" w:color="auto"/>
              <w:right w:val="single" w:sz="4" w:space="0" w:color="auto"/>
            </w:tcBorders>
            <w:vAlign w:val="center"/>
            <w:hideMark/>
          </w:tcPr>
          <w:p w14:paraId="0F20B898" w14:textId="0D6B92C3"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59</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9</w:t>
            </w:r>
          </w:p>
        </w:tc>
        <w:tc>
          <w:tcPr>
            <w:tcW w:w="958" w:type="dxa"/>
            <w:tcBorders>
              <w:top w:val="nil"/>
              <w:left w:val="nil"/>
              <w:bottom w:val="single" w:sz="4" w:space="0" w:color="auto"/>
              <w:right w:val="single" w:sz="4" w:space="0" w:color="auto"/>
            </w:tcBorders>
            <w:vAlign w:val="center"/>
            <w:hideMark/>
          </w:tcPr>
          <w:p w14:paraId="75564D99" w14:textId="0281CE57"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13</w:t>
            </w:r>
            <w:r w:rsidR="00974BB4">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7</w:t>
            </w:r>
          </w:p>
        </w:tc>
        <w:tc>
          <w:tcPr>
            <w:tcW w:w="919" w:type="dxa"/>
            <w:tcBorders>
              <w:top w:val="nil"/>
              <w:left w:val="nil"/>
              <w:bottom w:val="single" w:sz="4" w:space="0" w:color="auto"/>
              <w:right w:val="single" w:sz="4" w:space="0" w:color="auto"/>
            </w:tcBorders>
            <w:vAlign w:val="center"/>
            <w:hideMark/>
          </w:tcPr>
          <w:p w14:paraId="0AEBD122" w14:textId="4245F94F"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0</w:t>
            </w:r>
            <w:r w:rsidR="00974BB4">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8</w:t>
            </w:r>
          </w:p>
        </w:tc>
        <w:tc>
          <w:tcPr>
            <w:tcW w:w="1074" w:type="dxa"/>
            <w:tcBorders>
              <w:top w:val="nil"/>
              <w:left w:val="nil"/>
              <w:bottom w:val="single" w:sz="4" w:space="0" w:color="auto"/>
              <w:right w:val="single" w:sz="4" w:space="0" w:color="auto"/>
            </w:tcBorders>
            <w:vAlign w:val="center"/>
            <w:hideMark/>
          </w:tcPr>
          <w:p w14:paraId="13C2C438" w14:textId="7EACECC5"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25</w:t>
            </w:r>
            <w:r w:rsidR="00974BB4">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6</w:t>
            </w:r>
          </w:p>
        </w:tc>
        <w:tc>
          <w:tcPr>
            <w:tcW w:w="1074" w:type="dxa"/>
            <w:tcBorders>
              <w:top w:val="nil"/>
              <w:left w:val="nil"/>
              <w:bottom w:val="single" w:sz="4" w:space="0" w:color="auto"/>
              <w:right w:val="single" w:sz="4" w:space="0" w:color="auto"/>
            </w:tcBorders>
            <w:vAlign w:val="center"/>
            <w:hideMark/>
          </w:tcPr>
          <w:p w14:paraId="31EE5B08" w14:textId="77A0C98E" w:rsidR="00A21177" w:rsidRPr="00A21177" w:rsidRDefault="00A21177" w:rsidP="00A21177">
            <w:pPr>
              <w:spacing w:after="0" w:line="240" w:lineRule="auto"/>
              <w:jc w:val="center"/>
              <w:rPr>
                <w:rFonts w:ascii="Aptos" w:eastAsia="Times New Roman" w:hAnsi="Aptos" w:cs="Times New Roman"/>
                <w:color w:val="000000"/>
                <w:kern w:val="0"/>
                <w:szCs w:val="24"/>
                <w:lang w:eastAsia="en-IN"/>
                <w14:ligatures w14:val="none"/>
              </w:rPr>
            </w:pPr>
          </w:p>
        </w:tc>
      </w:tr>
      <w:tr w:rsidR="00A21177" w:rsidRPr="00A21177" w14:paraId="44A824D6" w14:textId="77777777" w:rsidTr="00C91D91">
        <w:trPr>
          <w:trHeight w:val="20"/>
        </w:trPr>
        <w:tc>
          <w:tcPr>
            <w:tcW w:w="1360" w:type="dxa"/>
            <w:tcBorders>
              <w:top w:val="nil"/>
              <w:left w:val="single" w:sz="4" w:space="0" w:color="auto"/>
              <w:bottom w:val="single" w:sz="4" w:space="0" w:color="auto"/>
              <w:right w:val="single" w:sz="4" w:space="0" w:color="auto"/>
            </w:tcBorders>
            <w:vAlign w:val="center"/>
            <w:hideMark/>
          </w:tcPr>
          <w:p w14:paraId="156C1690"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Orissa</w:t>
            </w:r>
          </w:p>
        </w:tc>
        <w:tc>
          <w:tcPr>
            <w:tcW w:w="1463" w:type="dxa"/>
            <w:tcBorders>
              <w:top w:val="nil"/>
              <w:left w:val="nil"/>
              <w:bottom w:val="single" w:sz="4" w:space="0" w:color="auto"/>
              <w:right w:val="single" w:sz="4" w:space="0" w:color="auto"/>
            </w:tcBorders>
            <w:vAlign w:val="center"/>
            <w:hideMark/>
          </w:tcPr>
          <w:p w14:paraId="6EAA5FDC"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15</w:t>
            </w:r>
          </w:p>
        </w:tc>
        <w:tc>
          <w:tcPr>
            <w:tcW w:w="1075" w:type="dxa"/>
            <w:tcBorders>
              <w:top w:val="nil"/>
              <w:left w:val="nil"/>
              <w:bottom w:val="single" w:sz="4" w:space="0" w:color="auto"/>
              <w:right w:val="single" w:sz="4" w:space="0" w:color="auto"/>
            </w:tcBorders>
            <w:vAlign w:val="center"/>
            <w:hideMark/>
          </w:tcPr>
          <w:p w14:paraId="192C7B0D"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107</w:t>
            </w:r>
          </w:p>
        </w:tc>
        <w:tc>
          <w:tcPr>
            <w:tcW w:w="856" w:type="dxa"/>
            <w:tcBorders>
              <w:top w:val="nil"/>
              <w:left w:val="nil"/>
              <w:bottom w:val="single" w:sz="4" w:space="0" w:color="auto"/>
              <w:right w:val="single" w:sz="4" w:space="0" w:color="auto"/>
            </w:tcBorders>
            <w:vAlign w:val="center"/>
            <w:hideMark/>
          </w:tcPr>
          <w:p w14:paraId="5A796C93"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167</w:t>
            </w:r>
          </w:p>
        </w:tc>
        <w:tc>
          <w:tcPr>
            <w:tcW w:w="959" w:type="dxa"/>
            <w:tcBorders>
              <w:top w:val="nil"/>
              <w:left w:val="nil"/>
              <w:bottom w:val="single" w:sz="4" w:space="0" w:color="auto"/>
              <w:right w:val="single" w:sz="4" w:space="0" w:color="auto"/>
            </w:tcBorders>
            <w:vAlign w:val="center"/>
            <w:hideMark/>
          </w:tcPr>
          <w:p w14:paraId="7F472ED9"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77</w:t>
            </w:r>
          </w:p>
        </w:tc>
        <w:tc>
          <w:tcPr>
            <w:tcW w:w="1450" w:type="dxa"/>
            <w:tcBorders>
              <w:top w:val="nil"/>
              <w:left w:val="nil"/>
              <w:bottom w:val="single" w:sz="4" w:space="0" w:color="auto"/>
              <w:right w:val="single" w:sz="4" w:space="0" w:color="auto"/>
            </w:tcBorders>
            <w:vAlign w:val="center"/>
            <w:hideMark/>
          </w:tcPr>
          <w:p w14:paraId="68DD26CD"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13</w:t>
            </w:r>
          </w:p>
        </w:tc>
        <w:tc>
          <w:tcPr>
            <w:tcW w:w="1231" w:type="dxa"/>
            <w:tcBorders>
              <w:top w:val="nil"/>
              <w:left w:val="nil"/>
              <w:bottom w:val="single" w:sz="4" w:space="0" w:color="auto"/>
              <w:right w:val="single" w:sz="4" w:space="0" w:color="auto"/>
            </w:tcBorders>
            <w:vAlign w:val="center"/>
            <w:hideMark/>
          </w:tcPr>
          <w:p w14:paraId="07267CF0"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101</w:t>
            </w:r>
          </w:p>
        </w:tc>
        <w:tc>
          <w:tcPr>
            <w:tcW w:w="817" w:type="dxa"/>
            <w:tcBorders>
              <w:top w:val="nil"/>
              <w:left w:val="nil"/>
              <w:bottom w:val="single" w:sz="4" w:space="0" w:color="auto"/>
              <w:right w:val="single" w:sz="4" w:space="0" w:color="auto"/>
            </w:tcBorders>
            <w:vAlign w:val="center"/>
            <w:hideMark/>
          </w:tcPr>
          <w:p w14:paraId="6A93BD54"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17</w:t>
            </w:r>
          </w:p>
        </w:tc>
        <w:tc>
          <w:tcPr>
            <w:tcW w:w="1074" w:type="dxa"/>
            <w:tcBorders>
              <w:top w:val="nil"/>
              <w:left w:val="nil"/>
              <w:bottom w:val="single" w:sz="4" w:space="0" w:color="auto"/>
              <w:right w:val="single" w:sz="4" w:space="0" w:color="auto"/>
            </w:tcBorders>
            <w:vAlign w:val="center"/>
            <w:hideMark/>
          </w:tcPr>
          <w:p w14:paraId="40D33DEC"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496</w:t>
            </w:r>
          </w:p>
        </w:tc>
        <w:tc>
          <w:tcPr>
            <w:tcW w:w="958" w:type="dxa"/>
            <w:tcBorders>
              <w:top w:val="nil"/>
              <w:left w:val="nil"/>
              <w:bottom w:val="single" w:sz="4" w:space="0" w:color="auto"/>
              <w:right w:val="single" w:sz="4" w:space="0" w:color="auto"/>
            </w:tcBorders>
            <w:vAlign w:val="center"/>
            <w:hideMark/>
          </w:tcPr>
          <w:p w14:paraId="02FB4AA0"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151</w:t>
            </w:r>
          </w:p>
        </w:tc>
        <w:tc>
          <w:tcPr>
            <w:tcW w:w="919" w:type="dxa"/>
            <w:tcBorders>
              <w:top w:val="nil"/>
              <w:left w:val="nil"/>
              <w:bottom w:val="single" w:sz="4" w:space="0" w:color="auto"/>
              <w:right w:val="single" w:sz="4" w:space="0" w:color="auto"/>
            </w:tcBorders>
            <w:vAlign w:val="center"/>
            <w:hideMark/>
          </w:tcPr>
          <w:p w14:paraId="7D6A7EF7"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249</w:t>
            </w:r>
          </w:p>
        </w:tc>
        <w:tc>
          <w:tcPr>
            <w:tcW w:w="1074" w:type="dxa"/>
            <w:tcBorders>
              <w:top w:val="nil"/>
              <w:left w:val="nil"/>
              <w:bottom w:val="single" w:sz="4" w:space="0" w:color="auto"/>
              <w:right w:val="single" w:sz="4" w:space="0" w:color="auto"/>
            </w:tcBorders>
            <w:vAlign w:val="center"/>
            <w:hideMark/>
          </w:tcPr>
          <w:p w14:paraId="7995B554"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282</w:t>
            </w:r>
          </w:p>
        </w:tc>
        <w:tc>
          <w:tcPr>
            <w:tcW w:w="1074" w:type="dxa"/>
            <w:tcBorders>
              <w:top w:val="nil"/>
              <w:left w:val="nil"/>
              <w:bottom w:val="single" w:sz="4" w:space="0" w:color="auto"/>
              <w:right w:val="single" w:sz="4" w:space="0" w:color="auto"/>
            </w:tcBorders>
            <w:vAlign w:val="center"/>
            <w:hideMark/>
          </w:tcPr>
          <w:p w14:paraId="7F5A4223"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1178</w:t>
            </w:r>
          </w:p>
        </w:tc>
      </w:tr>
      <w:tr w:rsidR="00A21177" w:rsidRPr="00A21177" w14:paraId="593A9B85" w14:textId="77777777" w:rsidTr="00C91D91">
        <w:trPr>
          <w:trHeight w:val="20"/>
        </w:trPr>
        <w:tc>
          <w:tcPr>
            <w:tcW w:w="1360" w:type="dxa"/>
            <w:tcBorders>
              <w:top w:val="nil"/>
              <w:left w:val="single" w:sz="4" w:space="0" w:color="auto"/>
              <w:bottom w:val="single" w:sz="4" w:space="0" w:color="auto"/>
              <w:right w:val="single" w:sz="4" w:space="0" w:color="auto"/>
            </w:tcBorders>
            <w:vAlign w:val="center"/>
            <w:hideMark/>
          </w:tcPr>
          <w:p w14:paraId="019A03C8" w14:textId="6E61357C" w:rsidR="00A21177" w:rsidRPr="00A21177" w:rsidRDefault="00A21177" w:rsidP="00A21177">
            <w:pPr>
              <w:spacing w:after="0" w:line="240" w:lineRule="auto"/>
              <w:jc w:val="center"/>
              <w:rPr>
                <w:rFonts w:ascii="Aptos" w:eastAsia="Times New Roman" w:hAnsi="Aptos" w:cs="Times New Roman"/>
                <w:color w:val="000000"/>
                <w:kern w:val="0"/>
                <w:szCs w:val="24"/>
                <w:lang w:eastAsia="en-IN"/>
                <w14:ligatures w14:val="none"/>
              </w:rPr>
            </w:pPr>
          </w:p>
        </w:tc>
        <w:tc>
          <w:tcPr>
            <w:tcW w:w="1463" w:type="dxa"/>
            <w:tcBorders>
              <w:top w:val="nil"/>
              <w:left w:val="nil"/>
              <w:bottom w:val="single" w:sz="4" w:space="0" w:color="auto"/>
              <w:right w:val="single" w:sz="4" w:space="0" w:color="auto"/>
            </w:tcBorders>
            <w:vAlign w:val="center"/>
            <w:hideMark/>
          </w:tcPr>
          <w:p w14:paraId="0C8FC190" w14:textId="08E64D28"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1</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3</w:t>
            </w:r>
          </w:p>
        </w:tc>
        <w:tc>
          <w:tcPr>
            <w:tcW w:w="1075" w:type="dxa"/>
            <w:tcBorders>
              <w:top w:val="nil"/>
              <w:left w:val="nil"/>
              <w:bottom w:val="single" w:sz="4" w:space="0" w:color="auto"/>
              <w:right w:val="single" w:sz="4" w:space="0" w:color="auto"/>
            </w:tcBorders>
            <w:vAlign w:val="center"/>
            <w:hideMark/>
          </w:tcPr>
          <w:p w14:paraId="020163BF" w14:textId="333C3CF7"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9</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1</w:t>
            </w:r>
          </w:p>
        </w:tc>
        <w:tc>
          <w:tcPr>
            <w:tcW w:w="856" w:type="dxa"/>
            <w:tcBorders>
              <w:top w:val="nil"/>
              <w:left w:val="nil"/>
              <w:bottom w:val="single" w:sz="4" w:space="0" w:color="auto"/>
              <w:right w:val="single" w:sz="4" w:space="0" w:color="auto"/>
            </w:tcBorders>
            <w:vAlign w:val="center"/>
            <w:hideMark/>
          </w:tcPr>
          <w:p w14:paraId="0A5C385F" w14:textId="25BD0AE7"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14</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2</w:t>
            </w:r>
          </w:p>
        </w:tc>
        <w:tc>
          <w:tcPr>
            <w:tcW w:w="959" w:type="dxa"/>
            <w:tcBorders>
              <w:top w:val="nil"/>
              <w:left w:val="nil"/>
              <w:bottom w:val="single" w:sz="4" w:space="0" w:color="auto"/>
              <w:right w:val="single" w:sz="4" w:space="0" w:color="auto"/>
            </w:tcBorders>
            <w:vAlign w:val="center"/>
            <w:hideMark/>
          </w:tcPr>
          <w:p w14:paraId="0EEB4329" w14:textId="4C6B82B9"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6</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5</w:t>
            </w:r>
          </w:p>
        </w:tc>
        <w:tc>
          <w:tcPr>
            <w:tcW w:w="1450" w:type="dxa"/>
            <w:tcBorders>
              <w:top w:val="nil"/>
              <w:left w:val="nil"/>
              <w:bottom w:val="single" w:sz="4" w:space="0" w:color="auto"/>
              <w:right w:val="single" w:sz="4" w:space="0" w:color="auto"/>
            </w:tcBorders>
            <w:vAlign w:val="center"/>
            <w:hideMark/>
          </w:tcPr>
          <w:p w14:paraId="727C35EA" w14:textId="14EC1B29"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1</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0</w:t>
            </w:r>
          </w:p>
        </w:tc>
        <w:tc>
          <w:tcPr>
            <w:tcW w:w="1231" w:type="dxa"/>
            <w:tcBorders>
              <w:top w:val="nil"/>
              <w:left w:val="nil"/>
              <w:bottom w:val="single" w:sz="4" w:space="0" w:color="auto"/>
              <w:right w:val="single" w:sz="4" w:space="0" w:color="auto"/>
            </w:tcBorders>
            <w:vAlign w:val="center"/>
            <w:hideMark/>
          </w:tcPr>
          <w:p w14:paraId="222D49E5" w14:textId="622D17BB"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8</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6</w:t>
            </w:r>
          </w:p>
        </w:tc>
        <w:tc>
          <w:tcPr>
            <w:tcW w:w="817" w:type="dxa"/>
            <w:tcBorders>
              <w:top w:val="nil"/>
              <w:left w:val="nil"/>
              <w:bottom w:val="single" w:sz="4" w:space="0" w:color="auto"/>
              <w:right w:val="single" w:sz="4" w:space="0" w:color="auto"/>
            </w:tcBorders>
            <w:vAlign w:val="center"/>
            <w:hideMark/>
          </w:tcPr>
          <w:p w14:paraId="3E78A1A5" w14:textId="3ACD3ADA"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1</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4</w:t>
            </w:r>
          </w:p>
        </w:tc>
        <w:tc>
          <w:tcPr>
            <w:tcW w:w="1074" w:type="dxa"/>
            <w:tcBorders>
              <w:top w:val="nil"/>
              <w:left w:val="nil"/>
              <w:bottom w:val="single" w:sz="4" w:space="0" w:color="auto"/>
              <w:right w:val="single" w:sz="4" w:space="0" w:color="auto"/>
            </w:tcBorders>
            <w:vAlign w:val="center"/>
            <w:hideMark/>
          </w:tcPr>
          <w:p w14:paraId="34DE0D69" w14:textId="12FD65B9"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42</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1</w:t>
            </w:r>
          </w:p>
        </w:tc>
        <w:tc>
          <w:tcPr>
            <w:tcW w:w="958" w:type="dxa"/>
            <w:tcBorders>
              <w:top w:val="nil"/>
              <w:left w:val="nil"/>
              <w:bottom w:val="single" w:sz="4" w:space="0" w:color="auto"/>
              <w:right w:val="single" w:sz="4" w:space="0" w:color="auto"/>
            </w:tcBorders>
            <w:vAlign w:val="center"/>
            <w:hideMark/>
          </w:tcPr>
          <w:p w14:paraId="45B54026" w14:textId="45CB8F0B"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12</w:t>
            </w:r>
            <w:r w:rsidR="00974BB4">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8</w:t>
            </w:r>
          </w:p>
        </w:tc>
        <w:tc>
          <w:tcPr>
            <w:tcW w:w="919" w:type="dxa"/>
            <w:tcBorders>
              <w:top w:val="nil"/>
              <w:left w:val="nil"/>
              <w:bottom w:val="single" w:sz="4" w:space="0" w:color="auto"/>
              <w:right w:val="single" w:sz="4" w:space="0" w:color="auto"/>
            </w:tcBorders>
            <w:vAlign w:val="center"/>
            <w:hideMark/>
          </w:tcPr>
          <w:p w14:paraId="556AC4D3" w14:textId="13721227"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21</w:t>
            </w:r>
            <w:r w:rsidR="00974BB4">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1</w:t>
            </w:r>
          </w:p>
        </w:tc>
        <w:tc>
          <w:tcPr>
            <w:tcW w:w="1074" w:type="dxa"/>
            <w:tcBorders>
              <w:top w:val="nil"/>
              <w:left w:val="nil"/>
              <w:bottom w:val="single" w:sz="4" w:space="0" w:color="auto"/>
              <w:right w:val="single" w:sz="4" w:space="0" w:color="auto"/>
            </w:tcBorders>
            <w:vAlign w:val="center"/>
            <w:hideMark/>
          </w:tcPr>
          <w:p w14:paraId="7C0DB661" w14:textId="7C1FC289"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23</w:t>
            </w:r>
            <w:r w:rsidR="00974BB4">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9</w:t>
            </w:r>
          </w:p>
        </w:tc>
        <w:tc>
          <w:tcPr>
            <w:tcW w:w="1074" w:type="dxa"/>
            <w:tcBorders>
              <w:top w:val="nil"/>
              <w:left w:val="nil"/>
              <w:bottom w:val="single" w:sz="4" w:space="0" w:color="auto"/>
              <w:right w:val="single" w:sz="4" w:space="0" w:color="auto"/>
            </w:tcBorders>
            <w:vAlign w:val="center"/>
            <w:hideMark/>
          </w:tcPr>
          <w:p w14:paraId="351A9E60" w14:textId="224DBB47" w:rsidR="00A21177" w:rsidRPr="00A21177" w:rsidRDefault="00A21177" w:rsidP="00A21177">
            <w:pPr>
              <w:spacing w:after="0" w:line="240" w:lineRule="auto"/>
              <w:jc w:val="center"/>
              <w:rPr>
                <w:rFonts w:ascii="Aptos" w:eastAsia="Times New Roman" w:hAnsi="Aptos" w:cs="Times New Roman"/>
                <w:color w:val="000000"/>
                <w:kern w:val="0"/>
                <w:szCs w:val="24"/>
                <w:lang w:eastAsia="en-IN"/>
                <w14:ligatures w14:val="none"/>
              </w:rPr>
            </w:pPr>
          </w:p>
        </w:tc>
      </w:tr>
      <w:tr w:rsidR="00A21177" w:rsidRPr="00A21177" w14:paraId="6693A877" w14:textId="77777777" w:rsidTr="00C91D91">
        <w:trPr>
          <w:trHeight w:val="20"/>
        </w:trPr>
        <w:tc>
          <w:tcPr>
            <w:tcW w:w="1360" w:type="dxa"/>
            <w:tcBorders>
              <w:top w:val="nil"/>
              <w:left w:val="single" w:sz="4" w:space="0" w:color="auto"/>
              <w:bottom w:val="single" w:sz="4" w:space="0" w:color="auto"/>
              <w:right w:val="single" w:sz="4" w:space="0" w:color="auto"/>
            </w:tcBorders>
            <w:vAlign w:val="center"/>
            <w:hideMark/>
          </w:tcPr>
          <w:p w14:paraId="386D2492"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Punjab</w:t>
            </w:r>
          </w:p>
        </w:tc>
        <w:tc>
          <w:tcPr>
            <w:tcW w:w="1463" w:type="dxa"/>
            <w:tcBorders>
              <w:top w:val="nil"/>
              <w:left w:val="nil"/>
              <w:bottom w:val="single" w:sz="4" w:space="0" w:color="auto"/>
              <w:right w:val="single" w:sz="4" w:space="0" w:color="auto"/>
            </w:tcBorders>
            <w:vAlign w:val="center"/>
            <w:hideMark/>
          </w:tcPr>
          <w:p w14:paraId="4E20B40E"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w:t>
            </w:r>
          </w:p>
        </w:tc>
        <w:tc>
          <w:tcPr>
            <w:tcW w:w="1075" w:type="dxa"/>
            <w:tcBorders>
              <w:top w:val="nil"/>
              <w:left w:val="nil"/>
              <w:bottom w:val="single" w:sz="4" w:space="0" w:color="auto"/>
              <w:right w:val="single" w:sz="4" w:space="0" w:color="auto"/>
            </w:tcBorders>
            <w:vAlign w:val="center"/>
            <w:hideMark/>
          </w:tcPr>
          <w:p w14:paraId="57A84DB5"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195</w:t>
            </w:r>
          </w:p>
        </w:tc>
        <w:tc>
          <w:tcPr>
            <w:tcW w:w="856" w:type="dxa"/>
            <w:tcBorders>
              <w:top w:val="nil"/>
              <w:left w:val="nil"/>
              <w:bottom w:val="single" w:sz="4" w:space="0" w:color="auto"/>
              <w:right w:val="single" w:sz="4" w:space="0" w:color="auto"/>
            </w:tcBorders>
            <w:vAlign w:val="center"/>
            <w:hideMark/>
          </w:tcPr>
          <w:p w14:paraId="6EBA03AD"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247</w:t>
            </w:r>
          </w:p>
        </w:tc>
        <w:tc>
          <w:tcPr>
            <w:tcW w:w="959" w:type="dxa"/>
            <w:tcBorders>
              <w:top w:val="nil"/>
              <w:left w:val="nil"/>
              <w:bottom w:val="single" w:sz="4" w:space="0" w:color="auto"/>
              <w:right w:val="single" w:sz="4" w:space="0" w:color="auto"/>
            </w:tcBorders>
            <w:vAlign w:val="center"/>
            <w:hideMark/>
          </w:tcPr>
          <w:p w14:paraId="712BE567"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67</w:t>
            </w:r>
          </w:p>
        </w:tc>
        <w:tc>
          <w:tcPr>
            <w:tcW w:w="1450" w:type="dxa"/>
            <w:tcBorders>
              <w:top w:val="nil"/>
              <w:left w:val="nil"/>
              <w:bottom w:val="single" w:sz="4" w:space="0" w:color="auto"/>
              <w:right w:val="single" w:sz="4" w:space="0" w:color="auto"/>
            </w:tcBorders>
            <w:vAlign w:val="center"/>
            <w:hideMark/>
          </w:tcPr>
          <w:p w14:paraId="3C0C8D70"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10</w:t>
            </w:r>
          </w:p>
        </w:tc>
        <w:tc>
          <w:tcPr>
            <w:tcW w:w="1231" w:type="dxa"/>
            <w:tcBorders>
              <w:top w:val="nil"/>
              <w:left w:val="nil"/>
              <w:bottom w:val="single" w:sz="4" w:space="0" w:color="auto"/>
              <w:right w:val="single" w:sz="4" w:space="0" w:color="auto"/>
            </w:tcBorders>
            <w:vAlign w:val="center"/>
            <w:hideMark/>
          </w:tcPr>
          <w:p w14:paraId="489AE69E"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181</w:t>
            </w:r>
          </w:p>
        </w:tc>
        <w:tc>
          <w:tcPr>
            <w:tcW w:w="817" w:type="dxa"/>
            <w:tcBorders>
              <w:top w:val="nil"/>
              <w:left w:val="nil"/>
              <w:bottom w:val="single" w:sz="4" w:space="0" w:color="auto"/>
              <w:right w:val="single" w:sz="4" w:space="0" w:color="auto"/>
            </w:tcBorders>
            <w:vAlign w:val="center"/>
            <w:hideMark/>
          </w:tcPr>
          <w:p w14:paraId="798E0892"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74</w:t>
            </w:r>
          </w:p>
        </w:tc>
        <w:tc>
          <w:tcPr>
            <w:tcW w:w="1074" w:type="dxa"/>
            <w:tcBorders>
              <w:top w:val="nil"/>
              <w:left w:val="nil"/>
              <w:bottom w:val="single" w:sz="4" w:space="0" w:color="auto"/>
              <w:right w:val="single" w:sz="4" w:space="0" w:color="auto"/>
            </w:tcBorders>
            <w:vAlign w:val="center"/>
            <w:hideMark/>
          </w:tcPr>
          <w:p w14:paraId="58EBCCB0"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773</w:t>
            </w:r>
          </w:p>
        </w:tc>
        <w:tc>
          <w:tcPr>
            <w:tcW w:w="958" w:type="dxa"/>
            <w:tcBorders>
              <w:top w:val="nil"/>
              <w:left w:val="nil"/>
              <w:bottom w:val="single" w:sz="4" w:space="0" w:color="auto"/>
              <w:right w:val="single" w:sz="4" w:space="0" w:color="auto"/>
            </w:tcBorders>
            <w:vAlign w:val="center"/>
            <w:hideMark/>
          </w:tcPr>
          <w:p w14:paraId="69185B52"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278</w:t>
            </w:r>
          </w:p>
        </w:tc>
        <w:tc>
          <w:tcPr>
            <w:tcW w:w="919" w:type="dxa"/>
            <w:tcBorders>
              <w:top w:val="nil"/>
              <w:left w:val="nil"/>
              <w:bottom w:val="single" w:sz="4" w:space="0" w:color="auto"/>
              <w:right w:val="single" w:sz="4" w:space="0" w:color="auto"/>
            </w:tcBorders>
            <w:vAlign w:val="center"/>
            <w:hideMark/>
          </w:tcPr>
          <w:p w14:paraId="66743B65"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w:t>
            </w:r>
          </w:p>
        </w:tc>
        <w:tc>
          <w:tcPr>
            <w:tcW w:w="1074" w:type="dxa"/>
            <w:tcBorders>
              <w:top w:val="nil"/>
              <w:left w:val="nil"/>
              <w:bottom w:val="single" w:sz="4" w:space="0" w:color="auto"/>
              <w:right w:val="single" w:sz="4" w:space="0" w:color="auto"/>
            </w:tcBorders>
            <w:vAlign w:val="center"/>
            <w:hideMark/>
          </w:tcPr>
          <w:p w14:paraId="14176D08"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653</w:t>
            </w:r>
          </w:p>
        </w:tc>
        <w:tc>
          <w:tcPr>
            <w:tcW w:w="1074" w:type="dxa"/>
            <w:tcBorders>
              <w:top w:val="nil"/>
              <w:left w:val="nil"/>
              <w:bottom w:val="single" w:sz="4" w:space="0" w:color="auto"/>
              <w:right w:val="single" w:sz="4" w:space="0" w:color="auto"/>
            </w:tcBorders>
            <w:vAlign w:val="center"/>
            <w:hideMark/>
          </w:tcPr>
          <w:p w14:paraId="61BE8F7D"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1705</w:t>
            </w:r>
          </w:p>
        </w:tc>
      </w:tr>
      <w:tr w:rsidR="00A21177" w:rsidRPr="00A21177" w14:paraId="395775E4" w14:textId="77777777" w:rsidTr="00C91D91">
        <w:trPr>
          <w:trHeight w:val="20"/>
        </w:trPr>
        <w:tc>
          <w:tcPr>
            <w:tcW w:w="1360" w:type="dxa"/>
            <w:tcBorders>
              <w:top w:val="nil"/>
              <w:left w:val="single" w:sz="4" w:space="0" w:color="auto"/>
              <w:bottom w:val="single" w:sz="4" w:space="0" w:color="auto"/>
              <w:right w:val="single" w:sz="4" w:space="0" w:color="auto"/>
            </w:tcBorders>
            <w:vAlign w:val="center"/>
            <w:hideMark/>
          </w:tcPr>
          <w:p w14:paraId="49B2D950" w14:textId="1B16558F" w:rsidR="00A21177" w:rsidRPr="00A21177" w:rsidRDefault="00A21177" w:rsidP="00A21177">
            <w:pPr>
              <w:spacing w:after="0" w:line="240" w:lineRule="auto"/>
              <w:jc w:val="center"/>
              <w:rPr>
                <w:rFonts w:ascii="Aptos" w:eastAsia="Times New Roman" w:hAnsi="Aptos" w:cs="Times New Roman"/>
                <w:color w:val="000000"/>
                <w:kern w:val="0"/>
                <w:szCs w:val="24"/>
                <w:lang w:eastAsia="en-IN"/>
                <w14:ligatures w14:val="none"/>
              </w:rPr>
            </w:pPr>
          </w:p>
        </w:tc>
        <w:tc>
          <w:tcPr>
            <w:tcW w:w="1463" w:type="dxa"/>
            <w:tcBorders>
              <w:top w:val="nil"/>
              <w:left w:val="nil"/>
              <w:bottom w:val="single" w:sz="4" w:space="0" w:color="auto"/>
              <w:right w:val="single" w:sz="4" w:space="0" w:color="auto"/>
            </w:tcBorders>
            <w:vAlign w:val="center"/>
            <w:hideMark/>
          </w:tcPr>
          <w:p w14:paraId="6D47A41B" w14:textId="42DCFC5B" w:rsidR="00A21177" w:rsidRPr="00A21177" w:rsidRDefault="00A21177" w:rsidP="00A21177">
            <w:pPr>
              <w:spacing w:after="0" w:line="240" w:lineRule="auto"/>
              <w:jc w:val="center"/>
              <w:rPr>
                <w:rFonts w:ascii="Aptos" w:eastAsia="Times New Roman" w:hAnsi="Aptos" w:cs="Times New Roman"/>
                <w:color w:val="000000"/>
                <w:kern w:val="0"/>
                <w:szCs w:val="24"/>
                <w:lang w:eastAsia="en-IN"/>
                <w14:ligatures w14:val="none"/>
              </w:rPr>
            </w:pPr>
          </w:p>
        </w:tc>
        <w:tc>
          <w:tcPr>
            <w:tcW w:w="1075" w:type="dxa"/>
            <w:tcBorders>
              <w:top w:val="nil"/>
              <w:left w:val="nil"/>
              <w:bottom w:val="single" w:sz="4" w:space="0" w:color="auto"/>
              <w:right w:val="single" w:sz="4" w:space="0" w:color="auto"/>
            </w:tcBorders>
            <w:vAlign w:val="center"/>
            <w:hideMark/>
          </w:tcPr>
          <w:p w14:paraId="706F9C09" w14:textId="57189511"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11</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4</w:t>
            </w:r>
          </w:p>
        </w:tc>
        <w:tc>
          <w:tcPr>
            <w:tcW w:w="856" w:type="dxa"/>
            <w:tcBorders>
              <w:top w:val="nil"/>
              <w:left w:val="nil"/>
              <w:bottom w:val="single" w:sz="4" w:space="0" w:color="auto"/>
              <w:right w:val="single" w:sz="4" w:space="0" w:color="auto"/>
            </w:tcBorders>
            <w:vAlign w:val="center"/>
            <w:hideMark/>
          </w:tcPr>
          <w:p w14:paraId="04C20BC5" w14:textId="294C596D"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14</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5</w:t>
            </w:r>
          </w:p>
        </w:tc>
        <w:tc>
          <w:tcPr>
            <w:tcW w:w="959" w:type="dxa"/>
            <w:tcBorders>
              <w:top w:val="nil"/>
              <w:left w:val="nil"/>
              <w:bottom w:val="single" w:sz="4" w:space="0" w:color="auto"/>
              <w:right w:val="single" w:sz="4" w:space="0" w:color="auto"/>
            </w:tcBorders>
            <w:vAlign w:val="center"/>
            <w:hideMark/>
          </w:tcPr>
          <w:p w14:paraId="234A39D8" w14:textId="5AA546AE"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3</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9</w:t>
            </w:r>
          </w:p>
        </w:tc>
        <w:tc>
          <w:tcPr>
            <w:tcW w:w="1450" w:type="dxa"/>
            <w:tcBorders>
              <w:top w:val="nil"/>
              <w:left w:val="nil"/>
              <w:bottom w:val="single" w:sz="4" w:space="0" w:color="auto"/>
              <w:right w:val="single" w:sz="4" w:space="0" w:color="auto"/>
            </w:tcBorders>
            <w:vAlign w:val="center"/>
            <w:hideMark/>
          </w:tcPr>
          <w:p w14:paraId="7199CC90" w14:textId="1FC3D424"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0</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6</w:t>
            </w:r>
          </w:p>
        </w:tc>
        <w:tc>
          <w:tcPr>
            <w:tcW w:w="1231" w:type="dxa"/>
            <w:tcBorders>
              <w:top w:val="nil"/>
              <w:left w:val="nil"/>
              <w:bottom w:val="single" w:sz="4" w:space="0" w:color="auto"/>
              <w:right w:val="single" w:sz="4" w:space="0" w:color="auto"/>
            </w:tcBorders>
            <w:vAlign w:val="center"/>
            <w:hideMark/>
          </w:tcPr>
          <w:p w14:paraId="344999E3" w14:textId="17481883"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10</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6</w:t>
            </w:r>
          </w:p>
        </w:tc>
        <w:tc>
          <w:tcPr>
            <w:tcW w:w="817" w:type="dxa"/>
            <w:tcBorders>
              <w:top w:val="nil"/>
              <w:left w:val="nil"/>
              <w:bottom w:val="single" w:sz="4" w:space="0" w:color="auto"/>
              <w:right w:val="single" w:sz="4" w:space="0" w:color="auto"/>
            </w:tcBorders>
            <w:vAlign w:val="center"/>
            <w:hideMark/>
          </w:tcPr>
          <w:p w14:paraId="06A170C3" w14:textId="30868EBD"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4</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3</w:t>
            </w:r>
          </w:p>
        </w:tc>
        <w:tc>
          <w:tcPr>
            <w:tcW w:w="1074" w:type="dxa"/>
            <w:tcBorders>
              <w:top w:val="nil"/>
              <w:left w:val="nil"/>
              <w:bottom w:val="single" w:sz="4" w:space="0" w:color="auto"/>
              <w:right w:val="single" w:sz="4" w:space="0" w:color="auto"/>
            </w:tcBorders>
            <w:vAlign w:val="center"/>
            <w:hideMark/>
          </w:tcPr>
          <w:p w14:paraId="7A6F8D67" w14:textId="5309F5B9"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45</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3</w:t>
            </w:r>
          </w:p>
        </w:tc>
        <w:tc>
          <w:tcPr>
            <w:tcW w:w="958" w:type="dxa"/>
            <w:tcBorders>
              <w:top w:val="nil"/>
              <w:left w:val="nil"/>
              <w:bottom w:val="single" w:sz="4" w:space="0" w:color="auto"/>
              <w:right w:val="single" w:sz="4" w:space="0" w:color="auto"/>
            </w:tcBorders>
            <w:vAlign w:val="center"/>
            <w:hideMark/>
          </w:tcPr>
          <w:p w14:paraId="24909AD6" w14:textId="5C2FF33B"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16</w:t>
            </w:r>
            <w:r w:rsidR="00974BB4">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3</w:t>
            </w:r>
          </w:p>
        </w:tc>
        <w:tc>
          <w:tcPr>
            <w:tcW w:w="919" w:type="dxa"/>
            <w:tcBorders>
              <w:top w:val="nil"/>
              <w:left w:val="nil"/>
              <w:bottom w:val="single" w:sz="4" w:space="0" w:color="auto"/>
              <w:right w:val="single" w:sz="4" w:space="0" w:color="auto"/>
            </w:tcBorders>
            <w:vAlign w:val="center"/>
            <w:hideMark/>
          </w:tcPr>
          <w:p w14:paraId="5A90C54E"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w:t>
            </w:r>
          </w:p>
        </w:tc>
        <w:tc>
          <w:tcPr>
            <w:tcW w:w="1074" w:type="dxa"/>
            <w:tcBorders>
              <w:top w:val="nil"/>
              <w:left w:val="nil"/>
              <w:bottom w:val="single" w:sz="4" w:space="0" w:color="auto"/>
              <w:right w:val="single" w:sz="4" w:space="0" w:color="auto"/>
            </w:tcBorders>
            <w:vAlign w:val="center"/>
            <w:hideMark/>
          </w:tcPr>
          <w:p w14:paraId="7EEE18B3" w14:textId="157F6009"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38</w:t>
            </w:r>
            <w:r w:rsidR="00974BB4">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3</w:t>
            </w:r>
          </w:p>
        </w:tc>
        <w:tc>
          <w:tcPr>
            <w:tcW w:w="1074" w:type="dxa"/>
            <w:tcBorders>
              <w:top w:val="nil"/>
              <w:left w:val="nil"/>
              <w:bottom w:val="single" w:sz="4" w:space="0" w:color="auto"/>
              <w:right w:val="single" w:sz="4" w:space="0" w:color="auto"/>
            </w:tcBorders>
            <w:vAlign w:val="center"/>
            <w:hideMark/>
          </w:tcPr>
          <w:p w14:paraId="0F36834A" w14:textId="32CA0BBF" w:rsidR="00A21177" w:rsidRPr="00A21177" w:rsidRDefault="00A21177" w:rsidP="00A21177">
            <w:pPr>
              <w:spacing w:after="0" w:line="240" w:lineRule="auto"/>
              <w:jc w:val="center"/>
              <w:rPr>
                <w:rFonts w:ascii="Aptos" w:eastAsia="Times New Roman" w:hAnsi="Aptos" w:cs="Times New Roman"/>
                <w:color w:val="000000"/>
                <w:kern w:val="0"/>
                <w:szCs w:val="24"/>
                <w:lang w:eastAsia="en-IN"/>
                <w14:ligatures w14:val="none"/>
              </w:rPr>
            </w:pPr>
          </w:p>
        </w:tc>
      </w:tr>
      <w:tr w:rsidR="00A21177" w:rsidRPr="00A21177" w14:paraId="53812E1D" w14:textId="77777777" w:rsidTr="00C91D91">
        <w:trPr>
          <w:trHeight w:val="20"/>
        </w:trPr>
        <w:tc>
          <w:tcPr>
            <w:tcW w:w="1360" w:type="dxa"/>
            <w:tcBorders>
              <w:top w:val="nil"/>
              <w:left w:val="single" w:sz="4" w:space="0" w:color="auto"/>
              <w:bottom w:val="single" w:sz="4" w:space="0" w:color="auto"/>
              <w:right w:val="single" w:sz="4" w:space="0" w:color="auto"/>
            </w:tcBorders>
            <w:vAlign w:val="center"/>
            <w:hideMark/>
          </w:tcPr>
          <w:p w14:paraId="6B5274A8"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Uttar Pradesh</w:t>
            </w:r>
          </w:p>
        </w:tc>
        <w:tc>
          <w:tcPr>
            <w:tcW w:w="1463" w:type="dxa"/>
            <w:tcBorders>
              <w:top w:val="nil"/>
              <w:left w:val="nil"/>
              <w:bottom w:val="single" w:sz="4" w:space="0" w:color="auto"/>
              <w:right w:val="single" w:sz="4" w:space="0" w:color="auto"/>
            </w:tcBorders>
            <w:vAlign w:val="center"/>
            <w:hideMark/>
          </w:tcPr>
          <w:p w14:paraId="55524026"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98</w:t>
            </w:r>
          </w:p>
        </w:tc>
        <w:tc>
          <w:tcPr>
            <w:tcW w:w="1075" w:type="dxa"/>
            <w:tcBorders>
              <w:top w:val="nil"/>
              <w:left w:val="nil"/>
              <w:bottom w:val="single" w:sz="4" w:space="0" w:color="auto"/>
              <w:right w:val="single" w:sz="4" w:space="0" w:color="auto"/>
            </w:tcBorders>
            <w:vAlign w:val="center"/>
            <w:hideMark/>
          </w:tcPr>
          <w:p w14:paraId="4F73DA08"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1247</w:t>
            </w:r>
          </w:p>
        </w:tc>
        <w:tc>
          <w:tcPr>
            <w:tcW w:w="856" w:type="dxa"/>
            <w:tcBorders>
              <w:top w:val="nil"/>
              <w:left w:val="nil"/>
              <w:bottom w:val="single" w:sz="4" w:space="0" w:color="auto"/>
              <w:right w:val="single" w:sz="4" w:space="0" w:color="auto"/>
            </w:tcBorders>
            <w:vAlign w:val="center"/>
            <w:hideMark/>
          </w:tcPr>
          <w:p w14:paraId="2A8031C9"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612</w:t>
            </w:r>
          </w:p>
        </w:tc>
        <w:tc>
          <w:tcPr>
            <w:tcW w:w="959" w:type="dxa"/>
            <w:tcBorders>
              <w:top w:val="nil"/>
              <w:left w:val="nil"/>
              <w:bottom w:val="single" w:sz="4" w:space="0" w:color="auto"/>
              <w:right w:val="single" w:sz="4" w:space="0" w:color="auto"/>
            </w:tcBorders>
            <w:vAlign w:val="center"/>
            <w:hideMark/>
          </w:tcPr>
          <w:p w14:paraId="1302AD6F"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240</w:t>
            </w:r>
          </w:p>
        </w:tc>
        <w:tc>
          <w:tcPr>
            <w:tcW w:w="1450" w:type="dxa"/>
            <w:tcBorders>
              <w:top w:val="nil"/>
              <w:left w:val="nil"/>
              <w:bottom w:val="single" w:sz="4" w:space="0" w:color="auto"/>
              <w:right w:val="single" w:sz="4" w:space="0" w:color="auto"/>
            </w:tcBorders>
            <w:vAlign w:val="center"/>
            <w:hideMark/>
          </w:tcPr>
          <w:p w14:paraId="68C444C0"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26</w:t>
            </w:r>
          </w:p>
        </w:tc>
        <w:tc>
          <w:tcPr>
            <w:tcW w:w="1231" w:type="dxa"/>
            <w:tcBorders>
              <w:top w:val="nil"/>
              <w:left w:val="nil"/>
              <w:bottom w:val="single" w:sz="4" w:space="0" w:color="auto"/>
              <w:right w:val="single" w:sz="4" w:space="0" w:color="auto"/>
            </w:tcBorders>
            <w:vAlign w:val="center"/>
            <w:hideMark/>
          </w:tcPr>
          <w:p w14:paraId="4C8E7A40"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504</w:t>
            </w:r>
          </w:p>
        </w:tc>
        <w:tc>
          <w:tcPr>
            <w:tcW w:w="817" w:type="dxa"/>
            <w:tcBorders>
              <w:top w:val="nil"/>
              <w:left w:val="nil"/>
              <w:bottom w:val="single" w:sz="4" w:space="0" w:color="auto"/>
              <w:right w:val="single" w:sz="4" w:space="0" w:color="auto"/>
            </w:tcBorders>
            <w:vAlign w:val="center"/>
            <w:hideMark/>
          </w:tcPr>
          <w:p w14:paraId="10F4D6CC"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468</w:t>
            </w:r>
          </w:p>
        </w:tc>
        <w:tc>
          <w:tcPr>
            <w:tcW w:w="1074" w:type="dxa"/>
            <w:tcBorders>
              <w:top w:val="nil"/>
              <w:left w:val="nil"/>
              <w:bottom w:val="single" w:sz="4" w:space="0" w:color="auto"/>
              <w:right w:val="single" w:sz="4" w:space="0" w:color="auto"/>
            </w:tcBorders>
            <w:vAlign w:val="center"/>
            <w:hideMark/>
          </w:tcPr>
          <w:p w14:paraId="1BE11904"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3195</w:t>
            </w:r>
          </w:p>
        </w:tc>
        <w:tc>
          <w:tcPr>
            <w:tcW w:w="958" w:type="dxa"/>
            <w:tcBorders>
              <w:top w:val="nil"/>
              <w:left w:val="nil"/>
              <w:bottom w:val="single" w:sz="4" w:space="0" w:color="auto"/>
              <w:right w:val="single" w:sz="4" w:space="0" w:color="auto"/>
            </w:tcBorders>
            <w:vAlign w:val="center"/>
            <w:hideMark/>
          </w:tcPr>
          <w:p w14:paraId="25897E2E"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909</w:t>
            </w:r>
          </w:p>
        </w:tc>
        <w:tc>
          <w:tcPr>
            <w:tcW w:w="919" w:type="dxa"/>
            <w:tcBorders>
              <w:top w:val="nil"/>
              <w:left w:val="nil"/>
              <w:bottom w:val="single" w:sz="4" w:space="0" w:color="auto"/>
              <w:right w:val="single" w:sz="4" w:space="0" w:color="auto"/>
            </w:tcBorders>
            <w:vAlign w:val="center"/>
            <w:hideMark/>
          </w:tcPr>
          <w:p w14:paraId="26BA6861"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72</w:t>
            </w:r>
          </w:p>
        </w:tc>
        <w:tc>
          <w:tcPr>
            <w:tcW w:w="1074" w:type="dxa"/>
            <w:tcBorders>
              <w:top w:val="nil"/>
              <w:left w:val="nil"/>
              <w:bottom w:val="single" w:sz="4" w:space="0" w:color="auto"/>
              <w:right w:val="single" w:sz="4" w:space="0" w:color="auto"/>
            </w:tcBorders>
            <w:vAlign w:val="center"/>
            <w:hideMark/>
          </w:tcPr>
          <w:p w14:paraId="58431785"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1923</w:t>
            </w:r>
          </w:p>
        </w:tc>
        <w:tc>
          <w:tcPr>
            <w:tcW w:w="1074" w:type="dxa"/>
            <w:tcBorders>
              <w:top w:val="nil"/>
              <w:left w:val="nil"/>
              <w:bottom w:val="single" w:sz="4" w:space="0" w:color="auto"/>
              <w:right w:val="single" w:sz="4" w:space="0" w:color="auto"/>
            </w:tcBorders>
            <w:vAlign w:val="center"/>
            <w:hideMark/>
          </w:tcPr>
          <w:p w14:paraId="20EA31B2"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6099</w:t>
            </w:r>
          </w:p>
        </w:tc>
      </w:tr>
      <w:tr w:rsidR="00A21177" w:rsidRPr="00A21177" w14:paraId="70435116" w14:textId="77777777" w:rsidTr="00C91D91">
        <w:trPr>
          <w:trHeight w:val="20"/>
        </w:trPr>
        <w:tc>
          <w:tcPr>
            <w:tcW w:w="1360" w:type="dxa"/>
            <w:tcBorders>
              <w:top w:val="nil"/>
              <w:left w:val="single" w:sz="4" w:space="0" w:color="auto"/>
              <w:bottom w:val="single" w:sz="4" w:space="0" w:color="auto"/>
              <w:right w:val="single" w:sz="4" w:space="0" w:color="auto"/>
            </w:tcBorders>
            <w:vAlign w:val="center"/>
            <w:hideMark/>
          </w:tcPr>
          <w:p w14:paraId="1DD2EE12" w14:textId="0C316C51" w:rsidR="00A21177" w:rsidRPr="00A21177" w:rsidRDefault="00A21177" w:rsidP="00A21177">
            <w:pPr>
              <w:spacing w:after="0" w:line="240" w:lineRule="auto"/>
              <w:jc w:val="center"/>
              <w:rPr>
                <w:rFonts w:ascii="Aptos" w:eastAsia="Times New Roman" w:hAnsi="Aptos" w:cs="Times New Roman"/>
                <w:color w:val="000000"/>
                <w:kern w:val="0"/>
                <w:szCs w:val="24"/>
                <w:lang w:eastAsia="en-IN"/>
                <w14:ligatures w14:val="none"/>
              </w:rPr>
            </w:pPr>
          </w:p>
        </w:tc>
        <w:tc>
          <w:tcPr>
            <w:tcW w:w="1463" w:type="dxa"/>
            <w:tcBorders>
              <w:top w:val="nil"/>
              <w:left w:val="nil"/>
              <w:bottom w:val="single" w:sz="4" w:space="0" w:color="auto"/>
              <w:right w:val="single" w:sz="4" w:space="0" w:color="auto"/>
            </w:tcBorders>
            <w:vAlign w:val="center"/>
            <w:hideMark/>
          </w:tcPr>
          <w:p w14:paraId="4003F2B8" w14:textId="30452280"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1</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6</w:t>
            </w:r>
          </w:p>
        </w:tc>
        <w:tc>
          <w:tcPr>
            <w:tcW w:w="1075" w:type="dxa"/>
            <w:tcBorders>
              <w:top w:val="nil"/>
              <w:left w:val="nil"/>
              <w:bottom w:val="single" w:sz="4" w:space="0" w:color="auto"/>
              <w:right w:val="single" w:sz="4" w:space="0" w:color="auto"/>
            </w:tcBorders>
            <w:vAlign w:val="center"/>
            <w:hideMark/>
          </w:tcPr>
          <w:p w14:paraId="72834FF0" w14:textId="6E3C7D6C"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20</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4</w:t>
            </w:r>
          </w:p>
        </w:tc>
        <w:tc>
          <w:tcPr>
            <w:tcW w:w="856" w:type="dxa"/>
            <w:tcBorders>
              <w:top w:val="nil"/>
              <w:left w:val="nil"/>
              <w:bottom w:val="single" w:sz="4" w:space="0" w:color="auto"/>
              <w:right w:val="single" w:sz="4" w:space="0" w:color="auto"/>
            </w:tcBorders>
            <w:vAlign w:val="center"/>
            <w:hideMark/>
          </w:tcPr>
          <w:p w14:paraId="329E94E3" w14:textId="77C3979C"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10</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0</w:t>
            </w:r>
          </w:p>
        </w:tc>
        <w:tc>
          <w:tcPr>
            <w:tcW w:w="959" w:type="dxa"/>
            <w:tcBorders>
              <w:top w:val="nil"/>
              <w:left w:val="nil"/>
              <w:bottom w:val="single" w:sz="4" w:space="0" w:color="auto"/>
              <w:right w:val="single" w:sz="4" w:space="0" w:color="auto"/>
            </w:tcBorders>
            <w:vAlign w:val="center"/>
            <w:hideMark/>
          </w:tcPr>
          <w:p w14:paraId="08C2951F" w14:textId="29BEB44D"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3</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9</w:t>
            </w:r>
          </w:p>
        </w:tc>
        <w:tc>
          <w:tcPr>
            <w:tcW w:w="1450" w:type="dxa"/>
            <w:tcBorders>
              <w:top w:val="nil"/>
              <w:left w:val="nil"/>
              <w:bottom w:val="single" w:sz="4" w:space="0" w:color="auto"/>
              <w:right w:val="single" w:sz="4" w:space="0" w:color="auto"/>
            </w:tcBorders>
            <w:vAlign w:val="center"/>
            <w:hideMark/>
          </w:tcPr>
          <w:p w14:paraId="2BDF72C5" w14:textId="5521F05D"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0</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4</w:t>
            </w:r>
          </w:p>
        </w:tc>
        <w:tc>
          <w:tcPr>
            <w:tcW w:w="1231" w:type="dxa"/>
            <w:tcBorders>
              <w:top w:val="nil"/>
              <w:left w:val="nil"/>
              <w:bottom w:val="single" w:sz="4" w:space="0" w:color="auto"/>
              <w:right w:val="single" w:sz="4" w:space="0" w:color="auto"/>
            </w:tcBorders>
            <w:vAlign w:val="center"/>
            <w:hideMark/>
          </w:tcPr>
          <w:p w14:paraId="3642C55C" w14:textId="2D0C87D9"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8</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3</w:t>
            </w:r>
          </w:p>
        </w:tc>
        <w:tc>
          <w:tcPr>
            <w:tcW w:w="817" w:type="dxa"/>
            <w:tcBorders>
              <w:top w:val="nil"/>
              <w:left w:val="nil"/>
              <w:bottom w:val="single" w:sz="4" w:space="0" w:color="auto"/>
              <w:right w:val="single" w:sz="4" w:space="0" w:color="auto"/>
            </w:tcBorders>
            <w:vAlign w:val="center"/>
            <w:hideMark/>
          </w:tcPr>
          <w:p w14:paraId="3A9A3370" w14:textId="740DA8BA"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7</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7</w:t>
            </w:r>
          </w:p>
        </w:tc>
        <w:tc>
          <w:tcPr>
            <w:tcW w:w="1074" w:type="dxa"/>
            <w:tcBorders>
              <w:top w:val="nil"/>
              <w:left w:val="nil"/>
              <w:bottom w:val="single" w:sz="4" w:space="0" w:color="auto"/>
              <w:right w:val="single" w:sz="4" w:space="0" w:color="auto"/>
            </w:tcBorders>
            <w:vAlign w:val="center"/>
            <w:hideMark/>
          </w:tcPr>
          <w:p w14:paraId="48B4216F" w14:textId="59F977DF"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52</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4</w:t>
            </w:r>
          </w:p>
        </w:tc>
        <w:tc>
          <w:tcPr>
            <w:tcW w:w="958" w:type="dxa"/>
            <w:tcBorders>
              <w:top w:val="nil"/>
              <w:left w:val="nil"/>
              <w:bottom w:val="single" w:sz="4" w:space="0" w:color="auto"/>
              <w:right w:val="single" w:sz="4" w:space="0" w:color="auto"/>
            </w:tcBorders>
            <w:vAlign w:val="center"/>
            <w:hideMark/>
          </w:tcPr>
          <w:p w14:paraId="41737FAF" w14:textId="440590A8"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14</w:t>
            </w:r>
            <w:r w:rsidR="00974BB4">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9</w:t>
            </w:r>
          </w:p>
        </w:tc>
        <w:tc>
          <w:tcPr>
            <w:tcW w:w="919" w:type="dxa"/>
            <w:tcBorders>
              <w:top w:val="nil"/>
              <w:left w:val="nil"/>
              <w:bottom w:val="single" w:sz="4" w:space="0" w:color="auto"/>
              <w:right w:val="single" w:sz="4" w:space="0" w:color="auto"/>
            </w:tcBorders>
            <w:vAlign w:val="center"/>
            <w:hideMark/>
          </w:tcPr>
          <w:p w14:paraId="06F626AF" w14:textId="1D32B789"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1</w:t>
            </w:r>
            <w:r w:rsidR="00974BB4">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2</w:t>
            </w:r>
          </w:p>
        </w:tc>
        <w:tc>
          <w:tcPr>
            <w:tcW w:w="1074" w:type="dxa"/>
            <w:tcBorders>
              <w:top w:val="nil"/>
              <w:left w:val="nil"/>
              <w:bottom w:val="single" w:sz="4" w:space="0" w:color="auto"/>
              <w:right w:val="single" w:sz="4" w:space="0" w:color="auto"/>
            </w:tcBorders>
            <w:vAlign w:val="center"/>
            <w:hideMark/>
          </w:tcPr>
          <w:p w14:paraId="2C36AD57" w14:textId="142F9C0C"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31</w:t>
            </w:r>
            <w:r w:rsidR="00974BB4">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5</w:t>
            </w:r>
          </w:p>
        </w:tc>
        <w:tc>
          <w:tcPr>
            <w:tcW w:w="1074" w:type="dxa"/>
            <w:tcBorders>
              <w:top w:val="nil"/>
              <w:left w:val="nil"/>
              <w:bottom w:val="single" w:sz="4" w:space="0" w:color="auto"/>
              <w:right w:val="single" w:sz="4" w:space="0" w:color="auto"/>
            </w:tcBorders>
            <w:vAlign w:val="center"/>
            <w:hideMark/>
          </w:tcPr>
          <w:p w14:paraId="48A4AB10" w14:textId="5F150F4E" w:rsidR="00A21177" w:rsidRPr="00A21177" w:rsidRDefault="00A21177" w:rsidP="00A21177">
            <w:pPr>
              <w:spacing w:after="0" w:line="240" w:lineRule="auto"/>
              <w:jc w:val="center"/>
              <w:rPr>
                <w:rFonts w:ascii="Aptos" w:eastAsia="Times New Roman" w:hAnsi="Aptos" w:cs="Times New Roman"/>
                <w:color w:val="000000"/>
                <w:kern w:val="0"/>
                <w:szCs w:val="24"/>
                <w:lang w:eastAsia="en-IN"/>
                <w14:ligatures w14:val="none"/>
              </w:rPr>
            </w:pPr>
          </w:p>
        </w:tc>
      </w:tr>
      <w:tr w:rsidR="00A21177" w:rsidRPr="00A21177" w14:paraId="59643E37" w14:textId="77777777" w:rsidTr="00C91D91">
        <w:trPr>
          <w:trHeight w:val="20"/>
        </w:trPr>
        <w:tc>
          <w:tcPr>
            <w:tcW w:w="1360" w:type="dxa"/>
            <w:tcBorders>
              <w:top w:val="nil"/>
              <w:left w:val="single" w:sz="4" w:space="0" w:color="auto"/>
              <w:bottom w:val="single" w:sz="4" w:space="0" w:color="auto"/>
              <w:right w:val="single" w:sz="4" w:space="0" w:color="auto"/>
            </w:tcBorders>
            <w:vAlign w:val="center"/>
            <w:hideMark/>
          </w:tcPr>
          <w:p w14:paraId="618AB5BF"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West Bengal</w:t>
            </w:r>
          </w:p>
        </w:tc>
        <w:tc>
          <w:tcPr>
            <w:tcW w:w="1463" w:type="dxa"/>
            <w:tcBorders>
              <w:top w:val="nil"/>
              <w:left w:val="nil"/>
              <w:bottom w:val="single" w:sz="4" w:space="0" w:color="auto"/>
              <w:right w:val="single" w:sz="4" w:space="0" w:color="auto"/>
            </w:tcBorders>
            <w:vAlign w:val="center"/>
            <w:hideMark/>
          </w:tcPr>
          <w:p w14:paraId="216B4ADD"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64</w:t>
            </w:r>
          </w:p>
        </w:tc>
        <w:tc>
          <w:tcPr>
            <w:tcW w:w="1075" w:type="dxa"/>
            <w:tcBorders>
              <w:top w:val="nil"/>
              <w:left w:val="nil"/>
              <w:bottom w:val="single" w:sz="4" w:space="0" w:color="auto"/>
              <w:right w:val="single" w:sz="4" w:space="0" w:color="auto"/>
            </w:tcBorders>
            <w:vAlign w:val="center"/>
            <w:hideMark/>
          </w:tcPr>
          <w:p w14:paraId="2C23B809"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207</w:t>
            </w:r>
          </w:p>
        </w:tc>
        <w:tc>
          <w:tcPr>
            <w:tcW w:w="856" w:type="dxa"/>
            <w:tcBorders>
              <w:top w:val="nil"/>
              <w:left w:val="nil"/>
              <w:bottom w:val="single" w:sz="4" w:space="0" w:color="auto"/>
              <w:right w:val="single" w:sz="4" w:space="0" w:color="auto"/>
            </w:tcBorders>
            <w:vAlign w:val="center"/>
            <w:hideMark/>
          </w:tcPr>
          <w:p w14:paraId="7157EA23"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592</w:t>
            </w:r>
          </w:p>
        </w:tc>
        <w:tc>
          <w:tcPr>
            <w:tcW w:w="959" w:type="dxa"/>
            <w:tcBorders>
              <w:top w:val="nil"/>
              <w:left w:val="nil"/>
              <w:bottom w:val="single" w:sz="4" w:space="0" w:color="auto"/>
              <w:right w:val="single" w:sz="4" w:space="0" w:color="auto"/>
            </w:tcBorders>
            <w:vAlign w:val="center"/>
            <w:hideMark/>
          </w:tcPr>
          <w:p w14:paraId="54BE3BBF"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289</w:t>
            </w:r>
          </w:p>
        </w:tc>
        <w:tc>
          <w:tcPr>
            <w:tcW w:w="1450" w:type="dxa"/>
            <w:tcBorders>
              <w:top w:val="nil"/>
              <w:left w:val="nil"/>
              <w:bottom w:val="single" w:sz="4" w:space="0" w:color="auto"/>
              <w:right w:val="single" w:sz="4" w:space="0" w:color="auto"/>
            </w:tcBorders>
            <w:vAlign w:val="center"/>
            <w:hideMark/>
          </w:tcPr>
          <w:p w14:paraId="2106F21E"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43</w:t>
            </w:r>
          </w:p>
        </w:tc>
        <w:tc>
          <w:tcPr>
            <w:tcW w:w="1231" w:type="dxa"/>
            <w:tcBorders>
              <w:top w:val="nil"/>
              <w:left w:val="nil"/>
              <w:bottom w:val="single" w:sz="4" w:space="0" w:color="auto"/>
              <w:right w:val="single" w:sz="4" w:space="0" w:color="auto"/>
            </w:tcBorders>
            <w:vAlign w:val="center"/>
            <w:hideMark/>
          </w:tcPr>
          <w:p w14:paraId="228339AC"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660</w:t>
            </w:r>
          </w:p>
        </w:tc>
        <w:tc>
          <w:tcPr>
            <w:tcW w:w="817" w:type="dxa"/>
            <w:tcBorders>
              <w:top w:val="nil"/>
              <w:left w:val="nil"/>
              <w:bottom w:val="single" w:sz="4" w:space="0" w:color="auto"/>
              <w:right w:val="single" w:sz="4" w:space="0" w:color="auto"/>
            </w:tcBorders>
            <w:vAlign w:val="center"/>
            <w:hideMark/>
          </w:tcPr>
          <w:p w14:paraId="1F484DFC"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397</w:t>
            </w:r>
          </w:p>
        </w:tc>
        <w:tc>
          <w:tcPr>
            <w:tcW w:w="1074" w:type="dxa"/>
            <w:tcBorders>
              <w:top w:val="nil"/>
              <w:left w:val="nil"/>
              <w:bottom w:val="single" w:sz="4" w:space="0" w:color="auto"/>
              <w:right w:val="single" w:sz="4" w:space="0" w:color="auto"/>
            </w:tcBorders>
            <w:vAlign w:val="center"/>
            <w:hideMark/>
          </w:tcPr>
          <w:p w14:paraId="33E46F80"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2252</w:t>
            </w:r>
          </w:p>
        </w:tc>
        <w:tc>
          <w:tcPr>
            <w:tcW w:w="958" w:type="dxa"/>
            <w:tcBorders>
              <w:top w:val="nil"/>
              <w:left w:val="nil"/>
              <w:bottom w:val="single" w:sz="4" w:space="0" w:color="auto"/>
              <w:right w:val="single" w:sz="4" w:space="0" w:color="auto"/>
            </w:tcBorders>
            <w:vAlign w:val="center"/>
            <w:hideMark/>
          </w:tcPr>
          <w:p w14:paraId="5D9648C1"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681</w:t>
            </w:r>
          </w:p>
        </w:tc>
        <w:tc>
          <w:tcPr>
            <w:tcW w:w="919" w:type="dxa"/>
            <w:tcBorders>
              <w:top w:val="nil"/>
              <w:left w:val="nil"/>
              <w:bottom w:val="single" w:sz="4" w:space="0" w:color="auto"/>
              <w:right w:val="single" w:sz="4" w:space="0" w:color="auto"/>
            </w:tcBorders>
            <w:vAlign w:val="center"/>
            <w:hideMark/>
          </w:tcPr>
          <w:p w14:paraId="69720A59"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117</w:t>
            </w:r>
          </w:p>
        </w:tc>
        <w:tc>
          <w:tcPr>
            <w:tcW w:w="1074" w:type="dxa"/>
            <w:tcBorders>
              <w:top w:val="nil"/>
              <w:left w:val="nil"/>
              <w:bottom w:val="single" w:sz="4" w:space="0" w:color="auto"/>
              <w:right w:val="single" w:sz="4" w:space="0" w:color="auto"/>
            </w:tcBorders>
            <w:vAlign w:val="center"/>
            <w:hideMark/>
          </w:tcPr>
          <w:p w14:paraId="5703EA4C"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586</w:t>
            </w:r>
          </w:p>
        </w:tc>
        <w:tc>
          <w:tcPr>
            <w:tcW w:w="1074" w:type="dxa"/>
            <w:tcBorders>
              <w:top w:val="nil"/>
              <w:left w:val="nil"/>
              <w:bottom w:val="single" w:sz="4" w:space="0" w:color="auto"/>
              <w:right w:val="single" w:sz="4" w:space="0" w:color="auto"/>
            </w:tcBorders>
            <w:vAlign w:val="center"/>
            <w:hideMark/>
          </w:tcPr>
          <w:p w14:paraId="4C404A03"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3637</w:t>
            </w:r>
          </w:p>
        </w:tc>
      </w:tr>
      <w:tr w:rsidR="00A21177" w:rsidRPr="00A21177" w14:paraId="6AF45123" w14:textId="77777777" w:rsidTr="00C91D91">
        <w:trPr>
          <w:trHeight w:val="20"/>
        </w:trPr>
        <w:tc>
          <w:tcPr>
            <w:tcW w:w="1360" w:type="dxa"/>
            <w:tcBorders>
              <w:top w:val="nil"/>
              <w:left w:val="single" w:sz="4" w:space="0" w:color="auto"/>
              <w:bottom w:val="single" w:sz="4" w:space="0" w:color="auto"/>
              <w:right w:val="single" w:sz="4" w:space="0" w:color="auto"/>
            </w:tcBorders>
            <w:vAlign w:val="center"/>
            <w:hideMark/>
          </w:tcPr>
          <w:p w14:paraId="75B397BF" w14:textId="45F8FFCC" w:rsidR="00A21177" w:rsidRPr="00A21177" w:rsidRDefault="00A21177" w:rsidP="00A21177">
            <w:pPr>
              <w:spacing w:after="0" w:line="240" w:lineRule="auto"/>
              <w:jc w:val="center"/>
              <w:rPr>
                <w:rFonts w:ascii="Aptos" w:eastAsia="Times New Roman" w:hAnsi="Aptos" w:cs="Times New Roman"/>
                <w:color w:val="000000"/>
                <w:kern w:val="0"/>
                <w:szCs w:val="24"/>
                <w:lang w:eastAsia="en-IN"/>
                <w14:ligatures w14:val="none"/>
              </w:rPr>
            </w:pPr>
          </w:p>
        </w:tc>
        <w:tc>
          <w:tcPr>
            <w:tcW w:w="1463" w:type="dxa"/>
            <w:tcBorders>
              <w:top w:val="nil"/>
              <w:left w:val="nil"/>
              <w:bottom w:val="single" w:sz="4" w:space="0" w:color="auto"/>
              <w:right w:val="single" w:sz="4" w:space="0" w:color="auto"/>
            </w:tcBorders>
            <w:vAlign w:val="center"/>
            <w:hideMark/>
          </w:tcPr>
          <w:p w14:paraId="05D17D71" w14:textId="03434CD2"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1</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8</w:t>
            </w:r>
          </w:p>
        </w:tc>
        <w:tc>
          <w:tcPr>
            <w:tcW w:w="1075" w:type="dxa"/>
            <w:tcBorders>
              <w:top w:val="nil"/>
              <w:left w:val="nil"/>
              <w:bottom w:val="single" w:sz="4" w:space="0" w:color="auto"/>
              <w:right w:val="single" w:sz="4" w:space="0" w:color="auto"/>
            </w:tcBorders>
            <w:vAlign w:val="center"/>
            <w:hideMark/>
          </w:tcPr>
          <w:p w14:paraId="50C5FFB0" w14:textId="3F6DD568"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5</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7</w:t>
            </w:r>
          </w:p>
        </w:tc>
        <w:tc>
          <w:tcPr>
            <w:tcW w:w="856" w:type="dxa"/>
            <w:tcBorders>
              <w:top w:val="nil"/>
              <w:left w:val="nil"/>
              <w:bottom w:val="single" w:sz="4" w:space="0" w:color="auto"/>
              <w:right w:val="single" w:sz="4" w:space="0" w:color="auto"/>
            </w:tcBorders>
            <w:vAlign w:val="center"/>
            <w:hideMark/>
          </w:tcPr>
          <w:p w14:paraId="56EEE026" w14:textId="772D410C"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16</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3</w:t>
            </w:r>
          </w:p>
        </w:tc>
        <w:tc>
          <w:tcPr>
            <w:tcW w:w="959" w:type="dxa"/>
            <w:tcBorders>
              <w:top w:val="nil"/>
              <w:left w:val="nil"/>
              <w:bottom w:val="single" w:sz="4" w:space="0" w:color="auto"/>
              <w:right w:val="single" w:sz="4" w:space="0" w:color="auto"/>
            </w:tcBorders>
            <w:vAlign w:val="center"/>
            <w:hideMark/>
          </w:tcPr>
          <w:p w14:paraId="2519EA26" w14:textId="6DDAF96F"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7</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9</w:t>
            </w:r>
          </w:p>
        </w:tc>
        <w:tc>
          <w:tcPr>
            <w:tcW w:w="1450" w:type="dxa"/>
            <w:tcBorders>
              <w:top w:val="nil"/>
              <w:left w:val="nil"/>
              <w:bottom w:val="single" w:sz="4" w:space="0" w:color="auto"/>
              <w:right w:val="single" w:sz="4" w:space="0" w:color="auto"/>
            </w:tcBorders>
            <w:vAlign w:val="center"/>
            <w:hideMark/>
          </w:tcPr>
          <w:p w14:paraId="6E386D33" w14:textId="63D8DD4E"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1</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2</w:t>
            </w:r>
          </w:p>
        </w:tc>
        <w:tc>
          <w:tcPr>
            <w:tcW w:w="1231" w:type="dxa"/>
            <w:tcBorders>
              <w:top w:val="nil"/>
              <w:left w:val="nil"/>
              <w:bottom w:val="single" w:sz="4" w:space="0" w:color="auto"/>
              <w:right w:val="single" w:sz="4" w:space="0" w:color="auto"/>
            </w:tcBorders>
            <w:vAlign w:val="center"/>
            <w:hideMark/>
          </w:tcPr>
          <w:p w14:paraId="05C21C9D" w14:textId="0B5F1C75"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18</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1</w:t>
            </w:r>
          </w:p>
        </w:tc>
        <w:tc>
          <w:tcPr>
            <w:tcW w:w="817" w:type="dxa"/>
            <w:tcBorders>
              <w:top w:val="nil"/>
              <w:left w:val="nil"/>
              <w:bottom w:val="single" w:sz="4" w:space="0" w:color="auto"/>
              <w:right w:val="single" w:sz="4" w:space="0" w:color="auto"/>
            </w:tcBorders>
            <w:vAlign w:val="center"/>
            <w:hideMark/>
          </w:tcPr>
          <w:p w14:paraId="02D079D9" w14:textId="13EA3F2F"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10</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9</w:t>
            </w:r>
          </w:p>
        </w:tc>
        <w:tc>
          <w:tcPr>
            <w:tcW w:w="1074" w:type="dxa"/>
            <w:tcBorders>
              <w:top w:val="nil"/>
              <w:left w:val="nil"/>
              <w:bottom w:val="single" w:sz="4" w:space="0" w:color="auto"/>
              <w:right w:val="single" w:sz="4" w:space="0" w:color="auto"/>
            </w:tcBorders>
            <w:vAlign w:val="center"/>
            <w:hideMark/>
          </w:tcPr>
          <w:p w14:paraId="12DF1FE6" w14:textId="739FA1EF"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61</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9</w:t>
            </w:r>
          </w:p>
        </w:tc>
        <w:tc>
          <w:tcPr>
            <w:tcW w:w="958" w:type="dxa"/>
            <w:tcBorders>
              <w:top w:val="nil"/>
              <w:left w:val="nil"/>
              <w:bottom w:val="single" w:sz="4" w:space="0" w:color="auto"/>
              <w:right w:val="single" w:sz="4" w:space="0" w:color="auto"/>
            </w:tcBorders>
            <w:vAlign w:val="center"/>
            <w:hideMark/>
          </w:tcPr>
          <w:p w14:paraId="14D77887" w14:textId="0F34AA56"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18</w:t>
            </w:r>
            <w:r w:rsidR="00974BB4">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8</w:t>
            </w:r>
          </w:p>
        </w:tc>
        <w:tc>
          <w:tcPr>
            <w:tcW w:w="919" w:type="dxa"/>
            <w:tcBorders>
              <w:top w:val="nil"/>
              <w:left w:val="nil"/>
              <w:bottom w:val="single" w:sz="4" w:space="0" w:color="auto"/>
              <w:right w:val="single" w:sz="4" w:space="0" w:color="auto"/>
            </w:tcBorders>
            <w:vAlign w:val="center"/>
            <w:hideMark/>
          </w:tcPr>
          <w:p w14:paraId="29377F7A" w14:textId="4E97A0E0"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3</w:t>
            </w:r>
            <w:r w:rsidR="00974BB4">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2</w:t>
            </w:r>
          </w:p>
        </w:tc>
        <w:tc>
          <w:tcPr>
            <w:tcW w:w="1074" w:type="dxa"/>
            <w:tcBorders>
              <w:top w:val="nil"/>
              <w:left w:val="nil"/>
              <w:bottom w:val="single" w:sz="4" w:space="0" w:color="auto"/>
              <w:right w:val="single" w:sz="4" w:space="0" w:color="auto"/>
            </w:tcBorders>
            <w:vAlign w:val="center"/>
            <w:hideMark/>
          </w:tcPr>
          <w:p w14:paraId="51223A25" w14:textId="7B6DD02D"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16</w:t>
            </w:r>
            <w:r w:rsidR="00974BB4">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1</w:t>
            </w:r>
          </w:p>
        </w:tc>
        <w:tc>
          <w:tcPr>
            <w:tcW w:w="1074" w:type="dxa"/>
            <w:tcBorders>
              <w:top w:val="nil"/>
              <w:left w:val="nil"/>
              <w:bottom w:val="single" w:sz="4" w:space="0" w:color="auto"/>
              <w:right w:val="single" w:sz="4" w:space="0" w:color="auto"/>
            </w:tcBorders>
            <w:vAlign w:val="center"/>
            <w:hideMark/>
          </w:tcPr>
          <w:p w14:paraId="291D7A94" w14:textId="7C7A147D" w:rsidR="00A21177" w:rsidRPr="00A21177" w:rsidRDefault="00A21177" w:rsidP="00A21177">
            <w:pPr>
              <w:spacing w:after="0" w:line="240" w:lineRule="auto"/>
              <w:jc w:val="center"/>
              <w:rPr>
                <w:rFonts w:ascii="Aptos" w:eastAsia="Times New Roman" w:hAnsi="Aptos" w:cs="Times New Roman"/>
                <w:color w:val="000000"/>
                <w:kern w:val="0"/>
                <w:szCs w:val="24"/>
                <w:lang w:eastAsia="en-IN"/>
                <w14:ligatures w14:val="none"/>
              </w:rPr>
            </w:pPr>
          </w:p>
        </w:tc>
      </w:tr>
      <w:tr w:rsidR="00A21177" w:rsidRPr="00A21177" w14:paraId="0DF39BDD" w14:textId="77777777" w:rsidTr="00C91D91">
        <w:trPr>
          <w:trHeight w:val="20"/>
        </w:trPr>
        <w:tc>
          <w:tcPr>
            <w:tcW w:w="1360" w:type="dxa"/>
            <w:tcBorders>
              <w:top w:val="nil"/>
              <w:left w:val="single" w:sz="4" w:space="0" w:color="auto"/>
              <w:bottom w:val="single" w:sz="4" w:space="0" w:color="auto"/>
              <w:right w:val="single" w:sz="4" w:space="0" w:color="auto"/>
            </w:tcBorders>
            <w:vAlign w:val="center"/>
            <w:hideMark/>
          </w:tcPr>
          <w:p w14:paraId="39D98F98"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Hyderabad</w:t>
            </w:r>
          </w:p>
        </w:tc>
        <w:tc>
          <w:tcPr>
            <w:tcW w:w="1463" w:type="dxa"/>
            <w:tcBorders>
              <w:top w:val="nil"/>
              <w:left w:val="nil"/>
              <w:bottom w:val="single" w:sz="4" w:space="0" w:color="auto"/>
              <w:right w:val="single" w:sz="4" w:space="0" w:color="auto"/>
            </w:tcBorders>
            <w:vAlign w:val="center"/>
            <w:hideMark/>
          </w:tcPr>
          <w:p w14:paraId="6A669900"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10</w:t>
            </w:r>
          </w:p>
        </w:tc>
        <w:tc>
          <w:tcPr>
            <w:tcW w:w="1075" w:type="dxa"/>
            <w:tcBorders>
              <w:top w:val="nil"/>
              <w:left w:val="nil"/>
              <w:bottom w:val="single" w:sz="4" w:space="0" w:color="auto"/>
              <w:right w:val="single" w:sz="4" w:space="0" w:color="auto"/>
            </w:tcBorders>
            <w:vAlign w:val="center"/>
            <w:hideMark/>
          </w:tcPr>
          <w:p w14:paraId="7D088C95"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596</w:t>
            </w:r>
          </w:p>
        </w:tc>
        <w:tc>
          <w:tcPr>
            <w:tcW w:w="856" w:type="dxa"/>
            <w:tcBorders>
              <w:top w:val="nil"/>
              <w:left w:val="nil"/>
              <w:bottom w:val="single" w:sz="4" w:space="0" w:color="auto"/>
              <w:right w:val="single" w:sz="4" w:space="0" w:color="auto"/>
            </w:tcBorders>
            <w:vAlign w:val="center"/>
            <w:hideMark/>
          </w:tcPr>
          <w:p w14:paraId="4C062C6F"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990</w:t>
            </w:r>
          </w:p>
        </w:tc>
        <w:tc>
          <w:tcPr>
            <w:tcW w:w="959" w:type="dxa"/>
            <w:tcBorders>
              <w:top w:val="nil"/>
              <w:left w:val="nil"/>
              <w:bottom w:val="single" w:sz="4" w:space="0" w:color="auto"/>
              <w:right w:val="single" w:sz="4" w:space="0" w:color="auto"/>
            </w:tcBorders>
            <w:vAlign w:val="center"/>
            <w:hideMark/>
          </w:tcPr>
          <w:p w14:paraId="23E3855A"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48</w:t>
            </w:r>
          </w:p>
        </w:tc>
        <w:tc>
          <w:tcPr>
            <w:tcW w:w="1450" w:type="dxa"/>
            <w:tcBorders>
              <w:top w:val="nil"/>
              <w:left w:val="nil"/>
              <w:bottom w:val="single" w:sz="4" w:space="0" w:color="auto"/>
              <w:right w:val="single" w:sz="4" w:space="0" w:color="auto"/>
            </w:tcBorders>
            <w:vAlign w:val="center"/>
            <w:hideMark/>
          </w:tcPr>
          <w:p w14:paraId="6A7F9E2B"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8</w:t>
            </w:r>
          </w:p>
        </w:tc>
        <w:tc>
          <w:tcPr>
            <w:tcW w:w="1231" w:type="dxa"/>
            <w:tcBorders>
              <w:top w:val="nil"/>
              <w:left w:val="nil"/>
              <w:bottom w:val="single" w:sz="4" w:space="0" w:color="auto"/>
              <w:right w:val="single" w:sz="4" w:space="0" w:color="auto"/>
            </w:tcBorders>
            <w:vAlign w:val="center"/>
            <w:hideMark/>
          </w:tcPr>
          <w:p w14:paraId="3CE3B49C"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258</w:t>
            </w:r>
          </w:p>
        </w:tc>
        <w:tc>
          <w:tcPr>
            <w:tcW w:w="817" w:type="dxa"/>
            <w:tcBorders>
              <w:top w:val="nil"/>
              <w:left w:val="nil"/>
              <w:bottom w:val="single" w:sz="4" w:space="0" w:color="auto"/>
              <w:right w:val="single" w:sz="4" w:space="0" w:color="auto"/>
            </w:tcBorders>
            <w:vAlign w:val="center"/>
            <w:hideMark/>
          </w:tcPr>
          <w:p w14:paraId="0694881C"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187</w:t>
            </w:r>
          </w:p>
        </w:tc>
        <w:tc>
          <w:tcPr>
            <w:tcW w:w="1074" w:type="dxa"/>
            <w:tcBorders>
              <w:top w:val="nil"/>
              <w:left w:val="nil"/>
              <w:bottom w:val="single" w:sz="4" w:space="0" w:color="auto"/>
              <w:right w:val="single" w:sz="4" w:space="0" w:color="auto"/>
            </w:tcBorders>
            <w:vAlign w:val="center"/>
            <w:hideMark/>
          </w:tcPr>
          <w:p w14:paraId="0B365FEF"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2098</w:t>
            </w:r>
          </w:p>
        </w:tc>
        <w:tc>
          <w:tcPr>
            <w:tcW w:w="958" w:type="dxa"/>
            <w:tcBorders>
              <w:top w:val="nil"/>
              <w:left w:val="nil"/>
              <w:bottom w:val="single" w:sz="4" w:space="0" w:color="auto"/>
              <w:right w:val="single" w:sz="4" w:space="0" w:color="auto"/>
            </w:tcBorders>
            <w:vAlign w:val="center"/>
            <w:hideMark/>
          </w:tcPr>
          <w:p w14:paraId="400B0B6C"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w:t>
            </w:r>
          </w:p>
        </w:tc>
        <w:tc>
          <w:tcPr>
            <w:tcW w:w="919" w:type="dxa"/>
            <w:tcBorders>
              <w:top w:val="nil"/>
              <w:left w:val="nil"/>
              <w:bottom w:val="single" w:sz="4" w:space="0" w:color="auto"/>
              <w:right w:val="single" w:sz="4" w:space="0" w:color="auto"/>
            </w:tcBorders>
            <w:vAlign w:val="center"/>
            <w:hideMark/>
          </w:tcPr>
          <w:p w14:paraId="02C1FF89"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116</w:t>
            </w:r>
          </w:p>
        </w:tc>
        <w:tc>
          <w:tcPr>
            <w:tcW w:w="1074" w:type="dxa"/>
            <w:tcBorders>
              <w:top w:val="nil"/>
              <w:left w:val="nil"/>
              <w:bottom w:val="single" w:sz="4" w:space="0" w:color="auto"/>
              <w:right w:val="single" w:sz="4" w:space="0" w:color="auto"/>
            </w:tcBorders>
            <w:vAlign w:val="center"/>
            <w:hideMark/>
          </w:tcPr>
          <w:p w14:paraId="6774E151"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488</w:t>
            </w:r>
          </w:p>
        </w:tc>
        <w:tc>
          <w:tcPr>
            <w:tcW w:w="1074" w:type="dxa"/>
            <w:tcBorders>
              <w:top w:val="nil"/>
              <w:left w:val="nil"/>
              <w:bottom w:val="single" w:sz="4" w:space="0" w:color="auto"/>
              <w:right w:val="single" w:sz="4" w:space="0" w:color="auto"/>
            </w:tcBorders>
            <w:vAlign w:val="center"/>
            <w:hideMark/>
          </w:tcPr>
          <w:p w14:paraId="09F4C343"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2701</w:t>
            </w:r>
          </w:p>
        </w:tc>
      </w:tr>
      <w:tr w:rsidR="00A21177" w:rsidRPr="00A21177" w14:paraId="755D43B8" w14:textId="77777777" w:rsidTr="00C91D91">
        <w:trPr>
          <w:trHeight w:val="20"/>
        </w:trPr>
        <w:tc>
          <w:tcPr>
            <w:tcW w:w="1360" w:type="dxa"/>
            <w:tcBorders>
              <w:top w:val="single" w:sz="4" w:space="0" w:color="auto"/>
              <w:left w:val="single" w:sz="4" w:space="0" w:color="auto"/>
              <w:bottom w:val="single" w:sz="4" w:space="0" w:color="auto"/>
              <w:right w:val="single" w:sz="4" w:space="0" w:color="auto"/>
            </w:tcBorders>
            <w:vAlign w:val="center"/>
            <w:hideMark/>
          </w:tcPr>
          <w:p w14:paraId="55AF1B71" w14:textId="72710860" w:rsidR="00A21177" w:rsidRPr="00A21177" w:rsidRDefault="00A21177" w:rsidP="00A21177">
            <w:pPr>
              <w:spacing w:after="0" w:line="240" w:lineRule="auto"/>
              <w:jc w:val="center"/>
              <w:rPr>
                <w:rFonts w:ascii="Aptos" w:eastAsia="Times New Roman" w:hAnsi="Aptos" w:cs="Times New Roman"/>
                <w:color w:val="000000"/>
                <w:kern w:val="0"/>
                <w:szCs w:val="24"/>
                <w:lang w:eastAsia="en-IN"/>
                <w14:ligatures w14:val="none"/>
              </w:rPr>
            </w:pPr>
          </w:p>
        </w:tc>
        <w:tc>
          <w:tcPr>
            <w:tcW w:w="1463" w:type="dxa"/>
            <w:tcBorders>
              <w:top w:val="single" w:sz="4" w:space="0" w:color="auto"/>
              <w:left w:val="single" w:sz="4" w:space="0" w:color="auto"/>
              <w:bottom w:val="single" w:sz="4" w:space="0" w:color="auto"/>
              <w:right w:val="single" w:sz="4" w:space="0" w:color="auto"/>
            </w:tcBorders>
            <w:vAlign w:val="center"/>
            <w:hideMark/>
          </w:tcPr>
          <w:p w14:paraId="39BC93B2" w14:textId="78E41A65"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0</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4</w:t>
            </w:r>
          </w:p>
        </w:tc>
        <w:tc>
          <w:tcPr>
            <w:tcW w:w="1075" w:type="dxa"/>
            <w:tcBorders>
              <w:top w:val="single" w:sz="4" w:space="0" w:color="auto"/>
              <w:left w:val="single" w:sz="4" w:space="0" w:color="auto"/>
              <w:bottom w:val="single" w:sz="4" w:space="0" w:color="auto"/>
              <w:right w:val="single" w:sz="4" w:space="0" w:color="auto"/>
            </w:tcBorders>
            <w:vAlign w:val="center"/>
            <w:hideMark/>
          </w:tcPr>
          <w:p w14:paraId="127ADEBF" w14:textId="7C02CED6"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22</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1</w:t>
            </w:r>
          </w:p>
        </w:tc>
        <w:tc>
          <w:tcPr>
            <w:tcW w:w="856" w:type="dxa"/>
            <w:tcBorders>
              <w:top w:val="single" w:sz="4" w:space="0" w:color="auto"/>
              <w:left w:val="single" w:sz="4" w:space="0" w:color="auto"/>
              <w:bottom w:val="single" w:sz="4" w:space="0" w:color="auto"/>
              <w:right w:val="single" w:sz="4" w:space="0" w:color="auto"/>
            </w:tcBorders>
            <w:vAlign w:val="center"/>
            <w:hideMark/>
          </w:tcPr>
          <w:p w14:paraId="0EBFF904" w14:textId="1C412BC9"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36</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7</w:t>
            </w:r>
          </w:p>
        </w:tc>
        <w:tc>
          <w:tcPr>
            <w:tcW w:w="959" w:type="dxa"/>
            <w:tcBorders>
              <w:top w:val="single" w:sz="4" w:space="0" w:color="auto"/>
              <w:left w:val="single" w:sz="4" w:space="0" w:color="auto"/>
              <w:bottom w:val="single" w:sz="4" w:space="0" w:color="auto"/>
              <w:right w:val="single" w:sz="4" w:space="0" w:color="auto"/>
            </w:tcBorders>
            <w:vAlign w:val="center"/>
            <w:hideMark/>
          </w:tcPr>
          <w:p w14:paraId="75C0C7B2" w14:textId="0888F7B3"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1</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8</w:t>
            </w:r>
          </w:p>
        </w:tc>
        <w:tc>
          <w:tcPr>
            <w:tcW w:w="1450" w:type="dxa"/>
            <w:tcBorders>
              <w:top w:val="single" w:sz="4" w:space="0" w:color="auto"/>
              <w:left w:val="single" w:sz="4" w:space="0" w:color="auto"/>
              <w:bottom w:val="single" w:sz="4" w:space="0" w:color="auto"/>
              <w:right w:val="single" w:sz="4" w:space="0" w:color="auto"/>
            </w:tcBorders>
            <w:vAlign w:val="center"/>
            <w:hideMark/>
          </w:tcPr>
          <w:p w14:paraId="7FB9EF2C" w14:textId="7B699132"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0</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3</w:t>
            </w:r>
          </w:p>
        </w:tc>
        <w:tc>
          <w:tcPr>
            <w:tcW w:w="1231" w:type="dxa"/>
            <w:tcBorders>
              <w:top w:val="single" w:sz="4" w:space="0" w:color="auto"/>
              <w:left w:val="single" w:sz="4" w:space="0" w:color="auto"/>
              <w:bottom w:val="single" w:sz="4" w:space="0" w:color="auto"/>
              <w:right w:val="single" w:sz="4" w:space="0" w:color="auto"/>
            </w:tcBorders>
            <w:vAlign w:val="center"/>
            <w:hideMark/>
          </w:tcPr>
          <w:p w14:paraId="1B196066" w14:textId="7B31DAE3"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9</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5</w:t>
            </w:r>
          </w:p>
        </w:tc>
        <w:tc>
          <w:tcPr>
            <w:tcW w:w="817" w:type="dxa"/>
            <w:tcBorders>
              <w:top w:val="single" w:sz="4" w:space="0" w:color="auto"/>
              <w:left w:val="single" w:sz="4" w:space="0" w:color="auto"/>
              <w:bottom w:val="single" w:sz="4" w:space="0" w:color="auto"/>
              <w:right w:val="single" w:sz="4" w:space="0" w:color="auto"/>
            </w:tcBorders>
            <w:vAlign w:val="center"/>
            <w:hideMark/>
          </w:tcPr>
          <w:p w14:paraId="3793F4CF" w14:textId="73245913"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6</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9</w:t>
            </w:r>
          </w:p>
        </w:tc>
        <w:tc>
          <w:tcPr>
            <w:tcW w:w="1074" w:type="dxa"/>
            <w:tcBorders>
              <w:top w:val="single" w:sz="4" w:space="0" w:color="auto"/>
              <w:left w:val="single" w:sz="4" w:space="0" w:color="auto"/>
              <w:bottom w:val="single" w:sz="4" w:space="0" w:color="auto"/>
              <w:right w:val="single" w:sz="4" w:space="0" w:color="auto"/>
            </w:tcBorders>
            <w:vAlign w:val="center"/>
            <w:hideMark/>
          </w:tcPr>
          <w:p w14:paraId="4223752D" w14:textId="7A5307AF"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77</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7</w:t>
            </w:r>
          </w:p>
        </w:tc>
        <w:tc>
          <w:tcPr>
            <w:tcW w:w="958" w:type="dxa"/>
            <w:tcBorders>
              <w:top w:val="single" w:sz="4" w:space="0" w:color="auto"/>
              <w:left w:val="single" w:sz="4" w:space="0" w:color="auto"/>
              <w:bottom w:val="single" w:sz="4" w:space="0" w:color="auto"/>
              <w:right w:val="single" w:sz="4" w:space="0" w:color="auto"/>
            </w:tcBorders>
            <w:vAlign w:val="center"/>
            <w:hideMark/>
          </w:tcPr>
          <w:p w14:paraId="6553203A"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w:t>
            </w:r>
          </w:p>
        </w:tc>
        <w:tc>
          <w:tcPr>
            <w:tcW w:w="919" w:type="dxa"/>
            <w:tcBorders>
              <w:top w:val="single" w:sz="4" w:space="0" w:color="auto"/>
              <w:left w:val="single" w:sz="4" w:space="0" w:color="auto"/>
              <w:bottom w:val="single" w:sz="4" w:space="0" w:color="auto"/>
              <w:right w:val="single" w:sz="4" w:space="0" w:color="auto"/>
            </w:tcBorders>
            <w:vAlign w:val="center"/>
            <w:hideMark/>
          </w:tcPr>
          <w:p w14:paraId="41084BF4" w14:textId="631AC482"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4</w:t>
            </w:r>
            <w:r w:rsidR="00974BB4">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3</w:t>
            </w:r>
          </w:p>
        </w:tc>
        <w:tc>
          <w:tcPr>
            <w:tcW w:w="1074" w:type="dxa"/>
            <w:tcBorders>
              <w:top w:val="single" w:sz="4" w:space="0" w:color="auto"/>
              <w:left w:val="single" w:sz="4" w:space="0" w:color="auto"/>
              <w:bottom w:val="single" w:sz="4" w:space="0" w:color="auto"/>
              <w:right w:val="single" w:sz="4" w:space="0" w:color="auto"/>
            </w:tcBorders>
            <w:vAlign w:val="center"/>
            <w:hideMark/>
          </w:tcPr>
          <w:p w14:paraId="7656A548" w14:textId="0A617EEA"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18</w:t>
            </w:r>
            <w:r w:rsidR="00974BB4">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1</w:t>
            </w:r>
          </w:p>
        </w:tc>
        <w:tc>
          <w:tcPr>
            <w:tcW w:w="1074" w:type="dxa"/>
            <w:tcBorders>
              <w:top w:val="single" w:sz="4" w:space="0" w:color="auto"/>
              <w:left w:val="single" w:sz="4" w:space="0" w:color="auto"/>
              <w:bottom w:val="single" w:sz="4" w:space="0" w:color="auto"/>
              <w:right w:val="single" w:sz="4" w:space="0" w:color="auto"/>
            </w:tcBorders>
            <w:vAlign w:val="center"/>
            <w:hideMark/>
          </w:tcPr>
          <w:p w14:paraId="750FAC98" w14:textId="755B4C93" w:rsidR="00A21177" w:rsidRPr="00A21177" w:rsidRDefault="00A21177" w:rsidP="00A21177">
            <w:pPr>
              <w:spacing w:after="0" w:line="240" w:lineRule="auto"/>
              <w:jc w:val="center"/>
              <w:rPr>
                <w:rFonts w:ascii="Aptos" w:eastAsia="Times New Roman" w:hAnsi="Aptos" w:cs="Times New Roman"/>
                <w:color w:val="000000"/>
                <w:kern w:val="0"/>
                <w:szCs w:val="24"/>
                <w:lang w:eastAsia="en-IN"/>
                <w14:ligatures w14:val="none"/>
              </w:rPr>
            </w:pPr>
          </w:p>
        </w:tc>
      </w:tr>
      <w:tr w:rsidR="00A21177" w:rsidRPr="00A21177" w14:paraId="01A713E5" w14:textId="77777777" w:rsidTr="00C91D91">
        <w:trPr>
          <w:trHeight w:val="20"/>
        </w:trPr>
        <w:tc>
          <w:tcPr>
            <w:tcW w:w="1360" w:type="dxa"/>
            <w:tcBorders>
              <w:top w:val="single" w:sz="4" w:space="0" w:color="auto"/>
              <w:left w:val="single" w:sz="4" w:space="0" w:color="auto"/>
              <w:bottom w:val="single" w:sz="4" w:space="0" w:color="auto"/>
              <w:right w:val="single" w:sz="4" w:space="0" w:color="auto"/>
            </w:tcBorders>
            <w:vAlign w:val="center"/>
            <w:hideMark/>
          </w:tcPr>
          <w:p w14:paraId="15FBD777"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Madhya Bharat</w:t>
            </w:r>
          </w:p>
        </w:tc>
        <w:tc>
          <w:tcPr>
            <w:tcW w:w="1463" w:type="dxa"/>
            <w:tcBorders>
              <w:top w:val="single" w:sz="4" w:space="0" w:color="auto"/>
              <w:left w:val="nil"/>
              <w:bottom w:val="single" w:sz="4" w:space="0" w:color="auto"/>
              <w:right w:val="single" w:sz="4" w:space="0" w:color="auto"/>
            </w:tcBorders>
            <w:vAlign w:val="center"/>
            <w:hideMark/>
          </w:tcPr>
          <w:p w14:paraId="7985C02D"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w:t>
            </w:r>
          </w:p>
        </w:tc>
        <w:tc>
          <w:tcPr>
            <w:tcW w:w="1075" w:type="dxa"/>
            <w:tcBorders>
              <w:top w:val="single" w:sz="4" w:space="0" w:color="auto"/>
              <w:left w:val="nil"/>
              <w:bottom w:val="single" w:sz="4" w:space="0" w:color="auto"/>
              <w:right w:val="single" w:sz="4" w:space="0" w:color="auto"/>
            </w:tcBorders>
            <w:vAlign w:val="center"/>
            <w:hideMark/>
          </w:tcPr>
          <w:p w14:paraId="1B2A7749"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344</w:t>
            </w:r>
          </w:p>
        </w:tc>
        <w:tc>
          <w:tcPr>
            <w:tcW w:w="856" w:type="dxa"/>
            <w:tcBorders>
              <w:top w:val="single" w:sz="4" w:space="0" w:color="auto"/>
              <w:left w:val="nil"/>
              <w:bottom w:val="single" w:sz="4" w:space="0" w:color="auto"/>
              <w:right w:val="single" w:sz="4" w:space="0" w:color="auto"/>
            </w:tcBorders>
            <w:vAlign w:val="center"/>
            <w:hideMark/>
          </w:tcPr>
          <w:p w14:paraId="472EE597"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193</w:t>
            </w:r>
          </w:p>
        </w:tc>
        <w:tc>
          <w:tcPr>
            <w:tcW w:w="959" w:type="dxa"/>
            <w:tcBorders>
              <w:top w:val="single" w:sz="4" w:space="0" w:color="auto"/>
              <w:left w:val="nil"/>
              <w:bottom w:val="single" w:sz="4" w:space="0" w:color="auto"/>
              <w:right w:val="single" w:sz="4" w:space="0" w:color="auto"/>
            </w:tcBorders>
            <w:vAlign w:val="center"/>
            <w:hideMark/>
          </w:tcPr>
          <w:p w14:paraId="6D2AA2ED"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41</w:t>
            </w:r>
          </w:p>
        </w:tc>
        <w:tc>
          <w:tcPr>
            <w:tcW w:w="1450" w:type="dxa"/>
            <w:tcBorders>
              <w:top w:val="single" w:sz="4" w:space="0" w:color="auto"/>
              <w:left w:val="nil"/>
              <w:bottom w:val="single" w:sz="4" w:space="0" w:color="auto"/>
              <w:right w:val="single" w:sz="4" w:space="0" w:color="auto"/>
            </w:tcBorders>
            <w:vAlign w:val="center"/>
            <w:hideMark/>
          </w:tcPr>
          <w:p w14:paraId="17B94C78"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2</w:t>
            </w:r>
          </w:p>
        </w:tc>
        <w:tc>
          <w:tcPr>
            <w:tcW w:w="1231" w:type="dxa"/>
            <w:tcBorders>
              <w:top w:val="single" w:sz="4" w:space="0" w:color="auto"/>
              <w:left w:val="nil"/>
              <w:bottom w:val="single" w:sz="4" w:space="0" w:color="auto"/>
              <w:right w:val="single" w:sz="4" w:space="0" w:color="auto"/>
            </w:tcBorders>
            <w:vAlign w:val="center"/>
            <w:hideMark/>
          </w:tcPr>
          <w:p w14:paraId="3AB76080"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92</w:t>
            </w:r>
          </w:p>
        </w:tc>
        <w:tc>
          <w:tcPr>
            <w:tcW w:w="817" w:type="dxa"/>
            <w:tcBorders>
              <w:top w:val="single" w:sz="4" w:space="0" w:color="auto"/>
              <w:left w:val="nil"/>
              <w:bottom w:val="single" w:sz="4" w:space="0" w:color="auto"/>
              <w:right w:val="single" w:sz="4" w:space="0" w:color="auto"/>
            </w:tcBorders>
            <w:vAlign w:val="center"/>
            <w:hideMark/>
          </w:tcPr>
          <w:p w14:paraId="27FDDE3A"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138</w:t>
            </w:r>
          </w:p>
        </w:tc>
        <w:tc>
          <w:tcPr>
            <w:tcW w:w="1074" w:type="dxa"/>
            <w:tcBorders>
              <w:top w:val="single" w:sz="4" w:space="0" w:color="auto"/>
              <w:left w:val="nil"/>
              <w:bottom w:val="single" w:sz="4" w:space="0" w:color="auto"/>
              <w:right w:val="single" w:sz="4" w:space="0" w:color="auto"/>
            </w:tcBorders>
            <w:vAlign w:val="center"/>
            <w:hideMark/>
          </w:tcPr>
          <w:p w14:paraId="514314BC"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809</w:t>
            </w:r>
          </w:p>
        </w:tc>
        <w:tc>
          <w:tcPr>
            <w:tcW w:w="958" w:type="dxa"/>
            <w:tcBorders>
              <w:top w:val="single" w:sz="4" w:space="0" w:color="auto"/>
              <w:left w:val="nil"/>
              <w:bottom w:val="single" w:sz="4" w:space="0" w:color="auto"/>
              <w:right w:val="single" w:sz="4" w:space="0" w:color="auto"/>
            </w:tcBorders>
            <w:vAlign w:val="center"/>
            <w:hideMark/>
          </w:tcPr>
          <w:p w14:paraId="157F5CF2"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3</w:t>
            </w:r>
          </w:p>
        </w:tc>
        <w:tc>
          <w:tcPr>
            <w:tcW w:w="919" w:type="dxa"/>
            <w:tcBorders>
              <w:top w:val="single" w:sz="4" w:space="0" w:color="auto"/>
              <w:left w:val="nil"/>
              <w:bottom w:val="single" w:sz="4" w:space="0" w:color="auto"/>
              <w:right w:val="single" w:sz="4" w:space="0" w:color="auto"/>
            </w:tcBorders>
            <w:vAlign w:val="center"/>
            <w:hideMark/>
          </w:tcPr>
          <w:p w14:paraId="521D71ED"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54</w:t>
            </w:r>
          </w:p>
        </w:tc>
        <w:tc>
          <w:tcPr>
            <w:tcW w:w="1074" w:type="dxa"/>
            <w:tcBorders>
              <w:top w:val="single" w:sz="4" w:space="0" w:color="auto"/>
              <w:left w:val="nil"/>
              <w:bottom w:val="single" w:sz="4" w:space="0" w:color="auto"/>
              <w:right w:val="single" w:sz="4" w:space="0" w:color="auto"/>
            </w:tcBorders>
            <w:vAlign w:val="center"/>
            <w:hideMark/>
          </w:tcPr>
          <w:p w14:paraId="4EA86BE9"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317</w:t>
            </w:r>
          </w:p>
        </w:tc>
        <w:tc>
          <w:tcPr>
            <w:tcW w:w="1074" w:type="dxa"/>
            <w:tcBorders>
              <w:top w:val="single" w:sz="4" w:space="0" w:color="auto"/>
              <w:left w:val="nil"/>
              <w:bottom w:val="single" w:sz="4" w:space="0" w:color="auto"/>
              <w:right w:val="single" w:sz="4" w:space="0" w:color="auto"/>
            </w:tcBorders>
            <w:vAlign w:val="center"/>
            <w:hideMark/>
          </w:tcPr>
          <w:p w14:paraId="2E40A92E"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1188</w:t>
            </w:r>
          </w:p>
        </w:tc>
      </w:tr>
      <w:tr w:rsidR="00A21177" w:rsidRPr="00A21177" w14:paraId="05D6BA8F" w14:textId="77777777" w:rsidTr="00C91D91">
        <w:trPr>
          <w:trHeight w:val="20"/>
        </w:trPr>
        <w:tc>
          <w:tcPr>
            <w:tcW w:w="1360" w:type="dxa"/>
            <w:tcBorders>
              <w:top w:val="nil"/>
              <w:left w:val="single" w:sz="4" w:space="0" w:color="auto"/>
              <w:bottom w:val="single" w:sz="4" w:space="0" w:color="auto"/>
              <w:right w:val="single" w:sz="4" w:space="0" w:color="auto"/>
            </w:tcBorders>
            <w:vAlign w:val="center"/>
            <w:hideMark/>
          </w:tcPr>
          <w:p w14:paraId="01B2E4ED" w14:textId="4A958D6D" w:rsidR="00A21177" w:rsidRPr="00A21177" w:rsidRDefault="00A21177" w:rsidP="00A21177">
            <w:pPr>
              <w:spacing w:after="0" w:line="240" w:lineRule="auto"/>
              <w:jc w:val="center"/>
              <w:rPr>
                <w:rFonts w:ascii="Aptos" w:eastAsia="Times New Roman" w:hAnsi="Aptos" w:cs="Times New Roman"/>
                <w:color w:val="000000"/>
                <w:kern w:val="0"/>
                <w:szCs w:val="24"/>
                <w:lang w:eastAsia="en-IN"/>
                <w14:ligatures w14:val="none"/>
              </w:rPr>
            </w:pPr>
          </w:p>
        </w:tc>
        <w:tc>
          <w:tcPr>
            <w:tcW w:w="1463" w:type="dxa"/>
            <w:tcBorders>
              <w:top w:val="nil"/>
              <w:left w:val="nil"/>
              <w:bottom w:val="single" w:sz="4" w:space="0" w:color="auto"/>
              <w:right w:val="single" w:sz="4" w:space="0" w:color="auto"/>
            </w:tcBorders>
            <w:vAlign w:val="center"/>
            <w:hideMark/>
          </w:tcPr>
          <w:p w14:paraId="47051C6F" w14:textId="665F6955" w:rsidR="00A21177" w:rsidRPr="00A21177" w:rsidRDefault="00A21177" w:rsidP="00A21177">
            <w:pPr>
              <w:spacing w:after="0" w:line="240" w:lineRule="auto"/>
              <w:jc w:val="center"/>
              <w:rPr>
                <w:rFonts w:ascii="Aptos" w:eastAsia="Times New Roman" w:hAnsi="Aptos" w:cs="Times New Roman"/>
                <w:color w:val="000000"/>
                <w:kern w:val="0"/>
                <w:szCs w:val="24"/>
                <w:lang w:eastAsia="en-IN"/>
                <w14:ligatures w14:val="none"/>
              </w:rPr>
            </w:pPr>
          </w:p>
        </w:tc>
        <w:tc>
          <w:tcPr>
            <w:tcW w:w="1075" w:type="dxa"/>
            <w:tcBorders>
              <w:top w:val="nil"/>
              <w:left w:val="nil"/>
              <w:bottom w:val="single" w:sz="4" w:space="0" w:color="auto"/>
              <w:right w:val="single" w:sz="4" w:space="0" w:color="auto"/>
            </w:tcBorders>
            <w:vAlign w:val="center"/>
            <w:hideMark/>
          </w:tcPr>
          <w:p w14:paraId="2A20A67A" w14:textId="4A9160FE"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29</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0</w:t>
            </w:r>
          </w:p>
        </w:tc>
        <w:tc>
          <w:tcPr>
            <w:tcW w:w="856" w:type="dxa"/>
            <w:tcBorders>
              <w:top w:val="nil"/>
              <w:left w:val="nil"/>
              <w:bottom w:val="single" w:sz="4" w:space="0" w:color="auto"/>
              <w:right w:val="single" w:sz="4" w:space="0" w:color="auto"/>
            </w:tcBorders>
            <w:vAlign w:val="center"/>
            <w:hideMark/>
          </w:tcPr>
          <w:p w14:paraId="419F60E0" w14:textId="35200E2E"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16</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2</w:t>
            </w:r>
          </w:p>
        </w:tc>
        <w:tc>
          <w:tcPr>
            <w:tcW w:w="959" w:type="dxa"/>
            <w:tcBorders>
              <w:top w:val="nil"/>
              <w:left w:val="nil"/>
              <w:bottom w:val="single" w:sz="4" w:space="0" w:color="auto"/>
              <w:right w:val="single" w:sz="4" w:space="0" w:color="auto"/>
            </w:tcBorders>
            <w:vAlign w:val="center"/>
            <w:hideMark/>
          </w:tcPr>
          <w:p w14:paraId="1A5440F4" w14:textId="705BEE02"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3</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5</w:t>
            </w:r>
          </w:p>
        </w:tc>
        <w:tc>
          <w:tcPr>
            <w:tcW w:w="1450" w:type="dxa"/>
            <w:tcBorders>
              <w:top w:val="nil"/>
              <w:left w:val="nil"/>
              <w:bottom w:val="single" w:sz="4" w:space="0" w:color="auto"/>
              <w:right w:val="single" w:sz="4" w:space="0" w:color="auto"/>
            </w:tcBorders>
            <w:vAlign w:val="center"/>
            <w:hideMark/>
          </w:tcPr>
          <w:p w14:paraId="2D4C805F" w14:textId="02139CC2"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0</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2</w:t>
            </w:r>
          </w:p>
        </w:tc>
        <w:tc>
          <w:tcPr>
            <w:tcW w:w="1231" w:type="dxa"/>
            <w:tcBorders>
              <w:top w:val="nil"/>
              <w:left w:val="nil"/>
              <w:bottom w:val="single" w:sz="4" w:space="0" w:color="auto"/>
              <w:right w:val="single" w:sz="4" w:space="0" w:color="auto"/>
            </w:tcBorders>
            <w:vAlign w:val="center"/>
            <w:hideMark/>
          </w:tcPr>
          <w:p w14:paraId="6AE58B09" w14:textId="2308D9F5"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7</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7</w:t>
            </w:r>
          </w:p>
        </w:tc>
        <w:tc>
          <w:tcPr>
            <w:tcW w:w="817" w:type="dxa"/>
            <w:tcBorders>
              <w:top w:val="nil"/>
              <w:left w:val="nil"/>
              <w:bottom w:val="single" w:sz="4" w:space="0" w:color="auto"/>
              <w:right w:val="single" w:sz="4" w:space="0" w:color="auto"/>
            </w:tcBorders>
            <w:vAlign w:val="center"/>
            <w:hideMark/>
          </w:tcPr>
          <w:p w14:paraId="0313BFE6" w14:textId="6C114D1B"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11</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6</w:t>
            </w:r>
          </w:p>
        </w:tc>
        <w:tc>
          <w:tcPr>
            <w:tcW w:w="1074" w:type="dxa"/>
            <w:tcBorders>
              <w:top w:val="nil"/>
              <w:left w:val="nil"/>
              <w:bottom w:val="single" w:sz="4" w:space="0" w:color="auto"/>
              <w:right w:val="single" w:sz="4" w:space="0" w:color="auto"/>
            </w:tcBorders>
            <w:vAlign w:val="center"/>
            <w:hideMark/>
          </w:tcPr>
          <w:p w14:paraId="27B59620" w14:textId="29F59643"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68</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1</w:t>
            </w:r>
          </w:p>
        </w:tc>
        <w:tc>
          <w:tcPr>
            <w:tcW w:w="958" w:type="dxa"/>
            <w:tcBorders>
              <w:top w:val="nil"/>
              <w:left w:val="nil"/>
              <w:bottom w:val="single" w:sz="4" w:space="0" w:color="auto"/>
              <w:right w:val="single" w:sz="4" w:space="0" w:color="auto"/>
            </w:tcBorders>
            <w:vAlign w:val="center"/>
            <w:hideMark/>
          </w:tcPr>
          <w:p w14:paraId="7C4D0C9C" w14:textId="677F3D6B"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0</w:t>
            </w:r>
            <w:r w:rsidR="00974BB4">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7</w:t>
            </w:r>
          </w:p>
        </w:tc>
        <w:tc>
          <w:tcPr>
            <w:tcW w:w="919" w:type="dxa"/>
            <w:tcBorders>
              <w:top w:val="nil"/>
              <w:left w:val="nil"/>
              <w:bottom w:val="single" w:sz="4" w:space="0" w:color="auto"/>
              <w:right w:val="single" w:sz="4" w:space="0" w:color="auto"/>
            </w:tcBorders>
            <w:vAlign w:val="center"/>
            <w:hideMark/>
          </w:tcPr>
          <w:p w14:paraId="32E9BC5A" w14:textId="11F5F969"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4</w:t>
            </w:r>
            <w:r w:rsidR="00974BB4">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5</w:t>
            </w:r>
          </w:p>
        </w:tc>
        <w:tc>
          <w:tcPr>
            <w:tcW w:w="1074" w:type="dxa"/>
            <w:tcBorders>
              <w:top w:val="nil"/>
              <w:left w:val="nil"/>
              <w:bottom w:val="single" w:sz="4" w:space="0" w:color="auto"/>
              <w:right w:val="single" w:sz="4" w:space="0" w:color="auto"/>
            </w:tcBorders>
            <w:vAlign w:val="center"/>
            <w:hideMark/>
          </w:tcPr>
          <w:p w14:paraId="4BEB8FF4" w14:textId="33323F18"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26</w:t>
            </w:r>
            <w:r w:rsidR="00974BB4">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7</w:t>
            </w:r>
          </w:p>
        </w:tc>
        <w:tc>
          <w:tcPr>
            <w:tcW w:w="1074" w:type="dxa"/>
            <w:tcBorders>
              <w:top w:val="nil"/>
              <w:left w:val="nil"/>
              <w:bottom w:val="single" w:sz="4" w:space="0" w:color="auto"/>
              <w:right w:val="single" w:sz="4" w:space="0" w:color="auto"/>
            </w:tcBorders>
            <w:vAlign w:val="center"/>
            <w:hideMark/>
          </w:tcPr>
          <w:p w14:paraId="26FE5384" w14:textId="7558E0CE" w:rsidR="00A21177" w:rsidRPr="00A21177" w:rsidRDefault="00A21177" w:rsidP="00A21177">
            <w:pPr>
              <w:spacing w:after="0" w:line="240" w:lineRule="auto"/>
              <w:jc w:val="center"/>
              <w:rPr>
                <w:rFonts w:ascii="Aptos" w:eastAsia="Times New Roman" w:hAnsi="Aptos" w:cs="Times New Roman"/>
                <w:color w:val="000000"/>
                <w:kern w:val="0"/>
                <w:szCs w:val="24"/>
                <w:lang w:eastAsia="en-IN"/>
                <w14:ligatures w14:val="none"/>
              </w:rPr>
            </w:pPr>
          </w:p>
        </w:tc>
      </w:tr>
      <w:tr w:rsidR="00A21177" w:rsidRPr="00A21177" w14:paraId="1D021996" w14:textId="77777777" w:rsidTr="00C91D91">
        <w:trPr>
          <w:trHeight w:val="20"/>
        </w:trPr>
        <w:tc>
          <w:tcPr>
            <w:tcW w:w="1360" w:type="dxa"/>
            <w:tcBorders>
              <w:top w:val="nil"/>
              <w:left w:val="single" w:sz="4" w:space="0" w:color="auto"/>
              <w:bottom w:val="single" w:sz="4" w:space="0" w:color="auto"/>
              <w:right w:val="single" w:sz="4" w:space="0" w:color="auto"/>
            </w:tcBorders>
            <w:vAlign w:val="center"/>
            <w:hideMark/>
          </w:tcPr>
          <w:p w14:paraId="19BFBDFE"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Mysore</w:t>
            </w:r>
          </w:p>
        </w:tc>
        <w:tc>
          <w:tcPr>
            <w:tcW w:w="1463" w:type="dxa"/>
            <w:tcBorders>
              <w:top w:val="nil"/>
              <w:left w:val="nil"/>
              <w:bottom w:val="single" w:sz="4" w:space="0" w:color="auto"/>
              <w:right w:val="single" w:sz="4" w:space="0" w:color="auto"/>
            </w:tcBorders>
            <w:vAlign w:val="center"/>
            <w:hideMark/>
          </w:tcPr>
          <w:p w14:paraId="6BE87C08"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w:t>
            </w:r>
          </w:p>
        </w:tc>
        <w:tc>
          <w:tcPr>
            <w:tcW w:w="1075" w:type="dxa"/>
            <w:tcBorders>
              <w:top w:val="nil"/>
              <w:left w:val="nil"/>
              <w:bottom w:val="single" w:sz="4" w:space="0" w:color="auto"/>
              <w:right w:val="single" w:sz="4" w:space="0" w:color="auto"/>
            </w:tcBorders>
            <w:vAlign w:val="center"/>
            <w:hideMark/>
          </w:tcPr>
          <w:p w14:paraId="50EB390A"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134</w:t>
            </w:r>
          </w:p>
        </w:tc>
        <w:tc>
          <w:tcPr>
            <w:tcW w:w="856" w:type="dxa"/>
            <w:tcBorders>
              <w:top w:val="nil"/>
              <w:left w:val="nil"/>
              <w:bottom w:val="single" w:sz="4" w:space="0" w:color="auto"/>
              <w:right w:val="single" w:sz="4" w:space="0" w:color="auto"/>
            </w:tcBorders>
            <w:vAlign w:val="center"/>
            <w:hideMark/>
          </w:tcPr>
          <w:p w14:paraId="6AF81177"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178</w:t>
            </w:r>
          </w:p>
        </w:tc>
        <w:tc>
          <w:tcPr>
            <w:tcW w:w="959" w:type="dxa"/>
            <w:tcBorders>
              <w:top w:val="nil"/>
              <w:left w:val="nil"/>
              <w:bottom w:val="single" w:sz="4" w:space="0" w:color="auto"/>
              <w:right w:val="single" w:sz="4" w:space="0" w:color="auto"/>
            </w:tcBorders>
            <w:vAlign w:val="center"/>
            <w:hideMark/>
          </w:tcPr>
          <w:p w14:paraId="49C30475"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47</w:t>
            </w:r>
          </w:p>
        </w:tc>
        <w:tc>
          <w:tcPr>
            <w:tcW w:w="1450" w:type="dxa"/>
            <w:tcBorders>
              <w:top w:val="nil"/>
              <w:left w:val="nil"/>
              <w:bottom w:val="single" w:sz="4" w:space="0" w:color="auto"/>
              <w:right w:val="single" w:sz="4" w:space="0" w:color="auto"/>
            </w:tcBorders>
            <w:vAlign w:val="center"/>
            <w:hideMark/>
          </w:tcPr>
          <w:p w14:paraId="598ECAA7"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11</w:t>
            </w:r>
          </w:p>
        </w:tc>
        <w:tc>
          <w:tcPr>
            <w:tcW w:w="1231" w:type="dxa"/>
            <w:tcBorders>
              <w:top w:val="nil"/>
              <w:left w:val="nil"/>
              <w:bottom w:val="single" w:sz="4" w:space="0" w:color="auto"/>
              <w:right w:val="single" w:sz="4" w:space="0" w:color="auto"/>
            </w:tcBorders>
            <w:vAlign w:val="center"/>
            <w:hideMark/>
          </w:tcPr>
          <w:p w14:paraId="560153D0"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140</w:t>
            </w:r>
          </w:p>
        </w:tc>
        <w:tc>
          <w:tcPr>
            <w:tcW w:w="817" w:type="dxa"/>
            <w:tcBorders>
              <w:top w:val="nil"/>
              <w:left w:val="nil"/>
              <w:bottom w:val="single" w:sz="4" w:space="0" w:color="auto"/>
              <w:right w:val="single" w:sz="4" w:space="0" w:color="auto"/>
            </w:tcBorders>
            <w:vAlign w:val="center"/>
            <w:hideMark/>
          </w:tcPr>
          <w:p w14:paraId="0BF94907"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77</w:t>
            </w:r>
          </w:p>
        </w:tc>
        <w:tc>
          <w:tcPr>
            <w:tcW w:w="1074" w:type="dxa"/>
            <w:tcBorders>
              <w:top w:val="nil"/>
              <w:left w:val="nil"/>
              <w:bottom w:val="single" w:sz="4" w:space="0" w:color="auto"/>
              <w:right w:val="single" w:sz="4" w:space="0" w:color="auto"/>
            </w:tcBorders>
            <w:vAlign w:val="center"/>
            <w:hideMark/>
          </w:tcPr>
          <w:p w14:paraId="75734BAF"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587</w:t>
            </w:r>
          </w:p>
        </w:tc>
        <w:tc>
          <w:tcPr>
            <w:tcW w:w="958" w:type="dxa"/>
            <w:tcBorders>
              <w:top w:val="nil"/>
              <w:left w:val="nil"/>
              <w:bottom w:val="single" w:sz="4" w:space="0" w:color="auto"/>
              <w:right w:val="single" w:sz="4" w:space="0" w:color="auto"/>
            </w:tcBorders>
            <w:vAlign w:val="center"/>
            <w:hideMark/>
          </w:tcPr>
          <w:p w14:paraId="632B76FA"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w:t>
            </w:r>
          </w:p>
        </w:tc>
        <w:tc>
          <w:tcPr>
            <w:tcW w:w="919" w:type="dxa"/>
            <w:tcBorders>
              <w:top w:val="nil"/>
              <w:left w:val="nil"/>
              <w:bottom w:val="single" w:sz="4" w:space="0" w:color="auto"/>
              <w:right w:val="single" w:sz="4" w:space="0" w:color="auto"/>
            </w:tcBorders>
            <w:vAlign w:val="center"/>
            <w:hideMark/>
          </w:tcPr>
          <w:p w14:paraId="15803F25"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379</w:t>
            </w:r>
          </w:p>
        </w:tc>
        <w:tc>
          <w:tcPr>
            <w:tcW w:w="1074" w:type="dxa"/>
            <w:tcBorders>
              <w:top w:val="nil"/>
              <w:left w:val="nil"/>
              <w:bottom w:val="single" w:sz="4" w:space="0" w:color="auto"/>
              <w:right w:val="single" w:sz="4" w:space="0" w:color="auto"/>
            </w:tcBorders>
            <w:vAlign w:val="center"/>
            <w:hideMark/>
          </w:tcPr>
          <w:p w14:paraId="74033E9D"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532</w:t>
            </w:r>
          </w:p>
        </w:tc>
        <w:tc>
          <w:tcPr>
            <w:tcW w:w="1074" w:type="dxa"/>
            <w:tcBorders>
              <w:top w:val="nil"/>
              <w:left w:val="nil"/>
              <w:bottom w:val="single" w:sz="4" w:space="0" w:color="auto"/>
              <w:right w:val="single" w:sz="4" w:space="0" w:color="auto"/>
            </w:tcBorders>
            <w:vAlign w:val="center"/>
            <w:hideMark/>
          </w:tcPr>
          <w:p w14:paraId="3B85F483"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1499(c)</w:t>
            </w:r>
          </w:p>
        </w:tc>
      </w:tr>
      <w:tr w:rsidR="00A21177" w:rsidRPr="00A21177" w14:paraId="3B49811F" w14:textId="77777777" w:rsidTr="00C91D91">
        <w:trPr>
          <w:trHeight w:val="20"/>
        </w:trPr>
        <w:tc>
          <w:tcPr>
            <w:tcW w:w="1360" w:type="dxa"/>
            <w:tcBorders>
              <w:top w:val="nil"/>
              <w:left w:val="single" w:sz="4" w:space="0" w:color="auto"/>
              <w:bottom w:val="single" w:sz="4" w:space="0" w:color="auto"/>
              <w:right w:val="single" w:sz="4" w:space="0" w:color="auto"/>
            </w:tcBorders>
            <w:vAlign w:val="center"/>
            <w:hideMark/>
          </w:tcPr>
          <w:p w14:paraId="749C5AB8" w14:textId="6DB5337F" w:rsidR="00A21177" w:rsidRPr="00A21177" w:rsidRDefault="00A21177" w:rsidP="00A21177">
            <w:pPr>
              <w:spacing w:after="0" w:line="240" w:lineRule="auto"/>
              <w:jc w:val="center"/>
              <w:rPr>
                <w:rFonts w:ascii="Aptos" w:eastAsia="Times New Roman" w:hAnsi="Aptos" w:cs="Times New Roman"/>
                <w:color w:val="000000"/>
                <w:kern w:val="0"/>
                <w:szCs w:val="24"/>
                <w:lang w:eastAsia="en-IN"/>
                <w14:ligatures w14:val="none"/>
              </w:rPr>
            </w:pPr>
          </w:p>
        </w:tc>
        <w:tc>
          <w:tcPr>
            <w:tcW w:w="1463" w:type="dxa"/>
            <w:tcBorders>
              <w:top w:val="nil"/>
              <w:left w:val="nil"/>
              <w:bottom w:val="single" w:sz="4" w:space="0" w:color="auto"/>
              <w:right w:val="single" w:sz="4" w:space="0" w:color="auto"/>
            </w:tcBorders>
            <w:vAlign w:val="center"/>
            <w:hideMark/>
          </w:tcPr>
          <w:p w14:paraId="2D512CC5" w14:textId="5B85884B" w:rsidR="00A21177" w:rsidRPr="00A21177" w:rsidRDefault="00A21177" w:rsidP="00A21177">
            <w:pPr>
              <w:spacing w:after="0" w:line="240" w:lineRule="auto"/>
              <w:jc w:val="center"/>
              <w:rPr>
                <w:rFonts w:ascii="Aptos" w:eastAsia="Times New Roman" w:hAnsi="Aptos" w:cs="Times New Roman"/>
                <w:color w:val="000000"/>
                <w:kern w:val="0"/>
                <w:szCs w:val="24"/>
                <w:lang w:eastAsia="en-IN"/>
                <w14:ligatures w14:val="none"/>
              </w:rPr>
            </w:pPr>
          </w:p>
        </w:tc>
        <w:tc>
          <w:tcPr>
            <w:tcW w:w="1075" w:type="dxa"/>
            <w:tcBorders>
              <w:top w:val="nil"/>
              <w:left w:val="nil"/>
              <w:bottom w:val="single" w:sz="4" w:space="0" w:color="auto"/>
              <w:right w:val="single" w:sz="4" w:space="0" w:color="auto"/>
            </w:tcBorders>
            <w:vAlign w:val="center"/>
            <w:hideMark/>
          </w:tcPr>
          <w:p w14:paraId="1E2F5903" w14:textId="0B75EA87"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8</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9</w:t>
            </w:r>
          </w:p>
        </w:tc>
        <w:tc>
          <w:tcPr>
            <w:tcW w:w="856" w:type="dxa"/>
            <w:tcBorders>
              <w:top w:val="nil"/>
              <w:left w:val="nil"/>
              <w:bottom w:val="single" w:sz="4" w:space="0" w:color="auto"/>
              <w:right w:val="single" w:sz="4" w:space="0" w:color="auto"/>
            </w:tcBorders>
            <w:vAlign w:val="center"/>
            <w:hideMark/>
          </w:tcPr>
          <w:p w14:paraId="19767A98" w14:textId="32A6CF86"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11</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9</w:t>
            </w:r>
          </w:p>
        </w:tc>
        <w:tc>
          <w:tcPr>
            <w:tcW w:w="959" w:type="dxa"/>
            <w:tcBorders>
              <w:top w:val="nil"/>
              <w:left w:val="nil"/>
              <w:bottom w:val="single" w:sz="4" w:space="0" w:color="auto"/>
              <w:right w:val="single" w:sz="4" w:space="0" w:color="auto"/>
            </w:tcBorders>
            <w:vAlign w:val="center"/>
            <w:hideMark/>
          </w:tcPr>
          <w:p w14:paraId="7149DD07" w14:textId="0F67EAB3"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3</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1</w:t>
            </w:r>
          </w:p>
        </w:tc>
        <w:tc>
          <w:tcPr>
            <w:tcW w:w="1450" w:type="dxa"/>
            <w:tcBorders>
              <w:top w:val="nil"/>
              <w:left w:val="nil"/>
              <w:bottom w:val="single" w:sz="4" w:space="0" w:color="auto"/>
              <w:right w:val="single" w:sz="4" w:space="0" w:color="auto"/>
            </w:tcBorders>
            <w:vAlign w:val="center"/>
            <w:hideMark/>
          </w:tcPr>
          <w:p w14:paraId="39B13E25" w14:textId="2B67183D"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0</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7</w:t>
            </w:r>
          </w:p>
        </w:tc>
        <w:tc>
          <w:tcPr>
            <w:tcW w:w="1231" w:type="dxa"/>
            <w:tcBorders>
              <w:top w:val="nil"/>
              <w:left w:val="nil"/>
              <w:bottom w:val="single" w:sz="4" w:space="0" w:color="auto"/>
              <w:right w:val="single" w:sz="4" w:space="0" w:color="auto"/>
            </w:tcBorders>
            <w:vAlign w:val="center"/>
            <w:hideMark/>
          </w:tcPr>
          <w:p w14:paraId="5FA9DACB" w14:textId="461DDF04"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9</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3</w:t>
            </w:r>
          </w:p>
        </w:tc>
        <w:tc>
          <w:tcPr>
            <w:tcW w:w="817" w:type="dxa"/>
            <w:tcBorders>
              <w:top w:val="nil"/>
              <w:left w:val="nil"/>
              <w:bottom w:val="single" w:sz="4" w:space="0" w:color="auto"/>
              <w:right w:val="single" w:sz="4" w:space="0" w:color="auto"/>
            </w:tcBorders>
            <w:vAlign w:val="center"/>
            <w:hideMark/>
          </w:tcPr>
          <w:p w14:paraId="123B9748" w14:textId="07A9561E"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5</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1</w:t>
            </w:r>
          </w:p>
        </w:tc>
        <w:tc>
          <w:tcPr>
            <w:tcW w:w="1074" w:type="dxa"/>
            <w:tcBorders>
              <w:top w:val="nil"/>
              <w:left w:val="nil"/>
              <w:bottom w:val="single" w:sz="4" w:space="0" w:color="auto"/>
              <w:right w:val="single" w:sz="4" w:space="0" w:color="auto"/>
            </w:tcBorders>
            <w:vAlign w:val="center"/>
            <w:hideMark/>
          </w:tcPr>
          <w:p w14:paraId="13277076" w14:textId="03E44F5A"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39</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2</w:t>
            </w:r>
          </w:p>
        </w:tc>
        <w:tc>
          <w:tcPr>
            <w:tcW w:w="958" w:type="dxa"/>
            <w:tcBorders>
              <w:top w:val="nil"/>
              <w:left w:val="nil"/>
              <w:bottom w:val="single" w:sz="4" w:space="0" w:color="auto"/>
              <w:right w:val="single" w:sz="4" w:space="0" w:color="auto"/>
            </w:tcBorders>
            <w:vAlign w:val="center"/>
            <w:hideMark/>
          </w:tcPr>
          <w:p w14:paraId="6B122765"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w:t>
            </w:r>
          </w:p>
        </w:tc>
        <w:tc>
          <w:tcPr>
            <w:tcW w:w="919" w:type="dxa"/>
            <w:tcBorders>
              <w:top w:val="nil"/>
              <w:left w:val="nil"/>
              <w:bottom w:val="single" w:sz="4" w:space="0" w:color="auto"/>
              <w:right w:val="single" w:sz="4" w:space="0" w:color="auto"/>
            </w:tcBorders>
            <w:vAlign w:val="center"/>
            <w:hideMark/>
          </w:tcPr>
          <w:p w14:paraId="327E474D" w14:textId="6F8C0741"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25</w:t>
            </w:r>
            <w:r w:rsidR="00974BB4">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3</w:t>
            </w:r>
          </w:p>
        </w:tc>
        <w:tc>
          <w:tcPr>
            <w:tcW w:w="1074" w:type="dxa"/>
            <w:tcBorders>
              <w:top w:val="nil"/>
              <w:left w:val="nil"/>
              <w:bottom w:val="single" w:sz="4" w:space="0" w:color="auto"/>
              <w:right w:val="single" w:sz="4" w:space="0" w:color="auto"/>
            </w:tcBorders>
            <w:vAlign w:val="center"/>
            <w:hideMark/>
          </w:tcPr>
          <w:p w14:paraId="31822752" w14:textId="2A889CF2"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35</w:t>
            </w:r>
            <w:r w:rsidR="00974BB4">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5</w:t>
            </w:r>
          </w:p>
        </w:tc>
        <w:tc>
          <w:tcPr>
            <w:tcW w:w="1074" w:type="dxa"/>
            <w:tcBorders>
              <w:top w:val="nil"/>
              <w:left w:val="nil"/>
              <w:bottom w:val="single" w:sz="4" w:space="0" w:color="auto"/>
              <w:right w:val="single" w:sz="4" w:space="0" w:color="auto"/>
            </w:tcBorders>
            <w:vAlign w:val="center"/>
            <w:hideMark/>
          </w:tcPr>
          <w:p w14:paraId="692B402A" w14:textId="2CCA9A83" w:rsidR="00A21177" w:rsidRPr="00A21177" w:rsidRDefault="00A21177" w:rsidP="00A21177">
            <w:pPr>
              <w:spacing w:after="0" w:line="240" w:lineRule="auto"/>
              <w:jc w:val="center"/>
              <w:rPr>
                <w:rFonts w:ascii="Aptos" w:eastAsia="Times New Roman" w:hAnsi="Aptos" w:cs="Times New Roman"/>
                <w:color w:val="000000"/>
                <w:kern w:val="0"/>
                <w:szCs w:val="24"/>
                <w:lang w:eastAsia="en-IN"/>
                <w14:ligatures w14:val="none"/>
              </w:rPr>
            </w:pPr>
          </w:p>
        </w:tc>
      </w:tr>
      <w:tr w:rsidR="00A21177" w:rsidRPr="00A21177" w14:paraId="338A5F00" w14:textId="77777777" w:rsidTr="00C91D91">
        <w:trPr>
          <w:trHeight w:val="20"/>
        </w:trPr>
        <w:tc>
          <w:tcPr>
            <w:tcW w:w="1360" w:type="dxa"/>
            <w:tcBorders>
              <w:top w:val="nil"/>
              <w:left w:val="single" w:sz="4" w:space="0" w:color="auto"/>
              <w:bottom w:val="single" w:sz="4" w:space="0" w:color="auto"/>
              <w:right w:val="single" w:sz="4" w:space="0" w:color="auto"/>
            </w:tcBorders>
            <w:vAlign w:val="center"/>
            <w:hideMark/>
          </w:tcPr>
          <w:p w14:paraId="0DEB5164"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Patiala and East Punjab States Union</w:t>
            </w:r>
          </w:p>
        </w:tc>
        <w:tc>
          <w:tcPr>
            <w:tcW w:w="1463" w:type="dxa"/>
            <w:tcBorders>
              <w:top w:val="nil"/>
              <w:left w:val="nil"/>
              <w:bottom w:val="single" w:sz="4" w:space="0" w:color="auto"/>
              <w:right w:val="single" w:sz="4" w:space="0" w:color="auto"/>
            </w:tcBorders>
            <w:vAlign w:val="center"/>
            <w:hideMark/>
          </w:tcPr>
          <w:p w14:paraId="179E159D"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w:t>
            </w:r>
          </w:p>
        </w:tc>
        <w:tc>
          <w:tcPr>
            <w:tcW w:w="1075" w:type="dxa"/>
            <w:tcBorders>
              <w:top w:val="nil"/>
              <w:left w:val="nil"/>
              <w:bottom w:val="single" w:sz="4" w:space="0" w:color="auto"/>
              <w:right w:val="single" w:sz="4" w:space="0" w:color="auto"/>
            </w:tcBorders>
            <w:vAlign w:val="center"/>
            <w:hideMark/>
          </w:tcPr>
          <w:p w14:paraId="26AFE8ED"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107</w:t>
            </w:r>
          </w:p>
        </w:tc>
        <w:tc>
          <w:tcPr>
            <w:tcW w:w="856" w:type="dxa"/>
            <w:tcBorders>
              <w:top w:val="nil"/>
              <w:left w:val="nil"/>
              <w:bottom w:val="single" w:sz="4" w:space="0" w:color="auto"/>
              <w:right w:val="single" w:sz="4" w:space="0" w:color="auto"/>
            </w:tcBorders>
            <w:vAlign w:val="center"/>
            <w:hideMark/>
          </w:tcPr>
          <w:p w14:paraId="45878B1D"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169</w:t>
            </w:r>
          </w:p>
        </w:tc>
        <w:tc>
          <w:tcPr>
            <w:tcW w:w="959" w:type="dxa"/>
            <w:tcBorders>
              <w:top w:val="nil"/>
              <w:left w:val="nil"/>
              <w:bottom w:val="single" w:sz="4" w:space="0" w:color="auto"/>
              <w:right w:val="single" w:sz="4" w:space="0" w:color="auto"/>
            </w:tcBorders>
            <w:vAlign w:val="center"/>
            <w:hideMark/>
          </w:tcPr>
          <w:p w14:paraId="7BF0A828"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22</w:t>
            </w:r>
          </w:p>
        </w:tc>
        <w:tc>
          <w:tcPr>
            <w:tcW w:w="1450" w:type="dxa"/>
            <w:tcBorders>
              <w:top w:val="nil"/>
              <w:left w:val="nil"/>
              <w:bottom w:val="single" w:sz="4" w:space="0" w:color="auto"/>
              <w:right w:val="single" w:sz="4" w:space="0" w:color="auto"/>
            </w:tcBorders>
            <w:vAlign w:val="center"/>
            <w:hideMark/>
          </w:tcPr>
          <w:p w14:paraId="5A6FF174"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5</w:t>
            </w:r>
          </w:p>
        </w:tc>
        <w:tc>
          <w:tcPr>
            <w:tcW w:w="1231" w:type="dxa"/>
            <w:tcBorders>
              <w:top w:val="nil"/>
              <w:left w:val="nil"/>
              <w:bottom w:val="single" w:sz="4" w:space="0" w:color="auto"/>
              <w:right w:val="single" w:sz="4" w:space="0" w:color="auto"/>
            </w:tcBorders>
            <w:vAlign w:val="center"/>
            <w:hideMark/>
          </w:tcPr>
          <w:p w14:paraId="138ED0C6"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38</w:t>
            </w:r>
          </w:p>
        </w:tc>
        <w:tc>
          <w:tcPr>
            <w:tcW w:w="817" w:type="dxa"/>
            <w:tcBorders>
              <w:top w:val="nil"/>
              <w:left w:val="nil"/>
              <w:bottom w:val="single" w:sz="4" w:space="0" w:color="auto"/>
              <w:right w:val="single" w:sz="4" w:space="0" w:color="auto"/>
            </w:tcBorders>
            <w:vAlign w:val="center"/>
            <w:hideMark/>
          </w:tcPr>
          <w:p w14:paraId="68EC0967"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16</w:t>
            </w:r>
          </w:p>
        </w:tc>
        <w:tc>
          <w:tcPr>
            <w:tcW w:w="1074" w:type="dxa"/>
            <w:tcBorders>
              <w:top w:val="nil"/>
              <w:left w:val="nil"/>
              <w:bottom w:val="single" w:sz="4" w:space="0" w:color="auto"/>
              <w:right w:val="single" w:sz="4" w:space="0" w:color="auto"/>
            </w:tcBorders>
            <w:vAlign w:val="center"/>
            <w:hideMark/>
          </w:tcPr>
          <w:p w14:paraId="4231AD94"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356</w:t>
            </w:r>
          </w:p>
        </w:tc>
        <w:tc>
          <w:tcPr>
            <w:tcW w:w="958" w:type="dxa"/>
            <w:tcBorders>
              <w:top w:val="nil"/>
              <w:left w:val="nil"/>
              <w:bottom w:val="single" w:sz="4" w:space="0" w:color="auto"/>
              <w:right w:val="single" w:sz="4" w:space="0" w:color="auto"/>
            </w:tcBorders>
            <w:vAlign w:val="center"/>
            <w:hideMark/>
          </w:tcPr>
          <w:p w14:paraId="06DCD598"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11</w:t>
            </w:r>
          </w:p>
        </w:tc>
        <w:tc>
          <w:tcPr>
            <w:tcW w:w="919" w:type="dxa"/>
            <w:tcBorders>
              <w:top w:val="nil"/>
              <w:left w:val="nil"/>
              <w:bottom w:val="single" w:sz="4" w:space="0" w:color="auto"/>
              <w:right w:val="single" w:sz="4" w:space="0" w:color="auto"/>
            </w:tcBorders>
            <w:vAlign w:val="center"/>
            <w:hideMark/>
          </w:tcPr>
          <w:p w14:paraId="60FADEFD"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15</w:t>
            </w:r>
          </w:p>
        </w:tc>
        <w:tc>
          <w:tcPr>
            <w:tcW w:w="1074" w:type="dxa"/>
            <w:tcBorders>
              <w:top w:val="nil"/>
              <w:left w:val="nil"/>
              <w:bottom w:val="single" w:sz="4" w:space="0" w:color="auto"/>
              <w:right w:val="single" w:sz="4" w:space="0" w:color="auto"/>
            </w:tcBorders>
            <w:vAlign w:val="center"/>
            <w:hideMark/>
          </w:tcPr>
          <w:p w14:paraId="134987A6"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140</w:t>
            </w:r>
          </w:p>
        </w:tc>
        <w:tc>
          <w:tcPr>
            <w:tcW w:w="1074" w:type="dxa"/>
            <w:tcBorders>
              <w:top w:val="nil"/>
              <w:left w:val="nil"/>
              <w:bottom w:val="single" w:sz="4" w:space="0" w:color="auto"/>
              <w:right w:val="single" w:sz="4" w:space="0" w:color="auto"/>
            </w:tcBorders>
            <w:vAlign w:val="center"/>
            <w:hideMark/>
          </w:tcPr>
          <w:p w14:paraId="06E5A8D3"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522</w:t>
            </w:r>
          </w:p>
        </w:tc>
      </w:tr>
      <w:tr w:rsidR="00A21177" w:rsidRPr="00A21177" w14:paraId="7A2D6108" w14:textId="77777777" w:rsidTr="00C91D91">
        <w:trPr>
          <w:trHeight w:val="20"/>
        </w:trPr>
        <w:tc>
          <w:tcPr>
            <w:tcW w:w="1360" w:type="dxa"/>
            <w:tcBorders>
              <w:top w:val="nil"/>
              <w:left w:val="single" w:sz="4" w:space="0" w:color="auto"/>
              <w:bottom w:val="single" w:sz="4" w:space="0" w:color="auto"/>
              <w:right w:val="single" w:sz="4" w:space="0" w:color="auto"/>
            </w:tcBorders>
            <w:vAlign w:val="center"/>
            <w:hideMark/>
          </w:tcPr>
          <w:p w14:paraId="5E6B4D41" w14:textId="73965154" w:rsidR="00A21177" w:rsidRPr="00A21177" w:rsidRDefault="00A21177" w:rsidP="00A21177">
            <w:pPr>
              <w:spacing w:after="0" w:line="240" w:lineRule="auto"/>
              <w:jc w:val="center"/>
              <w:rPr>
                <w:rFonts w:ascii="Aptos" w:eastAsia="Times New Roman" w:hAnsi="Aptos" w:cs="Times New Roman"/>
                <w:color w:val="000000"/>
                <w:kern w:val="0"/>
                <w:szCs w:val="24"/>
                <w:lang w:eastAsia="en-IN"/>
                <w14:ligatures w14:val="none"/>
              </w:rPr>
            </w:pPr>
          </w:p>
        </w:tc>
        <w:tc>
          <w:tcPr>
            <w:tcW w:w="1463" w:type="dxa"/>
            <w:tcBorders>
              <w:top w:val="nil"/>
              <w:left w:val="nil"/>
              <w:bottom w:val="single" w:sz="4" w:space="0" w:color="auto"/>
              <w:right w:val="single" w:sz="4" w:space="0" w:color="auto"/>
            </w:tcBorders>
            <w:vAlign w:val="center"/>
            <w:hideMark/>
          </w:tcPr>
          <w:p w14:paraId="557F90AD" w14:textId="68BAF721" w:rsidR="00A21177" w:rsidRPr="00A21177" w:rsidRDefault="00A21177" w:rsidP="00A21177">
            <w:pPr>
              <w:spacing w:after="0" w:line="240" w:lineRule="auto"/>
              <w:jc w:val="center"/>
              <w:rPr>
                <w:rFonts w:ascii="Aptos" w:eastAsia="Times New Roman" w:hAnsi="Aptos" w:cs="Times New Roman"/>
                <w:color w:val="000000"/>
                <w:kern w:val="0"/>
                <w:szCs w:val="24"/>
                <w:lang w:eastAsia="en-IN"/>
                <w14:ligatures w14:val="none"/>
              </w:rPr>
            </w:pPr>
          </w:p>
        </w:tc>
        <w:tc>
          <w:tcPr>
            <w:tcW w:w="1075" w:type="dxa"/>
            <w:tcBorders>
              <w:top w:val="nil"/>
              <w:left w:val="nil"/>
              <w:bottom w:val="single" w:sz="4" w:space="0" w:color="auto"/>
              <w:right w:val="single" w:sz="4" w:space="0" w:color="auto"/>
            </w:tcBorders>
            <w:vAlign w:val="center"/>
            <w:hideMark/>
          </w:tcPr>
          <w:p w14:paraId="19DE236D" w14:textId="0028E8CF"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20</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5</w:t>
            </w:r>
          </w:p>
        </w:tc>
        <w:tc>
          <w:tcPr>
            <w:tcW w:w="856" w:type="dxa"/>
            <w:tcBorders>
              <w:top w:val="nil"/>
              <w:left w:val="nil"/>
              <w:bottom w:val="single" w:sz="4" w:space="0" w:color="auto"/>
              <w:right w:val="single" w:sz="4" w:space="0" w:color="auto"/>
            </w:tcBorders>
            <w:vAlign w:val="center"/>
            <w:hideMark/>
          </w:tcPr>
          <w:p w14:paraId="7A01D99F" w14:textId="357065EA"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32</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4</w:t>
            </w:r>
          </w:p>
        </w:tc>
        <w:tc>
          <w:tcPr>
            <w:tcW w:w="959" w:type="dxa"/>
            <w:tcBorders>
              <w:top w:val="nil"/>
              <w:left w:val="nil"/>
              <w:bottom w:val="single" w:sz="4" w:space="0" w:color="auto"/>
              <w:right w:val="single" w:sz="4" w:space="0" w:color="auto"/>
            </w:tcBorders>
            <w:vAlign w:val="center"/>
            <w:hideMark/>
          </w:tcPr>
          <w:p w14:paraId="34069E7A" w14:textId="3D1D2A02"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4</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2</w:t>
            </w:r>
          </w:p>
        </w:tc>
        <w:tc>
          <w:tcPr>
            <w:tcW w:w="1450" w:type="dxa"/>
            <w:tcBorders>
              <w:top w:val="nil"/>
              <w:left w:val="nil"/>
              <w:bottom w:val="single" w:sz="4" w:space="0" w:color="auto"/>
              <w:right w:val="single" w:sz="4" w:space="0" w:color="auto"/>
            </w:tcBorders>
            <w:vAlign w:val="center"/>
            <w:hideMark/>
          </w:tcPr>
          <w:p w14:paraId="7CFA6F94" w14:textId="4E67EFAC"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1</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0</w:t>
            </w:r>
          </w:p>
        </w:tc>
        <w:tc>
          <w:tcPr>
            <w:tcW w:w="1231" w:type="dxa"/>
            <w:tcBorders>
              <w:top w:val="nil"/>
              <w:left w:val="nil"/>
              <w:bottom w:val="single" w:sz="4" w:space="0" w:color="auto"/>
              <w:right w:val="single" w:sz="4" w:space="0" w:color="auto"/>
            </w:tcBorders>
            <w:vAlign w:val="center"/>
            <w:hideMark/>
          </w:tcPr>
          <w:p w14:paraId="2E9788FD" w14:textId="690199FA"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7</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2</w:t>
            </w:r>
          </w:p>
        </w:tc>
        <w:tc>
          <w:tcPr>
            <w:tcW w:w="817" w:type="dxa"/>
            <w:tcBorders>
              <w:top w:val="nil"/>
              <w:left w:val="nil"/>
              <w:bottom w:val="single" w:sz="4" w:space="0" w:color="auto"/>
              <w:right w:val="single" w:sz="4" w:space="0" w:color="auto"/>
            </w:tcBorders>
            <w:vAlign w:val="center"/>
            <w:hideMark/>
          </w:tcPr>
          <w:p w14:paraId="066F0E15" w14:textId="30CE5DD3"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3</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0</w:t>
            </w:r>
          </w:p>
        </w:tc>
        <w:tc>
          <w:tcPr>
            <w:tcW w:w="1074" w:type="dxa"/>
            <w:tcBorders>
              <w:top w:val="nil"/>
              <w:left w:val="nil"/>
              <w:bottom w:val="single" w:sz="4" w:space="0" w:color="auto"/>
              <w:right w:val="single" w:sz="4" w:space="0" w:color="auto"/>
            </w:tcBorders>
            <w:vAlign w:val="center"/>
            <w:hideMark/>
          </w:tcPr>
          <w:p w14:paraId="6D7BE9A2" w14:textId="6509981E"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68</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2</w:t>
            </w:r>
          </w:p>
        </w:tc>
        <w:tc>
          <w:tcPr>
            <w:tcW w:w="958" w:type="dxa"/>
            <w:tcBorders>
              <w:top w:val="nil"/>
              <w:left w:val="nil"/>
              <w:bottom w:val="single" w:sz="4" w:space="0" w:color="auto"/>
              <w:right w:val="single" w:sz="4" w:space="0" w:color="auto"/>
            </w:tcBorders>
            <w:vAlign w:val="center"/>
            <w:hideMark/>
          </w:tcPr>
          <w:p w14:paraId="45BED9EC" w14:textId="786665A4"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2</w:t>
            </w:r>
            <w:r w:rsidR="00974BB4">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1</w:t>
            </w:r>
          </w:p>
        </w:tc>
        <w:tc>
          <w:tcPr>
            <w:tcW w:w="919" w:type="dxa"/>
            <w:tcBorders>
              <w:top w:val="nil"/>
              <w:left w:val="nil"/>
              <w:bottom w:val="single" w:sz="4" w:space="0" w:color="auto"/>
              <w:right w:val="single" w:sz="4" w:space="0" w:color="auto"/>
            </w:tcBorders>
            <w:vAlign w:val="center"/>
            <w:hideMark/>
          </w:tcPr>
          <w:p w14:paraId="45BB0621" w14:textId="012C1097"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2</w:t>
            </w:r>
            <w:r w:rsidR="00974BB4">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9</w:t>
            </w:r>
          </w:p>
        </w:tc>
        <w:tc>
          <w:tcPr>
            <w:tcW w:w="1074" w:type="dxa"/>
            <w:tcBorders>
              <w:top w:val="nil"/>
              <w:left w:val="nil"/>
              <w:bottom w:val="single" w:sz="4" w:space="0" w:color="auto"/>
              <w:right w:val="single" w:sz="4" w:space="0" w:color="auto"/>
            </w:tcBorders>
            <w:vAlign w:val="center"/>
            <w:hideMark/>
          </w:tcPr>
          <w:p w14:paraId="32E70033" w14:textId="67F202FC"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26</w:t>
            </w:r>
            <w:r w:rsidR="00974BB4">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8</w:t>
            </w:r>
          </w:p>
        </w:tc>
        <w:tc>
          <w:tcPr>
            <w:tcW w:w="1074" w:type="dxa"/>
            <w:tcBorders>
              <w:top w:val="nil"/>
              <w:left w:val="nil"/>
              <w:bottom w:val="single" w:sz="4" w:space="0" w:color="auto"/>
              <w:right w:val="single" w:sz="4" w:space="0" w:color="auto"/>
            </w:tcBorders>
            <w:vAlign w:val="center"/>
            <w:hideMark/>
          </w:tcPr>
          <w:p w14:paraId="62FF60B1" w14:textId="67A79151" w:rsidR="00A21177" w:rsidRPr="00A21177" w:rsidRDefault="00A21177" w:rsidP="00A21177">
            <w:pPr>
              <w:spacing w:after="0" w:line="240" w:lineRule="auto"/>
              <w:jc w:val="center"/>
              <w:rPr>
                <w:rFonts w:ascii="Aptos" w:eastAsia="Times New Roman" w:hAnsi="Aptos" w:cs="Times New Roman"/>
                <w:color w:val="000000"/>
                <w:kern w:val="0"/>
                <w:szCs w:val="24"/>
                <w:lang w:eastAsia="en-IN"/>
                <w14:ligatures w14:val="none"/>
              </w:rPr>
            </w:pPr>
          </w:p>
        </w:tc>
      </w:tr>
      <w:tr w:rsidR="00A21177" w:rsidRPr="00A21177" w14:paraId="59A45DAB" w14:textId="77777777" w:rsidTr="00C91D91">
        <w:trPr>
          <w:trHeight w:val="20"/>
        </w:trPr>
        <w:tc>
          <w:tcPr>
            <w:tcW w:w="1360" w:type="dxa"/>
            <w:tcBorders>
              <w:top w:val="nil"/>
              <w:left w:val="single" w:sz="4" w:space="0" w:color="auto"/>
              <w:bottom w:val="single" w:sz="4" w:space="0" w:color="auto"/>
              <w:right w:val="single" w:sz="4" w:space="0" w:color="auto"/>
            </w:tcBorders>
            <w:vAlign w:val="center"/>
            <w:hideMark/>
          </w:tcPr>
          <w:p w14:paraId="39F05DFA"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Rajasthan</w:t>
            </w:r>
          </w:p>
        </w:tc>
        <w:tc>
          <w:tcPr>
            <w:tcW w:w="1463" w:type="dxa"/>
            <w:tcBorders>
              <w:top w:val="nil"/>
              <w:left w:val="nil"/>
              <w:bottom w:val="single" w:sz="4" w:space="0" w:color="auto"/>
              <w:right w:val="single" w:sz="4" w:space="0" w:color="auto"/>
            </w:tcBorders>
            <w:vAlign w:val="center"/>
            <w:hideMark/>
          </w:tcPr>
          <w:p w14:paraId="55521337"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15</w:t>
            </w:r>
          </w:p>
        </w:tc>
        <w:tc>
          <w:tcPr>
            <w:tcW w:w="1075" w:type="dxa"/>
            <w:tcBorders>
              <w:top w:val="nil"/>
              <w:left w:val="nil"/>
              <w:bottom w:val="single" w:sz="4" w:space="0" w:color="auto"/>
              <w:right w:val="single" w:sz="4" w:space="0" w:color="auto"/>
            </w:tcBorders>
            <w:vAlign w:val="center"/>
            <w:hideMark/>
          </w:tcPr>
          <w:p w14:paraId="48B80530"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376</w:t>
            </w:r>
          </w:p>
        </w:tc>
        <w:tc>
          <w:tcPr>
            <w:tcW w:w="856" w:type="dxa"/>
            <w:tcBorders>
              <w:top w:val="nil"/>
              <w:left w:val="nil"/>
              <w:bottom w:val="single" w:sz="4" w:space="0" w:color="auto"/>
              <w:right w:val="single" w:sz="4" w:space="0" w:color="auto"/>
            </w:tcBorders>
            <w:vAlign w:val="center"/>
            <w:hideMark/>
          </w:tcPr>
          <w:p w14:paraId="56ABE4F8"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290</w:t>
            </w:r>
          </w:p>
        </w:tc>
        <w:tc>
          <w:tcPr>
            <w:tcW w:w="959" w:type="dxa"/>
            <w:tcBorders>
              <w:top w:val="nil"/>
              <w:left w:val="nil"/>
              <w:bottom w:val="single" w:sz="4" w:space="0" w:color="auto"/>
              <w:right w:val="single" w:sz="4" w:space="0" w:color="auto"/>
            </w:tcBorders>
            <w:vAlign w:val="center"/>
            <w:hideMark/>
          </w:tcPr>
          <w:p w14:paraId="1B7BD277"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50</w:t>
            </w:r>
          </w:p>
        </w:tc>
        <w:tc>
          <w:tcPr>
            <w:tcW w:w="1450" w:type="dxa"/>
            <w:tcBorders>
              <w:top w:val="nil"/>
              <w:left w:val="nil"/>
              <w:bottom w:val="single" w:sz="4" w:space="0" w:color="auto"/>
              <w:right w:val="single" w:sz="4" w:space="0" w:color="auto"/>
            </w:tcBorders>
            <w:vAlign w:val="center"/>
            <w:hideMark/>
          </w:tcPr>
          <w:p w14:paraId="7845E6EF"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4</w:t>
            </w:r>
          </w:p>
        </w:tc>
        <w:tc>
          <w:tcPr>
            <w:tcW w:w="1231" w:type="dxa"/>
            <w:tcBorders>
              <w:top w:val="nil"/>
              <w:left w:val="nil"/>
              <w:bottom w:val="single" w:sz="4" w:space="0" w:color="auto"/>
              <w:right w:val="single" w:sz="4" w:space="0" w:color="auto"/>
            </w:tcBorders>
            <w:vAlign w:val="center"/>
            <w:hideMark/>
          </w:tcPr>
          <w:p w14:paraId="2CB95882"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w:t>
            </w:r>
          </w:p>
        </w:tc>
        <w:tc>
          <w:tcPr>
            <w:tcW w:w="817" w:type="dxa"/>
            <w:tcBorders>
              <w:top w:val="nil"/>
              <w:left w:val="nil"/>
              <w:bottom w:val="single" w:sz="4" w:space="0" w:color="auto"/>
              <w:right w:val="single" w:sz="4" w:space="0" w:color="auto"/>
            </w:tcBorders>
            <w:vAlign w:val="center"/>
            <w:hideMark/>
          </w:tcPr>
          <w:p w14:paraId="5D854C77"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402</w:t>
            </w:r>
          </w:p>
        </w:tc>
        <w:tc>
          <w:tcPr>
            <w:tcW w:w="1074" w:type="dxa"/>
            <w:tcBorders>
              <w:top w:val="nil"/>
              <w:left w:val="nil"/>
              <w:bottom w:val="single" w:sz="4" w:space="0" w:color="auto"/>
              <w:right w:val="single" w:sz="4" w:space="0" w:color="auto"/>
            </w:tcBorders>
            <w:vAlign w:val="center"/>
            <w:hideMark/>
          </w:tcPr>
          <w:p w14:paraId="5DD357E1"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1137</w:t>
            </w:r>
          </w:p>
        </w:tc>
        <w:tc>
          <w:tcPr>
            <w:tcW w:w="958" w:type="dxa"/>
            <w:tcBorders>
              <w:top w:val="nil"/>
              <w:left w:val="nil"/>
              <w:bottom w:val="single" w:sz="4" w:space="0" w:color="auto"/>
              <w:right w:val="single" w:sz="4" w:space="0" w:color="auto"/>
            </w:tcBorders>
            <w:vAlign w:val="center"/>
            <w:hideMark/>
          </w:tcPr>
          <w:p w14:paraId="0FDF4D19"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13</w:t>
            </w:r>
          </w:p>
        </w:tc>
        <w:tc>
          <w:tcPr>
            <w:tcW w:w="919" w:type="dxa"/>
            <w:tcBorders>
              <w:top w:val="nil"/>
              <w:left w:val="nil"/>
              <w:bottom w:val="single" w:sz="4" w:space="0" w:color="auto"/>
              <w:right w:val="single" w:sz="4" w:space="0" w:color="auto"/>
            </w:tcBorders>
            <w:vAlign w:val="center"/>
            <w:hideMark/>
          </w:tcPr>
          <w:p w14:paraId="049D8350"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60</w:t>
            </w:r>
          </w:p>
        </w:tc>
        <w:tc>
          <w:tcPr>
            <w:tcW w:w="1074" w:type="dxa"/>
            <w:tcBorders>
              <w:top w:val="nil"/>
              <w:left w:val="nil"/>
              <w:bottom w:val="single" w:sz="4" w:space="0" w:color="auto"/>
              <w:right w:val="single" w:sz="4" w:space="0" w:color="auto"/>
            </w:tcBorders>
            <w:vAlign w:val="center"/>
            <w:hideMark/>
          </w:tcPr>
          <w:p w14:paraId="29C355A0"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422</w:t>
            </w:r>
          </w:p>
        </w:tc>
        <w:tc>
          <w:tcPr>
            <w:tcW w:w="1074" w:type="dxa"/>
            <w:tcBorders>
              <w:top w:val="nil"/>
              <w:left w:val="nil"/>
              <w:bottom w:val="single" w:sz="4" w:space="0" w:color="auto"/>
              <w:right w:val="single" w:sz="4" w:space="0" w:color="auto"/>
            </w:tcBorders>
            <w:vAlign w:val="center"/>
            <w:hideMark/>
          </w:tcPr>
          <w:p w14:paraId="45B8B27E"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1632</w:t>
            </w:r>
          </w:p>
        </w:tc>
      </w:tr>
      <w:tr w:rsidR="00A21177" w:rsidRPr="00A21177" w14:paraId="20BE00D5" w14:textId="77777777" w:rsidTr="00C91D91">
        <w:trPr>
          <w:trHeight w:val="20"/>
        </w:trPr>
        <w:tc>
          <w:tcPr>
            <w:tcW w:w="1360" w:type="dxa"/>
            <w:tcBorders>
              <w:top w:val="nil"/>
              <w:left w:val="single" w:sz="4" w:space="0" w:color="auto"/>
              <w:bottom w:val="single" w:sz="4" w:space="0" w:color="auto"/>
              <w:right w:val="single" w:sz="4" w:space="0" w:color="auto"/>
            </w:tcBorders>
            <w:vAlign w:val="center"/>
            <w:hideMark/>
          </w:tcPr>
          <w:p w14:paraId="11AA576B" w14:textId="227EB295" w:rsidR="00A21177" w:rsidRPr="00A21177" w:rsidRDefault="00A21177" w:rsidP="00A21177">
            <w:pPr>
              <w:spacing w:after="0" w:line="240" w:lineRule="auto"/>
              <w:jc w:val="center"/>
              <w:rPr>
                <w:rFonts w:ascii="Aptos" w:eastAsia="Times New Roman" w:hAnsi="Aptos" w:cs="Times New Roman"/>
                <w:color w:val="000000"/>
                <w:kern w:val="0"/>
                <w:szCs w:val="24"/>
                <w:lang w:eastAsia="en-IN"/>
                <w14:ligatures w14:val="none"/>
              </w:rPr>
            </w:pPr>
          </w:p>
        </w:tc>
        <w:tc>
          <w:tcPr>
            <w:tcW w:w="1463" w:type="dxa"/>
            <w:tcBorders>
              <w:top w:val="nil"/>
              <w:left w:val="nil"/>
              <w:bottom w:val="single" w:sz="4" w:space="0" w:color="auto"/>
              <w:right w:val="single" w:sz="4" w:space="0" w:color="auto"/>
            </w:tcBorders>
            <w:vAlign w:val="center"/>
            <w:hideMark/>
          </w:tcPr>
          <w:p w14:paraId="4EE865BC" w14:textId="5964CADF"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0</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9</w:t>
            </w:r>
          </w:p>
        </w:tc>
        <w:tc>
          <w:tcPr>
            <w:tcW w:w="1075" w:type="dxa"/>
            <w:tcBorders>
              <w:top w:val="nil"/>
              <w:left w:val="nil"/>
              <w:bottom w:val="single" w:sz="4" w:space="0" w:color="auto"/>
              <w:right w:val="single" w:sz="4" w:space="0" w:color="auto"/>
            </w:tcBorders>
            <w:vAlign w:val="center"/>
            <w:hideMark/>
          </w:tcPr>
          <w:p w14:paraId="4493AA2C" w14:textId="5F85C3A3"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23</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0</w:t>
            </w:r>
          </w:p>
        </w:tc>
        <w:tc>
          <w:tcPr>
            <w:tcW w:w="856" w:type="dxa"/>
            <w:tcBorders>
              <w:top w:val="nil"/>
              <w:left w:val="nil"/>
              <w:bottom w:val="single" w:sz="4" w:space="0" w:color="auto"/>
              <w:right w:val="single" w:sz="4" w:space="0" w:color="auto"/>
            </w:tcBorders>
            <w:vAlign w:val="center"/>
            <w:hideMark/>
          </w:tcPr>
          <w:p w14:paraId="6FF441C2" w14:textId="5FAF2D35"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17</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8</w:t>
            </w:r>
          </w:p>
        </w:tc>
        <w:tc>
          <w:tcPr>
            <w:tcW w:w="959" w:type="dxa"/>
            <w:tcBorders>
              <w:top w:val="nil"/>
              <w:left w:val="nil"/>
              <w:bottom w:val="single" w:sz="4" w:space="0" w:color="auto"/>
              <w:right w:val="single" w:sz="4" w:space="0" w:color="auto"/>
            </w:tcBorders>
            <w:vAlign w:val="center"/>
            <w:hideMark/>
          </w:tcPr>
          <w:p w14:paraId="088B9F46" w14:textId="3DC5A538"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3</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1</w:t>
            </w:r>
          </w:p>
        </w:tc>
        <w:tc>
          <w:tcPr>
            <w:tcW w:w="1450" w:type="dxa"/>
            <w:tcBorders>
              <w:top w:val="nil"/>
              <w:left w:val="nil"/>
              <w:bottom w:val="single" w:sz="4" w:space="0" w:color="auto"/>
              <w:right w:val="single" w:sz="4" w:space="0" w:color="auto"/>
            </w:tcBorders>
            <w:vAlign w:val="center"/>
            <w:hideMark/>
          </w:tcPr>
          <w:p w14:paraId="6F69F434" w14:textId="4FDDC999"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0</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2</w:t>
            </w:r>
          </w:p>
        </w:tc>
        <w:tc>
          <w:tcPr>
            <w:tcW w:w="1231" w:type="dxa"/>
            <w:tcBorders>
              <w:top w:val="nil"/>
              <w:left w:val="nil"/>
              <w:bottom w:val="single" w:sz="4" w:space="0" w:color="auto"/>
              <w:right w:val="single" w:sz="4" w:space="0" w:color="auto"/>
            </w:tcBorders>
            <w:vAlign w:val="center"/>
            <w:hideMark/>
          </w:tcPr>
          <w:p w14:paraId="4ECA5C6F"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w:t>
            </w:r>
          </w:p>
        </w:tc>
        <w:tc>
          <w:tcPr>
            <w:tcW w:w="817" w:type="dxa"/>
            <w:tcBorders>
              <w:top w:val="nil"/>
              <w:left w:val="nil"/>
              <w:bottom w:val="single" w:sz="4" w:space="0" w:color="auto"/>
              <w:right w:val="single" w:sz="4" w:space="0" w:color="auto"/>
            </w:tcBorders>
            <w:vAlign w:val="center"/>
            <w:hideMark/>
          </w:tcPr>
          <w:p w14:paraId="4448FDBE" w14:textId="2057B805"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24</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6</w:t>
            </w:r>
          </w:p>
        </w:tc>
        <w:tc>
          <w:tcPr>
            <w:tcW w:w="1074" w:type="dxa"/>
            <w:tcBorders>
              <w:top w:val="nil"/>
              <w:left w:val="nil"/>
              <w:bottom w:val="single" w:sz="4" w:space="0" w:color="auto"/>
              <w:right w:val="single" w:sz="4" w:space="0" w:color="auto"/>
            </w:tcBorders>
            <w:vAlign w:val="center"/>
            <w:hideMark/>
          </w:tcPr>
          <w:p w14:paraId="3F3B3FAF" w14:textId="5A70B8D7"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69</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6</w:t>
            </w:r>
          </w:p>
        </w:tc>
        <w:tc>
          <w:tcPr>
            <w:tcW w:w="958" w:type="dxa"/>
            <w:tcBorders>
              <w:top w:val="nil"/>
              <w:left w:val="nil"/>
              <w:bottom w:val="single" w:sz="4" w:space="0" w:color="auto"/>
              <w:right w:val="single" w:sz="4" w:space="0" w:color="auto"/>
            </w:tcBorders>
            <w:vAlign w:val="center"/>
            <w:hideMark/>
          </w:tcPr>
          <w:p w14:paraId="5F06F85C" w14:textId="0890B349"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0</w:t>
            </w:r>
            <w:r w:rsidR="00974BB4">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8</w:t>
            </w:r>
          </w:p>
        </w:tc>
        <w:tc>
          <w:tcPr>
            <w:tcW w:w="919" w:type="dxa"/>
            <w:tcBorders>
              <w:top w:val="nil"/>
              <w:left w:val="nil"/>
              <w:bottom w:val="single" w:sz="4" w:space="0" w:color="auto"/>
              <w:right w:val="single" w:sz="4" w:space="0" w:color="auto"/>
            </w:tcBorders>
            <w:vAlign w:val="center"/>
            <w:hideMark/>
          </w:tcPr>
          <w:p w14:paraId="2972CED2" w14:textId="1A4271DF"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3</w:t>
            </w:r>
            <w:r w:rsidR="00974BB4">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7</w:t>
            </w:r>
          </w:p>
        </w:tc>
        <w:tc>
          <w:tcPr>
            <w:tcW w:w="1074" w:type="dxa"/>
            <w:tcBorders>
              <w:top w:val="nil"/>
              <w:left w:val="nil"/>
              <w:bottom w:val="single" w:sz="4" w:space="0" w:color="auto"/>
              <w:right w:val="single" w:sz="4" w:space="0" w:color="auto"/>
            </w:tcBorders>
            <w:vAlign w:val="center"/>
            <w:hideMark/>
          </w:tcPr>
          <w:p w14:paraId="34750942" w14:textId="4A85F1E1"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25</w:t>
            </w:r>
            <w:r w:rsidR="00974BB4">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9</w:t>
            </w:r>
          </w:p>
        </w:tc>
        <w:tc>
          <w:tcPr>
            <w:tcW w:w="1074" w:type="dxa"/>
            <w:tcBorders>
              <w:top w:val="nil"/>
              <w:left w:val="nil"/>
              <w:bottom w:val="single" w:sz="4" w:space="0" w:color="auto"/>
              <w:right w:val="single" w:sz="4" w:space="0" w:color="auto"/>
            </w:tcBorders>
            <w:vAlign w:val="center"/>
            <w:hideMark/>
          </w:tcPr>
          <w:p w14:paraId="08F100F2" w14:textId="7195D604" w:rsidR="00A21177" w:rsidRPr="00A21177" w:rsidRDefault="00A21177" w:rsidP="00A21177">
            <w:pPr>
              <w:spacing w:after="0" w:line="240" w:lineRule="auto"/>
              <w:jc w:val="center"/>
              <w:rPr>
                <w:rFonts w:ascii="Aptos" w:eastAsia="Times New Roman" w:hAnsi="Aptos" w:cs="Times New Roman"/>
                <w:color w:val="000000"/>
                <w:kern w:val="0"/>
                <w:szCs w:val="24"/>
                <w:lang w:eastAsia="en-IN"/>
                <w14:ligatures w14:val="none"/>
              </w:rPr>
            </w:pPr>
          </w:p>
        </w:tc>
      </w:tr>
      <w:tr w:rsidR="00A21177" w:rsidRPr="00A21177" w14:paraId="0F2AAB58" w14:textId="77777777" w:rsidTr="00C91D91">
        <w:trPr>
          <w:trHeight w:val="20"/>
        </w:trPr>
        <w:tc>
          <w:tcPr>
            <w:tcW w:w="1360" w:type="dxa"/>
            <w:tcBorders>
              <w:top w:val="nil"/>
              <w:left w:val="single" w:sz="4" w:space="0" w:color="auto"/>
              <w:bottom w:val="single" w:sz="4" w:space="0" w:color="auto"/>
              <w:right w:val="single" w:sz="4" w:space="0" w:color="auto"/>
            </w:tcBorders>
            <w:vAlign w:val="center"/>
            <w:hideMark/>
          </w:tcPr>
          <w:p w14:paraId="3432B8B5"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Saurashtra</w:t>
            </w:r>
          </w:p>
        </w:tc>
        <w:tc>
          <w:tcPr>
            <w:tcW w:w="1463" w:type="dxa"/>
            <w:tcBorders>
              <w:top w:val="nil"/>
              <w:left w:val="nil"/>
              <w:bottom w:val="single" w:sz="4" w:space="0" w:color="auto"/>
              <w:right w:val="single" w:sz="4" w:space="0" w:color="auto"/>
            </w:tcBorders>
            <w:vAlign w:val="center"/>
            <w:hideMark/>
          </w:tcPr>
          <w:p w14:paraId="18E4BC9E"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w:t>
            </w:r>
          </w:p>
        </w:tc>
        <w:tc>
          <w:tcPr>
            <w:tcW w:w="1075" w:type="dxa"/>
            <w:tcBorders>
              <w:top w:val="nil"/>
              <w:left w:val="nil"/>
              <w:bottom w:val="single" w:sz="4" w:space="0" w:color="auto"/>
              <w:right w:val="single" w:sz="4" w:space="0" w:color="auto"/>
            </w:tcBorders>
            <w:vAlign w:val="center"/>
            <w:hideMark/>
          </w:tcPr>
          <w:p w14:paraId="1A24AA1B"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252</w:t>
            </w:r>
          </w:p>
        </w:tc>
        <w:tc>
          <w:tcPr>
            <w:tcW w:w="856" w:type="dxa"/>
            <w:tcBorders>
              <w:top w:val="nil"/>
              <w:left w:val="nil"/>
              <w:bottom w:val="single" w:sz="4" w:space="0" w:color="auto"/>
              <w:right w:val="single" w:sz="4" w:space="0" w:color="auto"/>
            </w:tcBorders>
            <w:vAlign w:val="center"/>
            <w:hideMark/>
          </w:tcPr>
          <w:p w14:paraId="0B9E83D6"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16</w:t>
            </w:r>
          </w:p>
        </w:tc>
        <w:tc>
          <w:tcPr>
            <w:tcW w:w="959" w:type="dxa"/>
            <w:tcBorders>
              <w:top w:val="nil"/>
              <w:left w:val="nil"/>
              <w:bottom w:val="single" w:sz="4" w:space="0" w:color="auto"/>
              <w:right w:val="single" w:sz="4" w:space="0" w:color="auto"/>
            </w:tcBorders>
            <w:vAlign w:val="center"/>
            <w:hideMark/>
          </w:tcPr>
          <w:p w14:paraId="5B345ACB"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22</w:t>
            </w:r>
          </w:p>
        </w:tc>
        <w:tc>
          <w:tcPr>
            <w:tcW w:w="1450" w:type="dxa"/>
            <w:tcBorders>
              <w:top w:val="nil"/>
              <w:left w:val="nil"/>
              <w:bottom w:val="single" w:sz="4" w:space="0" w:color="auto"/>
              <w:right w:val="single" w:sz="4" w:space="0" w:color="auto"/>
            </w:tcBorders>
            <w:vAlign w:val="center"/>
            <w:hideMark/>
          </w:tcPr>
          <w:p w14:paraId="028C047A"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10</w:t>
            </w:r>
          </w:p>
        </w:tc>
        <w:tc>
          <w:tcPr>
            <w:tcW w:w="1231" w:type="dxa"/>
            <w:tcBorders>
              <w:top w:val="nil"/>
              <w:left w:val="nil"/>
              <w:bottom w:val="single" w:sz="4" w:space="0" w:color="auto"/>
              <w:right w:val="single" w:sz="4" w:space="0" w:color="auto"/>
            </w:tcBorders>
            <w:vAlign w:val="center"/>
            <w:hideMark/>
          </w:tcPr>
          <w:p w14:paraId="509470EB"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22</w:t>
            </w:r>
          </w:p>
        </w:tc>
        <w:tc>
          <w:tcPr>
            <w:tcW w:w="817" w:type="dxa"/>
            <w:tcBorders>
              <w:top w:val="nil"/>
              <w:left w:val="nil"/>
              <w:bottom w:val="single" w:sz="4" w:space="0" w:color="auto"/>
              <w:right w:val="single" w:sz="4" w:space="0" w:color="auto"/>
            </w:tcBorders>
            <w:vAlign w:val="center"/>
            <w:hideMark/>
          </w:tcPr>
          <w:p w14:paraId="69BCD4D7"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52</w:t>
            </w:r>
          </w:p>
        </w:tc>
        <w:tc>
          <w:tcPr>
            <w:tcW w:w="1074" w:type="dxa"/>
            <w:tcBorders>
              <w:top w:val="nil"/>
              <w:left w:val="nil"/>
              <w:bottom w:val="single" w:sz="4" w:space="0" w:color="auto"/>
              <w:right w:val="single" w:sz="4" w:space="0" w:color="auto"/>
            </w:tcBorders>
            <w:vAlign w:val="center"/>
            <w:hideMark/>
          </w:tcPr>
          <w:p w14:paraId="0C3E3B6A"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374</w:t>
            </w:r>
          </w:p>
        </w:tc>
        <w:tc>
          <w:tcPr>
            <w:tcW w:w="958" w:type="dxa"/>
            <w:tcBorders>
              <w:top w:val="nil"/>
              <w:left w:val="nil"/>
              <w:bottom w:val="single" w:sz="4" w:space="0" w:color="auto"/>
              <w:right w:val="single" w:sz="4" w:space="0" w:color="auto"/>
            </w:tcBorders>
            <w:vAlign w:val="center"/>
            <w:hideMark/>
          </w:tcPr>
          <w:p w14:paraId="4A79F5EC"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w:t>
            </w:r>
          </w:p>
        </w:tc>
        <w:tc>
          <w:tcPr>
            <w:tcW w:w="919" w:type="dxa"/>
            <w:tcBorders>
              <w:top w:val="nil"/>
              <w:left w:val="nil"/>
              <w:bottom w:val="single" w:sz="4" w:space="0" w:color="auto"/>
              <w:right w:val="single" w:sz="4" w:space="0" w:color="auto"/>
            </w:tcBorders>
            <w:vAlign w:val="center"/>
            <w:hideMark/>
          </w:tcPr>
          <w:p w14:paraId="43DC4337"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308</w:t>
            </w:r>
          </w:p>
        </w:tc>
        <w:tc>
          <w:tcPr>
            <w:tcW w:w="1074" w:type="dxa"/>
            <w:tcBorders>
              <w:top w:val="nil"/>
              <w:left w:val="nil"/>
              <w:bottom w:val="single" w:sz="4" w:space="0" w:color="auto"/>
              <w:right w:val="single" w:sz="4" w:space="0" w:color="auto"/>
            </w:tcBorders>
            <w:vAlign w:val="center"/>
            <w:hideMark/>
          </w:tcPr>
          <w:p w14:paraId="740B5EB5"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191</w:t>
            </w:r>
          </w:p>
        </w:tc>
        <w:tc>
          <w:tcPr>
            <w:tcW w:w="1074" w:type="dxa"/>
            <w:tcBorders>
              <w:top w:val="nil"/>
              <w:left w:val="nil"/>
              <w:bottom w:val="single" w:sz="4" w:space="0" w:color="auto"/>
              <w:right w:val="single" w:sz="4" w:space="0" w:color="auto"/>
            </w:tcBorders>
            <w:vAlign w:val="center"/>
            <w:hideMark/>
          </w:tcPr>
          <w:p w14:paraId="733D3BC3"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873</w:t>
            </w:r>
          </w:p>
        </w:tc>
      </w:tr>
      <w:tr w:rsidR="00A21177" w:rsidRPr="00A21177" w14:paraId="47BC20B4" w14:textId="77777777" w:rsidTr="00C91D91">
        <w:trPr>
          <w:trHeight w:val="20"/>
        </w:trPr>
        <w:tc>
          <w:tcPr>
            <w:tcW w:w="1360" w:type="dxa"/>
            <w:tcBorders>
              <w:top w:val="nil"/>
              <w:left w:val="single" w:sz="4" w:space="0" w:color="auto"/>
              <w:bottom w:val="single" w:sz="4" w:space="0" w:color="auto"/>
              <w:right w:val="single" w:sz="4" w:space="0" w:color="auto"/>
            </w:tcBorders>
            <w:vAlign w:val="center"/>
            <w:hideMark/>
          </w:tcPr>
          <w:p w14:paraId="72FBFA0D" w14:textId="1C405A21" w:rsidR="00A21177" w:rsidRPr="00A21177" w:rsidRDefault="00A21177" w:rsidP="00A21177">
            <w:pPr>
              <w:spacing w:after="0" w:line="240" w:lineRule="auto"/>
              <w:jc w:val="center"/>
              <w:rPr>
                <w:rFonts w:ascii="Aptos" w:eastAsia="Times New Roman" w:hAnsi="Aptos" w:cs="Times New Roman"/>
                <w:color w:val="000000"/>
                <w:kern w:val="0"/>
                <w:szCs w:val="24"/>
                <w:lang w:eastAsia="en-IN"/>
                <w14:ligatures w14:val="none"/>
              </w:rPr>
            </w:pPr>
          </w:p>
        </w:tc>
        <w:tc>
          <w:tcPr>
            <w:tcW w:w="1463" w:type="dxa"/>
            <w:tcBorders>
              <w:top w:val="nil"/>
              <w:left w:val="nil"/>
              <w:bottom w:val="single" w:sz="4" w:space="0" w:color="auto"/>
              <w:right w:val="single" w:sz="4" w:space="0" w:color="auto"/>
            </w:tcBorders>
            <w:vAlign w:val="center"/>
            <w:hideMark/>
          </w:tcPr>
          <w:p w14:paraId="47B4AF92" w14:textId="6BCE756F" w:rsidR="00A21177" w:rsidRPr="00A21177" w:rsidRDefault="00A21177" w:rsidP="00A21177">
            <w:pPr>
              <w:spacing w:after="0" w:line="240" w:lineRule="auto"/>
              <w:jc w:val="center"/>
              <w:rPr>
                <w:rFonts w:ascii="Aptos" w:eastAsia="Times New Roman" w:hAnsi="Aptos" w:cs="Times New Roman"/>
                <w:color w:val="000000"/>
                <w:kern w:val="0"/>
                <w:szCs w:val="24"/>
                <w:lang w:eastAsia="en-IN"/>
                <w14:ligatures w14:val="none"/>
              </w:rPr>
            </w:pPr>
          </w:p>
        </w:tc>
        <w:tc>
          <w:tcPr>
            <w:tcW w:w="1075" w:type="dxa"/>
            <w:tcBorders>
              <w:top w:val="nil"/>
              <w:left w:val="nil"/>
              <w:bottom w:val="single" w:sz="4" w:space="0" w:color="auto"/>
              <w:right w:val="single" w:sz="4" w:space="0" w:color="auto"/>
            </w:tcBorders>
            <w:vAlign w:val="center"/>
            <w:hideMark/>
          </w:tcPr>
          <w:p w14:paraId="79C04EC6" w14:textId="3F3D63F4"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28</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9</w:t>
            </w:r>
          </w:p>
        </w:tc>
        <w:tc>
          <w:tcPr>
            <w:tcW w:w="856" w:type="dxa"/>
            <w:tcBorders>
              <w:top w:val="nil"/>
              <w:left w:val="nil"/>
              <w:bottom w:val="single" w:sz="4" w:space="0" w:color="auto"/>
              <w:right w:val="single" w:sz="4" w:space="0" w:color="auto"/>
            </w:tcBorders>
            <w:vAlign w:val="center"/>
            <w:hideMark/>
          </w:tcPr>
          <w:p w14:paraId="619B00DB" w14:textId="0F52A098"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1</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8</w:t>
            </w:r>
          </w:p>
        </w:tc>
        <w:tc>
          <w:tcPr>
            <w:tcW w:w="959" w:type="dxa"/>
            <w:tcBorders>
              <w:top w:val="nil"/>
              <w:left w:val="nil"/>
              <w:bottom w:val="single" w:sz="4" w:space="0" w:color="auto"/>
              <w:right w:val="single" w:sz="4" w:space="0" w:color="auto"/>
            </w:tcBorders>
            <w:vAlign w:val="center"/>
            <w:hideMark/>
          </w:tcPr>
          <w:p w14:paraId="127CC660" w14:textId="1BA93629"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2</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5</w:t>
            </w:r>
          </w:p>
        </w:tc>
        <w:tc>
          <w:tcPr>
            <w:tcW w:w="1450" w:type="dxa"/>
            <w:tcBorders>
              <w:top w:val="nil"/>
              <w:left w:val="nil"/>
              <w:bottom w:val="single" w:sz="4" w:space="0" w:color="auto"/>
              <w:right w:val="single" w:sz="4" w:space="0" w:color="auto"/>
            </w:tcBorders>
            <w:vAlign w:val="center"/>
            <w:hideMark/>
          </w:tcPr>
          <w:p w14:paraId="57D30B2B" w14:textId="33D17301"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1</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1</w:t>
            </w:r>
          </w:p>
        </w:tc>
        <w:tc>
          <w:tcPr>
            <w:tcW w:w="1231" w:type="dxa"/>
            <w:tcBorders>
              <w:top w:val="nil"/>
              <w:left w:val="nil"/>
              <w:bottom w:val="single" w:sz="4" w:space="0" w:color="auto"/>
              <w:right w:val="single" w:sz="4" w:space="0" w:color="auto"/>
            </w:tcBorders>
            <w:vAlign w:val="center"/>
            <w:hideMark/>
          </w:tcPr>
          <w:p w14:paraId="56605699" w14:textId="40549597"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2</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5</w:t>
            </w:r>
          </w:p>
        </w:tc>
        <w:tc>
          <w:tcPr>
            <w:tcW w:w="817" w:type="dxa"/>
            <w:tcBorders>
              <w:top w:val="nil"/>
              <w:left w:val="nil"/>
              <w:bottom w:val="single" w:sz="4" w:space="0" w:color="auto"/>
              <w:right w:val="single" w:sz="4" w:space="0" w:color="auto"/>
            </w:tcBorders>
            <w:vAlign w:val="center"/>
            <w:hideMark/>
          </w:tcPr>
          <w:p w14:paraId="48E70D97" w14:textId="62B51503"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6</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0</w:t>
            </w:r>
          </w:p>
        </w:tc>
        <w:tc>
          <w:tcPr>
            <w:tcW w:w="1074" w:type="dxa"/>
            <w:tcBorders>
              <w:top w:val="nil"/>
              <w:left w:val="nil"/>
              <w:bottom w:val="single" w:sz="4" w:space="0" w:color="auto"/>
              <w:right w:val="single" w:sz="4" w:space="0" w:color="auto"/>
            </w:tcBorders>
            <w:vAlign w:val="center"/>
            <w:hideMark/>
          </w:tcPr>
          <w:p w14:paraId="630123CF" w14:textId="30BBD491"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42</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8</w:t>
            </w:r>
          </w:p>
        </w:tc>
        <w:tc>
          <w:tcPr>
            <w:tcW w:w="958" w:type="dxa"/>
            <w:tcBorders>
              <w:top w:val="nil"/>
              <w:left w:val="nil"/>
              <w:bottom w:val="single" w:sz="4" w:space="0" w:color="auto"/>
              <w:right w:val="single" w:sz="4" w:space="0" w:color="auto"/>
            </w:tcBorders>
            <w:vAlign w:val="center"/>
            <w:hideMark/>
          </w:tcPr>
          <w:p w14:paraId="3DC7A0C1"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w:t>
            </w:r>
          </w:p>
        </w:tc>
        <w:tc>
          <w:tcPr>
            <w:tcW w:w="919" w:type="dxa"/>
            <w:tcBorders>
              <w:top w:val="nil"/>
              <w:left w:val="nil"/>
              <w:bottom w:val="single" w:sz="4" w:space="0" w:color="auto"/>
              <w:right w:val="single" w:sz="4" w:space="0" w:color="auto"/>
            </w:tcBorders>
            <w:vAlign w:val="center"/>
            <w:hideMark/>
          </w:tcPr>
          <w:p w14:paraId="2E6EDCD0" w14:textId="5065FF91"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35</w:t>
            </w:r>
            <w:r w:rsidR="00974BB4">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2</w:t>
            </w:r>
          </w:p>
        </w:tc>
        <w:tc>
          <w:tcPr>
            <w:tcW w:w="1074" w:type="dxa"/>
            <w:tcBorders>
              <w:top w:val="nil"/>
              <w:left w:val="nil"/>
              <w:bottom w:val="single" w:sz="4" w:space="0" w:color="auto"/>
              <w:right w:val="single" w:sz="4" w:space="0" w:color="auto"/>
            </w:tcBorders>
            <w:vAlign w:val="center"/>
            <w:hideMark/>
          </w:tcPr>
          <w:p w14:paraId="6E19E316" w14:textId="1C7C64FB"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21</w:t>
            </w:r>
            <w:r w:rsidR="00974BB4">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9</w:t>
            </w:r>
          </w:p>
        </w:tc>
        <w:tc>
          <w:tcPr>
            <w:tcW w:w="1074" w:type="dxa"/>
            <w:tcBorders>
              <w:top w:val="nil"/>
              <w:left w:val="nil"/>
              <w:bottom w:val="single" w:sz="4" w:space="0" w:color="auto"/>
              <w:right w:val="single" w:sz="4" w:space="0" w:color="auto"/>
            </w:tcBorders>
            <w:vAlign w:val="center"/>
            <w:hideMark/>
          </w:tcPr>
          <w:p w14:paraId="7229C6CA" w14:textId="6A7C0E2B" w:rsidR="00A21177" w:rsidRPr="00A21177" w:rsidRDefault="00A21177" w:rsidP="00A21177">
            <w:pPr>
              <w:spacing w:after="0" w:line="240" w:lineRule="auto"/>
              <w:jc w:val="center"/>
              <w:rPr>
                <w:rFonts w:ascii="Aptos" w:eastAsia="Times New Roman" w:hAnsi="Aptos" w:cs="Times New Roman"/>
                <w:color w:val="000000"/>
                <w:kern w:val="0"/>
                <w:szCs w:val="24"/>
                <w:lang w:eastAsia="en-IN"/>
                <w14:ligatures w14:val="none"/>
              </w:rPr>
            </w:pPr>
          </w:p>
        </w:tc>
      </w:tr>
      <w:tr w:rsidR="00A21177" w:rsidRPr="00A21177" w14:paraId="7C13300D" w14:textId="77777777" w:rsidTr="00C91D91">
        <w:trPr>
          <w:trHeight w:val="20"/>
        </w:trPr>
        <w:tc>
          <w:tcPr>
            <w:tcW w:w="1360" w:type="dxa"/>
            <w:tcBorders>
              <w:top w:val="nil"/>
              <w:left w:val="single" w:sz="4" w:space="0" w:color="auto"/>
              <w:bottom w:val="single" w:sz="4" w:space="0" w:color="auto"/>
              <w:right w:val="single" w:sz="4" w:space="0" w:color="auto"/>
            </w:tcBorders>
            <w:vAlign w:val="center"/>
            <w:hideMark/>
          </w:tcPr>
          <w:p w14:paraId="173F73D5"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Travancore-Cochin</w:t>
            </w:r>
          </w:p>
        </w:tc>
        <w:tc>
          <w:tcPr>
            <w:tcW w:w="1463" w:type="dxa"/>
            <w:tcBorders>
              <w:top w:val="nil"/>
              <w:left w:val="nil"/>
              <w:bottom w:val="single" w:sz="4" w:space="0" w:color="auto"/>
              <w:right w:val="single" w:sz="4" w:space="0" w:color="auto"/>
            </w:tcBorders>
            <w:vAlign w:val="center"/>
            <w:hideMark/>
          </w:tcPr>
          <w:p w14:paraId="784B6F11"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85</w:t>
            </w:r>
          </w:p>
        </w:tc>
        <w:tc>
          <w:tcPr>
            <w:tcW w:w="1075" w:type="dxa"/>
            <w:tcBorders>
              <w:top w:val="nil"/>
              <w:left w:val="nil"/>
              <w:bottom w:val="single" w:sz="4" w:space="0" w:color="auto"/>
              <w:right w:val="single" w:sz="4" w:space="0" w:color="auto"/>
            </w:tcBorders>
            <w:vAlign w:val="center"/>
            <w:hideMark/>
          </w:tcPr>
          <w:p w14:paraId="00F0E454"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71</w:t>
            </w:r>
          </w:p>
        </w:tc>
        <w:tc>
          <w:tcPr>
            <w:tcW w:w="856" w:type="dxa"/>
            <w:tcBorders>
              <w:top w:val="nil"/>
              <w:left w:val="nil"/>
              <w:bottom w:val="single" w:sz="4" w:space="0" w:color="auto"/>
              <w:right w:val="single" w:sz="4" w:space="0" w:color="auto"/>
            </w:tcBorders>
            <w:vAlign w:val="center"/>
            <w:hideMark/>
          </w:tcPr>
          <w:p w14:paraId="34741573"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265</w:t>
            </w:r>
          </w:p>
        </w:tc>
        <w:tc>
          <w:tcPr>
            <w:tcW w:w="959" w:type="dxa"/>
            <w:tcBorders>
              <w:top w:val="nil"/>
              <w:left w:val="nil"/>
              <w:bottom w:val="single" w:sz="4" w:space="0" w:color="auto"/>
              <w:right w:val="single" w:sz="4" w:space="0" w:color="auto"/>
            </w:tcBorders>
            <w:vAlign w:val="center"/>
            <w:hideMark/>
          </w:tcPr>
          <w:p w14:paraId="6467B9B0"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87</w:t>
            </w:r>
          </w:p>
        </w:tc>
        <w:tc>
          <w:tcPr>
            <w:tcW w:w="1450" w:type="dxa"/>
            <w:tcBorders>
              <w:top w:val="nil"/>
              <w:left w:val="nil"/>
              <w:bottom w:val="single" w:sz="4" w:space="0" w:color="auto"/>
              <w:right w:val="single" w:sz="4" w:space="0" w:color="auto"/>
            </w:tcBorders>
            <w:vAlign w:val="center"/>
            <w:hideMark/>
          </w:tcPr>
          <w:p w14:paraId="7A4B8344"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30</w:t>
            </w:r>
          </w:p>
        </w:tc>
        <w:tc>
          <w:tcPr>
            <w:tcW w:w="1231" w:type="dxa"/>
            <w:tcBorders>
              <w:top w:val="nil"/>
              <w:left w:val="nil"/>
              <w:bottom w:val="single" w:sz="4" w:space="0" w:color="auto"/>
              <w:right w:val="single" w:sz="4" w:space="0" w:color="auto"/>
            </w:tcBorders>
            <w:vAlign w:val="center"/>
            <w:hideMark/>
          </w:tcPr>
          <w:p w14:paraId="3DF7C6A2"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241</w:t>
            </w:r>
          </w:p>
        </w:tc>
        <w:tc>
          <w:tcPr>
            <w:tcW w:w="817" w:type="dxa"/>
            <w:tcBorders>
              <w:top w:val="nil"/>
              <w:left w:val="nil"/>
              <w:bottom w:val="single" w:sz="4" w:space="0" w:color="auto"/>
              <w:right w:val="single" w:sz="4" w:space="0" w:color="auto"/>
            </w:tcBorders>
            <w:vAlign w:val="center"/>
            <w:hideMark/>
          </w:tcPr>
          <w:p w14:paraId="658C034D"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84</w:t>
            </w:r>
          </w:p>
        </w:tc>
        <w:tc>
          <w:tcPr>
            <w:tcW w:w="1074" w:type="dxa"/>
            <w:tcBorders>
              <w:top w:val="nil"/>
              <w:left w:val="nil"/>
              <w:bottom w:val="single" w:sz="4" w:space="0" w:color="auto"/>
              <w:right w:val="single" w:sz="4" w:space="0" w:color="auto"/>
            </w:tcBorders>
            <w:vAlign w:val="center"/>
            <w:hideMark/>
          </w:tcPr>
          <w:p w14:paraId="476781A1"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863</w:t>
            </w:r>
          </w:p>
        </w:tc>
        <w:tc>
          <w:tcPr>
            <w:tcW w:w="958" w:type="dxa"/>
            <w:tcBorders>
              <w:top w:val="nil"/>
              <w:left w:val="nil"/>
              <w:bottom w:val="single" w:sz="4" w:space="0" w:color="auto"/>
              <w:right w:val="single" w:sz="4" w:space="0" w:color="auto"/>
            </w:tcBorders>
            <w:vAlign w:val="center"/>
            <w:hideMark/>
          </w:tcPr>
          <w:p w14:paraId="68E4E377"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w:t>
            </w:r>
          </w:p>
        </w:tc>
        <w:tc>
          <w:tcPr>
            <w:tcW w:w="919" w:type="dxa"/>
            <w:tcBorders>
              <w:top w:val="nil"/>
              <w:left w:val="nil"/>
              <w:bottom w:val="single" w:sz="4" w:space="0" w:color="auto"/>
              <w:right w:val="single" w:sz="4" w:space="0" w:color="auto"/>
            </w:tcBorders>
            <w:vAlign w:val="center"/>
            <w:hideMark/>
          </w:tcPr>
          <w:p w14:paraId="2FF72E3D"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327</w:t>
            </w:r>
          </w:p>
        </w:tc>
        <w:tc>
          <w:tcPr>
            <w:tcW w:w="1074" w:type="dxa"/>
            <w:tcBorders>
              <w:top w:val="nil"/>
              <w:left w:val="nil"/>
              <w:bottom w:val="single" w:sz="4" w:space="0" w:color="auto"/>
              <w:right w:val="single" w:sz="4" w:space="0" w:color="auto"/>
            </w:tcBorders>
            <w:vAlign w:val="center"/>
            <w:hideMark/>
          </w:tcPr>
          <w:p w14:paraId="38B5A41D"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492</w:t>
            </w:r>
          </w:p>
        </w:tc>
        <w:tc>
          <w:tcPr>
            <w:tcW w:w="1074" w:type="dxa"/>
            <w:tcBorders>
              <w:top w:val="nil"/>
              <w:left w:val="nil"/>
              <w:bottom w:val="single" w:sz="4" w:space="0" w:color="auto"/>
              <w:right w:val="single" w:sz="4" w:space="0" w:color="auto"/>
            </w:tcBorders>
            <w:vAlign w:val="center"/>
            <w:hideMark/>
          </w:tcPr>
          <w:p w14:paraId="2B65D117"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1682</w:t>
            </w:r>
          </w:p>
        </w:tc>
      </w:tr>
      <w:tr w:rsidR="00A21177" w:rsidRPr="00A21177" w14:paraId="6D9794E3" w14:textId="77777777" w:rsidTr="00C91D91">
        <w:trPr>
          <w:trHeight w:val="20"/>
        </w:trPr>
        <w:tc>
          <w:tcPr>
            <w:tcW w:w="1360" w:type="dxa"/>
            <w:tcBorders>
              <w:top w:val="nil"/>
              <w:left w:val="single" w:sz="4" w:space="0" w:color="auto"/>
              <w:bottom w:val="single" w:sz="4" w:space="0" w:color="auto"/>
              <w:right w:val="single" w:sz="4" w:space="0" w:color="auto"/>
            </w:tcBorders>
            <w:vAlign w:val="center"/>
            <w:hideMark/>
          </w:tcPr>
          <w:p w14:paraId="0727549E" w14:textId="343888B9" w:rsidR="00A21177" w:rsidRPr="00A21177" w:rsidRDefault="00A21177" w:rsidP="00A21177">
            <w:pPr>
              <w:spacing w:after="0" w:line="240" w:lineRule="auto"/>
              <w:jc w:val="center"/>
              <w:rPr>
                <w:rFonts w:ascii="Aptos" w:eastAsia="Times New Roman" w:hAnsi="Aptos" w:cs="Times New Roman"/>
                <w:color w:val="000000"/>
                <w:kern w:val="0"/>
                <w:szCs w:val="24"/>
                <w:lang w:eastAsia="en-IN"/>
                <w14:ligatures w14:val="none"/>
              </w:rPr>
            </w:pPr>
          </w:p>
        </w:tc>
        <w:tc>
          <w:tcPr>
            <w:tcW w:w="1463" w:type="dxa"/>
            <w:tcBorders>
              <w:top w:val="nil"/>
              <w:left w:val="nil"/>
              <w:bottom w:val="single" w:sz="4" w:space="0" w:color="auto"/>
              <w:right w:val="single" w:sz="4" w:space="0" w:color="auto"/>
            </w:tcBorders>
            <w:vAlign w:val="center"/>
            <w:hideMark/>
          </w:tcPr>
          <w:p w14:paraId="0AE5E879" w14:textId="2A2D55CA"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5</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1</w:t>
            </w:r>
          </w:p>
        </w:tc>
        <w:tc>
          <w:tcPr>
            <w:tcW w:w="1075" w:type="dxa"/>
            <w:tcBorders>
              <w:top w:val="nil"/>
              <w:left w:val="nil"/>
              <w:bottom w:val="single" w:sz="4" w:space="0" w:color="auto"/>
              <w:right w:val="single" w:sz="4" w:space="0" w:color="auto"/>
            </w:tcBorders>
            <w:vAlign w:val="center"/>
            <w:hideMark/>
          </w:tcPr>
          <w:p w14:paraId="311430D7" w14:textId="2A20C5F3"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4</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2</w:t>
            </w:r>
          </w:p>
        </w:tc>
        <w:tc>
          <w:tcPr>
            <w:tcW w:w="856" w:type="dxa"/>
            <w:tcBorders>
              <w:top w:val="nil"/>
              <w:left w:val="nil"/>
              <w:bottom w:val="single" w:sz="4" w:space="0" w:color="auto"/>
              <w:right w:val="single" w:sz="4" w:space="0" w:color="auto"/>
            </w:tcBorders>
            <w:vAlign w:val="center"/>
            <w:hideMark/>
          </w:tcPr>
          <w:p w14:paraId="6EA27B80" w14:textId="22155CA0"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15</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8</w:t>
            </w:r>
          </w:p>
        </w:tc>
        <w:tc>
          <w:tcPr>
            <w:tcW w:w="959" w:type="dxa"/>
            <w:tcBorders>
              <w:top w:val="nil"/>
              <w:left w:val="nil"/>
              <w:bottom w:val="single" w:sz="4" w:space="0" w:color="auto"/>
              <w:right w:val="single" w:sz="4" w:space="0" w:color="auto"/>
            </w:tcBorders>
            <w:vAlign w:val="center"/>
            <w:hideMark/>
          </w:tcPr>
          <w:p w14:paraId="6A68BDB5" w14:textId="2B1ED34C"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5</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2</w:t>
            </w:r>
          </w:p>
        </w:tc>
        <w:tc>
          <w:tcPr>
            <w:tcW w:w="1450" w:type="dxa"/>
            <w:tcBorders>
              <w:top w:val="nil"/>
              <w:left w:val="nil"/>
              <w:bottom w:val="single" w:sz="4" w:space="0" w:color="auto"/>
              <w:right w:val="single" w:sz="4" w:space="0" w:color="auto"/>
            </w:tcBorders>
            <w:vAlign w:val="center"/>
            <w:hideMark/>
          </w:tcPr>
          <w:p w14:paraId="4F42AB49" w14:textId="7C361B67"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1</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8</w:t>
            </w:r>
          </w:p>
        </w:tc>
        <w:tc>
          <w:tcPr>
            <w:tcW w:w="1231" w:type="dxa"/>
            <w:tcBorders>
              <w:top w:val="nil"/>
              <w:left w:val="nil"/>
              <w:bottom w:val="single" w:sz="4" w:space="0" w:color="auto"/>
              <w:right w:val="single" w:sz="4" w:space="0" w:color="auto"/>
            </w:tcBorders>
            <w:vAlign w:val="center"/>
            <w:hideMark/>
          </w:tcPr>
          <w:p w14:paraId="4BB1E3E3" w14:textId="58ADE310"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14</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3</w:t>
            </w:r>
          </w:p>
        </w:tc>
        <w:tc>
          <w:tcPr>
            <w:tcW w:w="817" w:type="dxa"/>
            <w:tcBorders>
              <w:top w:val="nil"/>
              <w:left w:val="nil"/>
              <w:bottom w:val="single" w:sz="4" w:space="0" w:color="auto"/>
              <w:right w:val="single" w:sz="4" w:space="0" w:color="auto"/>
            </w:tcBorders>
            <w:vAlign w:val="center"/>
            <w:hideMark/>
          </w:tcPr>
          <w:p w14:paraId="0280698A" w14:textId="48232548"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5</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0</w:t>
            </w:r>
          </w:p>
        </w:tc>
        <w:tc>
          <w:tcPr>
            <w:tcW w:w="1074" w:type="dxa"/>
            <w:tcBorders>
              <w:top w:val="nil"/>
              <w:left w:val="nil"/>
              <w:bottom w:val="single" w:sz="4" w:space="0" w:color="auto"/>
              <w:right w:val="single" w:sz="4" w:space="0" w:color="auto"/>
            </w:tcBorders>
            <w:vAlign w:val="center"/>
            <w:hideMark/>
          </w:tcPr>
          <w:p w14:paraId="135D8018" w14:textId="303BF8F1"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51</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3</w:t>
            </w:r>
          </w:p>
        </w:tc>
        <w:tc>
          <w:tcPr>
            <w:tcW w:w="958" w:type="dxa"/>
            <w:tcBorders>
              <w:top w:val="nil"/>
              <w:left w:val="nil"/>
              <w:bottom w:val="single" w:sz="4" w:space="0" w:color="auto"/>
              <w:right w:val="single" w:sz="4" w:space="0" w:color="auto"/>
            </w:tcBorders>
            <w:vAlign w:val="center"/>
            <w:hideMark/>
          </w:tcPr>
          <w:p w14:paraId="0507CB9A"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w:t>
            </w:r>
          </w:p>
        </w:tc>
        <w:tc>
          <w:tcPr>
            <w:tcW w:w="919" w:type="dxa"/>
            <w:tcBorders>
              <w:top w:val="nil"/>
              <w:left w:val="nil"/>
              <w:bottom w:val="single" w:sz="4" w:space="0" w:color="auto"/>
              <w:right w:val="single" w:sz="4" w:space="0" w:color="auto"/>
            </w:tcBorders>
            <w:vAlign w:val="center"/>
            <w:hideMark/>
          </w:tcPr>
          <w:p w14:paraId="171A83E0" w14:textId="45DCE8B8"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19</w:t>
            </w:r>
            <w:r w:rsidR="00974BB4">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4</w:t>
            </w:r>
          </w:p>
        </w:tc>
        <w:tc>
          <w:tcPr>
            <w:tcW w:w="1074" w:type="dxa"/>
            <w:tcBorders>
              <w:top w:val="nil"/>
              <w:left w:val="nil"/>
              <w:bottom w:val="single" w:sz="4" w:space="0" w:color="auto"/>
              <w:right w:val="single" w:sz="4" w:space="0" w:color="auto"/>
            </w:tcBorders>
            <w:vAlign w:val="center"/>
            <w:hideMark/>
          </w:tcPr>
          <w:p w14:paraId="6F41F34D" w14:textId="43F11763"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29</w:t>
            </w:r>
            <w:r w:rsidR="00974BB4">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2</w:t>
            </w:r>
          </w:p>
        </w:tc>
        <w:tc>
          <w:tcPr>
            <w:tcW w:w="1074" w:type="dxa"/>
            <w:tcBorders>
              <w:top w:val="nil"/>
              <w:left w:val="nil"/>
              <w:bottom w:val="single" w:sz="4" w:space="0" w:color="auto"/>
              <w:right w:val="single" w:sz="4" w:space="0" w:color="auto"/>
            </w:tcBorders>
            <w:vAlign w:val="center"/>
            <w:hideMark/>
          </w:tcPr>
          <w:p w14:paraId="501FC363" w14:textId="77E1F9C5" w:rsidR="00A21177" w:rsidRPr="00A21177" w:rsidRDefault="00A21177" w:rsidP="00A21177">
            <w:pPr>
              <w:spacing w:after="0" w:line="240" w:lineRule="auto"/>
              <w:jc w:val="center"/>
              <w:rPr>
                <w:rFonts w:ascii="Aptos" w:eastAsia="Times New Roman" w:hAnsi="Aptos" w:cs="Times New Roman"/>
                <w:color w:val="000000"/>
                <w:kern w:val="0"/>
                <w:szCs w:val="24"/>
                <w:lang w:eastAsia="en-IN"/>
                <w14:ligatures w14:val="none"/>
              </w:rPr>
            </w:pPr>
          </w:p>
        </w:tc>
      </w:tr>
      <w:tr w:rsidR="00A21177" w:rsidRPr="00A21177" w14:paraId="5D96B181" w14:textId="77777777" w:rsidTr="00C91D91">
        <w:trPr>
          <w:trHeight w:val="20"/>
        </w:trPr>
        <w:tc>
          <w:tcPr>
            <w:tcW w:w="1360" w:type="dxa"/>
            <w:tcBorders>
              <w:top w:val="nil"/>
              <w:left w:val="single" w:sz="4" w:space="0" w:color="auto"/>
              <w:bottom w:val="single" w:sz="4" w:space="0" w:color="auto"/>
              <w:right w:val="single" w:sz="4" w:space="0" w:color="auto"/>
            </w:tcBorders>
            <w:vAlign w:val="center"/>
            <w:hideMark/>
          </w:tcPr>
          <w:p w14:paraId="6B37C631"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TOTAL</w:t>
            </w:r>
          </w:p>
        </w:tc>
        <w:tc>
          <w:tcPr>
            <w:tcW w:w="1463" w:type="dxa"/>
            <w:tcBorders>
              <w:top w:val="nil"/>
              <w:left w:val="nil"/>
              <w:bottom w:val="single" w:sz="4" w:space="0" w:color="auto"/>
              <w:right w:val="single" w:sz="4" w:space="0" w:color="auto"/>
            </w:tcBorders>
            <w:vAlign w:val="center"/>
            <w:hideMark/>
          </w:tcPr>
          <w:p w14:paraId="55BB3E36"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398</w:t>
            </w:r>
          </w:p>
        </w:tc>
        <w:tc>
          <w:tcPr>
            <w:tcW w:w="1075" w:type="dxa"/>
            <w:tcBorders>
              <w:top w:val="nil"/>
              <w:left w:val="nil"/>
              <w:bottom w:val="single" w:sz="4" w:space="0" w:color="auto"/>
              <w:right w:val="single" w:sz="4" w:space="0" w:color="auto"/>
            </w:tcBorders>
            <w:vAlign w:val="center"/>
            <w:hideMark/>
          </w:tcPr>
          <w:p w14:paraId="0B4E7390"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6090</w:t>
            </w:r>
          </w:p>
        </w:tc>
        <w:tc>
          <w:tcPr>
            <w:tcW w:w="856" w:type="dxa"/>
            <w:tcBorders>
              <w:top w:val="nil"/>
              <w:left w:val="nil"/>
              <w:bottom w:val="single" w:sz="4" w:space="0" w:color="auto"/>
              <w:right w:val="single" w:sz="4" w:space="0" w:color="auto"/>
            </w:tcBorders>
            <w:vAlign w:val="center"/>
            <w:hideMark/>
          </w:tcPr>
          <w:p w14:paraId="5BB41BE6"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4754</w:t>
            </w:r>
          </w:p>
        </w:tc>
        <w:tc>
          <w:tcPr>
            <w:tcW w:w="959" w:type="dxa"/>
            <w:tcBorders>
              <w:top w:val="nil"/>
              <w:left w:val="nil"/>
              <w:bottom w:val="single" w:sz="4" w:space="0" w:color="auto"/>
              <w:right w:val="single" w:sz="4" w:space="0" w:color="auto"/>
            </w:tcBorders>
            <w:vAlign w:val="center"/>
            <w:hideMark/>
          </w:tcPr>
          <w:p w14:paraId="279F366D"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2291</w:t>
            </w:r>
          </w:p>
        </w:tc>
        <w:tc>
          <w:tcPr>
            <w:tcW w:w="1450" w:type="dxa"/>
            <w:tcBorders>
              <w:top w:val="nil"/>
              <w:left w:val="nil"/>
              <w:bottom w:val="single" w:sz="4" w:space="0" w:color="auto"/>
              <w:right w:val="single" w:sz="4" w:space="0" w:color="auto"/>
            </w:tcBorders>
            <w:vAlign w:val="center"/>
            <w:hideMark/>
          </w:tcPr>
          <w:p w14:paraId="21F7AE58"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413</w:t>
            </w:r>
          </w:p>
        </w:tc>
        <w:tc>
          <w:tcPr>
            <w:tcW w:w="1231" w:type="dxa"/>
            <w:tcBorders>
              <w:top w:val="nil"/>
              <w:left w:val="nil"/>
              <w:bottom w:val="single" w:sz="4" w:space="0" w:color="auto"/>
              <w:right w:val="single" w:sz="4" w:space="0" w:color="auto"/>
            </w:tcBorders>
            <w:vAlign w:val="center"/>
            <w:hideMark/>
          </w:tcPr>
          <w:p w14:paraId="35E82908"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5912</w:t>
            </w:r>
          </w:p>
        </w:tc>
        <w:tc>
          <w:tcPr>
            <w:tcW w:w="817" w:type="dxa"/>
            <w:tcBorders>
              <w:top w:val="nil"/>
              <w:left w:val="nil"/>
              <w:bottom w:val="single" w:sz="4" w:space="0" w:color="auto"/>
              <w:right w:val="single" w:sz="4" w:space="0" w:color="auto"/>
            </w:tcBorders>
            <w:vAlign w:val="center"/>
            <w:hideMark/>
          </w:tcPr>
          <w:p w14:paraId="267AE130"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3751</w:t>
            </w:r>
          </w:p>
        </w:tc>
        <w:tc>
          <w:tcPr>
            <w:tcW w:w="1074" w:type="dxa"/>
            <w:tcBorders>
              <w:top w:val="nil"/>
              <w:left w:val="nil"/>
              <w:bottom w:val="single" w:sz="4" w:space="0" w:color="auto"/>
              <w:right w:val="single" w:sz="4" w:space="0" w:color="auto"/>
            </w:tcBorders>
            <w:vAlign w:val="center"/>
            <w:hideMark/>
          </w:tcPr>
          <w:p w14:paraId="531DBAA4"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23606</w:t>
            </w:r>
          </w:p>
        </w:tc>
        <w:tc>
          <w:tcPr>
            <w:tcW w:w="958" w:type="dxa"/>
            <w:tcBorders>
              <w:top w:val="nil"/>
              <w:left w:val="nil"/>
              <w:bottom w:val="single" w:sz="4" w:space="0" w:color="auto"/>
              <w:right w:val="single" w:sz="4" w:space="0" w:color="auto"/>
            </w:tcBorders>
            <w:vAlign w:val="center"/>
            <w:hideMark/>
          </w:tcPr>
          <w:p w14:paraId="368DF501"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5079</w:t>
            </w:r>
          </w:p>
        </w:tc>
        <w:tc>
          <w:tcPr>
            <w:tcW w:w="919" w:type="dxa"/>
            <w:tcBorders>
              <w:top w:val="nil"/>
              <w:left w:val="nil"/>
              <w:bottom w:val="single" w:sz="4" w:space="0" w:color="auto"/>
              <w:right w:val="single" w:sz="4" w:space="0" w:color="auto"/>
            </w:tcBorders>
            <w:vAlign w:val="center"/>
            <w:hideMark/>
          </w:tcPr>
          <w:p w14:paraId="7EFCEF84"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2326</w:t>
            </w:r>
          </w:p>
        </w:tc>
        <w:tc>
          <w:tcPr>
            <w:tcW w:w="1074" w:type="dxa"/>
            <w:tcBorders>
              <w:top w:val="nil"/>
              <w:left w:val="nil"/>
              <w:bottom w:val="single" w:sz="4" w:space="0" w:color="auto"/>
              <w:right w:val="single" w:sz="4" w:space="0" w:color="auto"/>
            </w:tcBorders>
            <w:vAlign w:val="center"/>
            <w:hideMark/>
          </w:tcPr>
          <w:p w14:paraId="487D9815"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10586</w:t>
            </w:r>
          </w:p>
        </w:tc>
        <w:tc>
          <w:tcPr>
            <w:tcW w:w="1074" w:type="dxa"/>
            <w:tcBorders>
              <w:top w:val="nil"/>
              <w:left w:val="nil"/>
              <w:bottom w:val="single" w:sz="4" w:space="0" w:color="auto"/>
              <w:right w:val="single" w:sz="4" w:space="0" w:color="auto"/>
            </w:tcBorders>
            <w:vAlign w:val="center"/>
            <w:hideMark/>
          </w:tcPr>
          <w:p w14:paraId="154044A9" w14:textId="77777777" w:rsidR="00A21177" w:rsidRPr="00A21177" w:rsidRDefault="00A21177" w:rsidP="00A21177">
            <w:pPr>
              <w:spacing w:after="0" w:line="240" w:lineRule="auto"/>
              <w:jc w:val="center"/>
              <w:rPr>
                <w:rFonts w:ascii="Times New Roman" w:eastAsia="Times New Roman" w:hAnsi="Times New Roman" w:cs="Times New Roman"/>
                <w:color w:val="000000"/>
                <w:kern w:val="0"/>
                <w:szCs w:val="24"/>
                <w:lang w:eastAsia="en-IN"/>
                <w14:ligatures w14:val="none"/>
              </w:rPr>
            </w:pPr>
            <w:r w:rsidRPr="00A21177">
              <w:rPr>
                <w:rFonts w:ascii="Times New Roman" w:eastAsia="Times New Roman" w:hAnsi="Times New Roman" w:cs="Times New Roman"/>
                <w:color w:val="000000"/>
                <w:kern w:val="0"/>
                <w:szCs w:val="24"/>
                <w:lang w:eastAsia="en-IN"/>
                <w14:ligatures w14:val="none"/>
              </w:rPr>
              <w:t>41599</w:t>
            </w:r>
          </w:p>
        </w:tc>
      </w:tr>
      <w:tr w:rsidR="00A21177" w:rsidRPr="00A21177" w14:paraId="25DF3336" w14:textId="77777777" w:rsidTr="00C91D91">
        <w:trPr>
          <w:trHeight w:val="20"/>
        </w:trPr>
        <w:tc>
          <w:tcPr>
            <w:tcW w:w="1360" w:type="dxa"/>
            <w:tcBorders>
              <w:top w:val="nil"/>
              <w:left w:val="single" w:sz="4" w:space="0" w:color="auto"/>
              <w:bottom w:val="single" w:sz="4" w:space="0" w:color="auto"/>
              <w:right w:val="single" w:sz="4" w:space="0" w:color="auto"/>
            </w:tcBorders>
            <w:vAlign w:val="center"/>
            <w:hideMark/>
          </w:tcPr>
          <w:p w14:paraId="79247ED9" w14:textId="3337EF3B" w:rsidR="00A21177" w:rsidRPr="00A21177" w:rsidRDefault="00A21177" w:rsidP="00A21177">
            <w:pPr>
              <w:spacing w:after="0" w:line="240" w:lineRule="auto"/>
              <w:jc w:val="center"/>
              <w:rPr>
                <w:rFonts w:ascii="Aptos" w:eastAsia="Times New Roman" w:hAnsi="Aptos" w:cs="Times New Roman"/>
                <w:color w:val="000000"/>
                <w:kern w:val="0"/>
                <w:szCs w:val="24"/>
                <w:lang w:eastAsia="en-IN"/>
                <w14:ligatures w14:val="none"/>
              </w:rPr>
            </w:pPr>
          </w:p>
        </w:tc>
        <w:tc>
          <w:tcPr>
            <w:tcW w:w="1463" w:type="dxa"/>
            <w:tcBorders>
              <w:top w:val="nil"/>
              <w:left w:val="nil"/>
              <w:bottom w:val="single" w:sz="4" w:space="0" w:color="auto"/>
              <w:right w:val="single" w:sz="4" w:space="0" w:color="auto"/>
            </w:tcBorders>
            <w:vAlign w:val="center"/>
            <w:hideMark/>
          </w:tcPr>
          <w:p w14:paraId="082334A2" w14:textId="5DB2DEE8"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1</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0</w:t>
            </w:r>
          </w:p>
        </w:tc>
        <w:tc>
          <w:tcPr>
            <w:tcW w:w="1075" w:type="dxa"/>
            <w:tcBorders>
              <w:top w:val="nil"/>
              <w:left w:val="nil"/>
              <w:bottom w:val="single" w:sz="4" w:space="0" w:color="auto"/>
              <w:right w:val="single" w:sz="4" w:space="0" w:color="auto"/>
            </w:tcBorders>
            <w:vAlign w:val="center"/>
            <w:hideMark/>
          </w:tcPr>
          <w:p w14:paraId="49A6F09C" w14:textId="099CEFB5"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14</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6</w:t>
            </w:r>
          </w:p>
        </w:tc>
        <w:tc>
          <w:tcPr>
            <w:tcW w:w="856" w:type="dxa"/>
            <w:tcBorders>
              <w:top w:val="nil"/>
              <w:left w:val="nil"/>
              <w:bottom w:val="single" w:sz="4" w:space="0" w:color="auto"/>
              <w:right w:val="single" w:sz="4" w:space="0" w:color="auto"/>
            </w:tcBorders>
            <w:vAlign w:val="center"/>
            <w:hideMark/>
          </w:tcPr>
          <w:p w14:paraId="24696EA2" w14:textId="15F56DB0"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11</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4</w:t>
            </w:r>
          </w:p>
        </w:tc>
        <w:tc>
          <w:tcPr>
            <w:tcW w:w="959" w:type="dxa"/>
            <w:tcBorders>
              <w:top w:val="nil"/>
              <w:left w:val="nil"/>
              <w:bottom w:val="single" w:sz="4" w:space="0" w:color="auto"/>
              <w:right w:val="single" w:sz="4" w:space="0" w:color="auto"/>
            </w:tcBorders>
            <w:vAlign w:val="center"/>
            <w:hideMark/>
          </w:tcPr>
          <w:p w14:paraId="7BC60E25" w14:textId="77777777"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5·5</w:t>
            </w:r>
          </w:p>
        </w:tc>
        <w:tc>
          <w:tcPr>
            <w:tcW w:w="1450" w:type="dxa"/>
            <w:tcBorders>
              <w:top w:val="nil"/>
              <w:left w:val="nil"/>
              <w:bottom w:val="single" w:sz="4" w:space="0" w:color="auto"/>
              <w:right w:val="single" w:sz="4" w:space="0" w:color="auto"/>
            </w:tcBorders>
            <w:vAlign w:val="center"/>
            <w:hideMark/>
          </w:tcPr>
          <w:p w14:paraId="7819A4B6" w14:textId="49BC32C0"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1</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0</w:t>
            </w:r>
          </w:p>
        </w:tc>
        <w:tc>
          <w:tcPr>
            <w:tcW w:w="1231" w:type="dxa"/>
            <w:tcBorders>
              <w:top w:val="nil"/>
              <w:left w:val="nil"/>
              <w:bottom w:val="single" w:sz="4" w:space="0" w:color="auto"/>
              <w:right w:val="single" w:sz="4" w:space="0" w:color="auto"/>
            </w:tcBorders>
            <w:vAlign w:val="center"/>
            <w:hideMark/>
          </w:tcPr>
          <w:p w14:paraId="0AD0E351" w14:textId="115BB404"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14</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2</w:t>
            </w:r>
          </w:p>
        </w:tc>
        <w:tc>
          <w:tcPr>
            <w:tcW w:w="817" w:type="dxa"/>
            <w:tcBorders>
              <w:top w:val="nil"/>
              <w:left w:val="nil"/>
              <w:bottom w:val="single" w:sz="4" w:space="0" w:color="auto"/>
              <w:right w:val="single" w:sz="4" w:space="0" w:color="auto"/>
            </w:tcBorders>
            <w:vAlign w:val="center"/>
            <w:hideMark/>
          </w:tcPr>
          <w:p w14:paraId="0AAD3E05" w14:textId="367AB5B9"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9</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0</w:t>
            </w:r>
          </w:p>
        </w:tc>
        <w:tc>
          <w:tcPr>
            <w:tcW w:w="1074" w:type="dxa"/>
            <w:tcBorders>
              <w:top w:val="nil"/>
              <w:left w:val="nil"/>
              <w:bottom w:val="single" w:sz="4" w:space="0" w:color="auto"/>
              <w:right w:val="single" w:sz="4" w:space="0" w:color="auto"/>
            </w:tcBorders>
            <w:vAlign w:val="center"/>
            <w:hideMark/>
          </w:tcPr>
          <w:p w14:paraId="33310402" w14:textId="6BB21889"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56</w:t>
            </w:r>
            <w:r w:rsidR="00C0683B">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7</w:t>
            </w:r>
          </w:p>
        </w:tc>
        <w:tc>
          <w:tcPr>
            <w:tcW w:w="958" w:type="dxa"/>
            <w:tcBorders>
              <w:top w:val="nil"/>
              <w:left w:val="nil"/>
              <w:bottom w:val="single" w:sz="4" w:space="0" w:color="auto"/>
              <w:right w:val="single" w:sz="4" w:space="0" w:color="auto"/>
            </w:tcBorders>
            <w:vAlign w:val="center"/>
            <w:hideMark/>
          </w:tcPr>
          <w:p w14:paraId="7A73916C" w14:textId="0F5A2ED7"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12</w:t>
            </w:r>
            <w:r w:rsidR="00974BB4">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2</w:t>
            </w:r>
          </w:p>
        </w:tc>
        <w:tc>
          <w:tcPr>
            <w:tcW w:w="919" w:type="dxa"/>
            <w:tcBorders>
              <w:top w:val="nil"/>
              <w:left w:val="nil"/>
              <w:bottom w:val="single" w:sz="4" w:space="0" w:color="auto"/>
              <w:right w:val="single" w:sz="4" w:space="0" w:color="auto"/>
            </w:tcBorders>
            <w:vAlign w:val="center"/>
            <w:hideMark/>
          </w:tcPr>
          <w:p w14:paraId="3E9ECE20" w14:textId="001A4BF6"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5</w:t>
            </w:r>
            <w:r w:rsidR="00974BB4">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6</w:t>
            </w:r>
          </w:p>
        </w:tc>
        <w:tc>
          <w:tcPr>
            <w:tcW w:w="1074" w:type="dxa"/>
            <w:tcBorders>
              <w:top w:val="nil"/>
              <w:left w:val="nil"/>
              <w:bottom w:val="single" w:sz="4" w:space="0" w:color="auto"/>
              <w:right w:val="single" w:sz="4" w:space="0" w:color="auto"/>
            </w:tcBorders>
            <w:vAlign w:val="center"/>
            <w:hideMark/>
          </w:tcPr>
          <w:p w14:paraId="6D567F0F" w14:textId="0D246D69" w:rsidR="00A21177" w:rsidRPr="00A21177" w:rsidRDefault="00A21177" w:rsidP="00A2117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A21177">
              <w:rPr>
                <w:rFonts w:ascii="Times New Roman" w:eastAsia="Times New Roman" w:hAnsi="Times New Roman" w:cs="Times New Roman"/>
                <w:i/>
                <w:iCs/>
                <w:color w:val="000000"/>
                <w:kern w:val="0"/>
                <w:szCs w:val="24"/>
                <w:lang w:eastAsia="en-IN"/>
                <w14:ligatures w14:val="none"/>
              </w:rPr>
              <w:t>25</w:t>
            </w:r>
            <w:r w:rsidR="00974BB4">
              <w:rPr>
                <w:rFonts w:ascii="Times New Roman" w:eastAsia="Times New Roman" w:hAnsi="Times New Roman" w:cs="Times New Roman"/>
                <w:i/>
                <w:iCs/>
                <w:color w:val="000000"/>
                <w:kern w:val="0"/>
                <w:szCs w:val="24"/>
                <w:lang w:eastAsia="en-IN"/>
                <w14:ligatures w14:val="none"/>
              </w:rPr>
              <w:t>.</w:t>
            </w:r>
            <w:r w:rsidRPr="00A21177">
              <w:rPr>
                <w:rFonts w:ascii="Times New Roman" w:eastAsia="Times New Roman" w:hAnsi="Times New Roman" w:cs="Times New Roman"/>
                <w:i/>
                <w:iCs/>
                <w:color w:val="000000"/>
                <w:kern w:val="0"/>
                <w:szCs w:val="24"/>
                <w:lang w:eastAsia="en-IN"/>
                <w14:ligatures w14:val="none"/>
              </w:rPr>
              <w:t>5</w:t>
            </w:r>
          </w:p>
        </w:tc>
        <w:tc>
          <w:tcPr>
            <w:tcW w:w="1074" w:type="dxa"/>
            <w:tcBorders>
              <w:top w:val="nil"/>
              <w:left w:val="nil"/>
              <w:bottom w:val="single" w:sz="4" w:space="0" w:color="auto"/>
              <w:right w:val="single" w:sz="4" w:space="0" w:color="auto"/>
            </w:tcBorders>
            <w:vAlign w:val="center"/>
            <w:hideMark/>
          </w:tcPr>
          <w:p w14:paraId="2A554FB2" w14:textId="03E17D3C" w:rsidR="00A21177" w:rsidRPr="00A21177" w:rsidRDefault="00A21177" w:rsidP="00A21177">
            <w:pPr>
              <w:spacing w:after="0" w:line="240" w:lineRule="auto"/>
              <w:jc w:val="center"/>
              <w:rPr>
                <w:rFonts w:ascii="Aptos" w:eastAsia="Times New Roman" w:hAnsi="Aptos" w:cs="Times New Roman"/>
                <w:color w:val="000000"/>
                <w:kern w:val="0"/>
                <w:szCs w:val="24"/>
                <w:lang w:eastAsia="en-IN"/>
                <w14:ligatures w14:val="none"/>
              </w:rPr>
            </w:pPr>
          </w:p>
        </w:tc>
      </w:tr>
    </w:tbl>
    <w:p w14:paraId="654E8E6D" w14:textId="77777777" w:rsidR="005A190F" w:rsidRPr="005534D4" w:rsidRDefault="005A190F" w:rsidP="006D79B9">
      <w:pPr>
        <w:pStyle w:val="Sources"/>
      </w:pPr>
      <w:r w:rsidRPr="005534D4">
        <w:t>(a) Excludes Income Tax share.</w:t>
      </w:r>
      <w:r w:rsidRPr="005534D4">
        <w:br/>
        <w:t>(b) Excludes Transfers from Revenue Reserve Fund.</w:t>
      </w:r>
    </w:p>
    <w:p w14:paraId="6DF27A22" w14:textId="742186E2" w:rsidR="005A190F" w:rsidRPr="005534D4" w:rsidRDefault="005A190F">
      <w:pPr>
        <w:rPr>
          <w:rFonts w:ascii="Times New Roman" w:hAnsi="Times New Roman" w:cs="Times New Roman"/>
        </w:rPr>
      </w:pPr>
      <w:r w:rsidRPr="005534D4">
        <w:rPr>
          <w:rFonts w:ascii="Times New Roman" w:hAnsi="Times New Roman" w:cs="Times New Roman"/>
        </w:rPr>
        <w:br w:type="page"/>
      </w:r>
    </w:p>
    <w:p w14:paraId="20B74EA7" w14:textId="77777777" w:rsidR="00A21177" w:rsidRDefault="00A21177" w:rsidP="00973B90">
      <w:pPr>
        <w:pStyle w:val="NoSpacing"/>
        <w:rPr>
          <w:rFonts w:ascii="Times New Roman" w:hAnsi="Times New Roman" w:cs="Times New Roman"/>
        </w:rPr>
        <w:sectPr w:rsidR="00A21177" w:rsidSect="00A21177">
          <w:pgSz w:w="16838" w:h="11906" w:orient="landscape"/>
          <w:pgMar w:top="1134" w:right="1440" w:bottom="1440" w:left="1440" w:header="709" w:footer="709" w:gutter="0"/>
          <w:cols w:space="708"/>
          <w:docGrid w:linePitch="360"/>
        </w:sectPr>
      </w:pPr>
    </w:p>
    <w:p w14:paraId="1E171FF2" w14:textId="54A69B55" w:rsidR="00D00458" w:rsidRDefault="00D00458" w:rsidP="0075507D">
      <w:pPr>
        <w:pStyle w:val="Heading3"/>
      </w:pPr>
      <w:bookmarkStart w:id="30" w:name="_Toc221007139"/>
      <w:r>
        <w:lastRenderedPageBreak/>
        <w:t>6. - Tax Revenue of Part A and Part B States, 1950-51 to 1952-53</w:t>
      </w:r>
      <w:bookmarkEnd w:id="30"/>
    </w:p>
    <w:p w14:paraId="16F0617F" w14:textId="2AB287F9" w:rsidR="0046346D" w:rsidRPr="00D00458" w:rsidRDefault="0046346D" w:rsidP="00D00458">
      <w:pPr>
        <w:jc w:val="center"/>
        <w:rPr>
          <w:rFonts w:ascii="Times New Roman" w:hAnsi="Times New Roman" w:cs="Times New Roman"/>
        </w:rPr>
      </w:pPr>
      <w:r w:rsidRPr="00D00458">
        <w:rPr>
          <w:rFonts w:ascii="Times New Roman" w:hAnsi="Times New Roman" w:cs="Times New Roman"/>
        </w:rPr>
        <w:t>Per Capita figures (in rupees) are given</w:t>
      </w:r>
      <w:r w:rsidR="00D00458" w:rsidRPr="00D00458">
        <w:rPr>
          <w:rFonts w:ascii="Times New Roman" w:hAnsi="Times New Roman" w:cs="Times New Roman"/>
        </w:rPr>
        <w:t xml:space="preserve"> in italics along-side the figure of Total Revenue.</w:t>
      </w:r>
    </w:p>
    <w:tbl>
      <w:tblPr>
        <w:tblW w:w="14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5"/>
        <w:gridCol w:w="1079"/>
        <w:gridCol w:w="786"/>
        <w:gridCol w:w="1079"/>
        <w:gridCol w:w="786"/>
        <w:gridCol w:w="1246"/>
        <w:gridCol w:w="1070"/>
        <w:gridCol w:w="1020"/>
        <w:gridCol w:w="786"/>
        <w:gridCol w:w="1045"/>
        <w:gridCol w:w="807"/>
        <w:gridCol w:w="1020"/>
        <w:gridCol w:w="787"/>
      </w:tblGrid>
      <w:tr w:rsidR="00D00458" w:rsidRPr="00D00458" w14:paraId="681B3288" w14:textId="77777777" w:rsidTr="00E02C8A">
        <w:trPr>
          <w:trHeight w:val="20"/>
          <w:jc w:val="center"/>
        </w:trPr>
        <w:tc>
          <w:tcPr>
            <w:tcW w:w="2905" w:type="dxa"/>
            <w:noWrap/>
            <w:vAlign w:val="center"/>
            <w:hideMark/>
          </w:tcPr>
          <w:p w14:paraId="0440A6A8" w14:textId="69F6B296" w:rsidR="00D00458" w:rsidRPr="00C91D91" w:rsidRDefault="00D00458" w:rsidP="00D00458">
            <w:pPr>
              <w:spacing w:after="0" w:line="240" w:lineRule="auto"/>
              <w:jc w:val="center"/>
              <w:rPr>
                <w:rFonts w:ascii="Times New Roman" w:eastAsia="Times New Roman" w:hAnsi="Times New Roman" w:cs="Times New Roman"/>
                <w:b/>
                <w:bCs/>
                <w:color w:val="000000"/>
                <w:kern w:val="0"/>
                <w:sz w:val="28"/>
                <w:szCs w:val="28"/>
                <w:lang w:eastAsia="en-IN"/>
                <w14:ligatures w14:val="none"/>
              </w:rPr>
            </w:pPr>
          </w:p>
        </w:tc>
        <w:tc>
          <w:tcPr>
            <w:tcW w:w="6046" w:type="dxa"/>
            <w:gridSpan w:val="6"/>
            <w:noWrap/>
            <w:vAlign w:val="center"/>
            <w:hideMark/>
          </w:tcPr>
          <w:p w14:paraId="3F462691" w14:textId="77777777" w:rsidR="00D00458" w:rsidRPr="00C91D91" w:rsidRDefault="00D00458" w:rsidP="00D00458">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C91D91">
              <w:rPr>
                <w:rFonts w:ascii="Times New Roman" w:eastAsia="Times New Roman" w:hAnsi="Times New Roman" w:cs="Times New Roman"/>
                <w:b/>
                <w:bCs/>
                <w:color w:val="000000"/>
                <w:kern w:val="0"/>
                <w:sz w:val="28"/>
                <w:szCs w:val="28"/>
                <w:lang w:eastAsia="en-IN"/>
                <w14:ligatures w14:val="none"/>
              </w:rPr>
              <w:t>Tax Revenue excluding Income Tax</w:t>
            </w:r>
          </w:p>
        </w:tc>
        <w:tc>
          <w:tcPr>
            <w:tcW w:w="5465" w:type="dxa"/>
            <w:gridSpan w:val="6"/>
            <w:vAlign w:val="center"/>
            <w:hideMark/>
          </w:tcPr>
          <w:p w14:paraId="0142509C" w14:textId="77777777" w:rsidR="00D00458" w:rsidRPr="00C91D91" w:rsidRDefault="00D00458" w:rsidP="00D00458">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C91D91">
              <w:rPr>
                <w:rFonts w:ascii="Times New Roman" w:eastAsia="Times New Roman" w:hAnsi="Times New Roman" w:cs="Times New Roman"/>
                <w:b/>
                <w:bCs/>
                <w:color w:val="000000"/>
                <w:kern w:val="0"/>
                <w:sz w:val="28"/>
                <w:szCs w:val="28"/>
                <w:lang w:eastAsia="en-IN"/>
                <w14:ligatures w14:val="none"/>
              </w:rPr>
              <w:t>Tax Revenue including Income Tax</w:t>
            </w:r>
          </w:p>
        </w:tc>
      </w:tr>
      <w:tr w:rsidR="00D00458" w:rsidRPr="00D00458" w14:paraId="5EB246F3" w14:textId="77777777" w:rsidTr="00E02C8A">
        <w:trPr>
          <w:trHeight w:val="20"/>
          <w:jc w:val="center"/>
        </w:trPr>
        <w:tc>
          <w:tcPr>
            <w:tcW w:w="2905" w:type="dxa"/>
            <w:noWrap/>
            <w:vAlign w:val="center"/>
            <w:hideMark/>
          </w:tcPr>
          <w:p w14:paraId="766E7EA5" w14:textId="382E036D" w:rsidR="00D00458" w:rsidRPr="00C91D91" w:rsidRDefault="00D00458" w:rsidP="00D00458">
            <w:pPr>
              <w:spacing w:after="0" w:line="240" w:lineRule="auto"/>
              <w:jc w:val="center"/>
              <w:rPr>
                <w:rFonts w:ascii="Times New Roman" w:eastAsia="Times New Roman" w:hAnsi="Times New Roman" w:cs="Times New Roman"/>
                <w:b/>
                <w:bCs/>
                <w:color w:val="000000"/>
                <w:kern w:val="0"/>
                <w:sz w:val="28"/>
                <w:szCs w:val="28"/>
                <w:lang w:eastAsia="en-IN"/>
                <w14:ligatures w14:val="none"/>
              </w:rPr>
            </w:pPr>
          </w:p>
        </w:tc>
        <w:tc>
          <w:tcPr>
            <w:tcW w:w="1865" w:type="dxa"/>
            <w:gridSpan w:val="2"/>
            <w:noWrap/>
            <w:vAlign w:val="center"/>
            <w:hideMark/>
          </w:tcPr>
          <w:p w14:paraId="07FD732F" w14:textId="77777777" w:rsidR="00D00458" w:rsidRPr="00C91D91" w:rsidRDefault="00D00458" w:rsidP="00D00458">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C91D91">
              <w:rPr>
                <w:rFonts w:ascii="Times New Roman" w:eastAsia="Times New Roman" w:hAnsi="Times New Roman" w:cs="Times New Roman"/>
                <w:b/>
                <w:bCs/>
                <w:color w:val="000000"/>
                <w:kern w:val="0"/>
                <w:sz w:val="28"/>
                <w:szCs w:val="28"/>
                <w:lang w:eastAsia="en-IN"/>
                <w14:ligatures w14:val="none"/>
              </w:rPr>
              <w:t>1950-51</w:t>
            </w:r>
          </w:p>
        </w:tc>
        <w:tc>
          <w:tcPr>
            <w:tcW w:w="1865" w:type="dxa"/>
            <w:gridSpan w:val="2"/>
            <w:noWrap/>
            <w:vAlign w:val="center"/>
            <w:hideMark/>
          </w:tcPr>
          <w:p w14:paraId="213893A4" w14:textId="77777777" w:rsidR="00D00458" w:rsidRPr="00C91D91" w:rsidRDefault="00D00458" w:rsidP="00D00458">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C91D91">
              <w:rPr>
                <w:rFonts w:ascii="Times New Roman" w:eastAsia="Times New Roman" w:hAnsi="Times New Roman" w:cs="Times New Roman"/>
                <w:b/>
                <w:bCs/>
                <w:color w:val="000000"/>
                <w:kern w:val="0"/>
                <w:sz w:val="28"/>
                <w:szCs w:val="28"/>
                <w:lang w:eastAsia="en-IN"/>
                <w14:ligatures w14:val="none"/>
              </w:rPr>
              <w:t>1951-52 (Provisional Figures)</w:t>
            </w:r>
          </w:p>
        </w:tc>
        <w:tc>
          <w:tcPr>
            <w:tcW w:w="2315" w:type="dxa"/>
            <w:gridSpan w:val="2"/>
            <w:vAlign w:val="center"/>
            <w:hideMark/>
          </w:tcPr>
          <w:p w14:paraId="1284AB96" w14:textId="77777777" w:rsidR="00D00458" w:rsidRPr="00C91D91" w:rsidRDefault="00D00458" w:rsidP="00D00458">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C91D91">
              <w:rPr>
                <w:rFonts w:ascii="Times New Roman" w:eastAsia="Times New Roman" w:hAnsi="Times New Roman" w:cs="Times New Roman"/>
                <w:b/>
                <w:bCs/>
                <w:color w:val="000000"/>
                <w:kern w:val="0"/>
                <w:sz w:val="28"/>
                <w:szCs w:val="28"/>
                <w:lang w:eastAsia="en-IN"/>
                <w14:ligatures w14:val="none"/>
              </w:rPr>
              <w:t>1952-53 (Budget Estimates)</w:t>
            </w:r>
          </w:p>
        </w:tc>
        <w:tc>
          <w:tcPr>
            <w:tcW w:w="1806" w:type="dxa"/>
            <w:gridSpan w:val="2"/>
            <w:noWrap/>
            <w:vAlign w:val="center"/>
            <w:hideMark/>
          </w:tcPr>
          <w:p w14:paraId="06B74508" w14:textId="77777777" w:rsidR="00D00458" w:rsidRPr="00C91D91" w:rsidRDefault="00D00458" w:rsidP="00D00458">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C91D91">
              <w:rPr>
                <w:rFonts w:ascii="Times New Roman" w:eastAsia="Times New Roman" w:hAnsi="Times New Roman" w:cs="Times New Roman"/>
                <w:b/>
                <w:bCs/>
                <w:color w:val="000000"/>
                <w:kern w:val="0"/>
                <w:sz w:val="28"/>
                <w:szCs w:val="28"/>
                <w:lang w:eastAsia="en-IN"/>
                <w14:ligatures w14:val="none"/>
              </w:rPr>
              <w:t>1950-51</w:t>
            </w:r>
          </w:p>
        </w:tc>
        <w:tc>
          <w:tcPr>
            <w:tcW w:w="1852" w:type="dxa"/>
            <w:gridSpan w:val="2"/>
            <w:noWrap/>
            <w:vAlign w:val="center"/>
            <w:hideMark/>
          </w:tcPr>
          <w:p w14:paraId="3FDFE579" w14:textId="77777777" w:rsidR="00D00458" w:rsidRPr="00C91D91" w:rsidRDefault="00D00458" w:rsidP="00D00458">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C91D91">
              <w:rPr>
                <w:rFonts w:ascii="Times New Roman" w:eastAsia="Times New Roman" w:hAnsi="Times New Roman" w:cs="Times New Roman"/>
                <w:b/>
                <w:bCs/>
                <w:color w:val="000000"/>
                <w:kern w:val="0"/>
                <w:sz w:val="28"/>
                <w:szCs w:val="28"/>
                <w:lang w:eastAsia="en-IN"/>
                <w14:ligatures w14:val="none"/>
              </w:rPr>
              <w:t>1951-52 (Provisional Figures)</w:t>
            </w:r>
          </w:p>
        </w:tc>
        <w:tc>
          <w:tcPr>
            <w:tcW w:w="1806" w:type="dxa"/>
            <w:gridSpan w:val="2"/>
            <w:vAlign w:val="center"/>
            <w:hideMark/>
          </w:tcPr>
          <w:p w14:paraId="0B733B30" w14:textId="77777777" w:rsidR="00D00458" w:rsidRPr="00C91D91" w:rsidRDefault="00D00458" w:rsidP="00D00458">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C91D91">
              <w:rPr>
                <w:rFonts w:ascii="Times New Roman" w:eastAsia="Times New Roman" w:hAnsi="Times New Roman" w:cs="Times New Roman"/>
                <w:b/>
                <w:bCs/>
                <w:color w:val="000000"/>
                <w:kern w:val="0"/>
                <w:sz w:val="28"/>
                <w:szCs w:val="28"/>
                <w:lang w:eastAsia="en-IN"/>
                <w14:ligatures w14:val="none"/>
              </w:rPr>
              <w:t>1952-53 (Budget Estimates)</w:t>
            </w:r>
          </w:p>
        </w:tc>
      </w:tr>
      <w:tr w:rsidR="00D00458" w:rsidRPr="00D00458" w14:paraId="380B072B" w14:textId="77777777" w:rsidTr="00E02C8A">
        <w:trPr>
          <w:trHeight w:val="20"/>
          <w:jc w:val="center"/>
        </w:trPr>
        <w:tc>
          <w:tcPr>
            <w:tcW w:w="2905" w:type="dxa"/>
            <w:noWrap/>
            <w:vAlign w:val="center"/>
            <w:hideMark/>
          </w:tcPr>
          <w:p w14:paraId="7858C00D" w14:textId="77777777" w:rsidR="00D00458" w:rsidRPr="00D00458" w:rsidRDefault="00D00458" w:rsidP="00E02C8A">
            <w:pPr>
              <w:spacing w:after="0" w:line="240" w:lineRule="auto"/>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Assam</w:t>
            </w:r>
          </w:p>
        </w:tc>
        <w:tc>
          <w:tcPr>
            <w:tcW w:w="1079" w:type="dxa"/>
            <w:noWrap/>
            <w:vAlign w:val="center"/>
            <w:hideMark/>
          </w:tcPr>
          <w:p w14:paraId="7FCCA283" w14:textId="77777777" w:rsidR="00D00458" w:rsidRPr="00D00458" w:rsidRDefault="00D00458" w:rsidP="00D0045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507</w:t>
            </w:r>
          </w:p>
        </w:tc>
        <w:tc>
          <w:tcPr>
            <w:tcW w:w="786" w:type="dxa"/>
            <w:noWrap/>
            <w:vAlign w:val="center"/>
            <w:hideMark/>
          </w:tcPr>
          <w:p w14:paraId="68837C17" w14:textId="77777777" w:rsidR="00D00458" w:rsidRPr="00D00458" w:rsidRDefault="00D00458" w:rsidP="00D00458">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D00458">
              <w:rPr>
                <w:rFonts w:ascii="Times New Roman" w:eastAsia="Times New Roman" w:hAnsi="Times New Roman" w:cs="Times New Roman"/>
                <w:i/>
                <w:iCs/>
                <w:color w:val="000000"/>
                <w:kern w:val="0"/>
                <w:sz w:val="28"/>
                <w:szCs w:val="28"/>
                <w:lang w:eastAsia="en-IN"/>
                <w14:ligatures w14:val="none"/>
              </w:rPr>
              <w:t>6.8</w:t>
            </w:r>
          </w:p>
        </w:tc>
        <w:tc>
          <w:tcPr>
            <w:tcW w:w="1079" w:type="dxa"/>
            <w:noWrap/>
            <w:vAlign w:val="center"/>
            <w:hideMark/>
          </w:tcPr>
          <w:p w14:paraId="173C6BFA" w14:textId="77777777" w:rsidR="00D00458" w:rsidRPr="00D00458" w:rsidRDefault="00D00458" w:rsidP="00D0045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578</w:t>
            </w:r>
          </w:p>
        </w:tc>
        <w:tc>
          <w:tcPr>
            <w:tcW w:w="786" w:type="dxa"/>
            <w:noWrap/>
            <w:vAlign w:val="center"/>
            <w:hideMark/>
          </w:tcPr>
          <w:p w14:paraId="040725B3" w14:textId="77777777" w:rsidR="00D00458" w:rsidRPr="00D00458" w:rsidRDefault="00D00458" w:rsidP="00D00458">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D00458">
              <w:rPr>
                <w:rFonts w:ascii="Times New Roman" w:eastAsia="Times New Roman" w:hAnsi="Times New Roman" w:cs="Times New Roman"/>
                <w:i/>
                <w:iCs/>
                <w:color w:val="000000"/>
                <w:kern w:val="0"/>
                <w:sz w:val="28"/>
                <w:szCs w:val="28"/>
                <w:lang w:eastAsia="en-IN"/>
                <w14:ligatures w14:val="none"/>
              </w:rPr>
              <w:t>6.4</w:t>
            </w:r>
          </w:p>
        </w:tc>
        <w:tc>
          <w:tcPr>
            <w:tcW w:w="1246" w:type="dxa"/>
            <w:vAlign w:val="center"/>
            <w:hideMark/>
          </w:tcPr>
          <w:p w14:paraId="213DE945" w14:textId="77777777" w:rsidR="00D00458" w:rsidRPr="00D00458" w:rsidRDefault="00D00458" w:rsidP="00D0045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460</w:t>
            </w:r>
          </w:p>
        </w:tc>
        <w:tc>
          <w:tcPr>
            <w:tcW w:w="1069" w:type="dxa"/>
            <w:vAlign w:val="center"/>
            <w:hideMark/>
          </w:tcPr>
          <w:p w14:paraId="5F2ABA1B" w14:textId="77777777" w:rsidR="00D00458" w:rsidRPr="00E02C8A" w:rsidRDefault="00D00458" w:rsidP="00D00458">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E02C8A">
              <w:rPr>
                <w:rFonts w:ascii="Times New Roman" w:eastAsia="Times New Roman" w:hAnsi="Times New Roman" w:cs="Times New Roman"/>
                <w:i/>
                <w:iCs/>
                <w:color w:val="000000"/>
                <w:kern w:val="0"/>
                <w:sz w:val="28"/>
                <w:szCs w:val="28"/>
                <w:lang w:eastAsia="en-IN"/>
                <w14:ligatures w14:val="none"/>
              </w:rPr>
              <w:t>5.1</w:t>
            </w:r>
          </w:p>
        </w:tc>
        <w:tc>
          <w:tcPr>
            <w:tcW w:w="1020" w:type="dxa"/>
            <w:vAlign w:val="center"/>
            <w:hideMark/>
          </w:tcPr>
          <w:p w14:paraId="053286F0" w14:textId="77777777" w:rsidR="00D00458" w:rsidRPr="00D00458" w:rsidRDefault="00D00458" w:rsidP="00D0045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649</w:t>
            </w:r>
          </w:p>
        </w:tc>
        <w:tc>
          <w:tcPr>
            <w:tcW w:w="786" w:type="dxa"/>
            <w:vAlign w:val="center"/>
            <w:hideMark/>
          </w:tcPr>
          <w:p w14:paraId="7E6F5297" w14:textId="77777777" w:rsidR="00D00458" w:rsidRPr="00D00458" w:rsidRDefault="00D00458" w:rsidP="00D00458">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D00458">
              <w:rPr>
                <w:rFonts w:ascii="Times New Roman" w:eastAsia="Times New Roman" w:hAnsi="Times New Roman" w:cs="Times New Roman"/>
                <w:i/>
                <w:iCs/>
                <w:color w:val="000000"/>
                <w:kern w:val="0"/>
                <w:sz w:val="28"/>
                <w:szCs w:val="28"/>
                <w:lang w:eastAsia="en-IN"/>
                <w14:ligatures w14:val="none"/>
              </w:rPr>
              <w:t>7.2</w:t>
            </w:r>
          </w:p>
        </w:tc>
        <w:tc>
          <w:tcPr>
            <w:tcW w:w="1045" w:type="dxa"/>
            <w:vAlign w:val="center"/>
            <w:hideMark/>
          </w:tcPr>
          <w:p w14:paraId="0FC06DE9" w14:textId="77777777" w:rsidR="00D00458" w:rsidRPr="00D00458" w:rsidRDefault="00D00458" w:rsidP="00D0045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732</w:t>
            </w:r>
          </w:p>
        </w:tc>
        <w:tc>
          <w:tcPr>
            <w:tcW w:w="806" w:type="dxa"/>
            <w:vAlign w:val="center"/>
            <w:hideMark/>
          </w:tcPr>
          <w:p w14:paraId="64452B48" w14:textId="77777777" w:rsidR="00D00458" w:rsidRPr="00D00458" w:rsidRDefault="00D00458" w:rsidP="00D00458">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D00458">
              <w:rPr>
                <w:rFonts w:ascii="Times New Roman" w:eastAsia="Times New Roman" w:hAnsi="Times New Roman" w:cs="Times New Roman"/>
                <w:i/>
                <w:iCs/>
                <w:color w:val="000000"/>
                <w:kern w:val="0"/>
                <w:sz w:val="28"/>
                <w:szCs w:val="28"/>
                <w:lang w:eastAsia="en-IN"/>
                <w14:ligatures w14:val="none"/>
              </w:rPr>
              <w:t>8.1</w:t>
            </w:r>
          </w:p>
        </w:tc>
        <w:tc>
          <w:tcPr>
            <w:tcW w:w="1020" w:type="dxa"/>
            <w:vAlign w:val="center"/>
            <w:hideMark/>
          </w:tcPr>
          <w:p w14:paraId="4C9A465E" w14:textId="77777777" w:rsidR="00D00458" w:rsidRPr="00D00458" w:rsidRDefault="00D00458" w:rsidP="00D0045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611</w:t>
            </w:r>
          </w:p>
        </w:tc>
        <w:tc>
          <w:tcPr>
            <w:tcW w:w="786" w:type="dxa"/>
            <w:vAlign w:val="center"/>
            <w:hideMark/>
          </w:tcPr>
          <w:p w14:paraId="558A5C7D" w14:textId="77777777" w:rsidR="00D00458" w:rsidRPr="00D00458" w:rsidRDefault="00D00458" w:rsidP="00D00458">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D00458">
              <w:rPr>
                <w:rFonts w:ascii="Times New Roman" w:eastAsia="Times New Roman" w:hAnsi="Times New Roman" w:cs="Times New Roman"/>
                <w:i/>
                <w:iCs/>
                <w:color w:val="000000"/>
                <w:kern w:val="0"/>
                <w:sz w:val="28"/>
                <w:szCs w:val="28"/>
                <w:lang w:eastAsia="en-IN"/>
                <w14:ligatures w14:val="none"/>
              </w:rPr>
              <w:t>6.8</w:t>
            </w:r>
          </w:p>
        </w:tc>
      </w:tr>
      <w:tr w:rsidR="00D00458" w:rsidRPr="00D00458" w14:paraId="258D644E" w14:textId="77777777" w:rsidTr="00E02C8A">
        <w:trPr>
          <w:trHeight w:val="20"/>
          <w:jc w:val="center"/>
        </w:trPr>
        <w:tc>
          <w:tcPr>
            <w:tcW w:w="2905" w:type="dxa"/>
            <w:noWrap/>
            <w:vAlign w:val="center"/>
            <w:hideMark/>
          </w:tcPr>
          <w:p w14:paraId="1A1EDBB5" w14:textId="77777777" w:rsidR="00D00458" w:rsidRPr="00D00458" w:rsidRDefault="00D00458" w:rsidP="00E02C8A">
            <w:pPr>
              <w:spacing w:after="0" w:line="240" w:lineRule="auto"/>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Bihar</w:t>
            </w:r>
          </w:p>
        </w:tc>
        <w:tc>
          <w:tcPr>
            <w:tcW w:w="1079" w:type="dxa"/>
            <w:noWrap/>
            <w:vAlign w:val="center"/>
            <w:hideMark/>
          </w:tcPr>
          <w:p w14:paraId="2CDF757D" w14:textId="77777777" w:rsidR="00D00458" w:rsidRPr="00D00458" w:rsidRDefault="00D00458" w:rsidP="00D0045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1573</w:t>
            </w:r>
          </w:p>
        </w:tc>
        <w:tc>
          <w:tcPr>
            <w:tcW w:w="786" w:type="dxa"/>
            <w:noWrap/>
            <w:vAlign w:val="center"/>
            <w:hideMark/>
          </w:tcPr>
          <w:p w14:paraId="13AB01DF" w14:textId="77777777" w:rsidR="00D00458" w:rsidRPr="00D00458" w:rsidRDefault="00D00458" w:rsidP="00D00458">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D00458">
              <w:rPr>
                <w:rFonts w:ascii="Times New Roman" w:eastAsia="Times New Roman" w:hAnsi="Times New Roman" w:cs="Times New Roman"/>
                <w:i/>
                <w:iCs/>
                <w:color w:val="000000"/>
                <w:kern w:val="0"/>
                <w:sz w:val="28"/>
                <w:szCs w:val="28"/>
                <w:lang w:eastAsia="en-IN"/>
                <w14:ligatures w14:val="none"/>
              </w:rPr>
              <w:t>3.9</w:t>
            </w:r>
          </w:p>
        </w:tc>
        <w:tc>
          <w:tcPr>
            <w:tcW w:w="1079" w:type="dxa"/>
            <w:noWrap/>
            <w:vAlign w:val="center"/>
            <w:hideMark/>
          </w:tcPr>
          <w:p w14:paraId="22738A1A" w14:textId="77777777" w:rsidR="00D00458" w:rsidRPr="00D00458" w:rsidRDefault="00D00458" w:rsidP="00D0045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1458</w:t>
            </w:r>
          </w:p>
        </w:tc>
        <w:tc>
          <w:tcPr>
            <w:tcW w:w="786" w:type="dxa"/>
            <w:noWrap/>
            <w:vAlign w:val="center"/>
            <w:hideMark/>
          </w:tcPr>
          <w:p w14:paraId="4585C2DD" w14:textId="77777777" w:rsidR="00D00458" w:rsidRPr="00D00458" w:rsidRDefault="00D00458" w:rsidP="00D00458">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D00458">
              <w:rPr>
                <w:rFonts w:ascii="Times New Roman" w:eastAsia="Times New Roman" w:hAnsi="Times New Roman" w:cs="Times New Roman"/>
                <w:i/>
                <w:iCs/>
                <w:color w:val="000000"/>
                <w:kern w:val="0"/>
                <w:sz w:val="28"/>
                <w:szCs w:val="28"/>
                <w:lang w:eastAsia="en-IN"/>
                <w14:ligatures w14:val="none"/>
              </w:rPr>
              <w:t>3.6</w:t>
            </w:r>
          </w:p>
        </w:tc>
        <w:tc>
          <w:tcPr>
            <w:tcW w:w="1246" w:type="dxa"/>
            <w:vAlign w:val="center"/>
            <w:hideMark/>
          </w:tcPr>
          <w:p w14:paraId="379173B3" w14:textId="77777777" w:rsidR="00D00458" w:rsidRPr="00D00458" w:rsidRDefault="00D00458" w:rsidP="00D0045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1508</w:t>
            </w:r>
          </w:p>
        </w:tc>
        <w:tc>
          <w:tcPr>
            <w:tcW w:w="1069" w:type="dxa"/>
            <w:vAlign w:val="center"/>
            <w:hideMark/>
          </w:tcPr>
          <w:p w14:paraId="62106494" w14:textId="77777777" w:rsidR="00D00458" w:rsidRPr="00E02C8A" w:rsidRDefault="00D00458" w:rsidP="00D00458">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E02C8A">
              <w:rPr>
                <w:rFonts w:ascii="Times New Roman" w:eastAsia="Times New Roman" w:hAnsi="Times New Roman" w:cs="Times New Roman"/>
                <w:i/>
                <w:iCs/>
                <w:color w:val="000000"/>
                <w:kern w:val="0"/>
                <w:sz w:val="28"/>
                <w:szCs w:val="28"/>
                <w:lang w:eastAsia="en-IN"/>
                <w14:ligatures w14:val="none"/>
              </w:rPr>
              <w:t>3.8</w:t>
            </w:r>
          </w:p>
        </w:tc>
        <w:tc>
          <w:tcPr>
            <w:tcW w:w="1020" w:type="dxa"/>
            <w:vAlign w:val="center"/>
            <w:hideMark/>
          </w:tcPr>
          <w:p w14:paraId="29EF77B4" w14:textId="77777777" w:rsidR="00D00458" w:rsidRPr="00D00458" w:rsidRDefault="00D00458" w:rsidP="00D0045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2165</w:t>
            </w:r>
          </w:p>
        </w:tc>
        <w:tc>
          <w:tcPr>
            <w:tcW w:w="786" w:type="dxa"/>
            <w:vAlign w:val="center"/>
            <w:hideMark/>
          </w:tcPr>
          <w:p w14:paraId="62D00A7B" w14:textId="77777777" w:rsidR="00D00458" w:rsidRPr="00D00458" w:rsidRDefault="00D00458" w:rsidP="00D00458">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D00458">
              <w:rPr>
                <w:rFonts w:ascii="Times New Roman" w:eastAsia="Times New Roman" w:hAnsi="Times New Roman" w:cs="Times New Roman"/>
                <w:i/>
                <w:iCs/>
                <w:color w:val="000000"/>
                <w:kern w:val="0"/>
                <w:sz w:val="28"/>
                <w:szCs w:val="28"/>
                <w:lang w:eastAsia="en-IN"/>
                <w14:ligatures w14:val="none"/>
              </w:rPr>
              <w:t>5.4</w:t>
            </w:r>
          </w:p>
        </w:tc>
        <w:tc>
          <w:tcPr>
            <w:tcW w:w="1045" w:type="dxa"/>
            <w:vAlign w:val="center"/>
            <w:hideMark/>
          </w:tcPr>
          <w:p w14:paraId="622F0592" w14:textId="77777777" w:rsidR="00D00458" w:rsidRPr="00D00458" w:rsidRDefault="00D00458" w:rsidP="00D0045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2112</w:t>
            </w:r>
          </w:p>
        </w:tc>
        <w:tc>
          <w:tcPr>
            <w:tcW w:w="806" w:type="dxa"/>
            <w:vAlign w:val="center"/>
            <w:hideMark/>
          </w:tcPr>
          <w:p w14:paraId="40F599AA" w14:textId="77777777" w:rsidR="00D00458" w:rsidRPr="00D00458" w:rsidRDefault="00D00458" w:rsidP="00D00458">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D00458">
              <w:rPr>
                <w:rFonts w:ascii="Times New Roman" w:eastAsia="Times New Roman" w:hAnsi="Times New Roman" w:cs="Times New Roman"/>
                <w:i/>
                <w:iCs/>
                <w:color w:val="000000"/>
                <w:kern w:val="0"/>
                <w:sz w:val="28"/>
                <w:szCs w:val="28"/>
                <w:lang w:eastAsia="en-IN"/>
                <w14:ligatures w14:val="none"/>
              </w:rPr>
              <w:t>5.3</w:t>
            </w:r>
          </w:p>
        </w:tc>
        <w:tc>
          <w:tcPr>
            <w:tcW w:w="1020" w:type="dxa"/>
            <w:vAlign w:val="center"/>
            <w:hideMark/>
          </w:tcPr>
          <w:p w14:paraId="2914F09E" w14:textId="77777777" w:rsidR="00D00458" w:rsidRPr="00D00458" w:rsidRDefault="00D00458" w:rsidP="00D0045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2139</w:t>
            </w:r>
          </w:p>
        </w:tc>
        <w:tc>
          <w:tcPr>
            <w:tcW w:w="786" w:type="dxa"/>
            <w:vAlign w:val="center"/>
            <w:hideMark/>
          </w:tcPr>
          <w:p w14:paraId="235F996B" w14:textId="77777777" w:rsidR="00D00458" w:rsidRPr="00D00458" w:rsidRDefault="00D00458" w:rsidP="00D00458">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D00458">
              <w:rPr>
                <w:rFonts w:ascii="Times New Roman" w:eastAsia="Times New Roman" w:hAnsi="Times New Roman" w:cs="Times New Roman"/>
                <w:i/>
                <w:iCs/>
                <w:color w:val="000000"/>
                <w:kern w:val="0"/>
                <w:sz w:val="28"/>
                <w:szCs w:val="28"/>
                <w:lang w:eastAsia="en-IN"/>
                <w14:ligatures w14:val="none"/>
              </w:rPr>
              <w:t>5.3</w:t>
            </w:r>
          </w:p>
        </w:tc>
      </w:tr>
      <w:tr w:rsidR="00D00458" w:rsidRPr="00D00458" w14:paraId="2ED9A8CD" w14:textId="77777777" w:rsidTr="00E02C8A">
        <w:trPr>
          <w:trHeight w:val="20"/>
          <w:jc w:val="center"/>
        </w:trPr>
        <w:tc>
          <w:tcPr>
            <w:tcW w:w="2905" w:type="dxa"/>
            <w:noWrap/>
            <w:vAlign w:val="center"/>
            <w:hideMark/>
          </w:tcPr>
          <w:p w14:paraId="3C4DD449" w14:textId="77777777" w:rsidR="00D00458" w:rsidRPr="00D00458" w:rsidRDefault="00D00458" w:rsidP="00E02C8A">
            <w:pPr>
              <w:spacing w:after="0" w:line="240" w:lineRule="auto"/>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Bombay</w:t>
            </w:r>
          </w:p>
        </w:tc>
        <w:tc>
          <w:tcPr>
            <w:tcW w:w="1079" w:type="dxa"/>
            <w:noWrap/>
            <w:vAlign w:val="center"/>
            <w:hideMark/>
          </w:tcPr>
          <w:p w14:paraId="10D5C718" w14:textId="77777777" w:rsidR="00D00458" w:rsidRPr="00D00458" w:rsidRDefault="00D00458" w:rsidP="00D0045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3589</w:t>
            </w:r>
          </w:p>
        </w:tc>
        <w:tc>
          <w:tcPr>
            <w:tcW w:w="786" w:type="dxa"/>
            <w:noWrap/>
            <w:vAlign w:val="center"/>
            <w:hideMark/>
          </w:tcPr>
          <w:p w14:paraId="74439DA3" w14:textId="77777777" w:rsidR="00D00458" w:rsidRPr="00D00458" w:rsidRDefault="00D00458" w:rsidP="00D00458">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D00458">
              <w:rPr>
                <w:rFonts w:ascii="Times New Roman" w:eastAsia="Times New Roman" w:hAnsi="Times New Roman" w:cs="Times New Roman"/>
                <w:i/>
                <w:iCs/>
                <w:color w:val="000000"/>
                <w:kern w:val="0"/>
                <w:sz w:val="28"/>
                <w:szCs w:val="28"/>
                <w:lang w:eastAsia="en-IN"/>
                <w14:ligatures w14:val="none"/>
              </w:rPr>
              <w:t>10</w:t>
            </w:r>
          </w:p>
        </w:tc>
        <w:tc>
          <w:tcPr>
            <w:tcW w:w="1079" w:type="dxa"/>
            <w:noWrap/>
            <w:vAlign w:val="center"/>
            <w:hideMark/>
          </w:tcPr>
          <w:p w14:paraId="61035FB6" w14:textId="77777777" w:rsidR="00D00458" w:rsidRPr="00D00458" w:rsidRDefault="00D00458" w:rsidP="00D0045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3356</w:t>
            </w:r>
          </w:p>
        </w:tc>
        <w:tc>
          <w:tcPr>
            <w:tcW w:w="786" w:type="dxa"/>
            <w:noWrap/>
            <w:vAlign w:val="center"/>
            <w:hideMark/>
          </w:tcPr>
          <w:p w14:paraId="597BBFBA" w14:textId="77777777" w:rsidR="00D00458" w:rsidRPr="00D00458" w:rsidRDefault="00D00458" w:rsidP="00D00458">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D00458">
              <w:rPr>
                <w:rFonts w:ascii="Times New Roman" w:eastAsia="Times New Roman" w:hAnsi="Times New Roman" w:cs="Times New Roman"/>
                <w:i/>
                <w:iCs/>
                <w:color w:val="000000"/>
                <w:kern w:val="0"/>
                <w:sz w:val="28"/>
                <w:szCs w:val="28"/>
                <w:lang w:eastAsia="en-IN"/>
                <w14:ligatures w14:val="none"/>
              </w:rPr>
              <w:t>9.4</w:t>
            </w:r>
          </w:p>
        </w:tc>
        <w:tc>
          <w:tcPr>
            <w:tcW w:w="1246" w:type="dxa"/>
            <w:vAlign w:val="center"/>
            <w:hideMark/>
          </w:tcPr>
          <w:p w14:paraId="7B773103" w14:textId="77777777" w:rsidR="00D00458" w:rsidRPr="00D00458" w:rsidRDefault="00D00458" w:rsidP="00D0045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3743 (a)</w:t>
            </w:r>
          </w:p>
        </w:tc>
        <w:tc>
          <w:tcPr>
            <w:tcW w:w="1069" w:type="dxa"/>
            <w:vAlign w:val="center"/>
            <w:hideMark/>
          </w:tcPr>
          <w:p w14:paraId="26A03641" w14:textId="77777777" w:rsidR="00D00458" w:rsidRPr="00E02C8A" w:rsidRDefault="00D00458" w:rsidP="00D00458">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E02C8A">
              <w:rPr>
                <w:rFonts w:ascii="Times New Roman" w:eastAsia="Times New Roman" w:hAnsi="Times New Roman" w:cs="Times New Roman"/>
                <w:i/>
                <w:iCs/>
                <w:color w:val="000000"/>
                <w:kern w:val="0"/>
                <w:sz w:val="28"/>
                <w:szCs w:val="28"/>
                <w:lang w:eastAsia="en-IN"/>
                <w14:ligatures w14:val="none"/>
              </w:rPr>
              <w:t>10.4</w:t>
            </w:r>
          </w:p>
        </w:tc>
        <w:tc>
          <w:tcPr>
            <w:tcW w:w="1020" w:type="dxa"/>
            <w:vAlign w:val="center"/>
            <w:hideMark/>
          </w:tcPr>
          <w:p w14:paraId="6B4E2052" w14:textId="77777777" w:rsidR="00D00458" w:rsidRPr="00D00458" w:rsidRDefault="00D00458" w:rsidP="00D0045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4584</w:t>
            </w:r>
          </w:p>
        </w:tc>
        <w:tc>
          <w:tcPr>
            <w:tcW w:w="786" w:type="dxa"/>
            <w:vAlign w:val="center"/>
            <w:hideMark/>
          </w:tcPr>
          <w:p w14:paraId="2F3AD949" w14:textId="77777777" w:rsidR="00D00458" w:rsidRPr="00D00458" w:rsidRDefault="00D00458" w:rsidP="00D00458">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D00458">
              <w:rPr>
                <w:rFonts w:ascii="Times New Roman" w:eastAsia="Times New Roman" w:hAnsi="Times New Roman" w:cs="Times New Roman"/>
                <w:i/>
                <w:iCs/>
                <w:color w:val="000000"/>
                <w:kern w:val="0"/>
                <w:sz w:val="28"/>
                <w:szCs w:val="28"/>
                <w:lang w:eastAsia="en-IN"/>
                <w14:ligatures w14:val="none"/>
              </w:rPr>
              <w:t>12.7</w:t>
            </w:r>
          </w:p>
        </w:tc>
        <w:tc>
          <w:tcPr>
            <w:tcW w:w="1045" w:type="dxa"/>
            <w:vAlign w:val="center"/>
            <w:hideMark/>
          </w:tcPr>
          <w:p w14:paraId="7FAE83C8" w14:textId="77777777" w:rsidR="00D00458" w:rsidRPr="00D00458" w:rsidRDefault="00D00458" w:rsidP="00D0045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4465</w:t>
            </w:r>
          </w:p>
        </w:tc>
        <w:tc>
          <w:tcPr>
            <w:tcW w:w="806" w:type="dxa"/>
            <w:vAlign w:val="center"/>
            <w:hideMark/>
          </w:tcPr>
          <w:p w14:paraId="65028DAF" w14:textId="77777777" w:rsidR="00D00458" w:rsidRPr="00D00458" w:rsidRDefault="00D00458" w:rsidP="00D00458">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D00458">
              <w:rPr>
                <w:rFonts w:ascii="Times New Roman" w:eastAsia="Times New Roman" w:hAnsi="Times New Roman" w:cs="Times New Roman"/>
                <w:i/>
                <w:iCs/>
                <w:color w:val="000000"/>
                <w:kern w:val="0"/>
                <w:sz w:val="28"/>
                <w:szCs w:val="28"/>
                <w:lang w:eastAsia="en-IN"/>
                <w14:ligatures w14:val="none"/>
              </w:rPr>
              <w:t>12.4</w:t>
            </w:r>
          </w:p>
        </w:tc>
        <w:tc>
          <w:tcPr>
            <w:tcW w:w="1020" w:type="dxa"/>
            <w:vAlign w:val="center"/>
            <w:hideMark/>
          </w:tcPr>
          <w:p w14:paraId="2E02607F" w14:textId="77777777" w:rsidR="00D00458" w:rsidRPr="00D00458" w:rsidRDefault="00D00458" w:rsidP="00D0045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4803 (a)</w:t>
            </w:r>
          </w:p>
        </w:tc>
        <w:tc>
          <w:tcPr>
            <w:tcW w:w="786" w:type="dxa"/>
            <w:vAlign w:val="center"/>
            <w:hideMark/>
          </w:tcPr>
          <w:p w14:paraId="2C3CAD86" w14:textId="77777777" w:rsidR="00D00458" w:rsidRPr="00D00458" w:rsidRDefault="00D00458" w:rsidP="00D00458">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D00458">
              <w:rPr>
                <w:rFonts w:ascii="Times New Roman" w:eastAsia="Times New Roman" w:hAnsi="Times New Roman" w:cs="Times New Roman"/>
                <w:i/>
                <w:iCs/>
                <w:color w:val="000000"/>
                <w:kern w:val="0"/>
                <w:sz w:val="28"/>
                <w:szCs w:val="28"/>
                <w:lang w:eastAsia="en-IN"/>
                <w14:ligatures w14:val="none"/>
              </w:rPr>
              <w:t>13.3</w:t>
            </w:r>
          </w:p>
        </w:tc>
      </w:tr>
      <w:tr w:rsidR="00D00458" w:rsidRPr="00D00458" w14:paraId="4FDF257F" w14:textId="77777777" w:rsidTr="00E02C8A">
        <w:trPr>
          <w:trHeight w:val="20"/>
          <w:jc w:val="center"/>
        </w:trPr>
        <w:tc>
          <w:tcPr>
            <w:tcW w:w="2905" w:type="dxa"/>
            <w:noWrap/>
            <w:vAlign w:val="center"/>
            <w:hideMark/>
          </w:tcPr>
          <w:p w14:paraId="6F2D8002" w14:textId="77777777" w:rsidR="00D00458" w:rsidRPr="00D00458" w:rsidRDefault="00D00458" w:rsidP="00E02C8A">
            <w:pPr>
              <w:spacing w:after="0" w:line="240" w:lineRule="auto"/>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Madhya Pradesh</w:t>
            </w:r>
          </w:p>
        </w:tc>
        <w:tc>
          <w:tcPr>
            <w:tcW w:w="1079" w:type="dxa"/>
            <w:noWrap/>
            <w:vAlign w:val="center"/>
            <w:hideMark/>
          </w:tcPr>
          <w:p w14:paraId="3F94CE21" w14:textId="77777777" w:rsidR="00D00458" w:rsidRPr="00D00458" w:rsidRDefault="00D00458" w:rsidP="00D0045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1072</w:t>
            </w:r>
          </w:p>
        </w:tc>
        <w:tc>
          <w:tcPr>
            <w:tcW w:w="786" w:type="dxa"/>
            <w:noWrap/>
            <w:vAlign w:val="center"/>
            <w:hideMark/>
          </w:tcPr>
          <w:p w14:paraId="4AB49623" w14:textId="77777777" w:rsidR="00D00458" w:rsidRPr="00D00458" w:rsidRDefault="00D00458" w:rsidP="00D00458">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D00458">
              <w:rPr>
                <w:rFonts w:ascii="Times New Roman" w:eastAsia="Times New Roman" w:hAnsi="Times New Roman" w:cs="Times New Roman"/>
                <w:i/>
                <w:iCs/>
                <w:color w:val="000000"/>
                <w:kern w:val="0"/>
                <w:sz w:val="28"/>
                <w:szCs w:val="28"/>
                <w:lang w:eastAsia="en-IN"/>
                <w14:ligatures w14:val="none"/>
              </w:rPr>
              <w:t>5</w:t>
            </w:r>
          </w:p>
        </w:tc>
        <w:tc>
          <w:tcPr>
            <w:tcW w:w="1079" w:type="dxa"/>
            <w:noWrap/>
            <w:vAlign w:val="center"/>
            <w:hideMark/>
          </w:tcPr>
          <w:p w14:paraId="0CF0A7DE" w14:textId="77777777" w:rsidR="00D00458" w:rsidRPr="00D00458" w:rsidRDefault="00D00458" w:rsidP="00D0045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1181</w:t>
            </w:r>
          </w:p>
        </w:tc>
        <w:tc>
          <w:tcPr>
            <w:tcW w:w="786" w:type="dxa"/>
            <w:noWrap/>
            <w:vAlign w:val="center"/>
            <w:hideMark/>
          </w:tcPr>
          <w:p w14:paraId="07649963" w14:textId="77777777" w:rsidR="00D00458" w:rsidRPr="00D00458" w:rsidRDefault="00D00458" w:rsidP="00D00458">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D00458">
              <w:rPr>
                <w:rFonts w:ascii="Times New Roman" w:eastAsia="Times New Roman" w:hAnsi="Times New Roman" w:cs="Times New Roman"/>
                <w:i/>
                <w:iCs/>
                <w:color w:val="000000"/>
                <w:kern w:val="0"/>
                <w:sz w:val="28"/>
                <w:szCs w:val="28"/>
                <w:lang w:eastAsia="en-IN"/>
                <w14:ligatures w14:val="none"/>
              </w:rPr>
              <w:t>5.6</w:t>
            </w:r>
          </w:p>
        </w:tc>
        <w:tc>
          <w:tcPr>
            <w:tcW w:w="1246" w:type="dxa"/>
            <w:vAlign w:val="center"/>
            <w:hideMark/>
          </w:tcPr>
          <w:p w14:paraId="395D251C" w14:textId="77777777" w:rsidR="00D00458" w:rsidRPr="00D00458" w:rsidRDefault="00D00458" w:rsidP="00D0045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1092</w:t>
            </w:r>
          </w:p>
        </w:tc>
        <w:tc>
          <w:tcPr>
            <w:tcW w:w="1069" w:type="dxa"/>
            <w:vAlign w:val="center"/>
            <w:hideMark/>
          </w:tcPr>
          <w:p w14:paraId="45657B36" w14:textId="77777777" w:rsidR="00D00458" w:rsidRPr="00E02C8A" w:rsidRDefault="00D00458" w:rsidP="00D00458">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E02C8A">
              <w:rPr>
                <w:rFonts w:ascii="Times New Roman" w:eastAsia="Times New Roman" w:hAnsi="Times New Roman" w:cs="Times New Roman"/>
                <w:i/>
                <w:iCs/>
                <w:color w:val="000000"/>
                <w:kern w:val="0"/>
                <w:sz w:val="28"/>
                <w:szCs w:val="28"/>
                <w:lang w:eastAsia="en-IN"/>
                <w14:ligatures w14:val="none"/>
              </w:rPr>
              <w:t>5.2</w:t>
            </w:r>
          </w:p>
        </w:tc>
        <w:tc>
          <w:tcPr>
            <w:tcW w:w="1020" w:type="dxa"/>
            <w:vAlign w:val="center"/>
            <w:hideMark/>
          </w:tcPr>
          <w:p w14:paraId="6134B0DD" w14:textId="77777777" w:rsidR="00D00458" w:rsidRPr="00D00458" w:rsidRDefault="00D00458" w:rsidP="00D0045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1356</w:t>
            </w:r>
          </w:p>
        </w:tc>
        <w:tc>
          <w:tcPr>
            <w:tcW w:w="786" w:type="dxa"/>
            <w:vAlign w:val="center"/>
            <w:hideMark/>
          </w:tcPr>
          <w:p w14:paraId="3D71FDDB" w14:textId="77777777" w:rsidR="00D00458" w:rsidRPr="00D00458" w:rsidRDefault="00D00458" w:rsidP="00D00458">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D00458">
              <w:rPr>
                <w:rFonts w:ascii="Times New Roman" w:eastAsia="Times New Roman" w:hAnsi="Times New Roman" w:cs="Times New Roman"/>
                <w:i/>
                <w:iCs/>
                <w:color w:val="000000"/>
                <w:kern w:val="0"/>
                <w:sz w:val="28"/>
                <w:szCs w:val="28"/>
                <w:lang w:eastAsia="en-IN"/>
                <w14:ligatures w14:val="none"/>
              </w:rPr>
              <w:t>6.4</w:t>
            </w:r>
          </w:p>
        </w:tc>
        <w:tc>
          <w:tcPr>
            <w:tcW w:w="1045" w:type="dxa"/>
            <w:vAlign w:val="center"/>
            <w:hideMark/>
          </w:tcPr>
          <w:p w14:paraId="59247FCB" w14:textId="77777777" w:rsidR="00D00458" w:rsidRPr="00D00458" w:rsidRDefault="00D00458" w:rsidP="00D0045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1495</w:t>
            </w:r>
          </w:p>
        </w:tc>
        <w:tc>
          <w:tcPr>
            <w:tcW w:w="806" w:type="dxa"/>
            <w:vAlign w:val="center"/>
            <w:hideMark/>
          </w:tcPr>
          <w:p w14:paraId="6847624A" w14:textId="77777777" w:rsidR="00D00458" w:rsidRPr="00D00458" w:rsidRDefault="00D00458" w:rsidP="00D00458">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D00458">
              <w:rPr>
                <w:rFonts w:ascii="Times New Roman" w:eastAsia="Times New Roman" w:hAnsi="Times New Roman" w:cs="Times New Roman"/>
                <w:i/>
                <w:iCs/>
                <w:color w:val="000000"/>
                <w:kern w:val="0"/>
                <w:sz w:val="28"/>
                <w:szCs w:val="28"/>
                <w:lang w:eastAsia="en-IN"/>
                <w14:ligatures w14:val="none"/>
              </w:rPr>
              <w:t>7.1</w:t>
            </w:r>
          </w:p>
        </w:tc>
        <w:tc>
          <w:tcPr>
            <w:tcW w:w="1020" w:type="dxa"/>
            <w:vAlign w:val="center"/>
            <w:hideMark/>
          </w:tcPr>
          <w:p w14:paraId="15929F08" w14:textId="77777777" w:rsidR="00D00458" w:rsidRPr="00D00458" w:rsidRDefault="00D00458" w:rsidP="00D0045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1395</w:t>
            </w:r>
          </w:p>
        </w:tc>
        <w:tc>
          <w:tcPr>
            <w:tcW w:w="786" w:type="dxa"/>
            <w:vAlign w:val="center"/>
            <w:hideMark/>
          </w:tcPr>
          <w:p w14:paraId="34EBA9D5" w14:textId="77777777" w:rsidR="00D00458" w:rsidRPr="00D00458" w:rsidRDefault="00D00458" w:rsidP="00D00458">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D00458">
              <w:rPr>
                <w:rFonts w:ascii="Times New Roman" w:eastAsia="Times New Roman" w:hAnsi="Times New Roman" w:cs="Times New Roman"/>
                <w:i/>
                <w:iCs/>
                <w:color w:val="000000"/>
                <w:kern w:val="0"/>
                <w:sz w:val="28"/>
                <w:szCs w:val="28"/>
                <w:lang w:eastAsia="en-IN"/>
                <w14:ligatures w14:val="none"/>
              </w:rPr>
              <w:t>6.5</w:t>
            </w:r>
          </w:p>
        </w:tc>
      </w:tr>
      <w:tr w:rsidR="00D00458" w:rsidRPr="00D00458" w14:paraId="3E6BD689" w14:textId="77777777" w:rsidTr="00E02C8A">
        <w:trPr>
          <w:trHeight w:val="20"/>
          <w:jc w:val="center"/>
        </w:trPr>
        <w:tc>
          <w:tcPr>
            <w:tcW w:w="2905" w:type="dxa"/>
            <w:noWrap/>
            <w:vAlign w:val="center"/>
            <w:hideMark/>
          </w:tcPr>
          <w:p w14:paraId="3EAE602A" w14:textId="77777777" w:rsidR="00D00458" w:rsidRPr="00D00458" w:rsidRDefault="00D00458" w:rsidP="00E02C8A">
            <w:pPr>
              <w:spacing w:after="0" w:line="240" w:lineRule="auto"/>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Madras</w:t>
            </w:r>
          </w:p>
        </w:tc>
        <w:tc>
          <w:tcPr>
            <w:tcW w:w="1079" w:type="dxa"/>
            <w:noWrap/>
            <w:vAlign w:val="center"/>
            <w:hideMark/>
          </w:tcPr>
          <w:p w14:paraId="42ABFBBB" w14:textId="77777777" w:rsidR="00D00458" w:rsidRPr="00D00458" w:rsidRDefault="00D00458" w:rsidP="00D0045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3589</w:t>
            </w:r>
          </w:p>
        </w:tc>
        <w:tc>
          <w:tcPr>
            <w:tcW w:w="786" w:type="dxa"/>
            <w:noWrap/>
            <w:vAlign w:val="center"/>
            <w:hideMark/>
          </w:tcPr>
          <w:p w14:paraId="5AE511EB" w14:textId="77777777" w:rsidR="00D00458" w:rsidRPr="00D00458" w:rsidRDefault="00D00458" w:rsidP="00D00458">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D00458">
              <w:rPr>
                <w:rFonts w:ascii="Times New Roman" w:eastAsia="Times New Roman" w:hAnsi="Times New Roman" w:cs="Times New Roman"/>
                <w:i/>
                <w:iCs/>
                <w:color w:val="000000"/>
                <w:kern w:val="0"/>
                <w:sz w:val="28"/>
                <w:szCs w:val="28"/>
                <w:lang w:eastAsia="en-IN"/>
                <w14:ligatures w14:val="none"/>
              </w:rPr>
              <w:t>6.3</w:t>
            </w:r>
          </w:p>
        </w:tc>
        <w:tc>
          <w:tcPr>
            <w:tcW w:w="1079" w:type="dxa"/>
            <w:noWrap/>
            <w:vAlign w:val="center"/>
            <w:hideMark/>
          </w:tcPr>
          <w:p w14:paraId="20ED4E2C" w14:textId="77777777" w:rsidR="00D00458" w:rsidRPr="00D00458" w:rsidRDefault="00D00458" w:rsidP="00D0045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3833</w:t>
            </w:r>
          </w:p>
        </w:tc>
        <w:tc>
          <w:tcPr>
            <w:tcW w:w="786" w:type="dxa"/>
            <w:noWrap/>
            <w:vAlign w:val="center"/>
            <w:hideMark/>
          </w:tcPr>
          <w:p w14:paraId="4ADCB3BE" w14:textId="77777777" w:rsidR="00D00458" w:rsidRPr="00D00458" w:rsidRDefault="00D00458" w:rsidP="00D00458">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D00458">
              <w:rPr>
                <w:rFonts w:ascii="Times New Roman" w:eastAsia="Times New Roman" w:hAnsi="Times New Roman" w:cs="Times New Roman"/>
                <w:i/>
                <w:iCs/>
                <w:color w:val="000000"/>
                <w:kern w:val="0"/>
                <w:sz w:val="28"/>
                <w:szCs w:val="28"/>
                <w:lang w:eastAsia="en-IN"/>
                <w14:ligatures w14:val="none"/>
              </w:rPr>
              <w:t>6.7</w:t>
            </w:r>
          </w:p>
        </w:tc>
        <w:tc>
          <w:tcPr>
            <w:tcW w:w="1246" w:type="dxa"/>
            <w:vAlign w:val="center"/>
            <w:hideMark/>
          </w:tcPr>
          <w:p w14:paraId="0FE85DFD" w14:textId="77777777" w:rsidR="00D00458" w:rsidRPr="00D00458" w:rsidRDefault="00D00458" w:rsidP="00D0045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3863 (b)</w:t>
            </w:r>
          </w:p>
        </w:tc>
        <w:tc>
          <w:tcPr>
            <w:tcW w:w="1069" w:type="dxa"/>
            <w:vAlign w:val="center"/>
            <w:hideMark/>
          </w:tcPr>
          <w:p w14:paraId="606A5DD8" w14:textId="77777777" w:rsidR="00D00458" w:rsidRPr="00E02C8A" w:rsidRDefault="00D00458" w:rsidP="00D00458">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E02C8A">
              <w:rPr>
                <w:rFonts w:ascii="Times New Roman" w:eastAsia="Times New Roman" w:hAnsi="Times New Roman" w:cs="Times New Roman"/>
                <w:i/>
                <w:iCs/>
                <w:color w:val="000000"/>
                <w:kern w:val="0"/>
                <w:sz w:val="28"/>
                <w:szCs w:val="28"/>
                <w:lang w:eastAsia="en-IN"/>
                <w14:ligatures w14:val="none"/>
              </w:rPr>
              <w:t>6.8</w:t>
            </w:r>
          </w:p>
        </w:tc>
        <w:tc>
          <w:tcPr>
            <w:tcW w:w="1020" w:type="dxa"/>
            <w:vAlign w:val="center"/>
            <w:hideMark/>
          </w:tcPr>
          <w:p w14:paraId="6B9F0461" w14:textId="77777777" w:rsidR="00D00458" w:rsidRPr="00D00458" w:rsidRDefault="00D00458" w:rsidP="00D0045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4418</w:t>
            </w:r>
          </w:p>
        </w:tc>
        <w:tc>
          <w:tcPr>
            <w:tcW w:w="786" w:type="dxa"/>
            <w:vAlign w:val="center"/>
            <w:hideMark/>
          </w:tcPr>
          <w:p w14:paraId="4E77E011" w14:textId="77777777" w:rsidR="00D00458" w:rsidRPr="00D00458" w:rsidRDefault="00D00458" w:rsidP="00D00458">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D00458">
              <w:rPr>
                <w:rFonts w:ascii="Times New Roman" w:eastAsia="Times New Roman" w:hAnsi="Times New Roman" w:cs="Times New Roman"/>
                <w:i/>
                <w:iCs/>
                <w:color w:val="000000"/>
                <w:kern w:val="0"/>
                <w:sz w:val="28"/>
                <w:szCs w:val="28"/>
                <w:lang w:eastAsia="en-IN"/>
                <w14:ligatures w14:val="none"/>
              </w:rPr>
              <w:t>7.7</w:t>
            </w:r>
          </w:p>
        </w:tc>
        <w:tc>
          <w:tcPr>
            <w:tcW w:w="1045" w:type="dxa"/>
            <w:vAlign w:val="center"/>
            <w:hideMark/>
          </w:tcPr>
          <w:p w14:paraId="67DBDC7E" w14:textId="77777777" w:rsidR="00D00458" w:rsidRPr="00D00458" w:rsidRDefault="00D00458" w:rsidP="00D0045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4748</w:t>
            </w:r>
          </w:p>
        </w:tc>
        <w:tc>
          <w:tcPr>
            <w:tcW w:w="806" w:type="dxa"/>
            <w:vAlign w:val="center"/>
            <w:hideMark/>
          </w:tcPr>
          <w:p w14:paraId="78A6B253" w14:textId="77777777" w:rsidR="00D00458" w:rsidRPr="00D00458" w:rsidRDefault="00D00458" w:rsidP="00D00458">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D00458">
              <w:rPr>
                <w:rFonts w:ascii="Times New Roman" w:eastAsia="Times New Roman" w:hAnsi="Times New Roman" w:cs="Times New Roman"/>
                <w:i/>
                <w:iCs/>
                <w:color w:val="000000"/>
                <w:kern w:val="0"/>
                <w:sz w:val="28"/>
                <w:szCs w:val="28"/>
                <w:lang w:eastAsia="en-IN"/>
                <w14:ligatures w14:val="none"/>
              </w:rPr>
              <w:t>8.3</w:t>
            </w:r>
          </w:p>
        </w:tc>
        <w:tc>
          <w:tcPr>
            <w:tcW w:w="1020" w:type="dxa"/>
            <w:vAlign w:val="center"/>
            <w:hideMark/>
          </w:tcPr>
          <w:p w14:paraId="2E141137" w14:textId="77777777" w:rsidR="00D00458" w:rsidRPr="00D00458" w:rsidRDefault="00D00458" w:rsidP="00D0045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4746 (b)</w:t>
            </w:r>
          </w:p>
        </w:tc>
        <w:tc>
          <w:tcPr>
            <w:tcW w:w="786" w:type="dxa"/>
            <w:vAlign w:val="center"/>
            <w:hideMark/>
          </w:tcPr>
          <w:p w14:paraId="52E53695" w14:textId="77777777" w:rsidR="00D00458" w:rsidRPr="00D00458" w:rsidRDefault="00D00458" w:rsidP="00D00458">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D00458">
              <w:rPr>
                <w:rFonts w:ascii="Times New Roman" w:eastAsia="Times New Roman" w:hAnsi="Times New Roman" w:cs="Times New Roman"/>
                <w:i/>
                <w:iCs/>
                <w:color w:val="000000"/>
                <w:kern w:val="0"/>
                <w:sz w:val="28"/>
                <w:szCs w:val="28"/>
                <w:lang w:eastAsia="en-IN"/>
                <w14:ligatures w14:val="none"/>
              </w:rPr>
              <w:t>8.3</w:t>
            </w:r>
          </w:p>
        </w:tc>
      </w:tr>
      <w:tr w:rsidR="00D00458" w:rsidRPr="00D00458" w14:paraId="51FCE846" w14:textId="77777777" w:rsidTr="00E02C8A">
        <w:trPr>
          <w:trHeight w:val="20"/>
          <w:jc w:val="center"/>
        </w:trPr>
        <w:tc>
          <w:tcPr>
            <w:tcW w:w="2905" w:type="dxa"/>
            <w:noWrap/>
            <w:vAlign w:val="center"/>
            <w:hideMark/>
          </w:tcPr>
          <w:p w14:paraId="4A120888" w14:textId="77777777" w:rsidR="00D00458" w:rsidRPr="00D00458" w:rsidRDefault="00D00458" w:rsidP="00E02C8A">
            <w:pPr>
              <w:spacing w:after="0" w:line="240" w:lineRule="auto"/>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Orissa</w:t>
            </w:r>
          </w:p>
        </w:tc>
        <w:tc>
          <w:tcPr>
            <w:tcW w:w="1079" w:type="dxa"/>
            <w:noWrap/>
            <w:vAlign w:val="center"/>
            <w:hideMark/>
          </w:tcPr>
          <w:p w14:paraId="30DE1D2D" w14:textId="77777777" w:rsidR="00D00458" w:rsidRPr="00D00458" w:rsidRDefault="00D00458" w:rsidP="00D0045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509</w:t>
            </w:r>
          </w:p>
        </w:tc>
        <w:tc>
          <w:tcPr>
            <w:tcW w:w="786" w:type="dxa"/>
            <w:noWrap/>
            <w:vAlign w:val="center"/>
            <w:hideMark/>
          </w:tcPr>
          <w:p w14:paraId="54122408" w14:textId="77777777" w:rsidR="00D00458" w:rsidRPr="00D00458" w:rsidRDefault="00D00458" w:rsidP="00D00458">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D00458">
              <w:rPr>
                <w:rFonts w:ascii="Times New Roman" w:eastAsia="Times New Roman" w:hAnsi="Times New Roman" w:cs="Times New Roman"/>
                <w:i/>
                <w:iCs/>
                <w:color w:val="000000"/>
                <w:kern w:val="0"/>
                <w:sz w:val="28"/>
                <w:szCs w:val="28"/>
                <w:lang w:eastAsia="en-IN"/>
                <w14:ligatures w14:val="none"/>
              </w:rPr>
              <w:t>3.6</w:t>
            </w:r>
          </w:p>
        </w:tc>
        <w:tc>
          <w:tcPr>
            <w:tcW w:w="1079" w:type="dxa"/>
            <w:noWrap/>
            <w:vAlign w:val="center"/>
            <w:hideMark/>
          </w:tcPr>
          <w:p w14:paraId="56FD3B32" w14:textId="77777777" w:rsidR="00D00458" w:rsidRPr="00D00458" w:rsidRDefault="00D00458" w:rsidP="00D0045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548</w:t>
            </w:r>
          </w:p>
        </w:tc>
        <w:tc>
          <w:tcPr>
            <w:tcW w:w="786" w:type="dxa"/>
            <w:noWrap/>
            <w:vAlign w:val="center"/>
            <w:hideMark/>
          </w:tcPr>
          <w:p w14:paraId="4BD4C368" w14:textId="77777777" w:rsidR="00D00458" w:rsidRPr="00D00458" w:rsidRDefault="00D00458" w:rsidP="00D00458">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D00458">
              <w:rPr>
                <w:rFonts w:ascii="Times New Roman" w:eastAsia="Times New Roman" w:hAnsi="Times New Roman" w:cs="Times New Roman"/>
                <w:i/>
                <w:iCs/>
                <w:color w:val="000000"/>
                <w:kern w:val="0"/>
                <w:sz w:val="28"/>
                <w:szCs w:val="28"/>
                <w:lang w:eastAsia="en-IN"/>
                <w14:ligatures w14:val="none"/>
              </w:rPr>
              <w:t>3.8</w:t>
            </w:r>
          </w:p>
        </w:tc>
        <w:tc>
          <w:tcPr>
            <w:tcW w:w="1246" w:type="dxa"/>
            <w:vAlign w:val="center"/>
            <w:hideMark/>
          </w:tcPr>
          <w:p w14:paraId="3C59493E" w14:textId="77777777" w:rsidR="00D00458" w:rsidRPr="00D00458" w:rsidRDefault="00D00458" w:rsidP="00D0045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496</w:t>
            </w:r>
          </w:p>
        </w:tc>
        <w:tc>
          <w:tcPr>
            <w:tcW w:w="1069" w:type="dxa"/>
            <w:vAlign w:val="center"/>
            <w:hideMark/>
          </w:tcPr>
          <w:p w14:paraId="485BAEE8" w14:textId="77777777" w:rsidR="00D00458" w:rsidRPr="00E02C8A" w:rsidRDefault="00D00458" w:rsidP="00D00458">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E02C8A">
              <w:rPr>
                <w:rFonts w:ascii="Times New Roman" w:eastAsia="Times New Roman" w:hAnsi="Times New Roman" w:cs="Times New Roman"/>
                <w:i/>
                <w:iCs/>
                <w:color w:val="000000"/>
                <w:kern w:val="0"/>
                <w:sz w:val="28"/>
                <w:szCs w:val="28"/>
                <w:lang w:eastAsia="en-IN"/>
                <w14:ligatures w14:val="none"/>
              </w:rPr>
              <w:t>3.4</w:t>
            </w:r>
          </w:p>
        </w:tc>
        <w:tc>
          <w:tcPr>
            <w:tcW w:w="1020" w:type="dxa"/>
            <w:vAlign w:val="center"/>
            <w:hideMark/>
          </w:tcPr>
          <w:p w14:paraId="0051DCE4" w14:textId="77777777" w:rsidR="00D00458" w:rsidRPr="00D00458" w:rsidRDefault="00D00458" w:rsidP="00D0045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651</w:t>
            </w:r>
          </w:p>
        </w:tc>
        <w:tc>
          <w:tcPr>
            <w:tcW w:w="786" w:type="dxa"/>
            <w:vAlign w:val="center"/>
            <w:hideMark/>
          </w:tcPr>
          <w:p w14:paraId="5F93CBCD" w14:textId="77777777" w:rsidR="00D00458" w:rsidRPr="00D00458" w:rsidRDefault="00D00458" w:rsidP="00D00458">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D00458">
              <w:rPr>
                <w:rFonts w:ascii="Times New Roman" w:eastAsia="Times New Roman" w:hAnsi="Times New Roman" w:cs="Times New Roman"/>
                <w:i/>
                <w:iCs/>
                <w:color w:val="000000"/>
                <w:kern w:val="0"/>
                <w:sz w:val="28"/>
                <w:szCs w:val="28"/>
                <w:lang w:eastAsia="en-IN"/>
                <w14:ligatures w14:val="none"/>
              </w:rPr>
              <w:t>4.5</w:t>
            </w:r>
          </w:p>
        </w:tc>
        <w:tc>
          <w:tcPr>
            <w:tcW w:w="1045" w:type="dxa"/>
            <w:vAlign w:val="center"/>
            <w:hideMark/>
          </w:tcPr>
          <w:p w14:paraId="43FE616C" w14:textId="77777777" w:rsidR="00D00458" w:rsidRPr="00D00458" w:rsidRDefault="00D00458" w:rsidP="00D0045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702</w:t>
            </w:r>
          </w:p>
        </w:tc>
        <w:tc>
          <w:tcPr>
            <w:tcW w:w="806" w:type="dxa"/>
            <w:vAlign w:val="center"/>
            <w:hideMark/>
          </w:tcPr>
          <w:p w14:paraId="10EC4E52" w14:textId="77777777" w:rsidR="00D00458" w:rsidRPr="00D00458" w:rsidRDefault="00D00458" w:rsidP="00D00458">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D00458">
              <w:rPr>
                <w:rFonts w:ascii="Times New Roman" w:eastAsia="Times New Roman" w:hAnsi="Times New Roman" w:cs="Times New Roman"/>
                <w:i/>
                <w:iCs/>
                <w:color w:val="000000"/>
                <w:kern w:val="0"/>
                <w:sz w:val="28"/>
                <w:szCs w:val="28"/>
                <w:lang w:eastAsia="en-IN"/>
                <w14:ligatures w14:val="none"/>
              </w:rPr>
              <w:t>4.3</w:t>
            </w:r>
          </w:p>
        </w:tc>
        <w:tc>
          <w:tcPr>
            <w:tcW w:w="1020" w:type="dxa"/>
            <w:vAlign w:val="center"/>
            <w:hideMark/>
          </w:tcPr>
          <w:p w14:paraId="54854A59" w14:textId="77777777" w:rsidR="00D00458" w:rsidRPr="00D00458" w:rsidRDefault="00D00458" w:rsidP="00D0045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647</w:t>
            </w:r>
          </w:p>
        </w:tc>
        <w:tc>
          <w:tcPr>
            <w:tcW w:w="786" w:type="dxa"/>
            <w:vAlign w:val="center"/>
            <w:hideMark/>
          </w:tcPr>
          <w:p w14:paraId="188218C4" w14:textId="77777777" w:rsidR="00D00458" w:rsidRPr="00D00458" w:rsidRDefault="00D00458" w:rsidP="00D00458">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D00458">
              <w:rPr>
                <w:rFonts w:ascii="Times New Roman" w:eastAsia="Times New Roman" w:hAnsi="Times New Roman" w:cs="Times New Roman"/>
                <w:i/>
                <w:iCs/>
                <w:color w:val="000000"/>
                <w:kern w:val="0"/>
                <w:sz w:val="28"/>
                <w:szCs w:val="28"/>
                <w:lang w:eastAsia="en-IN"/>
                <w14:ligatures w14:val="none"/>
              </w:rPr>
              <w:t>4.1</w:t>
            </w:r>
          </w:p>
        </w:tc>
      </w:tr>
      <w:tr w:rsidR="00D00458" w:rsidRPr="00D00458" w14:paraId="099BD452" w14:textId="77777777" w:rsidTr="00E02C8A">
        <w:trPr>
          <w:trHeight w:val="20"/>
          <w:jc w:val="center"/>
        </w:trPr>
        <w:tc>
          <w:tcPr>
            <w:tcW w:w="2905" w:type="dxa"/>
            <w:noWrap/>
            <w:vAlign w:val="center"/>
            <w:hideMark/>
          </w:tcPr>
          <w:p w14:paraId="6E67B3CC" w14:textId="77777777" w:rsidR="00D00458" w:rsidRPr="00D00458" w:rsidRDefault="00D00458" w:rsidP="00E02C8A">
            <w:pPr>
              <w:spacing w:after="0" w:line="240" w:lineRule="auto"/>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Punjab</w:t>
            </w:r>
          </w:p>
        </w:tc>
        <w:tc>
          <w:tcPr>
            <w:tcW w:w="1079" w:type="dxa"/>
            <w:noWrap/>
            <w:vAlign w:val="center"/>
            <w:hideMark/>
          </w:tcPr>
          <w:p w14:paraId="1B69884E" w14:textId="77777777" w:rsidR="00D00458" w:rsidRPr="00D00458" w:rsidRDefault="00D00458" w:rsidP="00D0045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724</w:t>
            </w:r>
          </w:p>
        </w:tc>
        <w:tc>
          <w:tcPr>
            <w:tcW w:w="786" w:type="dxa"/>
            <w:noWrap/>
            <w:vAlign w:val="center"/>
            <w:hideMark/>
          </w:tcPr>
          <w:p w14:paraId="3A9EE118" w14:textId="77777777" w:rsidR="00D00458" w:rsidRPr="00D00458" w:rsidRDefault="00D00458" w:rsidP="00D00458">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D00458">
              <w:rPr>
                <w:rFonts w:ascii="Times New Roman" w:eastAsia="Times New Roman" w:hAnsi="Times New Roman" w:cs="Times New Roman"/>
                <w:i/>
                <w:iCs/>
                <w:color w:val="000000"/>
                <w:kern w:val="0"/>
                <w:sz w:val="28"/>
                <w:szCs w:val="28"/>
                <w:lang w:eastAsia="en-IN"/>
                <w14:ligatures w14:val="none"/>
              </w:rPr>
              <w:t>5.8</w:t>
            </w:r>
          </w:p>
        </w:tc>
        <w:tc>
          <w:tcPr>
            <w:tcW w:w="1079" w:type="dxa"/>
            <w:noWrap/>
            <w:vAlign w:val="center"/>
            <w:hideMark/>
          </w:tcPr>
          <w:p w14:paraId="7C2E1781" w14:textId="77777777" w:rsidR="00D00458" w:rsidRPr="00D00458" w:rsidRDefault="00D00458" w:rsidP="00D0045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810</w:t>
            </w:r>
          </w:p>
        </w:tc>
        <w:tc>
          <w:tcPr>
            <w:tcW w:w="786" w:type="dxa"/>
            <w:noWrap/>
            <w:vAlign w:val="center"/>
            <w:hideMark/>
          </w:tcPr>
          <w:p w14:paraId="0F489C23" w14:textId="77777777" w:rsidR="00D00458" w:rsidRPr="00D00458" w:rsidRDefault="00D00458" w:rsidP="00D00458">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D00458">
              <w:rPr>
                <w:rFonts w:ascii="Times New Roman" w:eastAsia="Times New Roman" w:hAnsi="Times New Roman" w:cs="Times New Roman"/>
                <w:i/>
                <w:iCs/>
                <w:color w:val="000000"/>
                <w:kern w:val="0"/>
                <w:sz w:val="28"/>
                <w:szCs w:val="28"/>
                <w:lang w:eastAsia="en-IN"/>
                <w14:ligatures w14:val="none"/>
              </w:rPr>
              <w:t>6.1</w:t>
            </w:r>
          </w:p>
        </w:tc>
        <w:tc>
          <w:tcPr>
            <w:tcW w:w="1246" w:type="dxa"/>
            <w:vAlign w:val="center"/>
            <w:hideMark/>
          </w:tcPr>
          <w:p w14:paraId="6F9AB052" w14:textId="77777777" w:rsidR="00D00458" w:rsidRPr="00D00458" w:rsidRDefault="00D00458" w:rsidP="00D0045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773</w:t>
            </w:r>
          </w:p>
        </w:tc>
        <w:tc>
          <w:tcPr>
            <w:tcW w:w="1069" w:type="dxa"/>
            <w:vAlign w:val="center"/>
            <w:hideMark/>
          </w:tcPr>
          <w:p w14:paraId="1C6B302E" w14:textId="77777777" w:rsidR="00D00458" w:rsidRPr="00E02C8A" w:rsidRDefault="00D00458" w:rsidP="00D00458">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E02C8A">
              <w:rPr>
                <w:rFonts w:ascii="Times New Roman" w:eastAsia="Times New Roman" w:hAnsi="Times New Roman" w:cs="Times New Roman"/>
                <w:i/>
                <w:iCs/>
                <w:color w:val="000000"/>
                <w:kern w:val="0"/>
                <w:sz w:val="28"/>
                <w:szCs w:val="28"/>
                <w:lang w:eastAsia="en-IN"/>
                <w14:ligatures w14:val="none"/>
              </w:rPr>
              <w:t>6.1</w:t>
            </w:r>
          </w:p>
        </w:tc>
        <w:tc>
          <w:tcPr>
            <w:tcW w:w="1020" w:type="dxa"/>
            <w:vAlign w:val="center"/>
            <w:hideMark/>
          </w:tcPr>
          <w:p w14:paraId="572407E3" w14:textId="77777777" w:rsidR="00D00458" w:rsidRPr="00D00458" w:rsidRDefault="00D00458" w:rsidP="00D0045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985</w:t>
            </w:r>
          </w:p>
        </w:tc>
        <w:tc>
          <w:tcPr>
            <w:tcW w:w="786" w:type="dxa"/>
            <w:vAlign w:val="center"/>
            <w:hideMark/>
          </w:tcPr>
          <w:p w14:paraId="1C4F6BA1" w14:textId="77777777" w:rsidR="00D00458" w:rsidRPr="00D00458" w:rsidRDefault="00D00458" w:rsidP="00D00458">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D00458">
              <w:rPr>
                <w:rFonts w:ascii="Times New Roman" w:eastAsia="Times New Roman" w:hAnsi="Times New Roman" w:cs="Times New Roman"/>
                <w:i/>
                <w:iCs/>
                <w:color w:val="000000"/>
                <w:kern w:val="0"/>
                <w:sz w:val="28"/>
                <w:szCs w:val="28"/>
                <w:lang w:eastAsia="en-IN"/>
                <w14:ligatures w14:val="none"/>
              </w:rPr>
              <w:t>7.8</w:t>
            </w:r>
          </w:p>
        </w:tc>
        <w:tc>
          <w:tcPr>
            <w:tcW w:w="1045" w:type="dxa"/>
            <w:vAlign w:val="center"/>
            <w:hideMark/>
          </w:tcPr>
          <w:p w14:paraId="2DE0C300" w14:textId="77777777" w:rsidR="00D00458" w:rsidRPr="00D00458" w:rsidRDefault="00D00458" w:rsidP="00D0045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1098</w:t>
            </w:r>
          </w:p>
        </w:tc>
        <w:tc>
          <w:tcPr>
            <w:tcW w:w="806" w:type="dxa"/>
            <w:vAlign w:val="center"/>
            <w:hideMark/>
          </w:tcPr>
          <w:p w14:paraId="22A5A3BB" w14:textId="77777777" w:rsidR="00D00458" w:rsidRPr="00D00458" w:rsidRDefault="00D00458" w:rsidP="00D00458">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D00458">
              <w:rPr>
                <w:rFonts w:ascii="Times New Roman" w:eastAsia="Times New Roman" w:hAnsi="Times New Roman" w:cs="Times New Roman"/>
                <w:i/>
                <w:iCs/>
                <w:color w:val="000000"/>
                <w:kern w:val="0"/>
                <w:sz w:val="28"/>
                <w:szCs w:val="28"/>
                <w:lang w:eastAsia="en-IN"/>
                <w14:ligatures w14:val="none"/>
              </w:rPr>
              <w:t>8.7</w:t>
            </w:r>
          </w:p>
        </w:tc>
        <w:tc>
          <w:tcPr>
            <w:tcW w:w="1020" w:type="dxa"/>
            <w:vAlign w:val="center"/>
            <w:hideMark/>
          </w:tcPr>
          <w:p w14:paraId="4786F069" w14:textId="77777777" w:rsidR="00D00458" w:rsidRPr="00D00458" w:rsidRDefault="00D00458" w:rsidP="00D0045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1052</w:t>
            </w:r>
          </w:p>
        </w:tc>
        <w:tc>
          <w:tcPr>
            <w:tcW w:w="786" w:type="dxa"/>
            <w:vAlign w:val="center"/>
            <w:hideMark/>
          </w:tcPr>
          <w:p w14:paraId="1EC1BDD2" w14:textId="77777777" w:rsidR="00D00458" w:rsidRPr="00D00458" w:rsidRDefault="00D00458" w:rsidP="00D00458">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D00458">
              <w:rPr>
                <w:rFonts w:ascii="Times New Roman" w:eastAsia="Times New Roman" w:hAnsi="Times New Roman" w:cs="Times New Roman"/>
                <w:i/>
                <w:iCs/>
                <w:color w:val="000000"/>
                <w:kern w:val="0"/>
                <w:sz w:val="28"/>
                <w:szCs w:val="28"/>
                <w:lang w:eastAsia="en-IN"/>
                <w14:ligatures w14:val="none"/>
              </w:rPr>
              <w:t>8.3</w:t>
            </w:r>
          </w:p>
        </w:tc>
      </w:tr>
      <w:tr w:rsidR="00D00458" w:rsidRPr="00D00458" w14:paraId="7B1B7B66" w14:textId="77777777" w:rsidTr="00E02C8A">
        <w:trPr>
          <w:trHeight w:val="20"/>
          <w:jc w:val="center"/>
        </w:trPr>
        <w:tc>
          <w:tcPr>
            <w:tcW w:w="2905" w:type="dxa"/>
            <w:noWrap/>
            <w:vAlign w:val="center"/>
            <w:hideMark/>
          </w:tcPr>
          <w:p w14:paraId="3A2CF5A7" w14:textId="77777777" w:rsidR="00D00458" w:rsidRPr="00D00458" w:rsidRDefault="00D00458" w:rsidP="00E02C8A">
            <w:pPr>
              <w:spacing w:after="0" w:line="240" w:lineRule="auto"/>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Uttar Pradesh</w:t>
            </w:r>
          </w:p>
        </w:tc>
        <w:tc>
          <w:tcPr>
            <w:tcW w:w="1079" w:type="dxa"/>
            <w:noWrap/>
            <w:vAlign w:val="center"/>
            <w:hideMark/>
          </w:tcPr>
          <w:p w14:paraId="69D8D36B" w14:textId="77777777" w:rsidR="00D00458" w:rsidRPr="00D00458" w:rsidRDefault="00D00458" w:rsidP="00D0045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2702</w:t>
            </w:r>
          </w:p>
        </w:tc>
        <w:tc>
          <w:tcPr>
            <w:tcW w:w="786" w:type="dxa"/>
            <w:noWrap/>
            <w:vAlign w:val="center"/>
            <w:hideMark/>
          </w:tcPr>
          <w:p w14:paraId="3E33A236" w14:textId="77777777" w:rsidR="00D00458" w:rsidRPr="00D00458" w:rsidRDefault="00D00458" w:rsidP="00D00458">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D00458">
              <w:rPr>
                <w:rFonts w:ascii="Times New Roman" w:eastAsia="Times New Roman" w:hAnsi="Times New Roman" w:cs="Times New Roman"/>
                <w:i/>
                <w:iCs/>
                <w:color w:val="000000"/>
                <w:kern w:val="0"/>
                <w:sz w:val="28"/>
                <w:szCs w:val="28"/>
                <w:lang w:eastAsia="en-IN"/>
                <w14:ligatures w14:val="none"/>
              </w:rPr>
              <w:t>4.3</w:t>
            </w:r>
          </w:p>
        </w:tc>
        <w:tc>
          <w:tcPr>
            <w:tcW w:w="1079" w:type="dxa"/>
            <w:noWrap/>
            <w:vAlign w:val="center"/>
            <w:hideMark/>
          </w:tcPr>
          <w:p w14:paraId="5DE2D27F" w14:textId="77777777" w:rsidR="00D00458" w:rsidRPr="00D00458" w:rsidRDefault="00D00458" w:rsidP="00D0045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2731</w:t>
            </w:r>
          </w:p>
        </w:tc>
        <w:tc>
          <w:tcPr>
            <w:tcW w:w="786" w:type="dxa"/>
            <w:noWrap/>
            <w:vAlign w:val="center"/>
            <w:hideMark/>
          </w:tcPr>
          <w:p w14:paraId="61B24D04" w14:textId="77777777" w:rsidR="00D00458" w:rsidRPr="00D00458" w:rsidRDefault="00D00458" w:rsidP="00D00458">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D00458">
              <w:rPr>
                <w:rFonts w:ascii="Times New Roman" w:eastAsia="Times New Roman" w:hAnsi="Times New Roman" w:cs="Times New Roman"/>
                <w:i/>
                <w:iCs/>
                <w:color w:val="000000"/>
                <w:kern w:val="0"/>
                <w:sz w:val="28"/>
                <w:szCs w:val="28"/>
                <w:lang w:eastAsia="en-IN"/>
                <w14:ligatures w14:val="none"/>
              </w:rPr>
              <w:t>4.3</w:t>
            </w:r>
          </w:p>
        </w:tc>
        <w:tc>
          <w:tcPr>
            <w:tcW w:w="1246" w:type="dxa"/>
            <w:vAlign w:val="center"/>
            <w:hideMark/>
          </w:tcPr>
          <w:p w14:paraId="10418E76" w14:textId="77777777" w:rsidR="00D00458" w:rsidRPr="00D00458" w:rsidRDefault="00D00458" w:rsidP="00D0045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3195 (c)</w:t>
            </w:r>
          </w:p>
        </w:tc>
        <w:tc>
          <w:tcPr>
            <w:tcW w:w="1069" w:type="dxa"/>
            <w:vAlign w:val="center"/>
            <w:hideMark/>
          </w:tcPr>
          <w:p w14:paraId="3E030FF2" w14:textId="77777777" w:rsidR="00D00458" w:rsidRPr="00E02C8A" w:rsidRDefault="00D00458" w:rsidP="00D00458">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E02C8A">
              <w:rPr>
                <w:rFonts w:ascii="Times New Roman" w:eastAsia="Times New Roman" w:hAnsi="Times New Roman" w:cs="Times New Roman"/>
                <w:i/>
                <w:iCs/>
                <w:color w:val="000000"/>
                <w:kern w:val="0"/>
                <w:sz w:val="28"/>
                <w:szCs w:val="28"/>
                <w:lang w:eastAsia="en-IN"/>
                <w14:ligatures w14:val="none"/>
              </w:rPr>
              <w:t>5.1</w:t>
            </w:r>
          </w:p>
        </w:tc>
        <w:tc>
          <w:tcPr>
            <w:tcW w:w="1020" w:type="dxa"/>
            <w:vAlign w:val="center"/>
            <w:hideMark/>
          </w:tcPr>
          <w:p w14:paraId="168790E8" w14:textId="77777777" w:rsidR="00D00458" w:rsidRPr="00D00458" w:rsidRDefault="00D00458" w:rsidP="00D0045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3555</w:t>
            </w:r>
          </w:p>
        </w:tc>
        <w:tc>
          <w:tcPr>
            <w:tcW w:w="786" w:type="dxa"/>
            <w:vAlign w:val="center"/>
            <w:hideMark/>
          </w:tcPr>
          <w:p w14:paraId="69CECD86" w14:textId="77777777" w:rsidR="00D00458" w:rsidRPr="00D00458" w:rsidRDefault="00D00458" w:rsidP="00D00458">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D00458">
              <w:rPr>
                <w:rFonts w:ascii="Times New Roman" w:eastAsia="Times New Roman" w:hAnsi="Times New Roman" w:cs="Times New Roman"/>
                <w:i/>
                <w:iCs/>
                <w:color w:val="000000"/>
                <w:kern w:val="0"/>
                <w:sz w:val="28"/>
                <w:szCs w:val="28"/>
                <w:lang w:eastAsia="en-IN"/>
                <w14:ligatures w14:val="none"/>
              </w:rPr>
              <w:t>5.6</w:t>
            </w:r>
          </w:p>
        </w:tc>
        <w:tc>
          <w:tcPr>
            <w:tcW w:w="1045" w:type="dxa"/>
            <w:vAlign w:val="center"/>
            <w:hideMark/>
          </w:tcPr>
          <w:p w14:paraId="3DAF8531" w14:textId="77777777" w:rsidR="00D00458" w:rsidRPr="00D00458" w:rsidRDefault="00D00458" w:rsidP="00D0045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3773</w:t>
            </w:r>
          </w:p>
        </w:tc>
        <w:tc>
          <w:tcPr>
            <w:tcW w:w="806" w:type="dxa"/>
            <w:vAlign w:val="center"/>
            <w:hideMark/>
          </w:tcPr>
          <w:p w14:paraId="119577C7" w14:textId="77777777" w:rsidR="00D00458" w:rsidRPr="00D00458" w:rsidRDefault="00D00458" w:rsidP="00D00458">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D00458">
              <w:rPr>
                <w:rFonts w:ascii="Times New Roman" w:eastAsia="Times New Roman" w:hAnsi="Times New Roman" w:cs="Times New Roman"/>
                <w:i/>
                <w:iCs/>
                <w:color w:val="000000"/>
                <w:kern w:val="0"/>
                <w:sz w:val="28"/>
                <w:szCs w:val="28"/>
                <w:lang w:eastAsia="en-IN"/>
                <w14:ligatures w14:val="none"/>
              </w:rPr>
              <w:t>5.8</w:t>
            </w:r>
          </w:p>
        </w:tc>
        <w:tc>
          <w:tcPr>
            <w:tcW w:w="1020" w:type="dxa"/>
            <w:vAlign w:val="center"/>
            <w:hideMark/>
          </w:tcPr>
          <w:p w14:paraId="2E20D201" w14:textId="77777777" w:rsidR="00D00458" w:rsidRPr="00D00458" w:rsidRDefault="00D00458" w:rsidP="00D0045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4104 (c)</w:t>
            </w:r>
          </w:p>
        </w:tc>
        <w:tc>
          <w:tcPr>
            <w:tcW w:w="786" w:type="dxa"/>
            <w:vAlign w:val="center"/>
            <w:hideMark/>
          </w:tcPr>
          <w:p w14:paraId="3C25397E" w14:textId="77777777" w:rsidR="00D00458" w:rsidRPr="00D00458" w:rsidRDefault="00D00458" w:rsidP="00D00458">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D00458">
              <w:rPr>
                <w:rFonts w:ascii="Times New Roman" w:eastAsia="Times New Roman" w:hAnsi="Times New Roman" w:cs="Times New Roman"/>
                <w:i/>
                <w:iCs/>
                <w:color w:val="000000"/>
                <w:kern w:val="0"/>
                <w:sz w:val="28"/>
                <w:szCs w:val="28"/>
                <w:lang w:eastAsia="en-IN"/>
                <w14:ligatures w14:val="none"/>
              </w:rPr>
              <w:t>6.5</w:t>
            </w:r>
          </w:p>
        </w:tc>
      </w:tr>
      <w:tr w:rsidR="00D00458" w:rsidRPr="00D00458" w14:paraId="630615EB" w14:textId="77777777" w:rsidTr="00E02C8A">
        <w:trPr>
          <w:trHeight w:val="20"/>
          <w:jc w:val="center"/>
        </w:trPr>
        <w:tc>
          <w:tcPr>
            <w:tcW w:w="2905" w:type="dxa"/>
            <w:noWrap/>
            <w:vAlign w:val="center"/>
            <w:hideMark/>
          </w:tcPr>
          <w:p w14:paraId="6859F615" w14:textId="77777777" w:rsidR="00D00458" w:rsidRPr="00D00458" w:rsidRDefault="00D00458" w:rsidP="00E02C8A">
            <w:pPr>
              <w:spacing w:after="0" w:line="240" w:lineRule="auto"/>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West Bengal</w:t>
            </w:r>
          </w:p>
        </w:tc>
        <w:tc>
          <w:tcPr>
            <w:tcW w:w="1079" w:type="dxa"/>
            <w:noWrap/>
            <w:vAlign w:val="center"/>
            <w:hideMark/>
          </w:tcPr>
          <w:p w14:paraId="5E42718C" w14:textId="77777777" w:rsidR="00D00458" w:rsidRPr="00D00458" w:rsidRDefault="00D00458" w:rsidP="00D0045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2166</w:t>
            </w:r>
          </w:p>
        </w:tc>
        <w:tc>
          <w:tcPr>
            <w:tcW w:w="786" w:type="dxa"/>
            <w:noWrap/>
            <w:vAlign w:val="center"/>
            <w:hideMark/>
          </w:tcPr>
          <w:p w14:paraId="360AF39B" w14:textId="77777777" w:rsidR="00D00458" w:rsidRPr="00D00458" w:rsidRDefault="00D00458" w:rsidP="00D00458">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D00458">
              <w:rPr>
                <w:rFonts w:ascii="Times New Roman" w:eastAsia="Times New Roman" w:hAnsi="Times New Roman" w:cs="Times New Roman"/>
                <w:i/>
                <w:iCs/>
                <w:color w:val="000000"/>
                <w:kern w:val="0"/>
                <w:sz w:val="28"/>
                <w:szCs w:val="28"/>
                <w:lang w:eastAsia="en-IN"/>
                <w14:ligatures w14:val="none"/>
              </w:rPr>
              <w:t>8.7</w:t>
            </w:r>
          </w:p>
        </w:tc>
        <w:tc>
          <w:tcPr>
            <w:tcW w:w="1079" w:type="dxa"/>
            <w:noWrap/>
            <w:vAlign w:val="center"/>
            <w:hideMark/>
          </w:tcPr>
          <w:p w14:paraId="5D3062CA" w14:textId="77777777" w:rsidR="00D00458" w:rsidRPr="00D00458" w:rsidRDefault="00D00458" w:rsidP="00D0045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2329</w:t>
            </w:r>
          </w:p>
        </w:tc>
        <w:tc>
          <w:tcPr>
            <w:tcW w:w="786" w:type="dxa"/>
            <w:noWrap/>
            <w:vAlign w:val="center"/>
            <w:hideMark/>
          </w:tcPr>
          <w:p w14:paraId="244AC54A" w14:textId="77777777" w:rsidR="00D00458" w:rsidRPr="00D00458" w:rsidRDefault="00D00458" w:rsidP="00D00458">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D00458">
              <w:rPr>
                <w:rFonts w:ascii="Times New Roman" w:eastAsia="Times New Roman" w:hAnsi="Times New Roman" w:cs="Times New Roman"/>
                <w:i/>
                <w:iCs/>
                <w:color w:val="000000"/>
                <w:kern w:val="0"/>
                <w:sz w:val="28"/>
                <w:szCs w:val="28"/>
                <w:lang w:eastAsia="en-IN"/>
                <w14:ligatures w14:val="none"/>
              </w:rPr>
              <w:t>9.4</w:t>
            </w:r>
          </w:p>
        </w:tc>
        <w:tc>
          <w:tcPr>
            <w:tcW w:w="1246" w:type="dxa"/>
            <w:vAlign w:val="center"/>
            <w:hideMark/>
          </w:tcPr>
          <w:p w14:paraId="637F5C8E" w14:textId="77777777" w:rsidR="00D00458" w:rsidRPr="00D00458" w:rsidRDefault="00D00458" w:rsidP="00D0045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2252</w:t>
            </w:r>
          </w:p>
        </w:tc>
        <w:tc>
          <w:tcPr>
            <w:tcW w:w="1069" w:type="dxa"/>
            <w:vAlign w:val="center"/>
            <w:hideMark/>
          </w:tcPr>
          <w:p w14:paraId="280EA807" w14:textId="77777777" w:rsidR="00D00458" w:rsidRPr="00E02C8A" w:rsidRDefault="00D00458" w:rsidP="00D00458">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E02C8A">
              <w:rPr>
                <w:rFonts w:ascii="Times New Roman" w:eastAsia="Times New Roman" w:hAnsi="Times New Roman" w:cs="Times New Roman"/>
                <w:i/>
                <w:iCs/>
                <w:color w:val="000000"/>
                <w:kern w:val="0"/>
                <w:sz w:val="28"/>
                <w:szCs w:val="28"/>
                <w:lang w:eastAsia="en-IN"/>
                <w14:ligatures w14:val="none"/>
              </w:rPr>
              <w:t>9.1</w:t>
            </w:r>
          </w:p>
        </w:tc>
        <w:tc>
          <w:tcPr>
            <w:tcW w:w="1020" w:type="dxa"/>
            <w:vAlign w:val="center"/>
            <w:hideMark/>
          </w:tcPr>
          <w:p w14:paraId="5550D25C" w14:textId="77777777" w:rsidR="00D00458" w:rsidRPr="00D00458" w:rsidRDefault="00D00458" w:rsidP="00D0045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2806</w:t>
            </w:r>
          </w:p>
        </w:tc>
        <w:tc>
          <w:tcPr>
            <w:tcW w:w="786" w:type="dxa"/>
            <w:vAlign w:val="center"/>
            <w:hideMark/>
          </w:tcPr>
          <w:p w14:paraId="18A2E7A5" w14:textId="77777777" w:rsidR="00D00458" w:rsidRPr="00D00458" w:rsidRDefault="00D00458" w:rsidP="00D00458">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D00458">
              <w:rPr>
                <w:rFonts w:ascii="Times New Roman" w:eastAsia="Times New Roman" w:hAnsi="Times New Roman" w:cs="Times New Roman"/>
                <w:i/>
                <w:iCs/>
                <w:color w:val="000000"/>
                <w:kern w:val="0"/>
                <w:sz w:val="28"/>
                <w:szCs w:val="28"/>
                <w:lang w:eastAsia="en-IN"/>
                <w14:ligatures w14:val="none"/>
              </w:rPr>
              <w:t>11.3</w:t>
            </w:r>
          </w:p>
        </w:tc>
        <w:tc>
          <w:tcPr>
            <w:tcW w:w="1045" w:type="dxa"/>
            <w:vAlign w:val="center"/>
            <w:hideMark/>
          </w:tcPr>
          <w:p w14:paraId="3C9D5EB6" w14:textId="77777777" w:rsidR="00D00458" w:rsidRPr="00D00458" w:rsidRDefault="00D00458" w:rsidP="00D0045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3035</w:t>
            </w:r>
          </w:p>
        </w:tc>
        <w:tc>
          <w:tcPr>
            <w:tcW w:w="806" w:type="dxa"/>
            <w:vAlign w:val="center"/>
            <w:hideMark/>
          </w:tcPr>
          <w:p w14:paraId="7C4747AD" w14:textId="77777777" w:rsidR="00D00458" w:rsidRPr="00D00458" w:rsidRDefault="00D00458" w:rsidP="00D00458">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D00458">
              <w:rPr>
                <w:rFonts w:ascii="Times New Roman" w:eastAsia="Times New Roman" w:hAnsi="Times New Roman" w:cs="Times New Roman"/>
                <w:i/>
                <w:iCs/>
                <w:color w:val="000000"/>
                <w:kern w:val="0"/>
                <w:sz w:val="28"/>
                <w:szCs w:val="28"/>
                <w:lang w:eastAsia="en-IN"/>
                <w14:ligatures w14:val="none"/>
              </w:rPr>
              <w:t>12.2</w:t>
            </w:r>
          </w:p>
        </w:tc>
        <w:tc>
          <w:tcPr>
            <w:tcW w:w="1020" w:type="dxa"/>
            <w:vAlign w:val="center"/>
            <w:hideMark/>
          </w:tcPr>
          <w:p w14:paraId="5595B6B3" w14:textId="77777777" w:rsidR="00D00458" w:rsidRPr="00D00458" w:rsidRDefault="00D00458" w:rsidP="00D0045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2933</w:t>
            </w:r>
          </w:p>
        </w:tc>
        <w:tc>
          <w:tcPr>
            <w:tcW w:w="786" w:type="dxa"/>
            <w:vAlign w:val="center"/>
            <w:hideMark/>
          </w:tcPr>
          <w:p w14:paraId="6B8EDECC" w14:textId="77777777" w:rsidR="00D00458" w:rsidRPr="00D00458" w:rsidRDefault="00D00458" w:rsidP="00D00458">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D00458">
              <w:rPr>
                <w:rFonts w:ascii="Times New Roman" w:eastAsia="Times New Roman" w:hAnsi="Times New Roman" w:cs="Times New Roman"/>
                <w:i/>
                <w:iCs/>
                <w:color w:val="000000"/>
                <w:kern w:val="0"/>
                <w:sz w:val="28"/>
                <w:szCs w:val="28"/>
                <w:lang w:eastAsia="en-IN"/>
                <w14:ligatures w14:val="none"/>
              </w:rPr>
              <w:t>11.8</w:t>
            </w:r>
          </w:p>
        </w:tc>
      </w:tr>
      <w:tr w:rsidR="00D00458" w:rsidRPr="00D00458" w14:paraId="2AE0EF65" w14:textId="77777777" w:rsidTr="00E02C8A">
        <w:trPr>
          <w:trHeight w:val="20"/>
          <w:jc w:val="center"/>
        </w:trPr>
        <w:tc>
          <w:tcPr>
            <w:tcW w:w="2905" w:type="dxa"/>
            <w:noWrap/>
            <w:vAlign w:val="center"/>
            <w:hideMark/>
          </w:tcPr>
          <w:p w14:paraId="7B83C217" w14:textId="77777777" w:rsidR="00D00458" w:rsidRPr="00D00458" w:rsidRDefault="00D00458" w:rsidP="00E02C8A">
            <w:pPr>
              <w:spacing w:after="0" w:line="240" w:lineRule="auto"/>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Hyderabad</w:t>
            </w:r>
          </w:p>
        </w:tc>
        <w:tc>
          <w:tcPr>
            <w:tcW w:w="1079" w:type="dxa"/>
            <w:noWrap/>
            <w:vAlign w:val="center"/>
            <w:hideMark/>
          </w:tcPr>
          <w:p w14:paraId="08B9F7E0" w14:textId="77777777" w:rsidR="00D00458" w:rsidRPr="00D00458" w:rsidRDefault="00D00458" w:rsidP="00D0045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1914</w:t>
            </w:r>
          </w:p>
        </w:tc>
        <w:tc>
          <w:tcPr>
            <w:tcW w:w="786" w:type="dxa"/>
            <w:noWrap/>
            <w:vAlign w:val="center"/>
            <w:hideMark/>
          </w:tcPr>
          <w:p w14:paraId="6167083E" w14:textId="77777777" w:rsidR="00D00458" w:rsidRPr="00D00458" w:rsidRDefault="00D00458" w:rsidP="00D00458">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D00458">
              <w:rPr>
                <w:rFonts w:ascii="Times New Roman" w:eastAsia="Times New Roman" w:hAnsi="Times New Roman" w:cs="Times New Roman"/>
                <w:i/>
                <w:iCs/>
                <w:color w:val="000000"/>
                <w:kern w:val="0"/>
                <w:sz w:val="28"/>
                <w:szCs w:val="28"/>
                <w:lang w:eastAsia="en-IN"/>
                <w14:ligatures w14:val="none"/>
              </w:rPr>
              <w:t>10.2</w:t>
            </w:r>
          </w:p>
        </w:tc>
        <w:tc>
          <w:tcPr>
            <w:tcW w:w="1079" w:type="dxa"/>
            <w:noWrap/>
            <w:vAlign w:val="center"/>
            <w:hideMark/>
          </w:tcPr>
          <w:p w14:paraId="48B41162" w14:textId="77777777" w:rsidR="00D00458" w:rsidRPr="00D00458" w:rsidRDefault="00D00458" w:rsidP="00D0045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2052</w:t>
            </w:r>
          </w:p>
        </w:tc>
        <w:tc>
          <w:tcPr>
            <w:tcW w:w="786" w:type="dxa"/>
            <w:noWrap/>
            <w:vAlign w:val="center"/>
            <w:hideMark/>
          </w:tcPr>
          <w:p w14:paraId="3F0BB4CB" w14:textId="77777777" w:rsidR="00D00458" w:rsidRPr="00D00458" w:rsidRDefault="00D00458" w:rsidP="00D00458">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D00458">
              <w:rPr>
                <w:rFonts w:ascii="Times New Roman" w:eastAsia="Times New Roman" w:hAnsi="Times New Roman" w:cs="Times New Roman"/>
                <w:i/>
                <w:iCs/>
                <w:color w:val="000000"/>
                <w:kern w:val="0"/>
                <w:sz w:val="28"/>
                <w:szCs w:val="28"/>
                <w:lang w:eastAsia="en-IN"/>
                <w14:ligatures w14:val="none"/>
              </w:rPr>
              <w:t>11</w:t>
            </w:r>
          </w:p>
        </w:tc>
        <w:tc>
          <w:tcPr>
            <w:tcW w:w="1246" w:type="dxa"/>
            <w:vAlign w:val="center"/>
            <w:hideMark/>
          </w:tcPr>
          <w:p w14:paraId="3F23A191" w14:textId="77777777" w:rsidR="00D00458" w:rsidRPr="00D00458" w:rsidRDefault="00D00458" w:rsidP="00D0045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2998 (d)</w:t>
            </w:r>
          </w:p>
        </w:tc>
        <w:tc>
          <w:tcPr>
            <w:tcW w:w="1069" w:type="dxa"/>
            <w:vAlign w:val="center"/>
            <w:hideMark/>
          </w:tcPr>
          <w:p w14:paraId="54FA1F00" w14:textId="77777777" w:rsidR="00D00458" w:rsidRPr="00E02C8A" w:rsidRDefault="00D00458" w:rsidP="00D00458">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E02C8A">
              <w:rPr>
                <w:rFonts w:ascii="Times New Roman" w:eastAsia="Times New Roman" w:hAnsi="Times New Roman" w:cs="Times New Roman"/>
                <w:i/>
                <w:iCs/>
                <w:color w:val="000000"/>
                <w:kern w:val="0"/>
                <w:sz w:val="28"/>
                <w:szCs w:val="28"/>
                <w:lang w:eastAsia="en-IN"/>
                <w14:ligatures w14:val="none"/>
              </w:rPr>
              <w:t>11.2</w:t>
            </w:r>
          </w:p>
        </w:tc>
        <w:tc>
          <w:tcPr>
            <w:tcW w:w="1020" w:type="dxa"/>
            <w:vAlign w:val="center"/>
            <w:hideMark/>
          </w:tcPr>
          <w:p w14:paraId="1A842F59" w14:textId="77777777" w:rsidR="00D00458" w:rsidRPr="00D00458" w:rsidRDefault="00D00458" w:rsidP="00D0045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1914</w:t>
            </w:r>
          </w:p>
        </w:tc>
        <w:tc>
          <w:tcPr>
            <w:tcW w:w="786" w:type="dxa"/>
            <w:vAlign w:val="center"/>
            <w:hideMark/>
          </w:tcPr>
          <w:p w14:paraId="5C1935D5" w14:textId="77777777" w:rsidR="00D00458" w:rsidRPr="00D00458" w:rsidRDefault="00D00458" w:rsidP="00D00458">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D00458">
              <w:rPr>
                <w:rFonts w:ascii="Times New Roman" w:eastAsia="Times New Roman" w:hAnsi="Times New Roman" w:cs="Times New Roman"/>
                <w:i/>
                <w:iCs/>
                <w:color w:val="000000"/>
                <w:kern w:val="0"/>
                <w:sz w:val="28"/>
                <w:szCs w:val="28"/>
                <w:lang w:eastAsia="en-IN"/>
                <w14:ligatures w14:val="none"/>
              </w:rPr>
              <w:t>10.2</w:t>
            </w:r>
          </w:p>
        </w:tc>
        <w:tc>
          <w:tcPr>
            <w:tcW w:w="1045" w:type="dxa"/>
            <w:vAlign w:val="center"/>
            <w:hideMark/>
          </w:tcPr>
          <w:p w14:paraId="4E3317AD" w14:textId="77777777" w:rsidR="00D00458" w:rsidRPr="00D00458" w:rsidRDefault="00D00458" w:rsidP="00D0045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2052</w:t>
            </w:r>
          </w:p>
        </w:tc>
        <w:tc>
          <w:tcPr>
            <w:tcW w:w="806" w:type="dxa"/>
            <w:vAlign w:val="center"/>
            <w:hideMark/>
          </w:tcPr>
          <w:p w14:paraId="192025E3" w14:textId="77777777" w:rsidR="00D00458" w:rsidRPr="00D00458" w:rsidRDefault="00D00458" w:rsidP="00D00458">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D00458">
              <w:rPr>
                <w:rFonts w:ascii="Times New Roman" w:eastAsia="Times New Roman" w:hAnsi="Times New Roman" w:cs="Times New Roman"/>
                <w:i/>
                <w:iCs/>
                <w:color w:val="000000"/>
                <w:kern w:val="0"/>
                <w:sz w:val="28"/>
                <w:szCs w:val="28"/>
                <w:lang w:eastAsia="en-IN"/>
                <w14:ligatures w14:val="none"/>
              </w:rPr>
              <w:t>11</w:t>
            </w:r>
          </w:p>
        </w:tc>
        <w:tc>
          <w:tcPr>
            <w:tcW w:w="1020" w:type="dxa"/>
            <w:vAlign w:val="center"/>
            <w:hideMark/>
          </w:tcPr>
          <w:p w14:paraId="015A275F" w14:textId="77777777" w:rsidR="00D00458" w:rsidRPr="00D00458" w:rsidRDefault="00D00458" w:rsidP="00D0045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2098 (d)</w:t>
            </w:r>
          </w:p>
        </w:tc>
        <w:tc>
          <w:tcPr>
            <w:tcW w:w="786" w:type="dxa"/>
            <w:vAlign w:val="center"/>
            <w:hideMark/>
          </w:tcPr>
          <w:p w14:paraId="7AA519EF" w14:textId="77777777" w:rsidR="00D00458" w:rsidRPr="00D00458" w:rsidRDefault="00D00458" w:rsidP="00D00458">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D00458">
              <w:rPr>
                <w:rFonts w:ascii="Times New Roman" w:eastAsia="Times New Roman" w:hAnsi="Times New Roman" w:cs="Times New Roman"/>
                <w:i/>
                <w:iCs/>
                <w:color w:val="000000"/>
                <w:kern w:val="0"/>
                <w:sz w:val="28"/>
                <w:szCs w:val="28"/>
                <w:lang w:eastAsia="en-IN"/>
                <w14:ligatures w14:val="none"/>
              </w:rPr>
              <w:t>11.2</w:t>
            </w:r>
          </w:p>
        </w:tc>
      </w:tr>
      <w:tr w:rsidR="00D00458" w:rsidRPr="00D00458" w14:paraId="445C1ECE" w14:textId="77777777" w:rsidTr="00E02C8A">
        <w:trPr>
          <w:trHeight w:val="20"/>
          <w:jc w:val="center"/>
        </w:trPr>
        <w:tc>
          <w:tcPr>
            <w:tcW w:w="2905" w:type="dxa"/>
            <w:noWrap/>
            <w:vAlign w:val="center"/>
            <w:hideMark/>
          </w:tcPr>
          <w:p w14:paraId="124CC797" w14:textId="77777777" w:rsidR="00D00458" w:rsidRPr="00D00458" w:rsidRDefault="00D00458" w:rsidP="00E02C8A">
            <w:pPr>
              <w:spacing w:after="0" w:line="240" w:lineRule="auto"/>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Madhya Bharat</w:t>
            </w:r>
          </w:p>
        </w:tc>
        <w:tc>
          <w:tcPr>
            <w:tcW w:w="1079" w:type="dxa"/>
            <w:noWrap/>
            <w:vAlign w:val="center"/>
            <w:hideMark/>
          </w:tcPr>
          <w:p w14:paraId="2691B3CA" w14:textId="77777777" w:rsidR="00D00458" w:rsidRPr="00D00458" w:rsidRDefault="00D00458" w:rsidP="00D0045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678</w:t>
            </w:r>
          </w:p>
        </w:tc>
        <w:tc>
          <w:tcPr>
            <w:tcW w:w="786" w:type="dxa"/>
            <w:noWrap/>
            <w:vAlign w:val="center"/>
            <w:hideMark/>
          </w:tcPr>
          <w:p w14:paraId="3EAB0E3F" w14:textId="77777777" w:rsidR="00D00458" w:rsidRPr="00D00458" w:rsidRDefault="00D00458" w:rsidP="00D00458">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D00458">
              <w:rPr>
                <w:rFonts w:ascii="Times New Roman" w:eastAsia="Times New Roman" w:hAnsi="Times New Roman" w:cs="Times New Roman"/>
                <w:i/>
                <w:iCs/>
                <w:color w:val="000000"/>
                <w:kern w:val="0"/>
                <w:sz w:val="28"/>
                <w:szCs w:val="28"/>
                <w:lang w:eastAsia="en-IN"/>
                <w14:ligatures w14:val="none"/>
              </w:rPr>
              <w:t>8.5</w:t>
            </w:r>
          </w:p>
        </w:tc>
        <w:tc>
          <w:tcPr>
            <w:tcW w:w="1079" w:type="dxa"/>
            <w:noWrap/>
            <w:vAlign w:val="center"/>
            <w:hideMark/>
          </w:tcPr>
          <w:p w14:paraId="434E53C3" w14:textId="77777777" w:rsidR="00D00458" w:rsidRPr="00D00458" w:rsidRDefault="00D00458" w:rsidP="00D0045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708</w:t>
            </w:r>
          </w:p>
        </w:tc>
        <w:tc>
          <w:tcPr>
            <w:tcW w:w="786" w:type="dxa"/>
            <w:noWrap/>
            <w:vAlign w:val="center"/>
            <w:hideMark/>
          </w:tcPr>
          <w:p w14:paraId="2EF0479E" w14:textId="77777777" w:rsidR="00D00458" w:rsidRPr="00D00458" w:rsidRDefault="00D00458" w:rsidP="00D00458">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D00458">
              <w:rPr>
                <w:rFonts w:ascii="Times New Roman" w:eastAsia="Times New Roman" w:hAnsi="Times New Roman" w:cs="Times New Roman"/>
                <w:i/>
                <w:iCs/>
                <w:color w:val="000000"/>
                <w:kern w:val="0"/>
                <w:sz w:val="28"/>
                <w:szCs w:val="28"/>
                <w:lang w:eastAsia="en-IN"/>
                <w14:ligatures w14:val="none"/>
              </w:rPr>
              <w:t>8.8</w:t>
            </w:r>
          </w:p>
        </w:tc>
        <w:tc>
          <w:tcPr>
            <w:tcW w:w="1246" w:type="dxa"/>
            <w:vAlign w:val="center"/>
            <w:hideMark/>
          </w:tcPr>
          <w:p w14:paraId="52F841D4" w14:textId="77777777" w:rsidR="00D00458" w:rsidRPr="00D00458" w:rsidRDefault="00D00458" w:rsidP="00D0045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809</w:t>
            </w:r>
          </w:p>
        </w:tc>
        <w:tc>
          <w:tcPr>
            <w:tcW w:w="1069" w:type="dxa"/>
            <w:vAlign w:val="center"/>
            <w:hideMark/>
          </w:tcPr>
          <w:p w14:paraId="19023C28" w14:textId="77777777" w:rsidR="00D00458" w:rsidRPr="00E02C8A" w:rsidRDefault="00D00458" w:rsidP="00D00458">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E02C8A">
              <w:rPr>
                <w:rFonts w:ascii="Times New Roman" w:eastAsia="Times New Roman" w:hAnsi="Times New Roman" w:cs="Times New Roman"/>
                <w:i/>
                <w:iCs/>
                <w:color w:val="000000"/>
                <w:kern w:val="0"/>
                <w:sz w:val="28"/>
                <w:szCs w:val="28"/>
                <w:lang w:eastAsia="en-IN"/>
                <w14:ligatures w14:val="none"/>
              </w:rPr>
              <w:t>10.1</w:t>
            </w:r>
          </w:p>
        </w:tc>
        <w:tc>
          <w:tcPr>
            <w:tcW w:w="1020" w:type="dxa"/>
            <w:vAlign w:val="center"/>
            <w:hideMark/>
          </w:tcPr>
          <w:p w14:paraId="05CA91B8" w14:textId="77777777" w:rsidR="00D00458" w:rsidRPr="00D00458" w:rsidRDefault="00D00458" w:rsidP="00D0045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684</w:t>
            </w:r>
          </w:p>
        </w:tc>
        <w:tc>
          <w:tcPr>
            <w:tcW w:w="786" w:type="dxa"/>
            <w:vAlign w:val="center"/>
            <w:hideMark/>
          </w:tcPr>
          <w:p w14:paraId="4744E263" w14:textId="77777777" w:rsidR="00D00458" w:rsidRPr="00D00458" w:rsidRDefault="00D00458" w:rsidP="00D00458">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D00458">
              <w:rPr>
                <w:rFonts w:ascii="Times New Roman" w:eastAsia="Times New Roman" w:hAnsi="Times New Roman" w:cs="Times New Roman"/>
                <w:i/>
                <w:iCs/>
                <w:color w:val="000000"/>
                <w:kern w:val="0"/>
                <w:sz w:val="28"/>
                <w:szCs w:val="28"/>
                <w:lang w:eastAsia="en-IN"/>
                <w14:ligatures w14:val="none"/>
              </w:rPr>
              <w:t>8.6</w:t>
            </w:r>
          </w:p>
        </w:tc>
        <w:tc>
          <w:tcPr>
            <w:tcW w:w="1045" w:type="dxa"/>
            <w:vAlign w:val="center"/>
            <w:hideMark/>
          </w:tcPr>
          <w:p w14:paraId="38ADBFB0" w14:textId="77777777" w:rsidR="00D00458" w:rsidRPr="00D00458" w:rsidRDefault="00D00458" w:rsidP="00D0045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714</w:t>
            </w:r>
          </w:p>
        </w:tc>
        <w:tc>
          <w:tcPr>
            <w:tcW w:w="806" w:type="dxa"/>
            <w:vAlign w:val="center"/>
            <w:hideMark/>
          </w:tcPr>
          <w:p w14:paraId="7C9FA6F7" w14:textId="77777777" w:rsidR="00D00458" w:rsidRPr="00D00458" w:rsidRDefault="00D00458" w:rsidP="00D00458">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D00458">
              <w:rPr>
                <w:rFonts w:ascii="Times New Roman" w:eastAsia="Times New Roman" w:hAnsi="Times New Roman" w:cs="Times New Roman"/>
                <w:i/>
                <w:iCs/>
                <w:color w:val="000000"/>
                <w:kern w:val="0"/>
                <w:sz w:val="28"/>
                <w:szCs w:val="28"/>
                <w:lang w:eastAsia="en-IN"/>
                <w14:ligatures w14:val="none"/>
              </w:rPr>
              <w:t>8.9</w:t>
            </w:r>
          </w:p>
        </w:tc>
        <w:tc>
          <w:tcPr>
            <w:tcW w:w="1020" w:type="dxa"/>
            <w:vAlign w:val="center"/>
            <w:hideMark/>
          </w:tcPr>
          <w:p w14:paraId="13D53E61" w14:textId="77777777" w:rsidR="00D00458" w:rsidRPr="00D00458" w:rsidRDefault="00D00458" w:rsidP="00D0045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817</w:t>
            </w:r>
          </w:p>
        </w:tc>
        <w:tc>
          <w:tcPr>
            <w:tcW w:w="786" w:type="dxa"/>
            <w:vAlign w:val="center"/>
            <w:hideMark/>
          </w:tcPr>
          <w:p w14:paraId="76C6D166" w14:textId="77777777" w:rsidR="00D00458" w:rsidRPr="00D00458" w:rsidRDefault="00D00458" w:rsidP="00D00458">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D00458">
              <w:rPr>
                <w:rFonts w:ascii="Times New Roman" w:eastAsia="Times New Roman" w:hAnsi="Times New Roman" w:cs="Times New Roman"/>
                <w:i/>
                <w:iCs/>
                <w:color w:val="000000"/>
                <w:kern w:val="0"/>
                <w:sz w:val="28"/>
                <w:szCs w:val="28"/>
                <w:lang w:eastAsia="en-IN"/>
                <w14:ligatures w14:val="none"/>
              </w:rPr>
              <w:t>10.2</w:t>
            </w:r>
          </w:p>
        </w:tc>
      </w:tr>
      <w:tr w:rsidR="00D00458" w:rsidRPr="00D00458" w14:paraId="7441D5BE" w14:textId="77777777" w:rsidTr="00E02C8A">
        <w:trPr>
          <w:trHeight w:val="20"/>
          <w:jc w:val="center"/>
        </w:trPr>
        <w:tc>
          <w:tcPr>
            <w:tcW w:w="2905" w:type="dxa"/>
            <w:noWrap/>
            <w:vAlign w:val="center"/>
            <w:hideMark/>
          </w:tcPr>
          <w:p w14:paraId="1D169C48" w14:textId="77777777" w:rsidR="00D00458" w:rsidRPr="00D00458" w:rsidRDefault="00D00458" w:rsidP="00E02C8A">
            <w:pPr>
              <w:spacing w:after="0" w:line="240" w:lineRule="auto"/>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Mysore</w:t>
            </w:r>
          </w:p>
        </w:tc>
        <w:tc>
          <w:tcPr>
            <w:tcW w:w="1079" w:type="dxa"/>
            <w:noWrap/>
            <w:vAlign w:val="center"/>
            <w:hideMark/>
          </w:tcPr>
          <w:p w14:paraId="077628A9" w14:textId="77777777" w:rsidR="00D00458" w:rsidRPr="00D00458" w:rsidRDefault="00D00458" w:rsidP="00D0045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590</w:t>
            </w:r>
          </w:p>
        </w:tc>
        <w:tc>
          <w:tcPr>
            <w:tcW w:w="786" w:type="dxa"/>
            <w:noWrap/>
            <w:vAlign w:val="center"/>
            <w:hideMark/>
          </w:tcPr>
          <w:p w14:paraId="5B029F34" w14:textId="77777777" w:rsidR="00D00458" w:rsidRPr="00D00458" w:rsidRDefault="00D00458" w:rsidP="00D00458">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D00458">
              <w:rPr>
                <w:rFonts w:ascii="Times New Roman" w:eastAsia="Times New Roman" w:hAnsi="Times New Roman" w:cs="Times New Roman"/>
                <w:i/>
                <w:iCs/>
                <w:color w:val="000000"/>
                <w:kern w:val="0"/>
                <w:sz w:val="28"/>
                <w:szCs w:val="28"/>
                <w:lang w:eastAsia="en-IN"/>
                <w14:ligatures w14:val="none"/>
              </w:rPr>
              <w:t>6.5</w:t>
            </w:r>
          </w:p>
        </w:tc>
        <w:tc>
          <w:tcPr>
            <w:tcW w:w="1079" w:type="dxa"/>
            <w:noWrap/>
            <w:vAlign w:val="center"/>
            <w:hideMark/>
          </w:tcPr>
          <w:p w14:paraId="0EA2767E" w14:textId="77777777" w:rsidR="00D00458" w:rsidRPr="00D00458" w:rsidRDefault="00D00458" w:rsidP="00D0045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646</w:t>
            </w:r>
          </w:p>
        </w:tc>
        <w:tc>
          <w:tcPr>
            <w:tcW w:w="786" w:type="dxa"/>
            <w:noWrap/>
            <w:vAlign w:val="center"/>
            <w:hideMark/>
          </w:tcPr>
          <w:p w14:paraId="09A88922" w14:textId="77777777" w:rsidR="00D00458" w:rsidRPr="00D00458" w:rsidRDefault="00D00458" w:rsidP="00D00458">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D00458">
              <w:rPr>
                <w:rFonts w:ascii="Times New Roman" w:eastAsia="Times New Roman" w:hAnsi="Times New Roman" w:cs="Times New Roman"/>
                <w:i/>
                <w:iCs/>
                <w:color w:val="000000"/>
                <w:kern w:val="0"/>
                <w:sz w:val="28"/>
                <w:szCs w:val="28"/>
                <w:lang w:eastAsia="en-IN"/>
                <w14:ligatures w14:val="none"/>
              </w:rPr>
              <w:t>7.1</w:t>
            </w:r>
          </w:p>
        </w:tc>
        <w:tc>
          <w:tcPr>
            <w:tcW w:w="1246" w:type="dxa"/>
            <w:vAlign w:val="center"/>
            <w:hideMark/>
          </w:tcPr>
          <w:p w14:paraId="21A18A29" w14:textId="77777777" w:rsidR="00D00458" w:rsidRPr="00D00458" w:rsidRDefault="00D00458" w:rsidP="00D0045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587</w:t>
            </w:r>
          </w:p>
        </w:tc>
        <w:tc>
          <w:tcPr>
            <w:tcW w:w="1069" w:type="dxa"/>
            <w:vAlign w:val="center"/>
            <w:hideMark/>
          </w:tcPr>
          <w:p w14:paraId="4D3E1232" w14:textId="77777777" w:rsidR="00D00458" w:rsidRPr="00E02C8A" w:rsidRDefault="00D00458" w:rsidP="00D00458">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E02C8A">
              <w:rPr>
                <w:rFonts w:ascii="Times New Roman" w:eastAsia="Times New Roman" w:hAnsi="Times New Roman" w:cs="Times New Roman"/>
                <w:i/>
                <w:iCs/>
                <w:color w:val="000000"/>
                <w:kern w:val="0"/>
                <w:sz w:val="28"/>
                <w:szCs w:val="28"/>
                <w:lang w:eastAsia="en-IN"/>
                <w14:ligatures w14:val="none"/>
              </w:rPr>
              <w:t>6.5</w:t>
            </w:r>
          </w:p>
        </w:tc>
        <w:tc>
          <w:tcPr>
            <w:tcW w:w="1020" w:type="dxa"/>
            <w:vAlign w:val="center"/>
            <w:hideMark/>
          </w:tcPr>
          <w:p w14:paraId="614CF70E" w14:textId="77777777" w:rsidR="00D00458" w:rsidRPr="00D00458" w:rsidRDefault="00D00458" w:rsidP="00D0045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590</w:t>
            </w:r>
          </w:p>
        </w:tc>
        <w:tc>
          <w:tcPr>
            <w:tcW w:w="786" w:type="dxa"/>
            <w:vAlign w:val="center"/>
            <w:hideMark/>
          </w:tcPr>
          <w:p w14:paraId="60AECDB1" w14:textId="77777777" w:rsidR="00D00458" w:rsidRPr="00D00458" w:rsidRDefault="00D00458" w:rsidP="00D00458">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D00458">
              <w:rPr>
                <w:rFonts w:ascii="Times New Roman" w:eastAsia="Times New Roman" w:hAnsi="Times New Roman" w:cs="Times New Roman"/>
                <w:i/>
                <w:iCs/>
                <w:color w:val="000000"/>
                <w:kern w:val="0"/>
                <w:sz w:val="28"/>
                <w:szCs w:val="28"/>
                <w:lang w:eastAsia="en-IN"/>
                <w14:ligatures w14:val="none"/>
              </w:rPr>
              <w:t>6.5</w:t>
            </w:r>
          </w:p>
        </w:tc>
        <w:tc>
          <w:tcPr>
            <w:tcW w:w="1045" w:type="dxa"/>
            <w:vAlign w:val="center"/>
            <w:hideMark/>
          </w:tcPr>
          <w:p w14:paraId="2D15F7F0" w14:textId="77777777" w:rsidR="00D00458" w:rsidRPr="00D00458" w:rsidRDefault="00D00458" w:rsidP="00D0045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646</w:t>
            </w:r>
          </w:p>
        </w:tc>
        <w:tc>
          <w:tcPr>
            <w:tcW w:w="806" w:type="dxa"/>
            <w:vAlign w:val="center"/>
            <w:hideMark/>
          </w:tcPr>
          <w:p w14:paraId="3ED57699" w14:textId="77777777" w:rsidR="00D00458" w:rsidRPr="00D00458" w:rsidRDefault="00D00458" w:rsidP="00D00458">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D00458">
              <w:rPr>
                <w:rFonts w:ascii="Times New Roman" w:eastAsia="Times New Roman" w:hAnsi="Times New Roman" w:cs="Times New Roman"/>
                <w:i/>
                <w:iCs/>
                <w:color w:val="000000"/>
                <w:kern w:val="0"/>
                <w:sz w:val="28"/>
                <w:szCs w:val="28"/>
                <w:lang w:eastAsia="en-IN"/>
                <w14:ligatures w14:val="none"/>
              </w:rPr>
              <w:t>7.1</w:t>
            </w:r>
          </w:p>
        </w:tc>
        <w:tc>
          <w:tcPr>
            <w:tcW w:w="1020" w:type="dxa"/>
            <w:vAlign w:val="center"/>
            <w:hideMark/>
          </w:tcPr>
          <w:p w14:paraId="1E339F34" w14:textId="77777777" w:rsidR="00D00458" w:rsidRPr="00D00458" w:rsidRDefault="00D00458" w:rsidP="00D0045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587</w:t>
            </w:r>
          </w:p>
        </w:tc>
        <w:tc>
          <w:tcPr>
            <w:tcW w:w="786" w:type="dxa"/>
            <w:vAlign w:val="center"/>
            <w:hideMark/>
          </w:tcPr>
          <w:p w14:paraId="3D6F5CA4" w14:textId="77777777" w:rsidR="00D00458" w:rsidRPr="00D00458" w:rsidRDefault="00D00458" w:rsidP="00D00458">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D00458">
              <w:rPr>
                <w:rFonts w:ascii="Times New Roman" w:eastAsia="Times New Roman" w:hAnsi="Times New Roman" w:cs="Times New Roman"/>
                <w:i/>
                <w:iCs/>
                <w:color w:val="000000"/>
                <w:kern w:val="0"/>
                <w:sz w:val="28"/>
                <w:szCs w:val="28"/>
                <w:lang w:eastAsia="en-IN"/>
                <w14:ligatures w14:val="none"/>
              </w:rPr>
              <w:t>6.5</w:t>
            </w:r>
          </w:p>
        </w:tc>
      </w:tr>
      <w:tr w:rsidR="00D00458" w:rsidRPr="00D00458" w14:paraId="03625884" w14:textId="77777777" w:rsidTr="00E02C8A">
        <w:trPr>
          <w:trHeight w:val="20"/>
          <w:jc w:val="center"/>
        </w:trPr>
        <w:tc>
          <w:tcPr>
            <w:tcW w:w="2905" w:type="dxa"/>
            <w:noWrap/>
            <w:vAlign w:val="center"/>
            <w:hideMark/>
          </w:tcPr>
          <w:p w14:paraId="1CB1D5E2" w14:textId="77777777" w:rsidR="00D00458" w:rsidRPr="00D00458" w:rsidRDefault="00D00458" w:rsidP="00E02C8A">
            <w:pPr>
              <w:spacing w:after="0" w:line="240" w:lineRule="auto"/>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Patiala and East Punjab States Union</w:t>
            </w:r>
          </w:p>
        </w:tc>
        <w:tc>
          <w:tcPr>
            <w:tcW w:w="1079" w:type="dxa"/>
            <w:noWrap/>
            <w:vAlign w:val="center"/>
            <w:hideMark/>
          </w:tcPr>
          <w:p w14:paraId="6D66FC51" w14:textId="77777777" w:rsidR="00D00458" w:rsidRPr="00D00458" w:rsidRDefault="00D00458" w:rsidP="00D0045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373</w:t>
            </w:r>
          </w:p>
        </w:tc>
        <w:tc>
          <w:tcPr>
            <w:tcW w:w="786" w:type="dxa"/>
            <w:noWrap/>
            <w:vAlign w:val="center"/>
            <w:hideMark/>
          </w:tcPr>
          <w:p w14:paraId="22EA98A1" w14:textId="77777777" w:rsidR="00D00458" w:rsidRPr="00D00458" w:rsidRDefault="00D00458" w:rsidP="00D00458">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D00458">
              <w:rPr>
                <w:rFonts w:ascii="Times New Roman" w:eastAsia="Times New Roman" w:hAnsi="Times New Roman" w:cs="Times New Roman"/>
                <w:i/>
                <w:iCs/>
                <w:color w:val="000000"/>
                <w:kern w:val="0"/>
                <w:sz w:val="28"/>
                <w:szCs w:val="28"/>
                <w:lang w:eastAsia="en-IN"/>
                <w14:ligatures w14:val="none"/>
              </w:rPr>
              <w:t>10.7</w:t>
            </w:r>
          </w:p>
        </w:tc>
        <w:tc>
          <w:tcPr>
            <w:tcW w:w="1079" w:type="dxa"/>
            <w:noWrap/>
            <w:vAlign w:val="center"/>
            <w:hideMark/>
          </w:tcPr>
          <w:p w14:paraId="1CEE0CDE" w14:textId="77777777" w:rsidR="00D00458" w:rsidRPr="00D00458" w:rsidRDefault="00D00458" w:rsidP="00D0045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429</w:t>
            </w:r>
          </w:p>
        </w:tc>
        <w:tc>
          <w:tcPr>
            <w:tcW w:w="786" w:type="dxa"/>
            <w:noWrap/>
            <w:vAlign w:val="center"/>
            <w:hideMark/>
          </w:tcPr>
          <w:p w14:paraId="737052D9" w14:textId="77777777" w:rsidR="00D00458" w:rsidRPr="00D00458" w:rsidRDefault="00D00458" w:rsidP="00D00458">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D00458">
              <w:rPr>
                <w:rFonts w:ascii="Times New Roman" w:eastAsia="Times New Roman" w:hAnsi="Times New Roman" w:cs="Times New Roman"/>
                <w:i/>
                <w:iCs/>
                <w:color w:val="000000"/>
                <w:kern w:val="0"/>
                <w:sz w:val="28"/>
                <w:szCs w:val="28"/>
                <w:lang w:eastAsia="en-IN"/>
                <w14:ligatures w14:val="none"/>
              </w:rPr>
              <w:t>12.3</w:t>
            </w:r>
          </w:p>
        </w:tc>
        <w:tc>
          <w:tcPr>
            <w:tcW w:w="1246" w:type="dxa"/>
            <w:vAlign w:val="center"/>
            <w:hideMark/>
          </w:tcPr>
          <w:p w14:paraId="3727437F" w14:textId="77777777" w:rsidR="00D00458" w:rsidRPr="00D00458" w:rsidRDefault="00D00458" w:rsidP="00D0045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356</w:t>
            </w:r>
          </w:p>
        </w:tc>
        <w:tc>
          <w:tcPr>
            <w:tcW w:w="1069" w:type="dxa"/>
            <w:vAlign w:val="center"/>
            <w:hideMark/>
          </w:tcPr>
          <w:p w14:paraId="785531EE" w14:textId="77777777" w:rsidR="00D00458" w:rsidRPr="00E02C8A" w:rsidRDefault="00D00458" w:rsidP="00D00458">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E02C8A">
              <w:rPr>
                <w:rFonts w:ascii="Times New Roman" w:eastAsia="Times New Roman" w:hAnsi="Times New Roman" w:cs="Times New Roman"/>
                <w:i/>
                <w:iCs/>
                <w:color w:val="000000"/>
                <w:kern w:val="0"/>
                <w:sz w:val="28"/>
                <w:szCs w:val="28"/>
                <w:lang w:eastAsia="en-IN"/>
                <w14:ligatures w14:val="none"/>
              </w:rPr>
              <w:t>10.2</w:t>
            </w:r>
          </w:p>
        </w:tc>
        <w:tc>
          <w:tcPr>
            <w:tcW w:w="1020" w:type="dxa"/>
            <w:vAlign w:val="center"/>
            <w:hideMark/>
          </w:tcPr>
          <w:p w14:paraId="77696CA5" w14:textId="77777777" w:rsidR="00D00458" w:rsidRPr="00D00458" w:rsidRDefault="00D00458" w:rsidP="00D0045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389</w:t>
            </w:r>
          </w:p>
        </w:tc>
        <w:tc>
          <w:tcPr>
            <w:tcW w:w="786" w:type="dxa"/>
            <w:vAlign w:val="center"/>
            <w:hideMark/>
          </w:tcPr>
          <w:p w14:paraId="2279F971" w14:textId="77777777" w:rsidR="00D00458" w:rsidRPr="00D00458" w:rsidRDefault="00D00458" w:rsidP="00D00458">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D00458">
              <w:rPr>
                <w:rFonts w:ascii="Times New Roman" w:eastAsia="Times New Roman" w:hAnsi="Times New Roman" w:cs="Times New Roman"/>
                <w:i/>
                <w:iCs/>
                <w:color w:val="000000"/>
                <w:kern w:val="0"/>
                <w:sz w:val="28"/>
                <w:szCs w:val="28"/>
                <w:lang w:eastAsia="en-IN"/>
                <w14:ligatures w14:val="none"/>
              </w:rPr>
              <w:t>11.1</w:t>
            </w:r>
          </w:p>
        </w:tc>
        <w:tc>
          <w:tcPr>
            <w:tcW w:w="1045" w:type="dxa"/>
            <w:vAlign w:val="center"/>
            <w:hideMark/>
          </w:tcPr>
          <w:p w14:paraId="3C633580" w14:textId="77777777" w:rsidR="00D00458" w:rsidRPr="00D00458" w:rsidRDefault="00D00458" w:rsidP="00D0045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444</w:t>
            </w:r>
          </w:p>
        </w:tc>
        <w:tc>
          <w:tcPr>
            <w:tcW w:w="806" w:type="dxa"/>
            <w:vAlign w:val="center"/>
            <w:hideMark/>
          </w:tcPr>
          <w:p w14:paraId="450833FC" w14:textId="77777777" w:rsidR="00D00458" w:rsidRPr="00D00458" w:rsidRDefault="00D00458" w:rsidP="00D00458">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D00458">
              <w:rPr>
                <w:rFonts w:ascii="Times New Roman" w:eastAsia="Times New Roman" w:hAnsi="Times New Roman" w:cs="Times New Roman"/>
                <w:i/>
                <w:iCs/>
                <w:color w:val="000000"/>
                <w:kern w:val="0"/>
                <w:sz w:val="28"/>
                <w:szCs w:val="28"/>
                <w:lang w:eastAsia="en-IN"/>
                <w14:ligatures w14:val="none"/>
              </w:rPr>
              <w:t>12.7</w:t>
            </w:r>
          </w:p>
        </w:tc>
        <w:tc>
          <w:tcPr>
            <w:tcW w:w="1020" w:type="dxa"/>
            <w:vAlign w:val="center"/>
            <w:hideMark/>
          </w:tcPr>
          <w:p w14:paraId="66BF2522" w14:textId="77777777" w:rsidR="00D00458" w:rsidRPr="00D00458" w:rsidRDefault="00D00458" w:rsidP="00D0045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367</w:t>
            </w:r>
          </w:p>
        </w:tc>
        <w:tc>
          <w:tcPr>
            <w:tcW w:w="786" w:type="dxa"/>
            <w:vAlign w:val="center"/>
            <w:hideMark/>
          </w:tcPr>
          <w:p w14:paraId="4E007A58" w14:textId="77777777" w:rsidR="00D00458" w:rsidRPr="00D00458" w:rsidRDefault="00D00458" w:rsidP="00D00458">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D00458">
              <w:rPr>
                <w:rFonts w:ascii="Times New Roman" w:eastAsia="Times New Roman" w:hAnsi="Times New Roman" w:cs="Times New Roman"/>
                <w:i/>
                <w:iCs/>
                <w:color w:val="000000"/>
                <w:kern w:val="0"/>
                <w:sz w:val="28"/>
                <w:szCs w:val="28"/>
                <w:lang w:eastAsia="en-IN"/>
                <w14:ligatures w14:val="none"/>
              </w:rPr>
              <w:t>10.5</w:t>
            </w:r>
          </w:p>
        </w:tc>
      </w:tr>
      <w:tr w:rsidR="00D00458" w:rsidRPr="00D00458" w14:paraId="453FA07A" w14:textId="77777777" w:rsidTr="00E02C8A">
        <w:trPr>
          <w:trHeight w:val="20"/>
          <w:jc w:val="center"/>
        </w:trPr>
        <w:tc>
          <w:tcPr>
            <w:tcW w:w="2905" w:type="dxa"/>
            <w:noWrap/>
            <w:vAlign w:val="center"/>
            <w:hideMark/>
          </w:tcPr>
          <w:p w14:paraId="6EEA6B8F" w14:textId="77777777" w:rsidR="00D00458" w:rsidRPr="00D00458" w:rsidRDefault="00D00458" w:rsidP="00E02C8A">
            <w:pPr>
              <w:spacing w:after="0" w:line="240" w:lineRule="auto"/>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Rajasthan</w:t>
            </w:r>
          </w:p>
        </w:tc>
        <w:tc>
          <w:tcPr>
            <w:tcW w:w="1079" w:type="dxa"/>
            <w:noWrap/>
            <w:vAlign w:val="center"/>
            <w:hideMark/>
          </w:tcPr>
          <w:p w14:paraId="322D4237" w14:textId="77777777" w:rsidR="00D00458" w:rsidRPr="00D00458" w:rsidRDefault="00D00458" w:rsidP="00D0045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1108</w:t>
            </w:r>
          </w:p>
        </w:tc>
        <w:tc>
          <w:tcPr>
            <w:tcW w:w="786" w:type="dxa"/>
            <w:noWrap/>
            <w:vAlign w:val="center"/>
            <w:hideMark/>
          </w:tcPr>
          <w:p w14:paraId="0D51F5CD" w14:textId="77777777" w:rsidR="00D00458" w:rsidRPr="00D00458" w:rsidRDefault="00D00458" w:rsidP="00D00458">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D00458">
              <w:rPr>
                <w:rFonts w:ascii="Times New Roman" w:eastAsia="Times New Roman" w:hAnsi="Times New Roman" w:cs="Times New Roman"/>
                <w:i/>
                <w:iCs/>
                <w:color w:val="000000"/>
                <w:kern w:val="0"/>
                <w:sz w:val="28"/>
                <w:szCs w:val="28"/>
                <w:lang w:eastAsia="en-IN"/>
                <w14:ligatures w14:val="none"/>
              </w:rPr>
              <w:t>7.2</w:t>
            </w:r>
          </w:p>
        </w:tc>
        <w:tc>
          <w:tcPr>
            <w:tcW w:w="1079" w:type="dxa"/>
            <w:noWrap/>
            <w:vAlign w:val="center"/>
            <w:hideMark/>
          </w:tcPr>
          <w:p w14:paraId="1C4F6755" w14:textId="77777777" w:rsidR="00D00458" w:rsidRPr="00D00458" w:rsidRDefault="00D00458" w:rsidP="00D0045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1104</w:t>
            </w:r>
          </w:p>
        </w:tc>
        <w:tc>
          <w:tcPr>
            <w:tcW w:w="786" w:type="dxa"/>
            <w:noWrap/>
            <w:vAlign w:val="center"/>
            <w:hideMark/>
          </w:tcPr>
          <w:p w14:paraId="2D3BE1A6" w14:textId="77777777" w:rsidR="00D00458" w:rsidRPr="00D00458" w:rsidRDefault="00D00458" w:rsidP="00D00458">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D00458">
              <w:rPr>
                <w:rFonts w:ascii="Times New Roman" w:eastAsia="Times New Roman" w:hAnsi="Times New Roman" w:cs="Times New Roman"/>
                <w:i/>
                <w:iCs/>
                <w:color w:val="000000"/>
                <w:kern w:val="0"/>
                <w:sz w:val="28"/>
                <w:szCs w:val="28"/>
                <w:lang w:eastAsia="en-IN"/>
                <w14:ligatures w14:val="none"/>
              </w:rPr>
              <w:t>7.2</w:t>
            </w:r>
          </w:p>
        </w:tc>
        <w:tc>
          <w:tcPr>
            <w:tcW w:w="1246" w:type="dxa"/>
            <w:vAlign w:val="center"/>
            <w:hideMark/>
          </w:tcPr>
          <w:p w14:paraId="6D4C78DD" w14:textId="77777777" w:rsidR="00D00458" w:rsidRPr="00D00458" w:rsidRDefault="00D00458" w:rsidP="00D0045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1137</w:t>
            </w:r>
          </w:p>
        </w:tc>
        <w:tc>
          <w:tcPr>
            <w:tcW w:w="1069" w:type="dxa"/>
            <w:vAlign w:val="center"/>
            <w:hideMark/>
          </w:tcPr>
          <w:p w14:paraId="29C5B524" w14:textId="77777777" w:rsidR="00D00458" w:rsidRPr="00E02C8A" w:rsidRDefault="00D00458" w:rsidP="00D00458">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E02C8A">
              <w:rPr>
                <w:rFonts w:ascii="Times New Roman" w:eastAsia="Times New Roman" w:hAnsi="Times New Roman" w:cs="Times New Roman"/>
                <w:i/>
                <w:iCs/>
                <w:color w:val="000000"/>
                <w:kern w:val="0"/>
                <w:sz w:val="28"/>
                <w:szCs w:val="28"/>
                <w:lang w:eastAsia="en-IN"/>
                <w14:ligatures w14:val="none"/>
              </w:rPr>
              <w:t>7.4</w:t>
            </w:r>
          </w:p>
        </w:tc>
        <w:tc>
          <w:tcPr>
            <w:tcW w:w="1020" w:type="dxa"/>
            <w:vAlign w:val="center"/>
            <w:hideMark/>
          </w:tcPr>
          <w:p w14:paraId="20C2ED7D" w14:textId="77777777" w:rsidR="00D00458" w:rsidRPr="00D00458" w:rsidRDefault="00D00458" w:rsidP="00D0045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1116</w:t>
            </w:r>
          </w:p>
        </w:tc>
        <w:tc>
          <w:tcPr>
            <w:tcW w:w="786" w:type="dxa"/>
            <w:vAlign w:val="center"/>
            <w:hideMark/>
          </w:tcPr>
          <w:p w14:paraId="711D8BDB" w14:textId="77777777" w:rsidR="00D00458" w:rsidRPr="00D00458" w:rsidRDefault="00D00458" w:rsidP="00D00458">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D00458">
              <w:rPr>
                <w:rFonts w:ascii="Times New Roman" w:eastAsia="Times New Roman" w:hAnsi="Times New Roman" w:cs="Times New Roman"/>
                <w:i/>
                <w:iCs/>
                <w:color w:val="000000"/>
                <w:kern w:val="0"/>
                <w:sz w:val="28"/>
                <w:szCs w:val="28"/>
                <w:lang w:eastAsia="en-IN"/>
                <w14:ligatures w14:val="none"/>
              </w:rPr>
              <w:t>7.3</w:t>
            </w:r>
          </w:p>
        </w:tc>
        <w:tc>
          <w:tcPr>
            <w:tcW w:w="1045" w:type="dxa"/>
            <w:vAlign w:val="center"/>
            <w:hideMark/>
          </w:tcPr>
          <w:p w14:paraId="158B3A49" w14:textId="77777777" w:rsidR="00D00458" w:rsidRPr="00D00458" w:rsidRDefault="00D00458" w:rsidP="00D0045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1116</w:t>
            </w:r>
          </w:p>
        </w:tc>
        <w:tc>
          <w:tcPr>
            <w:tcW w:w="806" w:type="dxa"/>
            <w:vAlign w:val="center"/>
            <w:hideMark/>
          </w:tcPr>
          <w:p w14:paraId="1947C163" w14:textId="77777777" w:rsidR="00D00458" w:rsidRPr="00D00458" w:rsidRDefault="00D00458" w:rsidP="00D00458">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D00458">
              <w:rPr>
                <w:rFonts w:ascii="Times New Roman" w:eastAsia="Times New Roman" w:hAnsi="Times New Roman" w:cs="Times New Roman"/>
                <w:i/>
                <w:iCs/>
                <w:color w:val="000000"/>
                <w:kern w:val="0"/>
                <w:sz w:val="28"/>
                <w:szCs w:val="28"/>
                <w:lang w:eastAsia="en-IN"/>
                <w14:ligatures w14:val="none"/>
              </w:rPr>
              <w:t>7.3</w:t>
            </w:r>
          </w:p>
        </w:tc>
        <w:tc>
          <w:tcPr>
            <w:tcW w:w="1020" w:type="dxa"/>
            <w:vAlign w:val="center"/>
            <w:hideMark/>
          </w:tcPr>
          <w:p w14:paraId="70D2B5A6" w14:textId="77777777" w:rsidR="00D00458" w:rsidRPr="00D00458" w:rsidRDefault="00D00458" w:rsidP="00D0045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1150</w:t>
            </w:r>
          </w:p>
        </w:tc>
        <w:tc>
          <w:tcPr>
            <w:tcW w:w="786" w:type="dxa"/>
            <w:vAlign w:val="center"/>
            <w:hideMark/>
          </w:tcPr>
          <w:p w14:paraId="5E8F9478" w14:textId="77777777" w:rsidR="00D00458" w:rsidRPr="00D00458" w:rsidRDefault="00D00458" w:rsidP="00D00458">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D00458">
              <w:rPr>
                <w:rFonts w:ascii="Times New Roman" w:eastAsia="Times New Roman" w:hAnsi="Times New Roman" w:cs="Times New Roman"/>
                <w:i/>
                <w:iCs/>
                <w:color w:val="000000"/>
                <w:kern w:val="0"/>
                <w:sz w:val="28"/>
                <w:szCs w:val="28"/>
                <w:lang w:eastAsia="en-IN"/>
                <w14:ligatures w14:val="none"/>
              </w:rPr>
              <w:t>7.5</w:t>
            </w:r>
          </w:p>
        </w:tc>
      </w:tr>
      <w:tr w:rsidR="00D00458" w:rsidRPr="00D00458" w14:paraId="7D0C1EFB" w14:textId="77777777" w:rsidTr="00E02C8A">
        <w:trPr>
          <w:trHeight w:val="20"/>
          <w:jc w:val="center"/>
        </w:trPr>
        <w:tc>
          <w:tcPr>
            <w:tcW w:w="2905" w:type="dxa"/>
            <w:noWrap/>
            <w:vAlign w:val="center"/>
            <w:hideMark/>
          </w:tcPr>
          <w:p w14:paraId="34FC3CD7" w14:textId="77777777" w:rsidR="00D00458" w:rsidRPr="00D00458" w:rsidRDefault="00D00458" w:rsidP="00E02C8A">
            <w:pPr>
              <w:spacing w:after="0" w:line="240" w:lineRule="auto"/>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Saurashtra</w:t>
            </w:r>
          </w:p>
        </w:tc>
        <w:tc>
          <w:tcPr>
            <w:tcW w:w="1079" w:type="dxa"/>
            <w:noWrap/>
            <w:vAlign w:val="center"/>
            <w:hideMark/>
          </w:tcPr>
          <w:p w14:paraId="4BB6D9C0" w14:textId="77777777" w:rsidR="00D00458" w:rsidRPr="00D00458" w:rsidRDefault="00D00458" w:rsidP="00D0045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354</w:t>
            </w:r>
          </w:p>
        </w:tc>
        <w:tc>
          <w:tcPr>
            <w:tcW w:w="786" w:type="dxa"/>
            <w:noWrap/>
            <w:vAlign w:val="center"/>
            <w:hideMark/>
          </w:tcPr>
          <w:p w14:paraId="40CC65D4" w14:textId="77777777" w:rsidR="00D00458" w:rsidRPr="00D00458" w:rsidRDefault="00D00458" w:rsidP="00D00458">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D00458">
              <w:rPr>
                <w:rFonts w:ascii="Times New Roman" w:eastAsia="Times New Roman" w:hAnsi="Times New Roman" w:cs="Times New Roman"/>
                <w:i/>
                <w:iCs/>
                <w:color w:val="000000"/>
                <w:kern w:val="0"/>
                <w:sz w:val="28"/>
                <w:szCs w:val="28"/>
                <w:lang w:eastAsia="en-IN"/>
                <w14:ligatures w14:val="none"/>
              </w:rPr>
              <w:t>8.6</w:t>
            </w:r>
          </w:p>
        </w:tc>
        <w:tc>
          <w:tcPr>
            <w:tcW w:w="1079" w:type="dxa"/>
            <w:noWrap/>
            <w:vAlign w:val="center"/>
            <w:hideMark/>
          </w:tcPr>
          <w:p w14:paraId="7C6B5000" w14:textId="77777777" w:rsidR="00D00458" w:rsidRPr="00D00458" w:rsidRDefault="00D00458" w:rsidP="00D0045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291</w:t>
            </w:r>
          </w:p>
        </w:tc>
        <w:tc>
          <w:tcPr>
            <w:tcW w:w="786" w:type="dxa"/>
            <w:noWrap/>
            <w:vAlign w:val="center"/>
            <w:hideMark/>
          </w:tcPr>
          <w:p w14:paraId="3BE915F9" w14:textId="77777777" w:rsidR="00D00458" w:rsidRPr="00D00458" w:rsidRDefault="00D00458" w:rsidP="00D00458">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D00458">
              <w:rPr>
                <w:rFonts w:ascii="Times New Roman" w:eastAsia="Times New Roman" w:hAnsi="Times New Roman" w:cs="Times New Roman"/>
                <w:i/>
                <w:iCs/>
                <w:color w:val="000000"/>
                <w:kern w:val="0"/>
                <w:sz w:val="28"/>
                <w:szCs w:val="28"/>
                <w:lang w:eastAsia="en-IN"/>
                <w14:ligatures w14:val="none"/>
              </w:rPr>
              <w:t>7.1</w:t>
            </w:r>
          </w:p>
        </w:tc>
        <w:tc>
          <w:tcPr>
            <w:tcW w:w="1246" w:type="dxa"/>
            <w:vAlign w:val="center"/>
            <w:hideMark/>
          </w:tcPr>
          <w:p w14:paraId="77FCC29A" w14:textId="77777777" w:rsidR="00D00458" w:rsidRPr="00D00458" w:rsidRDefault="00D00458" w:rsidP="00D0045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374</w:t>
            </w:r>
          </w:p>
        </w:tc>
        <w:tc>
          <w:tcPr>
            <w:tcW w:w="1069" w:type="dxa"/>
            <w:vAlign w:val="center"/>
            <w:hideMark/>
          </w:tcPr>
          <w:p w14:paraId="36C28349" w14:textId="77777777" w:rsidR="00D00458" w:rsidRPr="00E02C8A" w:rsidRDefault="00D00458" w:rsidP="00D00458">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E02C8A">
              <w:rPr>
                <w:rFonts w:ascii="Times New Roman" w:eastAsia="Times New Roman" w:hAnsi="Times New Roman" w:cs="Times New Roman"/>
                <w:i/>
                <w:iCs/>
                <w:color w:val="000000"/>
                <w:kern w:val="0"/>
                <w:sz w:val="28"/>
                <w:szCs w:val="28"/>
                <w:lang w:eastAsia="en-IN"/>
                <w14:ligatures w14:val="none"/>
              </w:rPr>
              <w:t>9.1</w:t>
            </w:r>
          </w:p>
        </w:tc>
        <w:tc>
          <w:tcPr>
            <w:tcW w:w="1020" w:type="dxa"/>
            <w:vAlign w:val="center"/>
            <w:hideMark/>
          </w:tcPr>
          <w:p w14:paraId="5F334C61" w14:textId="77777777" w:rsidR="00D00458" w:rsidRPr="00D00458" w:rsidRDefault="00D00458" w:rsidP="00D0045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354</w:t>
            </w:r>
          </w:p>
        </w:tc>
        <w:tc>
          <w:tcPr>
            <w:tcW w:w="786" w:type="dxa"/>
            <w:vAlign w:val="center"/>
            <w:hideMark/>
          </w:tcPr>
          <w:p w14:paraId="4E05FC4E" w14:textId="77777777" w:rsidR="00D00458" w:rsidRPr="00D00458" w:rsidRDefault="00D00458" w:rsidP="00D00458">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D00458">
              <w:rPr>
                <w:rFonts w:ascii="Times New Roman" w:eastAsia="Times New Roman" w:hAnsi="Times New Roman" w:cs="Times New Roman"/>
                <w:i/>
                <w:iCs/>
                <w:color w:val="000000"/>
                <w:kern w:val="0"/>
                <w:sz w:val="28"/>
                <w:szCs w:val="28"/>
                <w:lang w:eastAsia="en-IN"/>
                <w14:ligatures w14:val="none"/>
              </w:rPr>
              <w:t>8.6</w:t>
            </w:r>
          </w:p>
        </w:tc>
        <w:tc>
          <w:tcPr>
            <w:tcW w:w="1045" w:type="dxa"/>
            <w:vAlign w:val="center"/>
            <w:hideMark/>
          </w:tcPr>
          <w:p w14:paraId="56AD18B9" w14:textId="77777777" w:rsidR="00D00458" w:rsidRPr="00D00458" w:rsidRDefault="00D00458" w:rsidP="00D0045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291</w:t>
            </w:r>
          </w:p>
        </w:tc>
        <w:tc>
          <w:tcPr>
            <w:tcW w:w="806" w:type="dxa"/>
            <w:vAlign w:val="center"/>
            <w:hideMark/>
          </w:tcPr>
          <w:p w14:paraId="499A499F" w14:textId="77777777" w:rsidR="00D00458" w:rsidRPr="00D00458" w:rsidRDefault="00D00458" w:rsidP="00D00458">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D00458">
              <w:rPr>
                <w:rFonts w:ascii="Times New Roman" w:eastAsia="Times New Roman" w:hAnsi="Times New Roman" w:cs="Times New Roman"/>
                <w:i/>
                <w:iCs/>
                <w:color w:val="000000"/>
                <w:kern w:val="0"/>
                <w:sz w:val="28"/>
                <w:szCs w:val="28"/>
                <w:lang w:eastAsia="en-IN"/>
                <w14:ligatures w14:val="none"/>
              </w:rPr>
              <w:t>7.1</w:t>
            </w:r>
          </w:p>
        </w:tc>
        <w:tc>
          <w:tcPr>
            <w:tcW w:w="1020" w:type="dxa"/>
            <w:vAlign w:val="center"/>
            <w:hideMark/>
          </w:tcPr>
          <w:p w14:paraId="3F073F7D" w14:textId="77777777" w:rsidR="00D00458" w:rsidRPr="00D00458" w:rsidRDefault="00D00458" w:rsidP="00D0045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374</w:t>
            </w:r>
          </w:p>
        </w:tc>
        <w:tc>
          <w:tcPr>
            <w:tcW w:w="786" w:type="dxa"/>
            <w:vAlign w:val="center"/>
            <w:hideMark/>
          </w:tcPr>
          <w:p w14:paraId="141B7960" w14:textId="77777777" w:rsidR="00D00458" w:rsidRPr="00D00458" w:rsidRDefault="00D00458" w:rsidP="00D00458">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D00458">
              <w:rPr>
                <w:rFonts w:ascii="Times New Roman" w:eastAsia="Times New Roman" w:hAnsi="Times New Roman" w:cs="Times New Roman"/>
                <w:i/>
                <w:iCs/>
                <w:color w:val="000000"/>
                <w:kern w:val="0"/>
                <w:sz w:val="28"/>
                <w:szCs w:val="28"/>
                <w:lang w:eastAsia="en-IN"/>
                <w14:ligatures w14:val="none"/>
              </w:rPr>
              <w:t>9.1</w:t>
            </w:r>
          </w:p>
        </w:tc>
      </w:tr>
      <w:tr w:rsidR="00D00458" w:rsidRPr="00D00458" w14:paraId="2D60E6A4" w14:textId="77777777" w:rsidTr="00E02C8A">
        <w:trPr>
          <w:trHeight w:val="20"/>
          <w:jc w:val="center"/>
        </w:trPr>
        <w:tc>
          <w:tcPr>
            <w:tcW w:w="2905" w:type="dxa"/>
            <w:noWrap/>
            <w:vAlign w:val="center"/>
            <w:hideMark/>
          </w:tcPr>
          <w:p w14:paraId="550D6B7C" w14:textId="77777777" w:rsidR="00D00458" w:rsidRPr="00D00458" w:rsidRDefault="00D00458" w:rsidP="00E02C8A">
            <w:pPr>
              <w:spacing w:after="0" w:line="240" w:lineRule="auto"/>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lastRenderedPageBreak/>
              <w:t>Travancore-Cochin</w:t>
            </w:r>
          </w:p>
        </w:tc>
        <w:tc>
          <w:tcPr>
            <w:tcW w:w="1079" w:type="dxa"/>
            <w:noWrap/>
            <w:vAlign w:val="center"/>
            <w:hideMark/>
          </w:tcPr>
          <w:p w14:paraId="7EE147E3" w14:textId="77777777" w:rsidR="00D00458" w:rsidRPr="00D00458" w:rsidRDefault="00D00458" w:rsidP="00D0045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758</w:t>
            </w:r>
          </w:p>
        </w:tc>
        <w:tc>
          <w:tcPr>
            <w:tcW w:w="786" w:type="dxa"/>
            <w:noWrap/>
            <w:vAlign w:val="center"/>
            <w:hideMark/>
          </w:tcPr>
          <w:p w14:paraId="238FD97C" w14:textId="77777777" w:rsidR="00D00458" w:rsidRPr="00D00458" w:rsidRDefault="00D00458" w:rsidP="00D00458">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D00458">
              <w:rPr>
                <w:rFonts w:ascii="Times New Roman" w:eastAsia="Times New Roman" w:hAnsi="Times New Roman" w:cs="Times New Roman"/>
                <w:i/>
                <w:iCs/>
                <w:color w:val="000000"/>
                <w:kern w:val="0"/>
                <w:sz w:val="28"/>
                <w:szCs w:val="28"/>
                <w:lang w:eastAsia="en-IN"/>
                <w14:ligatures w14:val="none"/>
              </w:rPr>
              <w:t>8.2</w:t>
            </w:r>
          </w:p>
        </w:tc>
        <w:tc>
          <w:tcPr>
            <w:tcW w:w="1079" w:type="dxa"/>
            <w:noWrap/>
            <w:vAlign w:val="center"/>
            <w:hideMark/>
          </w:tcPr>
          <w:p w14:paraId="60973400" w14:textId="77777777" w:rsidR="00D00458" w:rsidRPr="00D00458" w:rsidRDefault="00D00458" w:rsidP="00D0045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870</w:t>
            </w:r>
          </w:p>
        </w:tc>
        <w:tc>
          <w:tcPr>
            <w:tcW w:w="786" w:type="dxa"/>
            <w:noWrap/>
            <w:vAlign w:val="center"/>
            <w:hideMark/>
          </w:tcPr>
          <w:p w14:paraId="23B2C88E" w14:textId="77777777" w:rsidR="00D00458" w:rsidRPr="00D00458" w:rsidRDefault="00D00458" w:rsidP="00D00458">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D00458">
              <w:rPr>
                <w:rFonts w:ascii="Times New Roman" w:eastAsia="Times New Roman" w:hAnsi="Times New Roman" w:cs="Times New Roman"/>
                <w:i/>
                <w:iCs/>
                <w:color w:val="000000"/>
                <w:kern w:val="0"/>
                <w:sz w:val="28"/>
                <w:szCs w:val="28"/>
                <w:lang w:eastAsia="en-IN"/>
                <w14:ligatures w14:val="none"/>
              </w:rPr>
              <w:t>9.4</w:t>
            </w:r>
          </w:p>
        </w:tc>
        <w:tc>
          <w:tcPr>
            <w:tcW w:w="1246" w:type="dxa"/>
            <w:vAlign w:val="center"/>
            <w:hideMark/>
          </w:tcPr>
          <w:p w14:paraId="1CC4C049" w14:textId="77777777" w:rsidR="00D00458" w:rsidRPr="00D00458" w:rsidRDefault="00D00458" w:rsidP="00D0045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863</w:t>
            </w:r>
          </w:p>
        </w:tc>
        <w:tc>
          <w:tcPr>
            <w:tcW w:w="1069" w:type="dxa"/>
            <w:vAlign w:val="center"/>
            <w:hideMark/>
          </w:tcPr>
          <w:p w14:paraId="43117C0C" w14:textId="77777777" w:rsidR="00D00458" w:rsidRPr="00D00458" w:rsidRDefault="00D00458" w:rsidP="00D00458">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D00458">
              <w:rPr>
                <w:rFonts w:ascii="Times New Roman" w:eastAsia="Times New Roman" w:hAnsi="Times New Roman" w:cs="Times New Roman"/>
                <w:i/>
                <w:iCs/>
                <w:color w:val="000000"/>
                <w:kern w:val="0"/>
                <w:sz w:val="28"/>
                <w:szCs w:val="28"/>
                <w:lang w:eastAsia="en-IN"/>
                <w14:ligatures w14:val="none"/>
              </w:rPr>
              <w:t>9.3</w:t>
            </w:r>
          </w:p>
        </w:tc>
        <w:tc>
          <w:tcPr>
            <w:tcW w:w="1020" w:type="dxa"/>
            <w:vAlign w:val="center"/>
            <w:hideMark/>
          </w:tcPr>
          <w:p w14:paraId="10D0B5CC" w14:textId="77777777" w:rsidR="00D00458" w:rsidRPr="00D00458" w:rsidRDefault="00D00458" w:rsidP="00D0045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758</w:t>
            </w:r>
          </w:p>
        </w:tc>
        <w:tc>
          <w:tcPr>
            <w:tcW w:w="786" w:type="dxa"/>
            <w:vAlign w:val="center"/>
            <w:hideMark/>
          </w:tcPr>
          <w:p w14:paraId="31DB19FE" w14:textId="77777777" w:rsidR="00D00458" w:rsidRPr="00D00458" w:rsidRDefault="00D00458" w:rsidP="00D00458">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D00458">
              <w:rPr>
                <w:rFonts w:ascii="Times New Roman" w:eastAsia="Times New Roman" w:hAnsi="Times New Roman" w:cs="Times New Roman"/>
                <w:i/>
                <w:iCs/>
                <w:color w:val="000000"/>
                <w:kern w:val="0"/>
                <w:sz w:val="28"/>
                <w:szCs w:val="28"/>
                <w:lang w:eastAsia="en-IN"/>
                <w14:ligatures w14:val="none"/>
              </w:rPr>
              <w:t>8.2</w:t>
            </w:r>
          </w:p>
        </w:tc>
        <w:tc>
          <w:tcPr>
            <w:tcW w:w="1045" w:type="dxa"/>
            <w:vAlign w:val="center"/>
            <w:hideMark/>
          </w:tcPr>
          <w:p w14:paraId="3D80F8AB" w14:textId="77777777" w:rsidR="00D00458" w:rsidRPr="00D00458" w:rsidRDefault="00D00458" w:rsidP="00D0045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870</w:t>
            </w:r>
          </w:p>
        </w:tc>
        <w:tc>
          <w:tcPr>
            <w:tcW w:w="806" w:type="dxa"/>
            <w:vAlign w:val="center"/>
            <w:hideMark/>
          </w:tcPr>
          <w:p w14:paraId="17D09855" w14:textId="77777777" w:rsidR="00D00458" w:rsidRPr="00D00458" w:rsidRDefault="00D00458" w:rsidP="00D00458">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D00458">
              <w:rPr>
                <w:rFonts w:ascii="Times New Roman" w:eastAsia="Times New Roman" w:hAnsi="Times New Roman" w:cs="Times New Roman"/>
                <w:i/>
                <w:iCs/>
                <w:color w:val="000000"/>
                <w:kern w:val="0"/>
                <w:sz w:val="28"/>
                <w:szCs w:val="28"/>
                <w:lang w:eastAsia="en-IN"/>
                <w14:ligatures w14:val="none"/>
              </w:rPr>
              <w:t>9.4</w:t>
            </w:r>
          </w:p>
        </w:tc>
        <w:tc>
          <w:tcPr>
            <w:tcW w:w="1020" w:type="dxa"/>
            <w:vAlign w:val="center"/>
            <w:hideMark/>
          </w:tcPr>
          <w:p w14:paraId="3870B10C" w14:textId="77777777" w:rsidR="00D00458" w:rsidRPr="00D00458" w:rsidRDefault="00D00458" w:rsidP="00D0045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863</w:t>
            </w:r>
          </w:p>
        </w:tc>
        <w:tc>
          <w:tcPr>
            <w:tcW w:w="786" w:type="dxa"/>
            <w:vAlign w:val="center"/>
            <w:hideMark/>
          </w:tcPr>
          <w:p w14:paraId="5644EDBA" w14:textId="77777777" w:rsidR="00D00458" w:rsidRPr="00D00458" w:rsidRDefault="00D00458" w:rsidP="00D00458">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D00458">
              <w:rPr>
                <w:rFonts w:ascii="Times New Roman" w:eastAsia="Times New Roman" w:hAnsi="Times New Roman" w:cs="Times New Roman"/>
                <w:i/>
                <w:iCs/>
                <w:color w:val="000000"/>
                <w:kern w:val="0"/>
                <w:sz w:val="28"/>
                <w:szCs w:val="28"/>
                <w:lang w:eastAsia="en-IN"/>
                <w14:ligatures w14:val="none"/>
              </w:rPr>
              <w:t>9.3</w:t>
            </w:r>
          </w:p>
        </w:tc>
      </w:tr>
      <w:tr w:rsidR="00D00458" w:rsidRPr="00D00458" w14:paraId="6F3264B0" w14:textId="77777777" w:rsidTr="00E02C8A">
        <w:trPr>
          <w:trHeight w:val="20"/>
          <w:jc w:val="center"/>
        </w:trPr>
        <w:tc>
          <w:tcPr>
            <w:tcW w:w="2905" w:type="dxa"/>
            <w:noWrap/>
            <w:vAlign w:val="center"/>
            <w:hideMark/>
          </w:tcPr>
          <w:p w14:paraId="797CF4E5" w14:textId="77777777" w:rsidR="00D00458" w:rsidRPr="00D00458" w:rsidRDefault="00D00458" w:rsidP="00D0045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TOTAL</w:t>
            </w:r>
          </w:p>
        </w:tc>
        <w:tc>
          <w:tcPr>
            <w:tcW w:w="1079" w:type="dxa"/>
            <w:noWrap/>
            <w:vAlign w:val="center"/>
            <w:hideMark/>
          </w:tcPr>
          <w:p w14:paraId="49CBF4CB" w14:textId="77777777" w:rsidR="00D00458" w:rsidRPr="00D00458" w:rsidRDefault="00D00458" w:rsidP="00D0045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22206</w:t>
            </w:r>
          </w:p>
        </w:tc>
        <w:tc>
          <w:tcPr>
            <w:tcW w:w="786" w:type="dxa"/>
            <w:noWrap/>
            <w:vAlign w:val="center"/>
            <w:hideMark/>
          </w:tcPr>
          <w:p w14:paraId="307AF679" w14:textId="77777777" w:rsidR="00D00458" w:rsidRPr="00D00458" w:rsidRDefault="00D00458" w:rsidP="00D00458">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D00458">
              <w:rPr>
                <w:rFonts w:ascii="Times New Roman" w:eastAsia="Times New Roman" w:hAnsi="Times New Roman" w:cs="Times New Roman"/>
                <w:i/>
                <w:iCs/>
                <w:color w:val="000000"/>
                <w:kern w:val="0"/>
                <w:sz w:val="28"/>
                <w:szCs w:val="28"/>
                <w:lang w:eastAsia="en-IN"/>
                <w14:ligatures w14:val="none"/>
              </w:rPr>
              <w:t>6.4</w:t>
            </w:r>
          </w:p>
        </w:tc>
        <w:tc>
          <w:tcPr>
            <w:tcW w:w="1079" w:type="dxa"/>
            <w:noWrap/>
            <w:vAlign w:val="center"/>
            <w:hideMark/>
          </w:tcPr>
          <w:p w14:paraId="784E5AEB" w14:textId="77777777" w:rsidR="00D00458" w:rsidRPr="00D00458" w:rsidRDefault="00D00458" w:rsidP="00D0045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22934</w:t>
            </w:r>
          </w:p>
        </w:tc>
        <w:tc>
          <w:tcPr>
            <w:tcW w:w="786" w:type="dxa"/>
            <w:noWrap/>
            <w:vAlign w:val="center"/>
            <w:hideMark/>
          </w:tcPr>
          <w:p w14:paraId="7102D6D7" w14:textId="77777777" w:rsidR="00D00458" w:rsidRPr="00D00458" w:rsidRDefault="00D00458" w:rsidP="00D00458">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D00458">
              <w:rPr>
                <w:rFonts w:ascii="Times New Roman" w:eastAsia="Times New Roman" w:hAnsi="Times New Roman" w:cs="Times New Roman"/>
                <w:i/>
                <w:iCs/>
                <w:color w:val="000000"/>
                <w:kern w:val="0"/>
                <w:sz w:val="28"/>
                <w:szCs w:val="28"/>
                <w:lang w:eastAsia="en-IN"/>
                <w14:ligatures w14:val="none"/>
              </w:rPr>
              <w:t>6.6</w:t>
            </w:r>
          </w:p>
        </w:tc>
        <w:tc>
          <w:tcPr>
            <w:tcW w:w="1246" w:type="dxa"/>
            <w:vAlign w:val="center"/>
            <w:hideMark/>
          </w:tcPr>
          <w:p w14:paraId="14F8DE7C" w14:textId="77777777" w:rsidR="00D00458" w:rsidRPr="00D00458" w:rsidRDefault="00D00458" w:rsidP="00D0045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23606</w:t>
            </w:r>
          </w:p>
        </w:tc>
        <w:tc>
          <w:tcPr>
            <w:tcW w:w="1069" w:type="dxa"/>
            <w:vAlign w:val="center"/>
            <w:hideMark/>
          </w:tcPr>
          <w:p w14:paraId="2A7BEF93" w14:textId="77777777" w:rsidR="00D00458" w:rsidRPr="00D00458" w:rsidRDefault="00D00458" w:rsidP="00D00458">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D00458">
              <w:rPr>
                <w:rFonts w:ascii="Times New Roman" w:eastAsia="Times New Roman" w:hAnsi="Times New Roman" w:cs="Times New Roman"/>
                <w:i/>
                <w:iCs/>
                <w:color w:val="000000"/>
                <w:kern w:val="0"/>
                <w:sz w:val="28"/>
                <w:szCs w:val="28"/>
                <w:lang w:eastAsia="en-IN"/>
                <w14:ligatures w14:val="none"/>
              </w:rPr>
              <w:t>6.8</w:t>
            </w:r>
          </w:p>
        </w:tc>
        <w:tc>
          <w:tcPr>
            <w:tcW w:w="1020" w:type="dxa"/>
            <w:vAlign w:val="center"/>
            <w:hideMark/>
          </w:tcPr>
          <w:p w14:paraId="6FA29A8A" w14:textId="77777777" w:rsidR="00D00458" w:rsidRPr="00D00458" w:rsidRDefault="00D00458" w:rsidP="00D0045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26974</w:t>
            </w:r>
          </w:p>
        </w:tc>
        <w:tc>
          <w:tcPr>
            <w:tcW w:w="786" w:type="dxa"/>
            <w:vAlign w:val="center"/>
            <w:hideMark/>
          </w:tcPr>
          <w:p w14:paraId="4C0F8C8E" w14:textId="77777777" w:rsidR="00D00458" w:rsidRPr="00D00458" w:rsidRDefault="00D00458" w:rsidP="00D00458">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D00458">
              <w:rPr>
                <w:rFonts w:ascii="Times New Roman" w:eastAsia="Times New Roman" w:hAnsi="Times New Roman" w:cs="Times New Roman"/>
                <w:i/>
                <w:iCs/>
                <w:color w:val="000000"/>
                <w:kern w:val="0"/>
                <w:sz w:val="28"/>
                <w:szCs w:val="28"/>
                <w:lang w:eastAsia="en-IN"/>
                <w14:ligatures w14:val="none"/>
              </w:rPr>
              <w:t>7.8</w:t>
            </w:r>
          </w:p>
        </w:tc>
        <w:tc>
          <w:tcPr>
            <w:tcW w:w="1045" w:type="dxa"/>
            <w:vAlign w:val="center"/>
            <w:hideMark/>
          </w:tcPr>
          <w:p w14:paraId="0B8FF722" w14:textId="77777777" w:rsidR="00D00458" w:rsidRPr="00D00458" w:rsidRDefault="00D00458" w:rsidP="00D0045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28193</w:t>
            </w:r>
          </w:p>
        </w:tc>
        <w:tc>
          <w:tcPr>
            <w:tcW w:w="806" w:type="dxa"/>
            <w:vAlign w:val="center"/>
            <w:hideMark/>
          </w:tcPr>
          <w:p w14:paraId="2D089B22" w14:textId="77777777" w:rsidR="00D00458" w:rsidRPr="00D00458" w:rsidRDefault="00D00458" w:rsidP="00D00458">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D00458">
              <w:rPr>
                <w:rFonts w:ascii="Times New Roman" w:eastAsia="Times New Roman" w:hAnsi="Times New Roman" w:cs="Times New Roman"/>
                <w:i/>
                <w:iCs/>
                <w:color w:val="000000"/>
                <w:kern w:val="0"/>
                <w:sz w:val="28"/>
                <w:szCs w:val="28"/>
                <w:lang w:eastAsia="en-IN"/>
                <w14:ligatures w14:val="none"/>
              </w:rPr>
              <w:t>8.1</w:t>
            </w:r>
          </w:p>
        </w:tc>
        <w:tc>
          <w:tcPr>
            <w:tcW w:w="1020" w:type="dxa"/>
            <w:vAlign w:val="center"/>
            <w:hideMark/>
          </w:tcPr>
          <w:p w14:paraId="3E3441A4" w14:textId="77777777" w:rsidR="00D00458" w:rsidRPr="00D00458" w:rsidRDefault="00D00458" w:rsidP="00D0045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00458">
              <w:rPr>
                <w:rFonts w:ascii="Times New Roman" w:eastAsia="Times New Roman" w:hAnsi="Times New Roman" w:cs="Times New Roman"/>
                <w:color w:val="000000"/>
                <w:kern w:val="0"/>
                <w:sz w:val="28"/>
                <w:szCs w:val="28"/>
                <w:lang w:eastAsia="en-IN"/>
                <w14:ligatures w14:val="none"/>
              </w:rPr>
              <w:t>28685</w:t>
            </w:r>
          </w:p>
        </w:tc>
        <w:tc>
          <w:tcPr>
            <w:tcW w:w="786" w:type="dxa"/>
            <w:vAlign w:val="center"/>
            <w:hideMark/>
          </w:tcPr>
          <w:p w14:paraId="75C705B2" w14:textId="77777777" w:rsidR="00D00458" w:rsidRPr="00D00458" w:rsidRDefault="00D00458" w:rsidP="00D00458">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D00458">
              <w:rPr>
                <w:rFonts w:ascii="Times New Roman" w:eastAsia="Times New Roman" w:hAnsi="Times New Roman" w:cs="Times New Roman"/>
                <w:i/>
                <w:iCs/>
                <w:color w:val="000000"/>
                <w:kern w:val="0"/>
                <w:sz w:val="28"/>
                <w:szCs w:val="28"/>
                <w:lang w:eastAsia="en-IN"/>
                <w14:ligatures w14:val="none"/>
              </w:rPr>
              <w:t>8.3</w:t>
            </w:r>
          </w:p>
        </w:tc>
      </w:tr>
    </w:tbl>
    <w:p w14:paraId="7F9DF616" w14:textId="131D5CDE" w:rsidR="00D00458" w:rsidRDefault="0046346D" w:rsidP="00AF3575">
      <w:pPr>
        <w:pStyle w:val="Sources"/>
        <w:sectPr w:rsidR="00D00458" w:rsidSect="00D00458">
          <w:pgSz w:w="16838" w:h="11906" w:orient="landscape"/>
          <w:pgMar w:top="1134" w:right="1440" w:bottom="1440" w:left="1440" w:header="709" w:footer="709" w:gutter="0"/>
          <w:cols w:space="708"/>
          <w:docGrid w:linePitch="360"/>
        </w:sectPr>
      </w:pPr>
      <w:r w:rsidRPr="005534D4">
        <w:t>(a) Includes receipts from additional taxation estimated at rupees 450 lakhs.</w:t>
      </w:r>
      <w:r w:rsidRPr="005534D4">
        <w:br/>
        <w:t>(b) Includes receipts from additional taxation estimated at rupees 270 lakhs.</w:t>
      </w:r>
      <w:r w:rsidRPr="005534D4">
        <w:br/>
        <w:t>(c) Includes the anticipated increase of rupees 512 lakhs in land revenue consequent on</w:t>
      </w:r>
      <w:r w:rsidR="00D00458">
        <w:t xml:space="preserve"> Zamindari Abolition</w:t>
      </w:r>
      <w:r w:rsidRPr="005534D4">
        <w:br/>
        <w:t>(d) Includes receipts from additional taxation estimated at rupees 146 lakhs.</w:t>
      </w:r>
    </w:p>
    <w:p w14:paraId="2301D0B7" w14:textId="6AEBEA59" w:rsidR="00283622" w:rsidRPr="005534D4" w:rsidRDefault="00AF3575" w:rsidP="0075507D">
      <w:pPr>
        <w:pStyle w:val="Heading3"/>
      </w:pPr>
      <w:bookmarkStart w:id="31" w:name="_Toc221007140"/>
      <w:r>
        <w:lastRenderedPageBreak/>
        <w:t>6</w:t>
      </w:r>
      <w:r w:rsidR="00283622" w:rsidRPr="005534D4">
        <w:t>(a)</w:t>
      </w:r>
      <w:r w:rsidR="0075507D">
        <w:t>.</w:t>
      </w:r>
      <w:r w:rsidR="00283622" w:rsidRPr="005534D4">
        <w:t>—Per Capita Receipts of Part A and Part B</w:t>
      </w:r>
      <w:r w:rsidR="0080618B">
        <w:t xml:space="preserve"> </w:t>
      </w:r>
      <w:r w:rsidR="0080618B" w:rsidRPr="0080618B">
        <w:t>States under Main Heads, 1950-51 and 1951-52</w:t>
      </w:r>
      <w:bookmarkEnd w:id="31"/>
    </w:p>
    <w:p w14:paraId="662A83A3" w14:textId="2FC1102A" w:rsidR="00283622" w:rsidRPr="00E02C8A" w:rsidRDefault="00283622" w:rsidP="00971D75">
      <w:pPr>
        <w:pStyle w:val="NoSpacing"/>
        <w:ind w:left="720"/>
        <w:jc w:val="right"/>
        <w:rPr>
          <w:rFonts w:ascii="Times New Roman" w:hAnsi="Times New Roman" w:cs="Times New Roman"/>
          <w:i/>
          <w:iCs/>
        </w:rPr>
      </w:pPr>
      <w:r w:rsidRPr="00E02C8A">
        <w:rPr>
          <w:rFonts w:ascii="Times New Roman" w:hAnsi="Times New Roman" w:cs="Times New Roman"/>
          <w:i/>
          <w:iCs/>
        </w:rPr>
        <w:t>(Figures in rupees)</w:t>
      </w:r>
    </w:p>
    <w:p w14:paraId="1A32009C" w14:textId="77777777" w:rsidR="0080618B" w:rsidRDefault="0080618B" w:rsidP="00971D75">
      <w:pPr>
        <w:pStyle w:val="NoSpacing"/>
        <w:ind w:left="720"/>
        <w:jc w:val="right"/>
        <w:rPr>
          <w:rFonts w:ascii="Times New Roman" w:hAnsi="Times New Roman" w:cs="Times New Roman"/>
        </w:rPr>
      </w:pPr>
    </w:p>
    <w:tbl>
      <w:tblP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914"/>
        <w:gridCol w:w="914"/>
        <w:gridCol w:w="914"/>
        <w:gridCol w:w="914"/>
        <w:gridCol w:w="915"/>
        <w:gridCol w:w="916"/>
        <w:gridCol w:w="916"/>
        <w:gridCol w:w="916"/>
        <w:gridCol w:w="916"/>
        <w:gridCol w:w="916"/>
        <w:gridCol w:w="916"/>
        <w:gridCol w:w="916"/>
        <w:gridCol w:w="916"/>
        <w:gridCol w:w="916"/>
      </w:tblGrid>
      <w:tr w:rsidR="0080618B" w:rsidRPr="0080618B" w14:paraId="5C7EDBD3" w14:textId="77777777" w:rsidTr="00E21035">
        <w:trPr>
          <w:trHeight w:val="20"/>
        </w:trPr>
        <w:tc>
          <w:tcPr>
            <w:tcW w:w="1389" w:type="dxa"/>
            <w:vAlign w:val="center"/>
            <w:hideMark/>
          </w:tcPr>
          <w:p w14:paraId="2C8AC1A6" w14:textId="3B0F55DC" w:rsidR="0080618B" w:rsidRPr="00E02C8A" w:rsidRDefault="0080618B" w:rsidP="0080618B">
            <w:pPr>
              <w:spacing w:after="0" w:line="240" w:lineRule="auto"/>
              <w:jc w:val="center"/>
              <w:rPr>
                <w:rFonts w:ascii="Aptos" w:eastAsia="Times New Roman" w:hAnsi="Aptos" w:cs="Times New Roman"/>
                <w:b/>
                <w:bCs/>
                <w:color w:val="000000"/>
                <w:kern w:val="0"/>
                <w:sz w:val="28"/>
                <w:szCs w:val="28"/>
                <w:lang w:eastAsia="en-IN"/>
                <w14:ligatures w14:val="none"/>
              </w:rPr>
            </w:pPr>
          </w:p>
        </w:tc>
        <w:tc>
          <w:tcPr>
            <w:tcW w:w="1856" w:type="dxa"/>
            <w:gridSpan w:val="2"/>
            <w:vAlign w:val="center"/>
            <w:hideMark/>
          </w:tcPr>
          <w:p w14:paraId="6233BF9D" w14:textId="77777777" w:rsidR="0080618B" w:rsidRPr="00E02C8A" w:rsidRDefault="0080618B" w:rsidP="0080618B">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E02C8A">
              <w:rPr>
                <w:rFonts w:ascii="Times New Roman" w:eastAsia="Times New Roman" w:hAnsi="Times New Roman" w:cs="Times New Roman"/>
                <w:b/>
                <w:bCs/>
                <w:color w:val="000000"/>
                <w:kern w:val="0"/>
                <w:sz w:val="28"/>
                <w:szCs w:val="28"/>
                <w:lang w:eastAsia="en-IN"/>
                <w14:ligatures w14:val="none"/>
              </w:rPr>
              <w:t>Total Tax Revenue (a)</w:t>
            </w:r>
          </w:p>
        </w:tc>
        <w:tc>
          <w:tcPr>
            <w:tcW w:w="1856" w:type="dxa"/>
            <w:gridSpan w:val="2"/>
            <w:vAlign w:val="center"/>
            <w:hideMark/>
          </w:tcPr>
          <w:p w14:paraId="764AE0B8" w14:textId="77777777" w:rsidR="0080618B" w:rsidRPr="00E02C8A" w:rsidRDefault="0080618B" w:rsidP="0080618B">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E02C8A">
              <w:rPr>
                <w:rFonts w:ascii="Times New Roman" w:eastAsia="Times New Roman" w:hAnsi="Times New Roman" w:cs="Times New Roman"/>
                <w:b/>
                <w:bCs/>
                <w:color w:val="000000"/>
                <w:kern w:val="0"/>
                <w:sz w:val="28"/>
                <w:szCs w:val="28"/>
                <w:lang w:eastAsia="en-IN"/>
                <w14:ligatures w14:val="none"/>
              </w:rPr>
              <w:t>Land Revenue</w:t>
            </w:r>
          </w:p>
        </w:tc>
        <w:tc>
          <w:tcPr>
            <w:tcW w:w="1859" w:type="dxa"/>
            <w:gridSpan w:val="2"/>
            <w:vAlign w:val="center"/>
            <w:hideMark/>
          </w:tcPr>
          <w:p w14:paraId="319BE842" w14:textId="77777777" w:rsidR="0080618B" w:rsidRPr="00E02C8A" w:rsidRDefault="0080618B" w:rsidP="0080618B">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E02C8A">
              <w:rPr>
                <w:rFonts w:ascii="Times New Roman" w:eastAsia="Times New Roman" w:hAnsi="Times New Roman" w:cs="Times New Roman"/>
                <w:b/>
                <w:bCs/>
                <w:color w:val="000000"/>
                <w:kern w:val="0"/>
                <w:sz w:val="28"/>
                <w:szCs w:val="28"/>
                <w:lang w:eastAsia="en-IN"/>
                <w14:ligatures w14:val="none"/>
              </w:rPr>
              <w:t>State Excise</w:t>
            </w:r>
          </w:p>
        </w:tc>
        <w:tc>
          <w:tcPr>
            <w:tcW w:w="1860" w:type="dxa"/>
            <w:gridSpan w:val="2"/>
            <w:vAlign w:val="center"/>
            <w:hideMark/>
          </w:tcPr>
          <w:p w14:paraId="4529F7BB" w14:textId="77777777" w:rsidR="0080618B" w:rsidRPr="00E02C8A" w:rsidRDefault="0080618B" w:rsidP="0080618B">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E02C8A">
              <w:rPr>
                <w:rFonts w:ascii="Times New Roman" w:eastAsia="Times New Roman" w:hAnsi="Times New Roman" w:cs="Times New Roman"/>
                <w:b/>
                <w:bCs/>
                <w:color w:val="000000"/>
                <w:kern w:val="0"/>
                <w:sz w:val="28"/>
                <w:szCs w:val="28"/>
                <w:lang w:eastAsia="en-IN"/>
                <w14:ligatures w14:val="none"/>
              </w:rPr>
              <w:t>Stamps</w:t>
            </w:r>
          </w:p>
        </w:tc>
        <w:tc>
          <w:tcPr>
            <w:tcW w:w="1860" w:type="dxa"/>
            <w:gridSpan w:val="2"/>
            <w:vAlign w:val="center"/>
            <w:hideMark/>
          </w:tcPr>
          <w:p w14:paraId="76118CE8" w14:textId="77777777" w:rsidR="0080618B" w:rsidRPr="00E02C8A" w:rsidRDefault="0080618B" w:rsidP="0080618B">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E02C8A">
              <w:rPr>
                <w:rFonts w:ascii="Times New Roman" w:eastAsia="Times New Roman" w:hAnsi="Times New Roman" w:cs="Times New Roman"/>
                <w:b/>
                <w:bCs/>
                <w:color w:val="000000"/>
                <w:kern w:val="0"/>
                <w:sz w:val="28"/>
                <w:szCs w:val="28"/>
                <w:lang w:eastAsia="en-IN"/>
                <w14:ligatures w14:val="none"/>
              </w:rPr>
              <w:t>Sales Tax (b)</w:t>
            </w:r>
          </w:p>
        </w:tc>
        <w:tc>
          <w:tcPr>
            <w:tcW w:w="1860" w:type="dxa"/>
            <w:gridSpan w:val="2"/>
            <w:vAlign w:val="center"/>
            <w:hideMark/>
          </w:tcPr>
          <w:p w14:paraId="1A57A788" w14:textId="77777777" w:rsidR="0080618B" w:rsidRPr="00E02C8A" w:rsidRDefault="0080618B" w:rsidP="0080618B">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E02C8A">
              <w:rPr>
                <w:rFonts w:ascii="Times New Roman" w:eastAsia="Times New Roman" w:hAnsi="Times New Roman" w:cs="Times New Roman"/>
                <w:b/>
                <w:bCs/>
                <w:color w:val="000000"/>
                <w:kern w:val="0"/>
                <w:sz w:val="28"/>
                <w:szCs w:val="28"/>
                <w:lang w:eastAsia="en-IN"/>
                <w14:ligatures w14:val="none"/>
              </w:rPr>
              <w:t>Forests</w:t>
            </w:r>
          </w:p>
        </w:tc>
        <w:tc>
          <w:tcPr>
            <w:tcW w:w="1860" w:type="dxa"/>
            <w:gridSpan w:val="2"/>
            <w:vAlign w:val="center"/>
            <w:hideMark/>
          </w:tcPr>
          <w:p w14:paraId="2FC2BAA3" w14:textId="2B96ABB0" w:rsidR="0080618B" w:rsidRPr="00E02C8A" w:rsidRDefault="0080618B" w:rsidP="0080618B">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E02C8A">
              <w:rPr>
                <w:rFonts w:ascii="Times New Roman" w:eastAsia="Times New Roman" w:hAnsi="Times New Roman" w:cs="Times New Roman"/>
                <w:b/>
                <w:bCs/>
                <w:color w:val="000000"/>
                <w:kern w:val="0"/>
                <w:sz w:val="28"/>
                <w:szCs w:val="28"/>
                <w:lang w:eastAsia="en-IN"/>
                <w14:ligatures w14:val="none"/>
              </w:rPr>
              <w:t>Income Tax and Grants (c)</w:t>
            </w:r>
          </w:p>
        </w:tc>
      </w:tr>
      <w:tr w:rsidR="0080618B" w:rsidRPr="0080618B" w14:paraId="1B00F96F" w14:textId="77777777" w:rsidTr="00E21035">
        <w:trPr>
          <w:trHeight w:val="20"/>
        </w:trPr>
        <w:tc>
          <w:tcPr>
            <w:tcW w:w="1389" w:type="dxa"/>
            <w:vAlign w:val="center"/>
            <w:hideMark/>
          </w:tcPr>
          <w:p w14:paraId="09C41AFA" w14:textId="565D9E01" w:rsidR="0080618B" w:rsidRPr="00E02C8A" w:rsidRDefault="0080618B" w:rsidP="0080618B">
            <w:pPr>
              <w:spacing w:after="0" w:line="240" w:lineRule="auto"/>
              <w:jc w:val="center"/>
              <w:rPr>
                <w:rFonts w:ascii="Aptos" w:eastAsia="Times New Roman" w:hAnsi="Aptos" w:cs="Times New Roman"/>
                <w:b/>
                <w:bCs/>
                <w:color w:val="000000"/>
                <w:kern w:val="0"/>
                <w:sz w:val="28"/>
                <w:szCs w:val="28"/>
                <w:lang w:eastAsia="en-IN"/>
                <w14:ligatures w14:val="none"/>
              </w:rPr>
            </w:pPr>
          </w:p>
        </w:tc>
        <w:tc>
          <w:tcPr>
            <w:tcW w:w="928" w:type="dxa"/>
            <w:vAlign w:val="center"/>
            <w:hideMark/>
          </w:tcPr>
          <w:p w14:paraId="434B9CD2" w14:textId="77777777" w:rsidR="0080618B" w:rsidRPr="00E02C8A" w:rsidRDefault="0080618B" w:rsidP="0080618B">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E02C8A">
              <w:rPr>
                <w:rFonts w:ascii="Times New Roman" w:eastAsia="Times New Roman" w:hAnsi="Times New Roman" w:cs="Times New Roman"/>
                <w:b/>
                <w:bCs/>
                <w:color w:val="000000"/>
                <w:kern w:val="0"/>
                <w:sz w:val="28"/>
                <w:szCs w:val="28"/>
                <w:lang w:eastAsia="en-IN"/>
                <w14:ligatures w14:val="none"/>
              </w:rPr>
              <w:t>1950-51</w:t>
            </w:r>
          </w:p>
        </w:tc>
        <w:tc>
          <w:tcPr>
            <w:tcW w:w="928" w:type="dxa"/>
            <w:vAlign w:val="center"/>
            <w:hideMark/>
          </w:tcPr>
          <w:p w14:paraId="46CC0060" w14:textId="77777777" w:rsidR="0080618B" w:rsidRPr="00E02C8A" w:rsidRDefault="0080618B" w:rsidP="0080618B">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E02C8A">
              <w:rPr>
                <w:rFonts w:ascii="Times New Roman" w:eastAsia="Times New Roman" w:hAnsi="Times New Roman" w:cs="Times New Roman"/>
                <w:b/>
                <w:bCs/>
                <w:color w:val="000000"/>
                <w:kern w:val="0"/>
                <w:sz w:val="28"/>
                <w:szCs w:val="28"/>
                <w:lang w:eastAsia="en-IN"/>
                <w14:ligatures w14:val="none"/>
              </w:rPr>
              <w:t>1951-52</w:t>
            </w:r>
          </w:p>
        </w:tc>
        <w:tc>
          <w:tcPr>
            <w:tcW w:w="928" w:type="dxa"/>
            <w:vAlign w:val="center"/>
            <w:hideMark/>
          </w:tcPr>
          <w:p w14:paraId="1B3745C8" w14:textId="77777777" w:rsidR="0080618B" w:rsidRPr="00E02C8A" w:rsidRDefault="0080618B" w:rsidP="0080618B">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E02C8A">
              <w:rPr>
                <w:rFonts w:ascii="Times New Roman" w:eastAsia="Times New Roman" w:hAnsi="Times New Roman" w:cs="Times New Roman"/>
                <w:b/>
                <w:bCs/>
                <w:color w:val="000000"/>
                <w:kern w:val="0"/>
                <w:sz w:val="28"/>
                <w:szCs w:val="28"/>
                <w:lang w:eastAsia="en-IN"/>
                <w14:ligatures w14:val="none"/>
              </w:rPr>
              <w:t>1950-51</w:t>
            </w:r>
          </w:p>
        </w:tc>
        <w:tc>
          <w:tcPr>
            <w:tcW w:w="928" w:type="dxa"/>
            <w:vAlign w:val="center"/>
            <w:hideMark/>
          </w:tcPr>
          <w:p w14:paraId="327CDA81" w14:textId="77777777" w:rsidR="0080618B" w:rsidRPr="00E02C8A" w:rsidRDefault="0080618B" w:rsidP="0080618B">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E02C8A">
              <w:rPr>
                <w:rFonts w:ascii="Times New Roman" w:eastAsia="Times New Roman" w:hAnsi="Times New Roman" w:cs="Times New Roman"/>
                <w:b/>
                <w:bCs/>
                <w:color w:val="000000"/>
                <w:kern w:val="0"/>
                <w:sz w:val="28"/>
                <w:szCs w:val="28"/>
                <w:lang w:eastAsia="en-IN"/>
                <w14:ligatures w14:val="none"/>
              </w:rPr>
              <w:t>1951-52</w:t>
            </w:r>
          </w:p>
        </w:tc>
        <w:tc>
          <w:tcPr>
            <w:tcW w:w="929" w:type="dxa"/>
            <w:vAlign w:val="center"/>
            <w:hideMark/>
          </w:tcPr>
          <w:p w14:paraId="7AD76053" w14:textId="77777777" w:rsidR="0080618B" w:rsidRPr="00E02C8A" w:rsidRDefault="0080618B" w:rsidP="0080618B">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E02C8A">
              <w:rPr>
                <w:rFonts w:ascii="Times New Roman" w:eastAsia="Times New Roman" w:hAnsi="Times New Roman" w:cs="Times New Roman"/>
                <w:b/>
                <w:bCs/>
                <w:color w:val="000000"/>
                <w:kern w:val="0"/>
                <w:sz w:val="28"/>
                <w:szCs w:val="28"/>
                <w:lang w:eastAsia="en-IN"/>
                <w14:ligatures w14:val="none"/>
              </w:rPr>
              <w:t>1950-51</w:t>
            </w:r>
          </w:p>
        </w:tc>
        <w:tc>
          <w:tcPr>
            <w:tcW w:w="930" w:type="dxa"/>
            <w:vAlign w:val="center"/>
            <w:hideMark/>
          </w:tcPr>
          <w:p w14:paraId="33974BB6" w14:textId="77777777" w:rsidR="0080618B" w:rsidRPr="00E02C8A" w:rsidRDefault="0080618B" w:rsidP="0080618B">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E02C8A">
              <w:rPr>
                <w:rFonts w:ascii="Times New Roman" w:eastAsia="Times New Roman" w:hAnsi="Times New Roman" w:cs="Times New Roman"/>
                <w:b/>
                <w:bCs/>
                <w:color w:val="000000"/>
                <w:kern w:val="0"/>
                <w:sz w:val="28"/>
                <w:szCs w:val="28"/>
                <w:lang w:eastAsia="en-IN"/>
                <w14:ligatures w14:val="none"/>
              </w:rPr>
              <w:t>1951-52</w:t>
            </w:r>
          </w:p>
        </w:tc>
        <w:tc>
          <w:tcPr>
            <w:tcW w:w="930" w:type="dxa"/>
            <w:vAlign w:val="center"/>
            <w:hideMark/>
          </w:tcPr>
          <w:p w14:paraId="4E404CD3" w14:textId="77777777" w:rsidR="0080618B" w:rsidRPr="00E02C8A" w:rsidRDefault="0080618B" w:rsidP="0080618B">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E02C8A">
              <w:rPr>
                <w:rFonts w:ascii="Times New Roman" w:eastAsia="Times New Roman" w:hAnsi="Times New Roman" w:cs="Times New Roman"/>
                <w:b/>
                <w:bCs/>
                <w:color w:val="000000"/>
                <w:kern w:val="0"/>
                <w:sz w:val="28"/>
                <w:szCs w:val="28"/>
                <w:lang w:eastAsia="en-IN"/>
                <w14:ligatures w14:val="none"/>
              </w:rPr>
              <w:t>1950-51</w:t>
            </w:r>
          </w:p>
        </w:tc>
        <w:tc>
          <w:tcPr>
            <w:tcW w:w="930" w:type="dxa"/>
            <w:vAlign w:val="center"/>
            <w:hideMark/>
          </w:tcPr>
          <w:p w14:paraId="13D00DFA" w14:textId="77777777" w:rsidR="0080618B" w:rsidRPr="00E02C8A" w:rsidRDefault="0080618B" w:rsidP="0080618B">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E02C8A">
              <w:rPr>
                <w:rFonts w:ascii="Times New Roman" w:eastAsia="Times New Roman" w:hAnsi="Times New Roman" w:cs="Times New Roman"/>
                <w:b/>
                <w:bCs/>
                <w:color w:val="000000"/>
                <w:kern w:val="0"/>
                <w:sz w:val="28"/>
                <w:szCs w:val="28"/>
                <w:lang w:eastAsia="en-IN"/>
                <w14:ligatures w14:val="none"/>
              </w:rPr>
              <w:t>1951-52</w:t>
            </w:r>
          </w:p>
        </w:tc>
        <w:tc>
          <w:tcPr>
            <w:tcW w:w="930" w:type="dxa"/>
            <w:vAlign w:val="center"/>
            <w:hideMark/>
          </w:tcPr>
          <w:p w14:paraId="2FB4E2B3" w14:textId="77777777" w:rsidR="0080618B" w:rsidRPr="00E02C8A" w:rsidRDefault="0080618B" w:rsidP="0080618B">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E02C8A">
              <w:rPr>
                <w:rFonts w:ascii="Times New Roman" w:eastAsia="Times New Roman" w:hAnsi="Times New Roman" w:cs="Times New Roman"/>
                <w:b/>
                <w:bCs/>
                <w:color w:val="000000"/>
                <w:kern w:val="0"/>
                <w:sz w:val="28"/>
                <w:szCs w:val="28"/>
                <w:lang w:eastAsia="en-IN"/>
                <w14:ligatures w14:val="none"/>
              </w:rPr>
              <w:t>1950-51</w:t>
            </w:r>
          </w:p>
        </w:tc>
        <w:tc>
          <w:tcPr>
            <w:tcW w:w="930" w:type="dxa"/>
            <w:vAlign w:val="center"/>
            <w:hideMark/>
          </w:tcPr>
          <w:p w14:paraId="4969AD51" w14:textId="77777777" w:rsidR="0080618B" w:rsidRPr="00E02C8A" w:rsidRDefault="0080618B" w:rsidP="0080618B">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E02C8A">
              <w:rPr>
                <w:rFonts w:ascii="Times New Roman" w:eastAsia="Times New Roman" w:hAnsi="Times New Roman" w:cs="Times New Roman"/>
                <w:b/>
                <w:bCs/>
                <w:color w:val="000000"/>
                <w:kern w:val="0"/>
                <w:sz w:val="28"/>
                <w:szCs w:val="28"/>
                <w:lang w:eastAsia="en-IN"/>
                <w14:ligatures w14:val="none"/>
              </w:rPr>
              <w:t>1951-52</w:t>
            </w:r>
          </w:p>
        </w:tc>
        <w:tc>
          <w:tcPr>
            <w:tcW w:w="930" w:type="dxa"/>
            <w:vAlign w:val="center"/>
            <w:hideMark/>
          </w:tcPr>
          <w:p w14:paraId="762AD06B" w14:textId="77777777" w:rsidR="0080618B" w:rsidRPr="00E02C8A" w:rsidRDefault="0080618B" w:rsidP="0080618B">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E02C8A">
              <w:rPr>
                <w:rFonts w:ascii="Times New Roman" w:eastAsia="Times New Roman" w:hAnsi="Times New Roman" w:cs="Times New Roman"/>
                <w:b/>
                <w:bCs/>
                <w:color w:val="000000"/>
                <w:kern w:val="0"/>
                <w:sz w:val="28"/>
                <w:szCs w:val="28"/>
                <w:lang w:eastAsia="en-IN"/>
                <w14:ligatures w14:val="none"/>
              </w:rPr>
              <w:t>1950-51</w:t>
            </w:r>
          </w:p>
        </w:tc>
        <w:tc>
          <w:tcPr>
            <w:tcW w:w="930" w:type="dxa"/>
            <w:vAlign w:val="center"/>
            <w:hideMark/>
          </w:tcPr>
          <w:p w14:paraId="638A8A76" w14:textId="77777777" w:rsidR="0080618B" w:rsidRPr="00E02C8A" w:rsidRDefault="0080618B" w:rsidP="0080618B">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E02C8A">
              <w:rPr>
                <w:rFonts w:ascii="Times New Roman" w:eastAsia="Times New Roman" w:hAnsi="Times New Roman" w:cs="Times New Roman"/>
                <w:b/>
                <w:bCs/>
                <w:color w:val="000000"/>
                <w:kern w:val="0"/>
                <w:sz w:val="28"/>
                <w:szCs w:val="28"/>
                <w:lang w:eastAsia="en-IN"/>
                <w14:ligatures w14:val="none"/>
              </w:rPr>
              <w:t>1951-52</w:t>
            </w:r>
          </w:p>
        </w:tc>
        <w:tc>
          <w:tcPr>
            <w:tcW w:w="930" w:type="dxa"/>
            <w:vAlign w:val="center"/>
            <w:hideMark/>
          </w:tcPr>
          <w:p w14:paraId="54EEB8CB" w14:textId="77777777" w:rsidR="0080618B" w:rsidRPr="00E02C8A" w:rsidRDefault="0080618B" w:rsidP="0080618B">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E02C8A">
              <w:rPr>
                <w:rFonts w:ascii="Times New Roman" w:eastAsia="Times New Roman" w:hAnsi="Times New Roman" w:cs="Times New Roman"/>
                <w:b/>
                <w:bCs/>
                <w:color w:val="000000"/>
                <w:kern w:val="0"/>
                <w:sz w:val="28"/>
                <w:szCs w:val="28"/>
                <w:lang w:eastAsia="en-IN"/>
                <w14:ligatures w14:val="none"/>
              </w:rPr>
              <w:t>1950-51</w:t>
            </w:r>
          </w:p>
        </w:tc>
        <w:tc>
          <w:tcPr>
            <w:tcW w:w="930" w:type="dxa"/>
            <w:vAlign w:val="center"/>
            <w:hideMark/>
          </w:tcPr>
          <w:p w14:paraId="65341B1C" w14:textId="77777777" w:rsidR="0080618B" w:rsidRPr="00E02C8A" w:rsidRDefault="0080618B" w:rsidP="0080618B">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E02C8A">
              <w:rPr>
                <w:rFonts w:ascii="Times New Roman" w:eastAsia="Times New Roman" w:hAnsi="Times New Roman" w:cs="Times New Roman"/>
                <w:b/>
                <w:bCs/>
                <w:color w:val="000000"/>
                <w:kern w:val="0"/>
                <w:sz w:val="28"/>
                <w:szCs w:val="28"/>
                <w:lang w:eastAsia="en-IN"/>
                <w14:ligatures w14:val="none"/>
              </w:rPr>
              <w:t>1951-52</w:t>
            </w:r>
          </w:p>
        </w:tc>
      </w:tr>
      <w:tr w:rsidR="0080618B" w:rsidRPr="0080618B" w14:paraId="5D990DD8" w14:textId="77777777" w:rsidTr="00E21035">
        <w:trPr>
          <w:trHeight w:val="20"/>
        </w:trPr>
        <w:tc>
          <w:tcPr>
            <w:tcW w:w="1389" w:type="dxa"/>
            <w:vAlign w:val="center"/>
            <w:hideMark/>
          </w:tcPr>
          <w:p w14:paraId="0F6DDF42"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Assam</w:t>
            </w:r>
          </w:p>
        </w:tc>
        <w:tc>
          <w:tcPr>
            <w:tcW w:w="928" w:type="dxa"/>
            <w:vAlign w:val="center"/>
            <w:hideMark/>
          </w:tcPr>
          <w:p w14:paraId="051AA8D8"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5.6</w:t>
            </w:r>
          </w:p>
        </w:tc>
        <w:tc>
          <w:tcPr>
            <w:tcW w:w="928" w:type="dxa"/>
            <w:vAlign w:val="center"/>
            <w:hideMark/>
          </w:tcPr>
          <w:p w14:paraId="6ACC0CFB"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6.4</w:t>
            </w:r>
          </w:p>
        </w:tc>
        <w:tc>
          <w:tcPr>
            <w:tcW w:w="928" w:type="dxa"/>
            <w:vAlign w:val="center"/>
            <w:hideMark/>
          </w:tcPr>
          <w:p w14:paraId="311AE0F6"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2.1</w:t>
            </w:r>
          </w:p>
        </w:tc>
        <w:tc>
          <w:tcPr>
            <w:tcW w:w="928" w:type="dxa"/>
            <w:vAlign w:val="center"/>
            <w:hideMark/>
          </w:tcPr>
          <w:p w14:paraId="6F3506DF" w14:textId="7DE4ABD6" w:rsidR="0080618B" w:rsidRPr="0080618B" w:rsidRDefault="008A3EE4"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Pr>
                <w:rFonts w:ascii="Times New Roman" w:eastAsia="Times New Roman" w:hAnsi="Times New Roman" w:cs="Times New Roman"/>
                <w:i/>
                <w:iCs/>
                <w:color w:val="000000"/>
                <w:kern w:val="0"/>
                <w:sz w:val="28"/>
                <w:szCs w:val="28"/>
                <w:lang w:eastAsia="en-IN"/>
                <w14:ligatures w14:val="none"/>
              </w:rPr>
              <w:t>2.0</w:t>
            </w:r>
          </w:p>
        </w:tc>
        <w:tc>
          <w:tcPr>
            <w:tcW w:w="929" w:type="dxa"/>
            <w:vAlign w:val="center"/>
            <w:hideMark/>
          </w:tcPr>
          <w:p w14:paraId="60557A1E" w14:textId="6A444CA4"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1</w:t>
            </w:r>
            <w:r w:rsidR="008A3EE4">
              <w:rPr>
                <w:rFonts w:ascii="Times New Roman" w:eastAsia="Times New Roman" w:hAnsi="Times New Roman" w:cs="Times New Roman"/>
                <w:color w:val="000000"/>
                <w:kern w:val="0"/>
                <w:sz w:val="28"/>
                <w:szCs w:val="28"/>
                <w:lang w:eastAsia="en-IN"/>
                <w14:ligatures w14:val="none"/>
              </w:rPr>
              <w:t>.0</w:t>
            </w:r>
          </w:p>
        </w:tc>
        <w:tc>
          <w:tcPr>
            <w:tcW w:w="930" w:type="dxa"/>
            <w:vAlign w:val="center"/>
            <w:hideMark/>
          </w:tcPr>
          <w:p w14:paraId="4A3ABA52"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1.3</w:t>
            </w:r>
          </w:p>
        </w:tc>
        <w:tc>
          <w:tcPr>
            <w:tcW w:w="930" w:type="dxa"/>
            <w:vAlign w:val="center"/>
            <w:hideMark/>
          </w:tcPr>
          <w:p w14:paraId="4A0ACB6F"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0.3</w:t>
            </w:r>
          </w:p>
        </w:tc>
        <w:tc>
          <w:tcPr>
            <w:tcW w:w="930" w:type="dxa"/>
            <w:vAlign w:val="center"/>
            <w:hideMark/>
          </w:tcPr>
          <w:p w14:paraId="1B2B2D87"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0.3</w:t>
            </w:r>
          </w:p>
        </w:tc>
        <w:tc>
          <w:tcPr>
            <w:tcW w:w="930" w:type="dxa"/>
            <w:vAlign w:val="center"/>
            <w:hideMark/>
          </w:tcPr>
          <w:p w14:paraId="627E6377"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0.8</w:t>
            </w:r>
          </w:p>
        </w:tc>
        <w:tc>
          <w:tcPr>
            <w:tcW w:w="930" w:type="dxa"/>
            <w:vAlign w:val="center"/>
            <w:hideMark/>
          </w:tcPr>
          <w:p w14:paraId="25BABAC0"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1.1</w:t>
            </w:r>
          </w:p>
        </w:tc>
        <w:tc>
          <w:tcPr>
            <w:tcW w:w="930" w:type="dxa"/>
            <w:vAlign w:val="center"/>
            <w:hideMark/>
          </w:tcPr>
          <w:p w14:paraId="079B2E85"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0.6</w:t>
            </w:r>
          </w:p>
        </w:tc>
        <w:tc>
          <w:tcPr>
            <w:tcW w:w="930" w:type="dxa"/>
            <w:vAlign w:val="center"/>
            <w:hideMark/>
          </w:tcPr>
          <w:p w14:paraId="675464D4"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0.7</w:t>
            </w:r>
          </w:p>
        </w:tc>
        <w:tc>
          <w:tcPr>
            <w:tcW w:w="930" w:type="dxa"/>
            <w:vAlign w:val="center"/>
            <w:hideMark/>
          </w:tcPr>
          <w:p w14:paraId="2BAD01EB"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2.9</w:t>
            </w:r>
          </w:p>
        </w:tc>
        <w:tc>
          <w:tcPr>
            <w:tcW w:w="930" w:type="dxa"/>
            <w:vAlign w:val="center"/>
            <w:hideMark/>
          </w:tcPr>
          <w:p w14:paraId="272F533D"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3.5</w:t>
            </w:r>
          </w:p>
        </w:tc>
      </w:tr>
      <w:tr w:rsidR="0080618B" w:rsidRPr="0080618B" w14:paraId="170D5180" w14:textId="77777777" w:rsidTr="00E21035">
        <w:trPr>
          <w:trHeight w:val="20"/>
        </w:trPr>
        <w:tc>
          <w:tcPr>
            <w:tcW w:w="1389" w:type="dxa"/>
            <w:vAlign w:val="center"/>
            <w:hideMark/>
          </w:tcPr>
          <w:p w14:paraId="53B50AA2"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Bihar</w:t>
            </w:r>
          </w:p>
        </w:tc>
        <w:tc>
          <w:tcPr>
            <w:tcW w:w="928" w:type="dxa"/>
            <w:vAlign w:val="center"/>
            <w:hideMark/>
          </w:tcPr>
          <w:p w14:paraId="6365C9A8"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3.9</w:t>
            </w:r>
          </w:p>
        </w:tc>
        <w:tc>
          <w:tcPr>
            <w:tcW w:w="928" w:type="dxa"/>
            <w:vAlign w:val="center"/>
            <w:hideMark/>
          </w:tcPr>
          <w:p w14:paraId="52F625F2"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3.6</w:t>
            </w:r>
          </w:p>
        </w:tc>
        <w:tc>
          <w:tcPr>
            <w:tcW w:w="928" w:type="dxa"/>
            <w:vAlign w:val="center"/>
            <w:hideMark/>
          </w:tcPr>
          <w:p w14:paraId="481A8EAE"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0.4</w:t>
            </w:r>
          </w:p>
        </w:tc>
        <w:tc>
          <w:tcPr>
            <w:tcW w:w="928" w:type="dxa"/>
            <w:vAlign w:val="center"/>
            <w:hideMark/>
          </w:tcPr>
          <w:p w14:paraId="3DE073EA"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0.4</w:t>
            </w:r>
          </w:p>
        </w:tc>
        <w:tc>
          <w:tcPr>
            <w:tcW w:w="929" w:type="dxa"/>
            <w:vAlign w:val="center"/>
            <w:hideMark/>
          </w:tcPr>
          <w:p w14:paraId="66CBB584"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1.3</w:t>
            </w:r>
          </w:p>
        </w:tc>
        <w:tc>
          <w:tcPr>
            <w:tcW w:w="930" w:type="dxa"/>
            <w:vAlign w:val="center"/>
            <w:hideMark/>
          </w:tcPr>
          <w:p w14:paraId="2FFF7D2B"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1.2</w:t>
            </w:r>
          </w:p>
        </w:tc>
        <w:tc>
          <w:tcPr>
            <w:tcW w:w="930" w:type="dxa"/>
            <w:vAlign w:val="center"/>
            <w:hideMark/>
          </w:tcPr>
          <w:p w14:paraId="7771A9E4"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0.6</w:t>
            </w:r>
          </w:p>
        </w:tc>
        <w:tc>
          <w:tcPr>
            <w:tcW w:w="930" w:type="dxa"/>
            <w:vAlign w:val="center"/>
            <w:hideMark/>
          </w:tcPr>
          <w:p w14:paraId="5E8F96C6"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0.6</w:t>
            </w:r>
          </w:p>
        </w:tc>
        <w:tc>
          <w:tcPr>
            <w:tcW w:w="930" w:type="dxa"/>
            <w:vAlign w:val="center"/>
            <w:hideMark/>
          </w:tcPr>
          <w:p w14:paraId="45980904"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1.1</w:t>
            </w:r>
          </w:p>
        </w:tc>
        <w:tc>
          <w:tcPr>
            <w:tcW w:w="930" w:type="dxa"/>
            <w:vAlign w:val="center"/>
            <w:hideMark/>
          </w:tcPr>
          <w:p w14:paraId="749EA52F"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0.9</w:t>
            </w:r>
          </w:p>
        </w:tc>
        <w:tc>
          <w:tcPr>
            <w:tcW w:w="930" w:type="dxa"/>
            <w:vAlign w:val="center"/>
            <w:hideMark/>
          </w:tcPr>
          <w:p w14:paraId="0533E7E6"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0.2</w:t>
            </w:r>
          </w:p>
        </w:tc>
        <w:tc>
          <w:tcPr>
            <w:tcW w:w="930" w:type="dxa"/>
            <w:vAlign w:val="center"/>
            <w:hideMark/>
          </w:tcPr>
          <w:p w14:paraId="335424B8"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0.2</w:t>
            </w:r>
          </w:p>
        </w:tc>
        <w:tc>
          <w:tcPr>
            <w:tcW w:w="930" w:type="dxa"/>
            <w:vAlign w:val="center"/>
            <w:hideMark/>
          </w:tcPr>
          <w:p w14:paraId="3E11693B" w14:textId="2E99C023"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2</w:t>
            </w:r>
            <w:r w:rsidR="008A3EE4">
              <w:rPr>
                <w:rFonts w:ascii="Times New Roman" w:eastAsia="Times New Roman" w:hAnsi="Times New Roman" w:cs="Times New Roman"/>
                <w:color w:val="000000"/>
                <w:kern w:val="0"/>
                <w:sz w:val="28"/>
                <w:szCs w:val="28"/>
                <w:lang w:eastAsia="en-IN"/>
                <w14:ligatures w14:val="none"/>
              </w:rPr>
              <w:t>.0</w:t>
            </w:r>
          </w:p>
        </w:tc>
        <w:tc>
          <w:tcPr>
            <w:tcW w:w="930" w:type="dxa"/>
            <w:vAlign w:val="center"/>
            <w:hideMark/>
          </w:tcPr>
          <w:p w14:paraId="3CFED3BA" w14:textId="76165B49"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2</w:t>
            </w:r>
            <w:r w:rsidR="008A3EE4">
              <w:rPr>
                <w:rFonts w:ascii="Times New Roman" w:eastAsia="Times New Roman" w:hAnsi="Times New Roman" w:cs="Times New Roman"/>
                <w:i/>
                <w:iCs/>
                <w:color w:val="000000"/>
                <w:kern w:val="0"/>
                <w:sz w:val="28"/>
                <w:szCs w:val="28"/>
                <w:lang w:eastAsia="en-IN"/>
                <w14:ligatures w14:val="none"/>
              </w:rPr>
              <w:t>.0</w:t>
            </w:r>
          </w:p>
        </w:tc>
      </w:tr>
      <w:tr w:rsidR="0080618B" w:rsidRPr="0080618B" w14:paraId="4AACFC56" w14:textId="77777777" w:rsidTr="00E21035">
        <w:trPr>
          <w:trHeight w:val="20"/>
        </w:trPr>
        <w:tc>
          <w:tcPr>
            <w:tcW w:w="1389" w:type="dxa"/>
            <w:vAlign w:val="center"/>
            <w:hideMark/>
          </w:tcPr>
          <w:p w14:paraId="74FC678D"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Bombay</w:t>
            </w:r>
          </w:p>
        </w:tc>
        <w:tc>
          <w:tcPr>
            <w:tcW w:w="928" w:type="dxa"/>
            <w:vAlign w:val="center"/>
            <w:hideMark/>
          </w:tcPr>
          <w:p w14:paraId="121D7414"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10</w:t>
            </w:r>
          </w:p>
        </w:tc>
        <w:tc>
          <w:tcPr>
            <w:tcW w:w="928" w:type="dxa"/>
            <w:vAlign w:val="center"/>
            <w:hideMark/>
          </w:tcPr>
          <w:p w14:paraId="0EFACD74"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9.4</w:t>
            </w:r>
          </w:p>
        </w:tc>
        <w:tc>
          <w:tcPr>
            <w:tcW w:w="928" w:type="dxa"/>
            <w:vAlign w:val="center"/>
            <w:hideMark/>
          </w:tcPr>
          <w:p w14:paraId="46A898BB"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1.8</w:t>
            </w:r>
          </w:p>
        </w:tc>
        <w:tc>
          <w:tcPr>
            <w:tcW w:w="928" w:type="dxa"/>
            <w:vAlign w:val="center"/>
            <w:hideMark/>
          </w:tcPr>
          <w:p w14:paraId="4CF8239C"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1.7</w:t>
            </w:r>
          </w:p>
        </w:tc>
        <w:tc>
          <w:tcPr>
            <w:tcW w:w="929" w:type="dxa"/>
            <w:vAlign w:val="center"/>
            <w:hideMark/>
          </w:tcPr>
          <w:p w14:paraId="667B042B"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0.3</w:t>
            </w:r>
          </w:p>
        </w:tc>
        <w:tc>
          <w:tcPr>
            <w:tcW w:w="930" w:type="dxa"/>
            <w:vAlign w:val="center"/>
            <w:hideMark/>
          </w:tcPr>
          <w:p w14:paraId="185BC010"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0.3</w:t>
            </w:r>
          </w:p>
        </w:tc>
        <w:tc>
          <w:tcPr>
            <w:tcW w:w="930" w:type="dxa"/>
            <w:vAlign w:val="center"/>
            <w:hideMark/>
          </w:tcPr>
          <w:p w14:paraId="12E3E282"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1.1</w:t>
            </w:r>
          </w:p>
        </w:tc>
        <w:tc>
          <w:tcPr>
            <w:tcW w:w="930" w:type="dxa"/>
            <w:vAlign w:val="center"/>
            <w:hideMark/>
          </w:tcPr>
          <w:p w14:paraId="4B754DA6"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1.2</w:t>
            </w:r>
          </w:p>
        </w:tc>
        <w:tc>
          <w:tcPr>
            <w:tcW w:w="930" w:type="dxa"/>
            <w:vAlign w:val="center"/>
            <w:hideMark/>
          </w:tcPr>
          <w:p w14:paraId="6E30AA86"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4.2</w:t>
            </w:r>
          </w:p>
        </w:tc>
        <w:tc>
          <w:tcPr>
            <w:tcW w:w="930" w:type="dxa"/>
            <w:vAlign w:val="center"/>
            <w:hideMark/>
          </w:tcPr>
          <w:p w14:paraId="5C0AD2FC"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3.6</w:t>
            </w:r>
          </w:p>
        </w:tc>
        <w:tc>
          <w:tcPr>
            <w:tcW w:w="930" w:type="dxa"/>
            <w:vAlign w:val="center"/>
            <w:hideMark/>
          </w:tcPr>
          <w:p w14:paraId="264CF493" w14:textId="22383E3D"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1</w:t>
            </w:r>
            <w:r w:rsidR="008A3EE4">
              <w:rPr>
                <w:rFonts w:ascii="Times New Roman" w:eastAsia="Times New Roman" w:hAnsi="Times New Roman" w:cs="Times New Roman"/>
                <w:color w:val="000000"/>
                <w:kern w:val="0"/>
                <w:sz w:val="28"/>
                <w:szCs w:val="28"/>
                <w:lang w:eastAsia="en-IN"/>
                <w14:ligatures w14:val="none"/>
              </w:rPr>
              <w:t>.0</w:t>
            </w:r>
          </w:p>
        </w:tc>
        <w:tc>
          <w:tcPr>
            <w:tcW w:w="930" w:type="dxa"/>
            <w:vAlign w:val="center"/>
            <w:hideMark/>
          </w:tcPr>
          <w:p w14:paraId="714F7BDF"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0.9</w:t>
            </w:r>
          </w:p>
        </w:tc>
        <w:tc>
          <w:tcPr>
            <w:tcW w:w="930" w:type="dxa"/>
            <w:vAlign w:val="center"/>
            <w:hideMark/>
          </w:tcPr>
          <w:p w14:paraId="11501D5D"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3.2</w:t>
            </w:r>
          </w:p>
        </w:tc>
        <w:tc>
          <w:tcPr>
            <w:tcW w:w="930" w:type="dxa"/>
            <w:vAlign w:val="center"/>
            <w:hideMark/>
          </w:tcPr>
          <w:p w14:paraId="49833C4C"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3.5</w:t>
            </w:r>
          </w:p>
        </w:tc>
      </w:tr>
      <w:tr w:rsidR="0080618B" w:rsidRPr="0080618B" w14:paraId="738917B2" w14:textId="77777777" w:rsidTr="00E21035">
        <w:trPr>
          <w:trHeight w:val="20"/>
        </w:trPr>
        <w:tc>
          <w:tcPr>
            <w:tcW w:w="1389" w:type="dxa"/>
            <w:vAlign w:val="center"/>
            <w:hideMark/>
          </w:tcPr>
          <w:p w14:paraId="69594914"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Madhya Pradesh</w:t>
            </w:r>
          </w:p>
        </w:tc>
        <w:tc>
          <w:tcPr>
            <w:tcW w:w="928" w:type="dxa"/>
            <w:vAlign w:val="center"/>
            <w:hideMark/>
          </w:tcPr>
          <w:p w14:paraId="21557C4E"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5.1</w:t>
            </w:r>
          </w:p>
        </w:tc>
        <w:tc>
          <w:tcPr>
            <w:tcW w:w="928" w:type="dxa"/>
            <w:vAlign w:val="center"/>
            <w:hideMark/>
          </w:tcPr>
          <w:p w14:paraId="678E6F5C"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5.6</w:t>
            </w:r>
          </w:p>
        </w:tc>
        <w:tc>
          <w:tcPr>
            <w:tcW w:w="928" w:type="dxa"/>
            <w:vAlign w:val="center"/>
            <w:hideMark/>
          </w:tcPr>
          <w:p w14:paraId="5E531102"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1.8</w:t>
            </w:r>
          </w:p>
        </w:tc>
        <w:tc>
          <w:tcPr>
            <w:tcW w:w="928" w:type="dxa"/>
            <w:vAlign w:val="center"/>
            <w:hideMark/>
          </w:tcPr>
          <w:p w14:paraId="33C06BD8"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2.1</w:t>
            </w:r>
          </w:p>
        </w:tc>
        <w:tc>
          <w:tcPr>
            <w:tcW w:w="929" w:type="dxa"/>
            <w:vAlign w:val="center"/>
            <w:hideMark/>
          </w:tcPr>
          <w:p w14:paraId="77F60971"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1.1</w:t>
            </w:r>
          </w:p>
        </w:tc>
        <w:tc>
          <w:tcPr>
            <w:tcW w:w="930" w:type="dxa"/>
            <w:vAlign w:val="center"/>
            <w:hideMark/>
          </w:tcPr>
          <w:p w14:paraId="34D53B4C"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1.2</w:t>
            </w:r>
          </w:p>
        </w:tc>
        <w:tc>
          <w:tcPr>
            <w:tcW w:w="930" w:type="dxa"/>
            <w:vAlign w:val="center"/>
            <w:hideMark/>
          </w:tcPr>
          <w:p w14:paraId="7350A733"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0.5</w:t>
            </w:r>
          </w:p>
        </w:tc>
        <w:tc>
          <w:tcPr>
            <w:tcW w:w="930" w:type="dxa"/>
            <w:vAlign w:val="center"/>
            <w:hideMark/>
          </w:tcPr>
          <w:p w14:paraId="782B5280"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0.5</w:t>
            </w:r>
          </w:p>
        </w:tc>
        <w:tc>
          <w:tcPr>
            <w:tcW w:w="930" w:type="dxa"/>
            <w:vAlign w:val="center"/>
            <w:hideMark/>
          </w:tcPr>
          <w:p w14:paraId="3108E5D2"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1.2</w:t>
            </w:r>
          </w:p>
        </w:tc>
        <w:tc>
          <w:tcPr>
            <w:tcW w:w="930" w:type="dxa"/>
            <w:vAlign w:val="center"/>
            <w:hideMark/>
          </w:tcPr>
          <w:p w14:paraId="3D6583BA"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1.2</w:t>
            </w:r>
          </w:p>
        </w:tc>
        <w:tc>
          <w:tcPr>
            <w:tcW w:w="930" w:type="dxa"/>
            <w:vAlign w:val="center"/>
            <w:hideMark/>
          </w:tcPr>
          <w:p w14:paraId="7A7B599F"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1.4</w:t>
            </w:r>
          </w:p>
        </w:tc>
        <w:tc>
          <w:tcPr>
            <w:tcW w:w="930" w:type="dxa"/>
            <w:vAlign w:val="center"/>
            <w:hideMark/>
          </w:tcPr>
          <w:p w14:paraId="692A2DE8"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2.1</w:t>
            </w:r>
          </w:p>
        </w:tc>
        <w:tc>
          <w:tcPr>
            <w:tcW w:w="930" w:type="dxa"/>
            <w:vAlign w:val="center"/>
            <w:hideMark/>
          </w:tcPr>
          <w:p w14:paraId="123014F2"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1.5</w:t>
            </w:r>
          </w:p>
        </w:tc>
        <w:tc>
          <w:tcPr>
            <w:tcW w:w="930" w:type="dxa"/>
            <w:vAlign w:val="center"/>
            <w:hideMark/>
          </w:tcPr>
          <w:p w14:paraId="59A03E76"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1.8</w:t>
            </w:r>
          </w:p>
        </w:tc>
      </w:tr>
      <w:tr w:rsidR="0080618B" w:rsidRPr="0080618B" w14:paraId="2235E384" w14:textId="77777777" w:rsidTr="00E21035">
        <w:trPr>
          <w:trHeight w:val="20"/>
        </w:trPr>
        <w:tc>
          <w:tcPr>
            <w:tcW w:w="1389" w:type="dxa"/>
            <w:vAlign w:val="center"/>
            <w:hideMark/>
          </w:tcPr>
          <w:p w14:paraId="6D5EF7E7"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Madras</w:t>
            </w:r>
          </w:p>
        </w:tc>
        <w:tc>
          <w:tcPr>
            <w:tcW w:w="928" w:type="dxa"/>
            <w:vAlign w:val="center"/>
            <w:hideMark/>
          </w:tcPr>
          <w:p w14:paraId="6F595D04"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6.3</w:t>
            </w:r>
          </w:p>
        </w:tc>
        <w:tc>
          <w:tcPr>
            <w:tcW w:w="928" w:type="dxa"/>
            <w:vAlign w:val="center"/>
            <w:hideMark/>
          </w:tcPr>
          <w:p w14:paraId="52524548"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6.7</w:t>
            </w:r>
          </w:p>
        </w:tc>
        <w:tc>
          <w:tcPr>
            <w:tcW w:w="928" w:type="dxa"/>
            <w:vAlign w:val="center"/>
            <w:hideMark/>
          </w:tcPr>
          <w:p w14:paraId="3938CB79"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1.2</w:t>
            </w:r>
          </w:p>
        </w:tc>
        <w:tc>
          <w:tcPr>
            <w:tcW w:w="928" w:type="dxa"/>
            <w:vAlign w:val="center"/>
            <w:hideMark/>
          </w:tcPr>
          <w:p w14:paraId="52E2C583"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1.6</w:t>
            </w:r>
          </w:p>
        </w:tc>
        <w:tc>
          <w:tcPr>
            <w:tcW w:w="929" w:type="dxa"/>
            <w:vAlign w:val="center"/>
            <w:hideMark/>
          </w:tcPr>
          <w:p w14:paraId="60C00349"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0.1</w:t>
            </w:r>
          </w:p>
        </w:tc>
        <w:tc>
          <w:tcPr>
            <w:tcW w:w="930" w:type="dxa"/>
            <w:vAlign w:val="center"/>
            <w:hideMark/>
          </w:tcPr>
          <w:p w14:paraId="414AF969"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0.1</w:t>
            </w:r>
          </w:p>
        </w:tc>
        <w:tc>
          <w:tcPr>
            <w:tcW w:w="930" w:type="dxa"/>
            <w:vAlign w:val="center"/>
            <w:hideMark/>
          </w:tcPr>
          <w:p w14:paraId="744F0E94"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0.9</w:t>
            </w:r>
          </w:p>
        </w:tc>
        <w:tc>
          <w:tcPr>
            <w:tcW w:w="930" w:type="dxa"/>
            <w:vAlign w:val="center"/>
            <w:hideMark/>
          </w:tcPr>
          <w:p w14:paraId="17EF3104"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0.8</w:t>
            </w:r>
          </w:p>
        </w:tc>
        <w:tc>
          <w:tcPr>
            <w:tcW w:w="930" w:type="dxa"/>
            <w:vAlign w:val="center"/>
            <w:hideMark/>
          </w:tcPr>
          <w:p w14:paraId="4E3813A2"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2.9</w:t>
            </w:r>
          </w:p>
        </w:tc>
        <w:tc>
          <w:tcPr>
            <w:tcW w:w="930" w:type="dxa"/>
            <w:vAlign w:val="center"/>
            <w:hideMark/>
          </w:tcPr>
          <w:p w14:paraId="58561BFF" w14:textId="13C8AF1E"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3</w:t>
            </w:r>
            <w:r w:rsidR="008A3EE4">
              <w:rPr>
                <w:rFonts w:ascii="Times New Roman" w:eastAsia="Times New Roman" w:hAnsi="Times New Roman" w:cs="Times New Roman"/>
                <w:i/>
                <w:iCs/>
                <w:color w:val="000000"/>
                <w:kern w:val="0"/>
                <w:sz w:val="28"/>
                <w:szCs w:val="28"/>
                <w:lang w:eastAsia="en-IN"/>
                <w14:ligatures w14:val="none"/>
              </w:rPr>
              <w:t>.0</w:t>
            </w:r>
          </w:p>
        </w:tc>
        <w:tc>
          <w:tcPr>
            <w:tcW w:w="930" w:type="dxa"/>
            <w:vAlign w:val="center"/>
            <w:hideMark/>
          </w:tcPr>
          <w:p w14:paraId="7A7CDFEC"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0.3</w:t>
            </w:r>
          </w:p>
        </w:tc>
        <w:tc>
          <w:tcPr>
            <w:tcW w:w="930" w:type="dxa"/>
            <w:vAlign w:val="center"/>
            <w:hideMark/>
          </w:tcPr>
          <w:p w14:paraId="23A75C38"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0.4</w:t>
            </w:r>
          </w:p>
        </w:tc>
        <w:tc>
          <w:tcPr>
            <w:tcW w:w="930" w:type="dxa"/>
            <w:vAlign w:val="center"/>
            <w:hideMark/>
          </w:tcPr>
          <w:p w14:paraId="66899101"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1.5</w:t>
            </w:r>
          </w:p>
        </w:tc>
        <w:tc>
          <w:tcPr>
            <w:tcW w:w="930" w:type="dxa"/>
            <w:vAlign w:val="center"/>
            <w:hideMark/>
          </w:tcPr>
          <w:p w14:paraId="468CCA33"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1.8</w:t>
            </w:r>
          </w:p>
        </w:tc>
      </w:tr>
      <w:tr w:rsidR="0080618B" w:rsidRPr="0080618B" w14:paraId="60083D5B" w14:textId="77777777" w:rsidTr="00E21035">
        <w:trPr>
          <w:trHeight w:val="20"/>
        </w:trPr>
        <w:tc>
          <w:tcPr>
            <w:tcW w:w="1389" w:type="dxa"/>
            <w:vAlign w:val="center"/>
            <w:hideMark/>
          </w:tcPr>
          <w:p w14:paraId="08660264"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Orissa</w:t>
            </w:r>
          </w:p>
        </w:tc>
        <w:tc>
          <w:tcPr>
            <w:tcW w:w="928" w:type="dxa"/>
            <w:vAlign w:val="center"/>
            <w:hideMark/>
          </w:tcPr>
          <w:p w14:paraId="4C767C16"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3.5</w:t>
            </w:r>
          </w:p>
        </w:tc>
        <w:tc>
          <w:tcPr>
            <w:tcW w:w="928" w:type="dxa"/>
            <w:vAlign w:val="center"/>
            <w:hideMark/>
          </w:tcPr>
          <w:p w14:paraId="788335F3"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3.8</w:t>
            </w:r>
          </w:p>
        </w:tc>
        <w:tc>
          <w:tcPr>
            <w:tcW w:w="928" w:type="dxa"/>
            <w:vAlign w:val="center"/>
            <w:hideMark/>
          </w:tcPr>
          <w:p w14:paraId="5CB9A2F0"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0.7</w:t>
            </w:r>
          </w:p>
        </w:tc>
        <w:tc>
          <w:tcPr>
            <w:tcW w:w="928" w:type="dxa"/>
            <w:vAlign w:val="center"/>
            <w:hideMark/>
          </w:tcPr>
          <w:p w14:paraId="58ACAE2C"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0.7</w:t>
            </w:r>
          </w:p>
        </w:tc>
        <w:tc>
          <w:tcPr>
            <w:tcW w:w="929" w:type="dxa"/>
            <w:vAlign w:val="center"/>
            <w:hideMark/>
          </w:tcPr>
          <w:p w14:paraId="73A2B7C8"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1.5</w:t>
            </w:r>
          </w:p>
        </w:tc>
        <w:tc>
          <w:tcPr>
            <w:tcW w:w="930" w:type="dxa"/>
            <w:vAlign w:val="center"/>
            <w:hideMark/>
          </w:tcPr>
          <w:p w14:paraId="44715FC7"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1.4</w:t>
            </w:r>
          </w:p>
        </w:tc>
        <w:tc>
          <w:tcPr>
            <w:tcW w:w="930" w:type="dxa"/>
            <w:vAlign w:val="center"/>
            <w:hideMark/>
          </w:tcPr>
          <w:p w14:paraId="4C743354"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0.5</w:t>
            </w:r>
          </w:p>
        </w:tc>
        <w:tc>
          <w:tcPr>
            <w:tcW w:w="930" w:type="dxa"/>
            <w:vAlign w:val="center"/>
            <w:hideMark/>
          </w:tcPr>
          <w:p w14:paraId="20E1F5C9"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0.5</w:t>
            </w:r>
          </w:p>
        </w:tc>
        <w:tc>
          <w:tcPr>
            <w:tcW w:w="930" w:type="dxa"/>
            <w:vAlign w:val="center"/>
            <w:hideMark/>
          </w:tcPr>
          <w:p w14:paraId="179ED273"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0.6</w:t>
            </w:r>
          </w:p>
        </w:tc>
        <w:tc>
          <w:tcPr>
            <w:tcW w:w="930" w:type="dxa"/>
            <w:vAlign w:val="center"/>
            <w:hideMark/>
          </w:tcPr>
          <w:p w14:paraId="42FC429F"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0.9</w:t>
            </w:r>
          </w:p>
        </w:tc>
        <w:tc>
          <w:tcPr>
            <w:tcW w:w="930" w:type="dxa"/>
            <w:vAlign w:val="center"/>
            <w:hideMark/>
          </w:tcPr>
          <w:p w14:paraId="6294941E"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0.7</w:t>
            </w:r>
          </w:p>
        </w:tc>
        <w:tc>
          <w:tcPr>
            <w:tcW w:w="930" w:type="dxa"/>
            <w:vAlign w:val="center"/>
            <w:hideMark/>
          </w:tcPr>
          <w:p w14:paraId="7903323D"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0.7</w:t>
            </w:r>
          </w:p>
        </w:tc>
        <w:tc>
          <w:tcPr>
            <w:tcW w:w="930" w:type="dxa"/>
            <w:vAlign w:val="center"/>
            <w:hideMark/>
          </w:tcPr>
          <w:p w14:paraId="0AAB4B38"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1.8</w:t>
            </w:r>
          </w:p>
        </w:tc>
        <w:tc>
          <w:tcPr>
            <w:tcW w:w="930" w:type="dxa"/>
            <w:vAlign w:val="center"/>
            <w:hideMark/>
          </w:tcPr>
          <w:p w14:paraId="68715CF6"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2.2</w:t>
            </w:r>
          </w:p>
        </w:tc>
      </w:tr>
      <w:tr w:rsidR="0080618B" w:rsidRPr="0080618B" w14:paraId="4DDB7C58" w14:textId="77777777" w:rsidTr="00E21035">
        <w:trPr>
          <w:trHeight w:val="20"/>
        </w:trPr>
        <w:tc>
          <w:tcPr>
            <w:tcW w:w="1389" w:type="dxa"/>
            <w:vAlign w:val="center"/>
            <w:hideMark/>
          </w:tcPr>
          <w:p w14:paraId="3726ACCB"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Punjab</w:t>
            </w:r>
          </w:p>
        </w:tc>
        <w:tc>
          <w:tcPr>
            <w:tcW w:w="928" w:type="dxa"/>
            <w:vAlign w:val="center"/>
            <w:hideMark/>
          </w:tcPr>
          <w:p w14:paraId="61BFAE54"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5.7</w:t>
            </w:r>
          </w:p>
        </w:tc>
        <w:tc>
          <w:tcPr>
            <w:tcW w:w="928" w:type="dxa"/>
            <w:vAlign w:val="center"/>
            <w:hideMark/>
          </w:tcPr>
          <w:p w14:paraId="118FAA67"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6.4</w:t>
            </w:r>
          </w:p>
        </w:tc>
        <w:tc>
          <w:tcPr>
            <w:tcW w:w="928" w:type="dxa"/>
            <w:vAlign w:val="center"/>
            <w:hideMark/>
          </w:tcPr>
          <w:p w14:paraId="4F88FBBF"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1.5</w:t>
            </w:r>
          </w:p>
        </w:tc>
        <w:tc>
          <w:tcPr>
            <w:tcW w:w="928" w:type="dxa"/>
            <w:vAlign w:val="center"/>
            <w:hideMark/>
          </w:tcPr>
          <w:p w14:paraId="552EAF6B"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1.6</w:t>
            </w:r>
          </w:p>
        </w:tc>
        <w:tc>
          <w:tcPr>
            <w:tcW w:w="929" w:type="dxa"/>
            <w:vAlign w:val="center"/>
            <w:hideMark/>
          </w:tcPr>
          <w:p w14:paraId="7B0C7E53"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1.7</w:t>
            </w:r>
          </w:p>
        </w:tc>
        <w:tc>
          <w:tcPr>
            <w:tcW w:w="930" w:type="dxa"/>
            <w:vAlign w:val="center"/>
            <w:hideMark/>
          </w:tcPr>
          <w:p w14:paraId="295729EB"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2.2</w:t>
            </w:r>
          </w:p>
        </w:tc>
        <w:tc>
          <w:tcPr>
            <w:tcW w:w="930" w:type="dxa"/>
            <w:vAlign w:val="center"/>
            <w:hideMark/>
          </w:tcPr>
          <w:p w14:paraId="0FEFE847"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0.5</w:t>
            </w:r>
          </w:p>
        </w:tc>
        <w:tc>
          <w:tcPr>
            <w:tcW w:w="930" w:type="dxa"/>
            <w:vAlign w:val="center"/>
            <w:hideMark/>
          </w:tcPr>
          <w:p w14:paraId="01AE9F59"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0.5</w:t>
            </w:r>
          </w:p>
        </w:tc>
        <w:tc>
          <w:tcPr>
            <w:tcW w:w="930" w:type="dxa"/>
            <w:vAlign w:val="center"/>
            <w:hideMark/>
          </w:tcPr>
          <w:p w14:paraId="2323CB9C"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1.5</w:t>
            </w:r>
          </w:p>
        </w:tc>
        <w:tc>
          <w:tcPr>
            <w:tcW w:w="930" w:type="dxa"/>
            <w:vAlign w:val="center"/>
            <w:hideMark/>
          </w:tcPr>
          <w:p w14:paraId="2F46F4F2"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1.5</w:t>
            </w:r>
          </w:p>
        </w:tc>
        <w:tc>
          <w:tcPr>
            <w:tcW w:w="930" w:type="dxa"/>
            <w:vAlign w:val="center"/>
            <w:hideMark/>
          </w:tcPr>
          <w:p w14:paraId="502FA727"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0.4</w:t>
            </w:r>
          </w:p>
        </w:tc>
        <w:tc>
          <w:tcPr>
            <w:tcW w:w="930" w:type="dxa"/>
            <w:vAlign w:val="center"/>
            <w:hideMark/>
          </w:tcPr>
          <w:p w14:paraId="4F2C68B2"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0.5</w:t>
            </w:r>
          </w:p>
        </w:tc>
        <w:tc>
          <w:tcPr>
            <w:tcW w:w="930" w:type="dxa"/>
            <w:vAlign w:val="center"/>
            <w:hideMark/>
          </w:tcPr>
          <w:p w14:paraId="75B95338"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2.7</w:t>
            </w:r>
          </w:p>
        </w:tc>
        <w:tc>
          <w:tcPr>
            <w:tcW w:w="930" w:type="dxa"/>
            <w:vAlign w:val="center"/>
            <w:hideMark/>
          </w:tcPr>
          <w:p w14:paraId="61BA9463"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2.3</w:t>
            </w:r>
          </w:p>
        </w:tc>
      </w:tr>
      <w:tr w:rsidR="0080618B" w:rsidRPr="0080618B" w14:paraId="17E70E19" w14:textId="77777777" w:rsidTr="00E21035">
        <w:trPr>
          <w:trHeight w:val="20"/>
        </w:trPr>
        <w:tc>
          <w:tcPr>
            <w:tcW w:w="1389" w:type="dxa"/>
            <w:vAlign w:val="center"/>
            <w:hideMark/>
          </w:tcPr>
          <w:p w14:paraId="783E28C3"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Uttar Pradesh</w:t>
            </w:r>
          </w:p>
        </w:tc>
        <w:tc>
          <w:tcPr>
            <w:tcW w:w="928" w:type="dxa"/>
            <w:vAlign w:val="center"/>
            <w:hideMark/>
          </w:tcPr>
          <w:p w14:paraId="03AEB728"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4.3</w:t>
            </w:r>
          </w:p>
        </w:tc>
        <w:tc>
          <w:tcPr>
            <w:tcW w:w="928" w:type="dxa"/>
            <w:vAlign w:val="center"/>
            <w:hideMark/>
          </w:tcPr>
          <w:p w14:paraId="60B525D0"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4.3</w:t>
            </w:r>
          </w:p>
        </w:tc>
        <w:tc>
          <w:tcPr>
            <w:tcW w:w="928" w:type="dxa"/>
            <w:vAlign w:val="center"/>
            <w:hideMark/>
          </w:tcPr>
          <w:p w14:paraId="207883D1"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1.2</w:t>
            </w:r>
          </w:p>
        </w:tc>
        <w:tc>
          <w:tcPr>
            <w:tcW w:w="928" w:type="dxa"/>
            <w:vAlign w:val="center"/>
            <w:hideMark/>
          </w:tcPr>
          <w:p w14:paraId="4A65A7F1"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1.2</w:t>
            </w:r>
          </w:p>
        </w:tc>
        <w:tc>
          <w:tcPr>
            <w:tcW w:w="929" w:type="dxa"/>
            <w:vAlign w:val="center"/>
            <w:hideMark/>
          </w:tcPr>
          <w:p w14:paraId="38E8992D" w14:textId="1B33BF45"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1</w:t>
            </w:r>
            <w:r w:rsidR="008A3EE4">
              <w:rPr>
                <w:rFonts w:ascii="Times New Roman" w:eastAsia="Times New Roman" w:hAnsi="Times New Roman" w:cs="Times New Roman"/>
                <w:color w:val="000000"/>
                <w:kern w:val="0"/>
                <w:sz w:val="28"/>
                <w:szCs w:val="28"/>
                <w:lang w:eastAsia="en-IN"/>
                <w14:ligatures w14:val="none"/>
              </w:rPr>
              <w:t>.0</w:t>
            </w:r>
          </w:p>
        </w:tc>
        <w:tc>
          <w:tcPr>
            <w:tcW w:w="930" w:type="dxa"/>
            <w:vAlign w:val="center"/>
            <w:hideMark/>
          </w:tcPr>
          <w:p w14:paraId="4E4917E8" w14:textId="7212B776"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1</w:t>
            </w:r>
            <w:r w:rsidR="008A3EE4">
              <w:rPr>
                <w:rFonts w:ascii="Times New Roman" w:eastAsia="Times New Roman" w:hAnsi="Times New Roman" w:cs="Times New Roman"/>
                <w:i/>
                <w:iCs/>
                <w:color w:val="000000"/>
                <w:kern w:val="0"/>
                <w:sz w:val="28"/>
                <w:szCs w:val="28"/>
                <w:lang w:eastAsia="en-IN"/>
                <w14:ligatures w14:val="none"/>
              </w:rPr>
              <w:t>.0</w:t>
            </w:r>
          </w:p>
        </w:tc>
        <w:tc>
          <w:tcPr>
            <w:tcW w:w="930" w:type="dxa"/>
            <w:vAlign w:val="center"/>
            <w:hideMark/>
          </w:tcPr>
          <w:p w14:paraId="652700D6"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0.4</w:t>
            </w:r>
          </w:p>
        </w:tc>
        <w:tc>
          <w:tcPr>
            <w:tcW w:w="930" w:type="dxa"/>
            <w:vAlign w:val="center"/>
            <w:hideMark/>
          </w:tcPr>
          <w:p w14:paraId="2457FE9D"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0.4</w:t>
            </w:r>
          </w:p>
        </w:tc>
        <w:tc>
          <w:tcPr>
            <w:tcW w:w="930" w:type="dxa"/>
            <w:vAlign w:val="center"/>
            <w:hideMark/>
          </w:tcPr>
          <w:p w14:paraId="5ECFA3F3"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0.8</w:t>
            </w:r>
          </w:p>
        </w:tc>
        <w:tc>
          <w:tcPr>
            <w:tcW w:w="930" w:type="dxa"/>
            <w:vAlign w:val="center"/>
            <w:hideMark/>
          </w:tcPr>
          <w:p w14:paraId="5ED19617"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0.7</w:t>
            </w:r>
          </w:p>
        </w:tc>
        <w:tc>
          <w:tcPr>
            <w:tcW w:w="930" w:type="dxa"/>
            <w:vAlign w:val="center"/>
            <w:hideMark/>
          </w:tcPr>
          <w:p w14:paraId="2977D104"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0.5</w:t>
            </w:r>
          </w:p>
        </w:tc>
        <w:tc>
          <w:tcPr>
            <w:tcW w:w="930" w:type="dxa"/>
            <w:vAlign w:val="center"/>
            <w:hideMark/>
          </w:tcPr>
          <w:p w14:paraId="749A4610"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0.5</w:t>
            </w:r>
          </w:p>
        </w:tc>
        <w:tc>
          <w:tcPr>
            <w:tcW w:w="930" w:type="dxa"/>
            <w:vAlign w:val="center"/>
            <w:hideMark/>
          </w:tcPr>
          <w:p w14:paraId="5D7EDC2E"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1.3</w:t>
            </w:r>
          </w:p>
        </w:tc>
        <w:tc>
          <w:tcPr>
            <w:tcW w:w="930" w:type="dxa"/>
            <w:vAlign w:val="center"/>
            <w:hideMark/>
          </w:tcPr>
          <w:p w14:paraId="66D1C107"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1.6</w:t>
            </w:r>
          </w:p>
        </w:tc>
      </w:tr>
      <w:tr w:rsidR="0080618B" w:rsidRPr="0080618B" w14:paraId="23F93C99" w14:textId="77777777" w:rsidTr="00E21035">
        <w:trPr>
          <w:trHeight w:val="20"/>
        </w:trPr>
        <w:tc>
          <w:tcPr>
            <w:tcW w:w="1389" w:type="dxa"/>
            <w:vAlign w:val="center"/>
            <w:hideMark/>
          </w:tcPr>
          <w:p w14:paraId="1614A5C8"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West Bengal</w:t>
            </w:r>
          </w:p>
        </w:tc>
        <w:tc>
          <w:tcPr>
            <w:tcW w:w="928" w:type="dxa"/>
            <w:vAlign w:val="center"/>
            <w:hideMark/>
          </w:tcPr>
          <w:p w14:paraId="3128B52F"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8.7</w:t>
            </w:r>
          </w:p>
        </w:tc>
        <w:tc>
          <w:tcPr>
            <w:tcW w:w="928" w:type="dxa"/>
            <w:vAlign w:val="center"/>
            <w:hideMark/>
          </w:tcPr>
          <w:p w14:paraId="01BBA984"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9.4</w:t>
            </w:r>
          </w:p>
        </w:tc>
        <w:tc>
          <w:tcPr>
            <w:tcW w:w="928" w:type="dxa"/>
            <w:vAlign w:val="center"/>
            <w:hideMark/>
          </w:tcPr>
          <w:p w14:paraId="1762CD7A"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0.9</w:t>
            </w:r>
          </w:p>
        </w:tc>
        <w:tc>
          <w:tcPr>
            <w:tcW w:w="928" w:type="dxa"/>
            <w:vAlign w:val="center"/>
            <w:hideMark/>
          </w:tcPr>
          <w:p w14:paraId="44716E5B"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0.8</w:t>
            </w:r>
          </w:p>
        </w:tc>
        <w:tc>
          <w:tcPr>
            <w:tcW w:w="929" w:type="dxa"/>
            <w:vAlign w:val="center"/>
            <w:hideMark/>
          </w:tcPr>
          <w:p w14:paraId="4EA369E8"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2.5</w:t>
            </w:r>
          </w:p>
        </w:tc>
        <w:tc>
          <w:tcPr>
            <w:tcW w:w="930" w:type="dxa"/>
            <w:vAlign w:val="center"/>
            <w:hideMark/>
          </w:tcPr>
          <w:p w14:paraId="6E22C2BE"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2.7</w:t>
            </w:r>
          </w:p>
        </w:tc>
        <w:tc>
          <w:tcPr>
            <w:tcW w:w="930" w:type="dxa"/>
            <w:vAlign w:val="center"/>
            <w:hideMark/>
          </w:tcPr>
          <w:p w14:paraId="4695EE95"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1.1</w:t>
            </w:r>
          </w:p>
        </w:tc>
        <w:tc>
          <w:tcPr>
            <w:tcW w:w="930" w:type="dxa"/>
            <w:vAlign w:val="center"/>
            <w:hideMark/>
          </w:tcPr>
          <w:p w14:paraId="00EE91D7"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1.2</w:t>
            </w:r>
          </w:p>
        </w:tc>
        <w:tc>
          <w:tcPr>
            <w:tcW w:w="930" w:type="dxa"/>
            <w:vAlign w:val="center"/>
            <w:hideMark/>
          </w:tcPr>
          <w:p w14:paraId="5B5D9210"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2.5</w:t>
            </w:r>
          </w:p>
        </w:tc>
        <w:tc>
          <w:tcPr>
            <w:tcW w:w="930" w:type="dxa"/>
            <w:vAlign w:val="center"/>
            <w:hideMark/>
          </w:tcPr>
          <w:p w14:paraId="2FB9490E"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2.8</w:t>
            </w:r>
          </w:p>
        </w:tc>
        <w:tc>
          <w:tcPr>
            <w:tcW w:w="930" w:type="dxa"/>
            <w:vAlign w:val="center"/>
            <w:hideMark/>
          </w:tcPr>
          <w:p w14:paraId="723469D6"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0.2</w:t>
            </w:r>
          </w:p>
        </w:tc>
        <w:tc>
          <w:tcPr>
            <w:tcW w:w="930" w:type="dxa"/>
            <w:vAlign w:val="center"/>
            <w:hideMark/>
          </w:tcPr>
          <w:p w14:paraId="5FCD2915"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0.2</w:t>
            </w:r>
          </w:p>
        </w:tc>
        <w:tc>
          <w:tcPr>
            <w:tcW w:w="930" w:type="dxa"/>
            <w:vAlign w:val="center"/>
            <w:hideMark/>
          </w:tcPr>
          <w:p w14:paraId="5CADEBA9"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3.1</w:t>
            </w:r>
          </w:p>
        </w:tc>
        <w:tc>
          <w:tcPr>
            <w:tcW w:w="930" w:type="dxa"/>
            <w:vAlign w:val="center"/>
            <w:hideMark/>
          </w:tcPr>
          <w:p w14:paraId="173694DA"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3.5</w:t>
            </w:r>
          </w:p>
        </w:tc>
      </w:tr>
      <w:tr w:rsidR="0080618B" w:rsidRPr="0080618B" w14:paraId="1729F543" w14:textId="77777777" w:rsidTr="00E21035">
        <w:trPr>
          <w:trHeight w:val="20"/>
        </w:trPr>
        <w:tc>
          <w:tcPr>
            <w:tcW w:w="1389" w:type="dxa"/>
            <w:vAlign w:val="center"/>
            <w:hideMark/>
          </w:tcPr>
          <w:p w14:paraId="2B968569"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Hyderabad</w:t>
            </w:r>
          </w:p>
        </w:tc>
        <w:tc>
          <w:tcPr>
            <w:tcW w:w="928" w:type="dxa"/>
            <w:vAlign w:val="center"/>
            <w:hideMark/>
          </w:tcPr>
          <w:p w14:paraId="4888E017"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10.2</w:t>
            </w:r>
          </w:p>
        </w:tc>
        <w:tc>
          <w:tcPr>
            <w:tcW w:w="928" w:type="dxa"/>
            <w:vAlign w:val="center"/>
            <w:hideMark/>
          </w:tcPr>
          <w:p w14:paraId="4609AF1E"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11</w:t>
            </w:r>
          </w:p>
        </w:tc>
        <w:tc>
          <w:tcPr>
            <w:tcW w:w="928" w:type="dxa"/>
            <w:vAlign w:val="center"/>
            <w:hideMark/>
          </w:tcPr>
          <w:p w14:paraId="7C8FE6CA"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2.4</w:t>
            </w:r>
          </w:p>
        </w:tc>
        <w:tc>
          <w:tcPr>
            <w:tcW w:w="928" w:type="dxa"/>
            <w:vAlign w:val="center"/>
            <w:hideMark/>
          </w:tcPr>
          <w:p w14:paraId="3795CBDE"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2.6</w:t>
            </w:r>
          </w:p>
        </w:tc>
        <w:tc>
          <w:tcPr>
            <w:tcW w:w="929" w:type="dxa"/>
            <w:vAlign w:val="center"/>
            <w:hideMark/>
          </w:tcPr>
          <w:p w14:paraId="08BAE07D"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5.2</w:t>
            </w:r>
          </w:p>
        </w:tc>
        <w:tc>
          <w:tcPr>
            <w:tcW w:w="930" w:type="dxa"/>
            <w:vAlign w:val="center"/>
            <w:hideMark/>
          </w:tcPr>
          <w:p w14:paraId="0442D0EA"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5.1</w:t>
            </w:r>
          </w:p>
        </w:tc>
        <w:tc>
          <w:tcPr>
            <w:tcW w:w="930" w:type="dxa"/>
            <w:vAlign w:val="center"/>
            <w:hideMark/>
          </w:tcPr>
          <w:p w14:paraId="125548A6"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0.3</w:t>
            </w:r>
          </w:p>
        </w:tc>
        <w:tc>
          <w:tcPr>
            <w:tcW w:w="930" w:type="dxa"/>
            <w:vAlign w:val="center"/>
            <w:hideMark/>
          </w:tcPr>
          <w:p w14:paraId="6CD0BF26"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0.4</w:t>
            </w:r>
          </w:p>
        </w:tc>
        <w:tc>
          <w:tcPr>
            <w:tcW w:w="930" w:type="dxa"/>
            <w:vAlign w:val="center"/>
            <w:hideMark/>
          </w:tcPr>
          <w:p w14:paraId="1F421383"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0.4</w:t>
            </w:r>
          </w:p>
        </w:tc>
        <w:tc>
          <w:tcPr>
            <w:tcW w:w="930" w:type="dxa"/>
            <w:vAlign w:val="center"/>
            <w:hideMark/>
          </w:tcPr>
          <w:p w14:paraId="44F3420F" w14:textId="43A141FB"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1</w:t>
            </w:r>
            <w:r w:rsidR="008A3EE4">
              <w:rPr>
                <w:rFonts w:ascii="Times New Roman" w:eastAsia="Times New Roman" w:hAnsi="Times New Roman" w:cs="Times New Roman"/>
                <w:i/>
                <w:iCs/>
                <w:color w:val="000000"/>
                <w:kern w:val="0"/>
                <w:sz w:val="28"/>
                <w:szCs w:val="28"/>
                <w:lang w:eastAsia="en-IN"/>
                <w14:ligatures w14:val="none"/>
              </w:rPr>
              <w:t>.0</w:t>
            </w:r>
          </w:p>
        </w:tc>
        <w:tc>
          <w:tcPr>
            <w:tcW w:w="930" w:type="dxa"/>
            <w:vAlign w:val="center"/>
            <w:hideMark/>
          </w:tcPr>
          <w:p w14:paraId="433A1F80"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0.5</w:t>
            </w:r>
          </w:p>
        </w:tc>
        <w:tc>
          <w:tcPr>
            <w:tcW w:w="930" w:type="dxa"/>
            <w:vAlign w:val="center"/>
            <w:hideMark/>
          </w:tcPr>
          <w:p w14:paraId="27D75A7A"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0.5</w:t>
            </w:r>
          </w:p>
        </w:tc>
        <w:tc>
          <w:tcPr>
            <w:tcW w:w="930" w:type="dxa"/>
            <w:vAlign w:val="center"/>
            <w:hideMark/>
          </w:tcPr>
          <w:p w14:paraId="0BB6C028"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0.7</w:t>
            </w:r>
          </w:p>
        </w:tc>
        <w:tc>
          <w:tcPr>
            <w:tcW w:w="930" w:type="dxa"/>
            <w:vAlign w:val="center"/>
            <w:hideMark/>
          </w:tcPr>
          <w:p w14:paraId="7CF67D18" w14:textId="1DA4947A"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1</w:t>
            </w:r>
            <w:r w:rsidR="008A3EE4">
              <w:rPr>
                <w:rFonts w:ascii="Times New Roman" w:eastAsia="Times New Roman" w:hAnsi="Times New Roman" w:cs="Times New Roman"/>
                <w:i/>
                <w:iCs/>
                <w:color w:val="000000"/>
                <w:kern w:val="0"/>
                <w:sz w:val="28"/>
                <w:szCs w:val="28"/>
                <w:lang w:eastAsia="en-IN"/>
                <w14:ligatures w14:val="none"/>
              </w:rPr>
              <w:t>.0</w:t>
            </w:r>
          </w:p>
        </w:tc>
      </w:tr>
      <w:tr w:rsidR="0080618B" w:rsidRPr="0080618B" w14:paraId="01D92CD2" w14:textId="77777777" w:rsidTr="00E21035">
        <w:trPr>
          <w:trHeight w:val="20"/>
        </w:trPr>
        <w:tc>
          <w:tcPr>
            <w:tcW w:w="1389" w:type="dxa"/>
            <w:vAlign w:val="center"/>
            <w:hideMark/>
          </w:tcPr>
          <w:p w14:paraId="3FB2C26A"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Madhya Bharat</w:t>
            </w:r>
          </w:p>
        </w:tc>
        <w:tc>
          <w:tcPr>
            <w:tcW w:w="928" w:type="dxa"/>
            <w:vAlign w:val="center"/>
            <w:hideMark/>
          </w:tcPr>
          <w:p w14:paraId="47D92364"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8.5</w:t>
            </w:r>
          </w:p>
        </w:tc>
        <w:tc>
          <w:tcPr>
            <w:tcW w:w="928" w:type="dxa"/>
            <w:vAlign w:val="center"/>
            <w:hideMark/>
          </w:tcPr>
          <w:p w14:paraId="702F86B8"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8.8</w:t>
            </w:r>
          </w:p>
        </w:tc>
        <w:tc>
          <w:tcPr>
            <w:tcW w:w="928" w:type="dxa"/>
            <w:vAlign w:val="center"/>
            <w:hideMark/>
          </w:tcPr>
          <w:p w14:paraId="6A50476A"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3.1</w:t>
            </w:r>
          </w:p>
        </w:tc>
        <w:tc>
          <w:tcPr>
            <w:tcW w:w="928" w:type="dxa"/>
            <w:vAlign w:val="center"/>
            <w:hideMark/>
          </w:tcPr>
          <w:p w14:paraId="24D0900A"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3.2</w:t>
            </w:r>
          </w:p>
        </w:tc>
        <w:tc>
          <w:tcPr>
            <w:tcW w:w="929" w:type="dxa"/>
            <w:vAlign w:val="center"/>
            <w:hideMark/>
          </w:tcPr>
          <w:p w14:paraId="7032A400"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2.4</w:t>
            </w:r>
          </w:p>
        </w:tc>
        <w:tc>
          <w:tcPr>
            <w:tcW w:w="930" w:type="dxa"/>
            <w:vAlign w:val="center"/>
            <w:hideMark/>
          </w:tcPr>
          <w:p w14:paraId="61CA8211"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2.2</w:t>
            </w:r>
          </w:p>
        </w:tc>
        <w:tc>
          <w:tcPr>
            <w:tcW w:w="930" w:type="dxa"/>
            <w:vAlign w:val="center"/>
            <w:hideMark/>
          </w:tcPr>
          <w:p w14:paraId="30ECBFEF"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0.4</w:t>
            </w:r>
          </w:p>
        </w:tc>
        <w:tc>
          <w:tcPr>
            <w:tcW w:w="930" w:type="dxa"/>
            <w:vAlign w:val="center"/>
            <w:hideMark/>
          </w:tcPr>
          <w:p w14:paraId="058C1409"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0.5</w:t>
            </w:r>
          </w:p>
        </w:tc>
        <w:tc>
          <w:tcPr>
            <w:tcW w:w="930" w:type="dxa"/>
            <w:vAlign w:val="center"/>
            <w:hideMark/>
          </w:tcPr>
          <w:p w14:paraId="69E9596F"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0.5</w:t>
            </w:r>
          </w:p>
        </w:tc>
        <w:tc>
          <w:tcPr>
            <w:tcW w:w="930" w:type="dxa"/>
            <w:vAlign w:val="center"/>
            <w:hideMark/>
          </w:tcPr>
          <w:p w14:paraId="3818F20F"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0.8</w:t>
            </w:r>
          </w:p>
        </w:tc>
        <w:tc>
          <w:tcPr>
            <w:tcW w:w="930" w:type="dxa"/>
            <w:vAlign w:val="center"/>
            <w:hideMark/>
          </w:tcPr>
          <w:p w14:paraId="300AF128"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0.7</w:t>
            </w:r>
          </w:p>
        </w:tc>
        <w:tc>
          <w:tcPr>
            <w:tcW w:w="930" w:type="dxa"/>
            <w:vAlign w:val="center"/>
            <w:hideMark/>
          </w:tcPr>
          <w:p w14:paraId="2ED25EDA"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0.8</w:t>
            </w:r>
          </w:p>
        </w:tc>
        <w:tc>
          <w:tcPr>
            <w:tcW w:w="930" w:type="dxa"/>
            <w:vAlign w:val="center"/>
            <w:hideMark/>
          </w:tcPr>
          <w:p w14:paraId="578DAA6F"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0.3</w:t>
            </w:r>
          </w:p>
        </w:tc>
        <w:tc>
          <w:tcPr>
            <w:tcW w:w="930" w:type="dxa"/>
            <w:vAlign w:val="center"/>
            <w:hideMark/>
          </w:tcPr>
          <w:p w14:paraId="70D04AF9"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0.3</w:t>
            </w:r>
          </w:p>
        </w:tc>
      </w:tr>
      <w:tr w:rsidR="0080618B" w:rsidRPr="0080618B" w14:paraId="211CFF7C" w14:textId="77777777" w:rsidTr="00E21035">
        <w:trPr>
          <w:trHeight w:val="20"/>
        </w:trPr>
        <w:tc>
          <w:tcPr>
            <w:tcW w:w="1389" w:type="dxa"/>
            <w:vAlign w:val="center"/>
            <w:hideMark/>
          </w:tcPr>
          <w:p w14:paraId="0399193C"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Mysore</w:t>
            </w:r>
          </w:p>
        </w:tc>
        <w:tc>
          <w:tcPr>
            <w:tcW w:w="928" w:type="dxa"/>
            <w:vAlign w:val="center"/>
            <w:hideMark/>
          </w:tcPr>
          <w:p w14:paraId="2369B4F8"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6.5</w:t>
            </w:r>
          </w:p>
        </w:tc>
        <w:tc>
          <w:tcPr>
            <w:tcW w:w="928" w:type="dxa"/>
            <w:vAlign w:val="center"/>
            <w:hideMark/>
          </w:tcPr>
          <w:p w14:paraId="295051F9"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7.1</w:t>
            </w:r>
          </w:p>
        </w:tc>
        <w:tc>
          <w:tcPr>
            <w:tcW w:w="928" w:type="dxa"/>
            <w:vAlign w:val="center"/>
            <w:hideMark/>
          </w:tcPr>
          <w:p w14:paraId="0965776B"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1.4</w:t>
            </w:r>
          </w:p>
        </w:tc>
        <w:tc>
          <w:tcPr>
            <w:tcW w:w="928" w:type="dxa"/>
            <w:vAlign w:val="center"/>
            <w:hideMark/>
          </w:tcPr>
          <w:p w14:paraId="14A2F750"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1.4</w:t>
            </w:r>
          </w:p>
        </w:tc>
        <w:tc>
          <w:tcPr>
            <w:tcW w:w="929" w:type="dxa"/>
            <w:vAlign w:val="center"/>
            <w:hideMark/>
          </w:tcPr>
          <w:p w14:paraId="4AF67311"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2.2</w:t>
            </w:r>
          </w:p>
        </w:tc>
        <w:tc>
          <w:tcPr>
            <w:tcW w:w="930" w:type="dxa"/>
            <w:vAlign w:val="center"/>
            <w:hideMark/>
          </w:tcPr>
          <w:p w14:paraId="6BA941CE"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2.3</w:t>
            </w:r>
          </w:p>
        </w:tc>
        <w:tc>
          <w:tcPr>
            <w:tcW w:w="930" w:type="dxa"/>
            <w:vAlign w:val="center"/>
            <w:hideMark/>
          </w:tcPr>
          <w:p w14:paraId="574E7046"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0.5</w:t>
            </w:r>
          </w:p>
        </w:tc>
        <w:tc>
          <w:tcPr>
            <w:tcW w:w="930" w:type="dxa"/>
            <w:vAlign w:val="center"/>
            <w:hideMark/>
          </w:tcPr>
          <w:p w14:paraId="773611C1"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0.6</w:t>
            </w:r>
          </w:p>
        </w:tc>
        <w:tc>
          <w:tcPr>
            <w:tcW w:w="930" w:type="dxa"/>
            <w:vAlign w:val="center"/>
            <w:hideMark/>
          </w:tcPr>
          <w:p w14:paraId="705421A1"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1.5</w:t>
            </w:r>
          </w:p>
        </w:tc>
        <w:tc>
          <w:tcPr>
            <w:tcW w:w="930" w:type="dxa"/>
            <w:vAlign w:val="center"/>
            <w:hideMark/>
          </w:tcPr>
          <w:p w14:paraId="669B1BE4"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1.8</w:t>
            </w:r>
          </w:p>
        </w:tc>
        <w:tc>
          <w:tcPr>
            <w:tcW w:w="930" w:type="dxa"/>
            <w:vAlign w:val="center"/>
            <w:hideMark/>
          </w:tcPr>
          <w:p w14:paraId="6789E426"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0.6</w:t>
            </w:r>
          </w:p>
        </w:tc>
        <w:tc>
          <w:tcPr>
            <w:tcW w:w="930" w:type="dxa"/>
            <w:vAlign w:val="center"/>
            <w:hideMark/>
          </w:tcPr>
          <w:p w14:paraId="30027C58"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0.6</w:t>
            </w:r>
          </w:p>
        </w:tc>
        <w:tc>
          <w:tcPr>
            <w:tcW w:w="930" w:type="dxa"/>
            <w:vAlign w:val="center"/>
            <w:hideMark/>
          </w:tcPr>
          <w:p w14:paraId="6A68FD14"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3.8</w:t>
            </w:r>
          </w:p>
        </w:tc>
        <w:tc>
          <w:tcPr>
            <w:tcW w:w="930" w:type="dxa"/>
            <w:vAlign w:val="center"/>
            <w:hideMark/>
          </w:tcPr>
          <w:p w14:paraId="58C1E28C"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4.4</w:t>
            </w:r>
          </w:p>
        </w:tc>
      </w:tr>
      <w:tr w:rsidR="00E21035" w:rsidRPr="0080618B" w14:paraId="2BBBAEB9" w14:textId="77777777" w:rsidTr="00E21035">
        <w:trPr>
          <w:trHeight w:val="20"/>
        </w:trPr>
        <w:tc>
          <w:tcPr>
            <w:tcW w:w="1389" w:type="dxa"/>
            <w:vAlign w:val="center"/>
            <w:hideMark/>
          </w:tcPr>
          <w:p w14:paraId="7081FDBA"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 xml:space="preserve">Patiala &amp; East Punjab </w:t>
            </w:r>
            <w:r w:rsidRPr="0080618B">
              <w:rPr>
                <w:rFonts w:ascii="Times New Roman" w:eastAsia="Times New Roman" w:hAnsi="Times New Roman" w:cs="Times New Roman"/>
                <w:color w:val="000000"/>
                <w:kern w:val="0"/>
                <w:sz w:val="28"/>
                <w:szCs w:val="28"/>
                <w:lang w:eastAsia="en-IN"/>
                <w14:ligatures w14:val="none"/>
              </w:rPr>
              <w:lastRenderedPageBreak/>
              <w:t>States Union</w:t>
            </w:r>
          </w:p>
        </w:tc>
        <w:tc>
          <w:tcPr>
            <w:tcW w:w="928" w:type="dxa"/>
            <w:vAlign w:val="center"/>
            <w:hideMark/>
          </w:tcPr>
          <w:p w14:paraId="45EFC5ED"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lastRenderedPageBreak/>
              <w:t>10.7</w:t>
            </w:r>
          </w:p>
        </w:tc>
        <w:tc>
          <w:tcPr>
            <w:tcW w:w="928" w:type="dxa"/>
            <w:vAlign w:val="center"/>
            <w:hideMark/>
          </w:tcPr>
          <w:p w14:paraId="1A88EA98"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12.3</w:t>
            </w:r>
          </w:p>
        </w:tc>
        <w:tc>
          <w:tcPr>
            <w:tcW w:w="928" w:type="dxa"/>
            <w:vAlign w:val="center"/>
            <w:hideMark/>
          </w:tcPr>
          <w:p w14:paraId="119C865D"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2.8</w:t>
            </w:r>
          </w:p>
        </w:tc>
        <w:tc>
          <w:tcPr>
            <w:tcW w:w="928" w:type="dxa"/>
            <w:vAlign w:val="center"/>
            <w:hideMark/>
          </w:tcPr>
          <w:p w14:paraId="3CDB59A7"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2.6</w:t>
            </w:r>
          </w:p>
        </w:tc>
        <w:tc>
          <w:tcPr>
            <w:tcW w:w="929" w:type="dxa"/>
            <w:vAlign w:val="center"/>
            <w:hideMark/>
          </w:tcPr>
          <w:p w14:paraId="460B3A87"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5.4</w:t>
            </w:r>
          </w:p>
        </w:tc>
        <w:tc>
          <w:tcPr>
            <w:tcW w:w="930" w:type="dxa"/>
            <w:vAlign w:val="center"/>
            <w:hideMark/>
          </w:tcPr>
          <w:p w14:paraId="37D1253C"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6.7</w:t>
            </w:r>
          </w:p>
        </w:tc>
        <w:tc>
          <w:tcPr>
            <w:tcW w:w="930" w:type="dxa"/>
            <w:vAlign w:val="center"/>
            <w:hideMark/>
          </w:tcPr>
          <w:p w14:paraId="6D8E409E"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0.4</w:t>
            </w:r>
          </w:p>
        </w:tc>
        <w:tc>
          <w:tcPr>
            <w:tcW w:w="930" w:type="dxa"/>
            <w:vAlign w:val="center"/>
            <w:hideMark/>
          </w:tcPr>
          <w:p w14:paraId="0551D4BA"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0.5</w:t>
            </w:r>
          </w:p>
        </w:tc>
        <w:tc>
          <w:tcPr>
            <w:tcW w:w="930" w:type="dxa"/>
            <w:vAlign w:val="center"/>
            <w:hideMark/>
          </w:tcPr>
          <w:p w14:paraId="2F5AA9A1"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1.4</w:t>
            </w:r>
          </w:p>
        </w:tc>
        <w:tc>
          <w:tcPr>
            <w:tcW w:w="930" w:type="dxa"/>
            <w:vAlign w:val="center"/>
            <w:hideMark/>
          </w:tcPr>
          <w:p w14:paraId="442A58F5"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1.3</w:t>
            </w:r>
          </w:p>
        </w:tc>
        <w:tc>
          <w:tcPr>
            <w:tcW w:w="930" w:type="dxa"/>
            <w:vAlign w:val="center"/>
            <w:hideMark/>
          </w:tcPr>
          <w:p w14:paraId="27A3962F"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0.2</w:t>
            </w:r>
          </w:p>
        </w:tc>
        <w:tc>
          <w:tcPr>
            <w:tcW w:w="930" w:type="dxa"/>
            <w:vAlign w:val="center"/>
            <w:hideMark/>
          </w:tcPr>
          <w:p w14:paraId="49C5411F"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0.2</w:t>
            </w:r>
          </w:p>
        </w:tc>
        <w:tc>
          <w:tcPr>
            <w:tcW w:w="930" w:type="dxa"/>
            <w:vAlign w:val="center"/>
            <w:hideMark/>
          </w:tcPr>
          <w:p w14:paraId="2F601702"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0.5</w:t>
            </w:r>
          </w:p>
        </w:tc>
        <w:tc>
          <w:tcPr>
            <w:tcW w:w="930" w:type="dxa"/>
            <w:vAlign w:val="center"/>
            <w:hideMark/>
          </w:tcPr>
          <w:p w14:paraId="145F6BEA"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0.9</w:t>
            </w:r>
          </w:p>
        </w:tc>
      </w:tr>
      <w:tr w:rsidR="00E21035" w:rsidRPr="0080618B" w14:paraId="22B2FD1E" w14:textId="77777777" w:rsidTr="00E21035">
        <w:trPr>
          <w:trHeight w:val="20"/>
        </w:trPr>
        <w:tc>
          <w:tcPr>
            <w:tcW w:w="1389" w:type="dxa"/>
            <w:vAlign w:val="center"/>
            <w:hideMark/>
          </w:tcPr>
          <w:p w14:paraId="5A2ACA52"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Rajasthan</w:t>
            </w:r>
          </w:p>
        </w:tc>
        <w:tc>
          <w:tcPr>
            <w:tcW w:w="928" w:type="dxa"/>
            <w:vAlign w:val="center"/>
            <w:hideMark/>
          </w:tcPr>
          <w:p w14:paraId="36A080D5"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7.2</w:t>
            </w:r>
          </w:p>
        </w:tc>
        <w:tc>
          <w:tcPr>
            <w:tcW w:w="928" w:type="dxa"/>
            <w:vAlign w:val="center"/>
            <w:hideMark/>
          </w:tcPr>
          <w:p w14:paraId="467B4B70"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7.2</w:t>
            </w:r>
          </w:p>
        </w:tc>
        <w:tc>
          <w:tcPr>
            <w:tcW w:w="928" w:type="dxa"/>
            <w:vAlign w:val="center"/>
            <w:hideMark/>
          </w:tcPr>
          <w:p w14:paraId="0309DC49"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2.8</w:t>
            </w:r>
          </w:p>
        </w:tc>
        <w:tc>
          <w:tcPr>
            <w:tcW w:w="928" w:type="dxa"/>
            <w:vAlign w:val="center"/>
            <w:hideMark/>
          </w:tcPr>
          <w:p w14:paraId="2C5492C5"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2.1</w:t>
            </w:r>
          </w:p>
        </w:tc>
        <w:tc>
          <w:tcPr>
            <w:tcW w:w="929" w:type="dxa"/>
            <w:vAlign w:val="center"/>
            <w:hideMark/>
          </w:tcPr>
          <w:p w14:paraId="438F5687"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1.6</w:t>
            </w:r>
          </w:p>
        </w:tc>
        <w:tc>
          <w:tcPr>
            <w:tcW w:w="930" w:type="dxa"/>
            <w:vAlign w:val="center"/>
            <w:hideMark/>
          </w:tcPr>
          <w:p w14:paraId="6CF7440B"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1.9</w:t>
            </w:r>
          </w:p>
        </w:tc>
        <w:tc>
          <w:tcPr>
            <w:tcW w:w="930" w:type="dxa"/>
            <w:vAlign w:val="center"/>
            <w:hideMark/>
          </w:tcPr>
          <w:p w14:paraId="64FA5361"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0.3</w:t>
            </w:r>
          </w:p>
        </w:tc>
        <w:tc>
          <w:tcPr>
            <w:tcW w:w="930" w:type="dxa"/>
            <w:vAlign w:val="center"/>
            <w:hideMark/>
          </w:tcPr>
          <w:p w14:paraId="725D93F7"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0.3</w:t>
            </w:r>
          </w:p>
        </w:tc>
        <w:tc>
          <w:tcPr>
            <w:tcW w:w="930" w:type="dxa"/>
            <w:vAlign w:val="center"/>
            <w:hideMark/>
          </w:tcPr>
          <w:p w14:paraId="0B0261DF"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w:t>
            </w:r>
          </w:p>
        </w:tc>
        <w:tc>
          <w:tcPr>
            <w:tcW w:w="930" w:type="dxa"/>
            <w:vAlign w:val="center"/>
            <w:hideMark/>
          </w:tcPr>
          <w:p w14:paraId="7571544B"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w:t>
            </w:r>
          </w:p>
        </w:tc>
        <w:tc>
          <w:tcPr>
            <w:tcW w:w="930" w:type="dxa"/>
            <w:vAlign w:val="center"/>
            <w:hideMark/>
          </w:tcPr>
          <w:p w14:paraId="17BBA880"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0.3</w:t>
            </w:r>
          </w:p>
        </w:tc>
        <w:tc>
          <w:tcPr>
            <w:tcW w:w="930" w:type="dxa"/>
            <w:vAlign w:val="center"/>
            <w:hideMark/>
          </w:tcPr>
          <w:p w14:paraId="153BF5AB"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0.3</w:t>
            </w:r>
          </w:p>
        </w:tc>
        <w:tc>
          <w:tcPr>
            <w:tcW w:w="930" w:type="dxa"/>
            <w:vAlign w:val="center"/>
            <w:hideMark/>
          </w:tcPr>
          <w:p w14:paraId="384C5951"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0.1</w:t>
            </w:r>
          </w:p>
        </w:tc>
        <w:tc>
          <w:tcPr>
            <w:tcW w:w="930" w:type="dxa"/>
            <w:vAlign w:val="center"/>
            <w:hideMark/>
          </w:tcPr>
          <w:p w14:paraId="640B5B1B"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0.3</w:t>
            </w:r>
          </w:p>
        </w:tc>
      </w:tr>
      <w:tr w:rsidR="00E21035" w:rsidRPr="0080618B" w14:paraId="4D08B145" w14:textId="77777777" w:rsidTr="00E21035">
        <w:trPr>
          <w:trHeight w:val="20"/>
        </w:trPr>
        <w:tc>
          <w:tcPr>
            <w:tcW w:w="1389" w:type="dxa"/>
            <w:vAlign w:val="center"/>
            <w:hideMark/>
          </w:tcPr>
          <w:p w14:paraId="47A5275D"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Saurashtra</w:t>
            </w:r>
          </w:p>
        </w:tc>
        <w:tc>
          <w:tcPr>
            <w:tcW w:w="928" w:type="dxa"/>
            <w:vAlign w:val="center"/>
            <w:hideMark/>
          </w:tcPr>
          <w:p w14:paraId="25E3EEDB"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8.6</w:t>
            </w:r>
          </w:p>
        </w:tc>
        <w:tc>
          <w:tcPr>
            <w:tcW w:w="928" w:type="dxa"/>
            <w:vAlign w:val="center"/>
            <w:hideMark/>
          </w:tcPr>
          <w:p w14:paraId="344F19C2"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7.1</w:t>
            </w:r>
          </w:p>
        </w:tc>
        <w:tc>
          <w:tcPr>
            <w:tcW w:w="928" w:type="dxa"/>
            <w:vAlign w:val="center"/>
            <w:hideMark/>
          </w:tcPr>
          <w:p w14:paraId="599BE4EB"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5.5</w:t>
            </w:r>
          </w:p>
        </w:tc>
        <w:tc>
          <w:tcPr>
            <w:tcW w:w="928" w:type="dxa"/>
            <w:vAlign w:val="center"/>
            <w:hideMark/>
          </w:tcPr>
          <w:p w14:paraId="4CA9E31D"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3.7</w:t>
            </w:r>
          </w:p>
        </w:tc>
        <w:tc>
          <w:tcPr>
            <w:tcW w:w="929" w:type="dxa"/>
            <w:vAlign w:val="center"/>
            <w:hideMark/>
          </w:tcPr>
          <w:p w14:paraId="2C7A9DE9"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0.4</w:t>
            </w:r>
          </w:p>
        </w:tc>
        <w:tc>
          <w:tcPr>
            <w:tcW w:w="930" w:type="dxa"/>
            <w:vAlign w:val="center"/>
            <w:hideMark/>
          </w:tcPr>
          <w:p w14:paraId="7708CD55"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0.4</w:t>
            </w:r>
          </w:p>
        </w:tc>
        <w:tc>
          <w:tcPr>
            <w:tcW w:w="930" w:type="dxa"/>
            <w:vAlign w:val="center"/>
            <w:hideMark/>
          </w:tcPr>
          <w:p w14:paraId="27BA1FFB"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0.5</w:t>
            </w:r>
          </w:p>
        </w:tc>
        <w:tc>
          <w:tcPr>
            <w:tcW w:w="930" w:type="dxa"/>
            <w:vAlign w:val="center"/>
            <w:hideMark/>
          </w:tcPr>
          <w:p w14:paraId="2A699B74"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0.6</w:t>
            </w:r>
          </w:p>
        </w:tc>
        <w:tc>
          <w:tcPr>
            <w:tcW w:w="930" w:type="dxa"/>
            <w:vAlign w:val="center"/>
            <w:hideMark/>
          </w:tcPr>
          <w:p w14:paraId="307D7E9E"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0.2</w:t>
            </w:r>
          </w:p>
        </w:tc>
        <w:tc>
          <w:tcPr>
            <w:tcW w:w="930" w:type="dxa"/>
            <w:vAlign w:val="center"/>
            <w:hideMark/>
          </w:tcPr>
          <w:p w14:paraId="596F4631"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0.7</w:t>
            </w:r>
          </w:p>
        </w:tc>
        <w:tc>
          <w:tcPr>
            <w:tcW w:w="930" w:type="dxa"/>
            <w:vAlign w:val="center"/>
            <w:hideMark/>
          </w:tcPr>
          <w:p w14:paraId="1CE4BAFE"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0.2</w:t>
            </w:r>
          </w:p>
        </w:tc>
        <w:tc>
          <w:tcPr>
            <w:tcW w:w="930" w:type="dxa"/>
            <w:vAlign w:val="center"/>
            <w:hideMark/>
          </w:tcPr>
          <w:p w14:paraId="0DE6590D"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0.1</w:t>
            </w:r>
          </w:p>
        </w:tc>
        <w:tc>
          <w:tcPr>
            <w:tcW w:w="930" w:type="dxa"/>
            <w:vAlign w:val="center"/>
            <w:hideMark/>
          </w:tcPr>
          <w:p w14:paraId="58F2F2BB"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6.1</w:t>
            </w:r>
          </w:p>
        </w:tc>
        <w:tc>
          <w:tcPr>
            <w:tcW w:w="930" w:type="dxa"/>
            <w:vAlign w:val="center"/>
            <w:hideMark/>
          </w:tcPr>
          <w:p w14:paraId="7B56D3CF"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7.3</w:t>
            </w:r>
          </w:p>
        </w:tc>
      </w:tr>
      <w:tr w:rsidR="0080618B" w:rsidRPr="0080618B" w14:paraId="7EE30D25" w14:textId="77777777" w:rsidTr="00E21035">
        <w:trPr>
          <w:trHeight w:val="20"/>
        </w:trPr>
        <w:tc>
          <w:tcPr>
            <w:tcW w:w="1389" w:type="dxa"/>
            <w:vAlign w:val="center"/>
            <w:hideMark/>
          </w:tcPr>
          <w:p w14:paraId="618594AF"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Travancore-Cochin</w:t>
            </w:r>
          </w:p>
        </w:tc>
        <w:tc>
          <w:tcPr>
            <w:tcW w:w="928" w:type="dxa"/>
            <w:vAlign w:val="center"/>
            <w:hideMark/>
          </w:tcPr>
          <w:p w14:paraId="5CA5D7A3"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8.2</w:t>
            </w:r>
          </w:p>
        </w:tc>
        <w:tc>
          <w:tcPr>
            <w:tcW w:w="928" w:type="dxa"/>
            <w:vAlign w:val="center"/>
            <w:hideMark/>
          </w:tcPr>
          <w:p w14:paraId="614E6ECA"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9.4</w:t>
            </w:r>
          </w:p>
        </w:tc>
        <w:tc>
          <w:tcPr>
            <w:tcW w:w="928" w:type="dxa"/>
            <w:vAlign w:val="center"/>
            <w:hideMark/>
          </w:tcPr>
          <w:p w14:paraId="18FD2EC6"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0.7</w:t>
            </w:r>
          </w:p>
        </w:tc>
        <w:tc>
          <w:tcPr>
            <w:tcW w:w="928" w:type="dxa"/>
            <w:vAlign w:val="center"/>
            <w:hideMark/>
          </w:tcPr>
          <w:p w14:paraId="43F83147"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0.8</w:t>
            </w:r>
          </w:p>
        </w:tc>
        <w:tc>
          <w:tcPr>
            <w:tcW w:w="929" w:type="dxa"/>
            <w:vAlign w:val="center"/>
            <w:hideMark/>
          </w:tcPr>
          <w:p w14:paraId="23875859"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2.3</w:t>
            </w:r>
          </w:p>
        </w:tc>
        <w:tc>
          <w:tcPr>
            <w:tcW w:w="930" w:type="dxa"/>
            <w:vAlign w:val="center"/>
            <w:hideMark/>
          </w:tcPr>
          <w:p w14:paraId="1A5502DC"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2.6</w:t>
            </w:r>
          </w:p>
        </w:tc>
        <w:tc>
          <w:tcPr>
            <w:tcW w:w="930" w:type="dxa"/>
            <w:vAlign w:val="center"/>
            <w:hideMark/>
          </w:tcPr>
          <w:p w14:paraId="4A5B720F"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0.9</w:t>
            </w:r>
          </w:p>
        </w:tc>
        <w:tc>
          <w:tcPr>
            <w:tcW w:w="930" w:type="dxa"/>
            <w:vAlign w:val="center"/>
            <w:hideMark/>
          </w:tcPr>
          <w:p w14:paraId="313395DF" w14:textId="6E0A2590"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1</w:t>
            </w:r>
            <w:r w:rsidR="008A3EE4">
              <w:rPr>
                <w:rFonts w:ascii="Times New Roman" w:eastAsia="Times New Roman" w:hAnsi="Times New Roman" w:cs="Times New Roman"/>
                <w:i/>
                <w:iCs/>
                <w:color w:val="000000"/>
                <w:kern w:val="0"/>
                <w:sz w:val="28"/>
                <w:szCs w:val="28"/>
                <w:lang w:eastAsia="en-IN"/>
                <w14:ligatures w14:val="none"/>
              </w:rPr>
              <w:t>.0</w:t>
            </w:r>
          </w:p>
        </w:tc>
        <w:tc>
          <w:tcPr>
            <w:tcW w:w="930" w:type="dxa"/>
            <w:vAlign w:val="center"/>
            <w:hideMark/>
          </w:tcPr>
          <w:p w14:paraId="23095F7C"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2.8</w:t>
            </w:r>
          </w:p>
        </w:tc>
        <w:tc>
          <w:tcPr>
            <w:tcW w:w="930" w:type="dxa"/>
            <w:vAlign w:val="center"/>
            <w:hideMark/>
          </w:tcPr>
          <w:p w14:paraId="39A0D8DC"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2.7</w:t>
            </w:r>
          </w:p>
        </w:tc>
        <w:tc>
          <w:tcPr>
            <w:tcW w:w="930" w:type="dxa"/>
            <w:vAlign w:val="center"/>
            <w:hideMark/>
          </w:tcPr>
          <w:p w14:paraId="6AAC4E54"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1.7</w:t>
            </w:r>
          </w:p>
        </w:tc>
        <w:tc>
          <w:tcPr>
            <w:tcW w:w="930" w:type="dxa"/>
            <w:vAlign w:val="center"/>
            <w:hideMark/>
          </w:tcPr>
          <w:p w14:paraId="6F45E79F" w14:textId="58290E26"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2</w:t>
            </w:r>
            <w:r w:rsidR="008A3EE4">
              <w:rPr>
                <w:rFonts w:ascii="Times New Roman" w:eastAsia="Times New Roman" w:hAnsi="Times New Roman" w:cs="Times New Roman"/>
                <w:i/>
                <w:iCs/>
                <w:color w:val="000000"/>
                <w:kern w:val="0"/>
                <w:sz w:val="28"/>
                <w:szCs w:val="28"/>
                <w:lang w:eastAsia="en-IN"/>
                <w14:ligatures w14:val="none"/>
              </w:rPr>
              <w:t>.0</w:t>
            </w:r>
          </w:p>
        </w:tc>
        <w:tc>
          <w:tcPr>
            <w:tcW w:w="930" w:type="dxa"/>
            <w:vAlign w:val="center"/>
            <w:hideMark/>
          </w:tcPr>
          <w:p w14:paraId="67D3A94F" w14:textId="44D9C7DF"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3</w:t>
            </w:r>
            <w:r w:rsidR="008A3EE4">
              <w:rPr>
                <w:rFonts w:ascii="Times New Roman" w:eastAsia="Times New Roman" w:hAnsi="Times New Roman" w:cs="Times New Roman"/>
                <w:color w:val="000000"/>
                <w:kern w:val="0"/>
                <w:sz w:val="28"/>
                <w:szCs w:val="28"/>
                <w:lang w:eastAsia="en-IN"/>
                <w14:ligatures w14:val="none"/>
              </w:rPr>
              <w:t>.0</w:t>
            </w:r>
          </w:p>
        </w:tc>
        <w:tc>
          <w:tcPr>
            <w:tcW w:w="930" w:type="dxa"/>
            <w:vAlign w:val="center"/>
            <w:hideMark/>
          </w:tcPr>
          <w:p w14:paraId="3E1320EE"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3.9</w:t>
            </w:r>
          </w:p>
        </w:tc>
      </w:tr>
      <w:tr w:rsidR="0080618B" w:rsidRPr="0080618B" w14:paraId="22D796C7" w14:textId="77777777" w:rsidTr="00E21035">
        <w:trPr>
          <w:trHeight w:val="20"/>
        </w:trPr>
        <w:tc>
          <w:tcPr>
            <w:tcW w:w="1389" w:type="dxa"/>
            <w:vAlign w:val="center"/>
            <w:hideMark/>
          </w:tcPr>
          <w:p w14:paraId="677C379B"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TOTAL</w:t>
            </w:r>
          </w:p>
        </w:tc>
        <w:tc>
          <w:tcPr>
            <w:tcW w:w="928" w:type="dxa"/>
            <w:vAlign w:val="center"/>
            <w:hideMark/>
          </w:tcPr>
          <w:p w14:paraId="236E1631"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6.4</w:t>
            </w:r>
          </w:p>
        </w:tc>
        <w:tc>
          <w:tcPr>
            <w:tcW w:w="928" w:type="dxa"/>
            <w:vAlign w:val="center"/>
            <w:hideMark/>
          </w:tcPr>
          <w:p w14:paraId="51562A52"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6.6</w:t>
            </w:r>
          </w:p>
        </w:tc>
        <w:tc>
          <w:tcPr>
            <w:tcW w:w="928" w:type="dxa"/>
            <w:vAlign w:val="center"/>
            <w:hideMark/>
          </w:tcPr>
          <w:p w14:paraId="71A2616E"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1.4</w:t>
            </w:r>
          </w:p>
        </w:tc>
        <w:tc>
          <w:tcPr>
            <w:tcW w:w="928" w:type="dxa"/>
            <w:vAlign w:val="center"/>
            <w:hideMark/>
          </w:tcPr>
          <w:p w14:paraId="7D80AA66"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1.5</w:t>
            </w:r>
          </w:p>
        </w:tc>
        <w:tc>
          <w:tcPr>
            <w:tcW w:w="929" w:type="dxa"/>
            <w:vAlign w:val="center"/>
            <w:hideMark/>
          </w:tcPr>
          <w:p w14:paraId="4C160B8E"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1.4</w:t>
            </w:r>
          </w:p>
        </w:tc>
        <w:tc>
          <w:tcPr>
            <w:tcW w:w="930" w:type="dxa"/>
            <w:vAlign w:val="center"/>
            <w:hideMark/>
          </w:tcPr>
          <w:p w14:paraId="04C63436"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1.4</w:t>
            </w:r>
          </w:p>
        </w:tc>
        <w:tc>
          <w:tcPr>
            <w:tcW w:w="930" w:type="dxa"/>
            <w:vAlign w:val="center"/>
            <w:hideMark/>
          </w:tcPr>
          <w:p w14:paraId="42CDA521"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0.6</w:t>
            </w:r>
          </w:p>
        </w:tc>
        <w:tc>
          <w:tcPr>
            <w:tcW w:w="930" w:type="dxa"/>
            <w:vAlign w:val="center"/>
            <w:hideMark/>
          </w:tcPr>
          <w:p w14:paraId="6644AE97"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0.6</w:t>
            </w:r>
          </w:p>
        </w:tc>
        <w:tc>
          <w:tcPr>
            <w:tcW w:w="930" w:type="dxa"/>
            <w:vAlign w:val="center"/>
            <w:hideMark/>
          </w:tcPr>
          <w:p w14:paraId="73EABB42"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1.7</w:t>
            </w:r>
          </w:p>
        </w:tc>
        <w:tc>
          <w:tcPr>
            <w:tcW w:w="930" w:type="dxa"/>
            <w:vAlign w:val="center"/>
            <w:hideMark/>
          </w:tcPr>
          <w:p w14:paraId="0F1EBC1B"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1.7</w:t>
            </w:r>
          </w:p>
        </w:tc>
        <w:tc>
          <w:tcPr>
            <w:tcW w:w="930" w:type="dxa"/>
            <w:vAlign w:val="center"/>
            <w:hideMark/>
          </w:tcPr>
          <w:p w14:paraId="2923054B"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0.6</w:t>
            </w:r>
          </w:p>
        </w:tc>
        <w:tc>
          <w:tcPr>
            <w:tcW w:w="930" w:type="dxa"/>
            <w:vAlign w:val="center"/>
            <w:hideMark/>
          </w:tcPr>
          <w:p w14:paraId="3F8ECB8A"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0.6</w:t>
            </w:r>
          </w:p>
        </w:tc>
        <w:tc>
          <w:tcPr>
            <w:tcW w:w="930" w:type="dxa"/>
            <w:vAlign w:val="center"/>
            <w:hideMark/>
          </w:tcPr>
          <w:p w14:paraId="642336EF" w14:textId="77777777" w:rsidR="0080618B" w:rsidRPr="0080618B" w:rsidRDefault="0080618B" w:rsidP="0080618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618B">
              <w:rPr>
                <w:rFonts w:ascii="Times New Roman" w:eastAsia="Times New Roman" w:hAnsi="Times New Roman" w:cs="Times New Roman"/>
                <w:color w:val="000000"/>
                <w:kern w:val="0"/>
                <w:sz w:val="28"/>
                <w:szCs w:val="28"/>
                <w:lang w:eastAsia="en-IN"/>
                <w14:ligatures w14:val="none"/>
              </w:rPr>
              <w:t>1.9</w:t>
            </w:r>
          </w:p>
        </w:tc>
        <w:tc>
          <w:tcPr>
            <w:tcW w:w="930" w:type="dxa"/>
            <w:vAlign w:val="center"/>
            <w:hideMark/>
          </w:tcPr>
          <w:p w14:paraId="35FF6BCE" w14:textId="77777777" w:rsidR="0080618B" w:rsidRPr="0080618B" w:rsidRDefault="0080618B" w:rsidP="0080618B">
            <w:pPr>
              <w:spacing w:after="0" w:line="240" w:lineRule="auto"/>
              <w:jc w:val="center"/>
              <w:rPr>
                <w:rFonts w:ascii="Times New Roman" w:eastAsia="Times New Roman" w:hAnsi="Times New Roman" w:cs="Times New Roman"/>
                <w:i/>
                <w:iCs/>
                <w:color w:val="000000"/>
                <w:kern w:val="0"/>
                <w:sz w:val="28"/>
                <w:szCs w:val="28"/>
                <w:lang w:eastAsia="en-IN"/>
                <w14:ligatures w14:val="none"/>
              </w:rPr>
            </w:pPr>
            <w:r w:rsidRPr="0080618B">
              <w:rPr>
                <w:rFonts w:ascii="Times New Roman" w:eastAsia="Times New Roman" w:hAnsi="Times New Roman" w:cs="Times New Roman"/>
                <w:i/>
                <w:iCs/>
                <w:color w:val="000000"/>
                <w:kern w:val="0"/>
                <w:sz w:val="28"/>
                <w:szCs w:val="28"/>
                <w:lang w:eastAsia="en-IN"/>
                <w14:ligatures w14:val="none"/>
              </w:rPr>
              <w:t>2.2</w:t>
            </w:r>
          </w:p>
        </w:tc>
      </w:tr>
    </w:tbl>
    <w:p w14:paraId="53BD6096" w14:textId="77777777" w:rsidR="0080618B" w:rsidRPr="0080618B" w:rsidRDefault="0080618B" w:rsidP="0080618B">
      <w:pPr>
        <w:pStyle w:val="Sources"/>
      </w:pPr>
      <w:r w:rsidRPr="0080618B">
        <w:t>(a) Excludes States' share of Income Tax.</w:t>
      </w:r>
    </w:p>
    <w:p w14:paraId="232F32D6" w14:textId="77777777" w:rsidR="0080618B" w:rsidRPr="0080618B" w:rsidRDefault="0080618B" w:rsidP="0080618B">
      <w:pPr>
        <w:pStyle w:val="Sources"/>
      </w:pPr>
      <w:r w:rsidRPr="0080618B">
        <w:t>(b) Includes Taxes on Motor Spirit.</w:t>
      </w:r>
    </w:p>
    <w:p w14:paraId="5022480D" w14:textId="64BDF523" w:rsidR="0080618B" w:rsidRDefault="0080618B" w:rsidP="0080618B">
      <w:pPr>
        <w:pStyle w:val="Sources"/>
      </w:pPr>
      <w:r w:rsidRPr="0080618B">
        <w:t>(c) Grants under Articles 273, 275, and 278 of the Constitution.</w:t>
      </w:r>
    </w:p>
    <w:p w14:paraId="1333719E" w14:textId="77777777" w:rsidR="0080618B" w:rsidRDefault="0080618B" w:rsidP="00971D75">
      <w:pPr>
        <w:pStyle w:val="NoSpacing"/>
        <w:ind w:left="720"/>
        <w:jc w:val="right"/>
        <w:rPr>
          <w:rFonts w:ascii="Times New Roman" w:hAnsi="Times New Roman" w:cs="Times New Roman"/>
        </w:rPr>
      </w:pPr>
    </w:p>
    <w:p w14:paraId="5344A622" w14:textId="77777777" w:rsidR="0080618B" w:rsidRDefault="0080618B" w:rsidP="00971D75">
      <w:pPr>
        <w:pStyle w:val="NoSpacing"/>
        <w:ind w:left="720"/>
        <w:jc w:val="right"/>
        <w:rPr>
          <w:rFonts w:ascii="Times New Roman" w:hAnsi="Times New Roman" w:cs="Times New Roman"/>
        </w:rPr>
        <w:sectPr w:rsidR="0080618B" w:rsidSect="0080618B">
          <w:pgSz w:w="16838" w:h="11906" w:orient="landscape"/>
          <w:pgMar w:top="1134" w:right="1440" w:bottom="1440" w:left="1440" w:header="709" w:footer="709" w:gutter="0"/>
          <w:cols w:space="708"/>
          <w:docGrid w:linePitch="360"/>
        </w:sectPr>
      </w:pPr>
    </w:p>
    <w:p w14:paraId="3A1E32DB" w14:textId="1F451EA3" w:rsidR="0080618B" w:rsidRDefault="0080618B" w:rsidP="0075507D">
      <w:pPr>
        <w:pStyle w:val="Heading3"/>
      </w:pPr>
      <w:bookmarkStart w:id="32" w:name="_Toc221007141"/>
      <w:r>
        <w:lastRenderedPageBreak/>
        <w:t>7</w:t>
      </w:r>
      <w:r w:rsidR="00971D75" w:rsidRPr="005534D4">
        <w:t>(a).—Composition of Expenditure met from Revenue</w:t>
      </w:r>
      <w:r>
        <w:t xml:space="preserve"> </w:t>
      </w:r>
      <w:r w:rsidRPr="0080618B">
        <w:t>of Part A and Part B States—1950-51</w:t>
      </w:r>
      <w:bookmarkEnd w:id="32"/>
    </w:p>
    <w:p w14:paraId="0AD8E986" w14:textId="1A6A36BE" w:rsidR="00971D75" w:rsidRDefault="00971D75" w:rsidP="0080618B">
      <w:pPr>
        <w:pStyle w:val="NoSpacing"/>
        <w:ind w:left="720"/>
        <w:jc w:val="center"/>
        <w:rPr>
          <w:rFonts w:ascii="Times New Roman" w:hAnsi="Times New Roman" w:cs="Times New Roman"/>
        </w:rPr>
      </w:pPr>
      <w:r w:rsidRPr="0080618B">
        <w:rPr>
          <w:rFonts w:ascii="Times New Roman" w:hAnsi="Times New Roman" w:cs="Times New Roman"/>
        </w:rPr>
        <w:t>The percentage of the expenditure in each category</w:t>
      </w:r>
      <w:r w:rsidR="0080618B" w:rsidRPr="0080618B">
        <w:rPr>
          <w:rFonts w:ascii="Times New Roman" w:hAnsi="Times New Roman" w:cs="Times New Roman"/>
        </w:rPr>
        <w:t xml:space="preserve"> to total expenditure is given </w:t>
      </w:r>
      <w:r w:rsidR="0080618B" w:rsidRPr="00E02C8A">
        <w:rPr>
          <w:rFonts w:ascii="Times New Roman" w:hAnsi="Times New Roman" w:cs="Times New Roman"/>
        </w:rPr>
        <w:t>in italics</w:t>
      </w:r>
      <w:r w:rsidR="0080618B" w:rsidRPr="0080618B">
        <w:rPr>
          <w:rFonts w:ascii="Times New Roman" w:hAnsi="Times New Roman" w:cs="Times New Roman"/>
        </w:rPr>
        <w:t xml:space="preserve"> along-side the figures.</w:t>
      </w:r>
    </w:p>
    <w:p w14:paraId="5D798D8B" w14:textId="77777777" w:rsidR="002B18A2" w:rsidRDefault="002B18A2" w:rsidP="0080618B">
      <w:pPr>
        <w:pStyle w:val="NoSpacing"/>
        <w:ind w:left="720"/>
        <w:jc w:val="center"/>
        <w:rPr>
          <w:rFonts w:ascii="Times New Roman" w:hAnsi="Times New Roman" w:cs="Times New Roman"/>
        </w:rPr>
      </w:pPr>
    </w:p>
    <w:tbl>
      <w:tblPr>
        <w:tblW w:w="12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696"/>
        <w:gridCol w:w="636"/>
        <w:gridCol w:w="706"/>
        <w:gridCol w:w="524"/>
        <w:gridCol w:w="576"/>
        <w:gridCol w:w="516"/>
        <w:gridCol w:w="1006"/>
        <w:gridCol w:w="757"/>
        <w:gridCol w:w="816"/>
        <w:gridCol w:w="636"/>
        <w:gridCol w:w="1002"/>
        <w:gridCol w:w="654"/>
        <w:gridCol w:w="696"/>
        <w:gridCol w:w="636"/>
        <w:gridCol w:w="6"/>
        <w:gridCol w:w="690"/>
        <w:gridCol w:w="636"/>
        <w:gridCol w:w="6"/>
        <w:gridCol w:w="957"/>
        <w:gridCol w:w="6"/>
      </w:tblGrid>
      <w:tr w:rsidR="002B18A2" w:rsidRPr="002B18A2" w14:paraId="6A587D1D" w14:textId="77777777" w:rsidTr="007561EF">
        <w:trPr>
          <w:trHeight w:val="536"/>
          <w:jc w:val="center"/>
        </w:trPr>
        <w:tc>
          <w:tcPr>
            <w:tcW w:w="1689" w:type="dxa"/>
            <w:noWrap/>
            <w:vAlign w:val="center"/>
            <w:hideMark/>
          </w:tcPr>
          <w:p w14:paraId="073CA474" w14:textId="5A55B472" w:rsidR="002B18A2" w:rsidRPr="00E02C8A" w:rsidRDefault="002B18A2" w:rsidP="002B18A2">
            <w:pPr>
              <w:spacing w:after="0" w:line="240" w:lineRule="auto"/>
              <w:jc w:val="center"/>
              <w:rPr>
                <w:rFonts w:ascii="Times New Roman" w:eastAsia="Times New Roman" w:hAnsi="Times New Roman" w:cs="Times New Roman"/>
                <w:b/>
                <w:bCs/>
                <w:color w:val="000000"/>
                <w:kern w:val="0"/>
                <w:szCs w:val="24"/>
                <w:lang w:eastAsia="en-IN"/>
                <w14:ligatures w14:val="none"/>
              </w:rPr>
            </w:pPr>
          </w:p>
        </w:tc>
        <w:tc>
          <w:tcPr>
            <w:tcW w:w="1109" w:type="dxa"/>
            <w:gridSpan w:val="2"/>
            <w:noWrap/>
            <w:vAlign w:val="center"/>
            <w:hideMark/>
          </w:tcPr>
          <w:p w14:paraId="3C7D9ADB" w14:textId="77777777" w:rsidR="002B18A2" w:rsidRPr="00E02C8A" w:rsidRDefault="002B18A2" w:rsidP="002B18A2">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E02C8A">
              <w:rPr>
                <w:rFonts w:ascii="Times New Roman" w:eastAsia="Times New Roman" w:hAnsi="Times New Roman" w:cs="Times New Roman"/>
                <w:b/>
                <w:bCs/>
                <w:color w:val="000000"/>
                <w:kern w:val="0"/>
                <w:szCs w:val="24"/>
                <w:lang w:eastAsia="en-IN"/>
                <w14:ligatures w14:val="none"/>
              </w:rPr>
              <w:t>Cost of Tax Collection</w:t>
            </w:r>
          </w:p>
        </w:tc>
        <w:tc>
          <w:tcPr>
            <w:tcW w:w="1067" w:type="dxa"/>
            <w:gridSpan w:val="2"/>
            <w:noWrap/>
            <w:vAlign w:val="center"/>
            <w:hideMark/>
          </w:tcPr>
          <w:p w14:paraId="39AA9D8C" w14:textId="77777777" w:rsidR="002B18A2" w:rsidRPr="00E02C8A" w:rsidRDefault="002B18A2" w:rsidP="002B18A2">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E02C8A">
              <w:rPr>
                <w:rFonts w:ascii="Times New Roman" w:eastAsia="Times New Roman" w:hAnsi="Times New Roman" w:cs="Times New Roman"/>
                <w:b/>
                <w:bCs/>
                <w:color w:val="000000"/>
                <w:kern w:val="0"/>
                <w:szCs w:val="24"/>
                <w:lang w:eastAsia="en-IN"/>
                <w14:ligatures w14:val="none"/>
              </w:rPr>
              <w:t>Irrigation</w:t>
            </w:r>
          </w:p>
        </w:tc>
        <w:tc>
          <w:tcPr>
            <w:tcW w:w="1067" w:type="dxa"/>
            <w:gridSpan w:val="2"/>
            <w:noWrap/>
            <w:vAlign w:val="center"/>
            <w:hideMark/>
          </w:tcPr>
          <w:p w14:paraId="616AE377" w14:textId="77777777" w:rsidR="002B18A2" w:rsidRPr="00E02C8A" w:rsidRDefault="002B18A2" w:rsidP="002B18A2">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E02C8A">
              <w:rPr>
                <w:rFonts w:ascii="Times New Roman" w:eastAsia="Times New Roman" w:hAnsi="Times New Roman" w:cs="Times New Roman"/>
                <w:b/>
                <w:bCs/>
                <w:color w:val="000000"/>
                <w:kern w:val="0"/>
                <w:szCs w:val="24"/>
                <w:lang w:eastAsia="en-IN"/>
                <w14:ligatures w14:val="none"/>
              </w:rPr>
              <w:t>Debt Services</w:t>
            </w:r>
          </w:p>
        </w:tc>
        <w:tc>
          <w:tcPr>
            <w:tcW w:w="1451" w:type="dxa"/>
            <w:gridSpan w:val="2"/>
            <w:noWrap/>
            <w:vAlign w:val="center"/>
            <w:hideMark/>
          </w:tcPr>
          <w:p w14:paraId="5CA543BD" w14:textId="77777777" w:rsidR="002B18A2" w:rsidRPr="00E02C8A" w:rsidRDefault="002B18A2" w:rsidP="002B18A2">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E02C8A">
              <w:rPr>
                <w:rFonts w:ascii="Times New Roman" w:eastAsia="Times New Roman" w:hAnsi="Times New Roman" w:cs="Times New Roman"/>
                <w:b/>
                <w:bCs/>
                <w:color w:val="000000"/>
                <w:kern w:val="0"/>
                <w:szCs w:val="24"/>
                <w:lang w:eastAsia="en-IN"/>
                <w14:ligatures w14:val="none"/>
              </w:rPr>
              <w:t>Administrative Services</w:t>
            </w:r>
          </w:p>
        </w:tc>
        <w:tc>
          <w:tcPr>
            <w:tcW w:w="1218" w:type="dxa"/>
            <w:gridSpan w:val="2"/>
            <w:noWrap/>
            <w:vAlign w:val="center"/>
            <w:hideMark/>
          </w:tcPr>
          <w:p w14:paraId="4B249EFF" w14:textId="77777777" w:rsidR="002B18A2" w:rsidRPr="00E02C8A" w:rsidRDefault="002B18A2" w:rsidP="002B18A2">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E02C8A">
              <w:rPr>
                <w:rFonts w:ascii="Times New Roman" w:eastAsia="Times New Roman" w:hAnsi="Times New Roman" w:cs="Times New Roman"/>
                <w:b/>
                <w:bCs/>
                <w:color w:val="000000"/>
                <w:kern w:val="0"/>
                <w:szCs w:val="24"/>
                <w:lang w:eastAsia="en-IN"/>
                <w14:ligatures w14:val="none"/>
              </w:rPr>
              <w:t>Social Services</w:t>
            </w:r>
          </w:p>
        </w:tc>
        <w:tc>
          <w:tcPr>
            <w:tcW w:w="1403" w:type="dxa"/>
            <w:gridSpan w:val="2"/>
            <w:noWrap/>
            <w:vAlign w:val="center"/>
            <w:hideMark/>
          </w:tcPr>
          <w:p w14:paraId="56F487B5" w14:textId="77777777" w:rsidR="002B18A2" w:rsidRPr="00E02C8A" w:rsidRDefault="002B18A2" w:rsidP="002B18A2">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E02C8A">
              <w:rPr>
                <w:rFonts w:ascii="Times New Roman" w:eastAsia="Times New Roman" w:hAnsi="Times New Roman" w:cs="Times New Roman"/>
                <w:b/>
                <w:bCs/>
                <w:color w:val="000000"/>
                <w:kern w:val="0"/>
                <w:szCs w:val="24"/>
                <w:lang w:eastAsia="en-IN"/>
                <w14:ligatures w14:val="none"/>
              </w:rPr>
              <w:t>Industries &amp; Miscellaneous Departments</w:t>
            </w:r>
          </w:p>
        </w:tc>
        <w:tc>
          <w:tcPr>
            <w:tcW w:w="1109" w:type="dxa"/>
            <w:gridSpan w:val="3"/>
            <w:noWrap/>
            <w:vAlign w:val="center"/>
            <w:hideMark/>
          </w:tcPr>
          <w:p w14:paraId="7E071A3E" w14:textId="77777777" w:rsidR="002B18A2" w:rsidRPr="00E02C8A" w:rsidRDefault="002B18A2" w:rsidP="002B18A2">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E02C8A">
              <w:rPr>
                <w:rFonts w:ascii="Times New Roman" w:eastAsia="Times New Roman" w:hAnsi="Times New Roman" w:cs="Times New Roman"/>
                <w:b/>
                <w:bCs/>
                <w:color w:val="000000"/>
                <w:kern w:val="0"/>
                <w:szCs w:val="24"/>
                <w:lang w:eastAsia="en-IN"/>
                <w14:ligatures w14:val="none"/>
              </w:rPr>
              <w:t>Civil Works</w:t>
            </w:r>
          </w:p>
        </w:tc>
        <w:tc>
          <w:tcPr>
            <w:tcW w:w="1109" w:type="dxa"/>
            <w:gridSpan w:val="3"/>
            <w:noWrap/>
            <w:vAlign w:val="center"/>
            <w:hideMark/>
          </w:tcPr>
          <w:p w14:paraId="7186C783" w14:textId="77777777" w:rsidR="002B18A2" w:rsidRPr="00E02C8A" w:rsidRDefault="002B18A2" w:rsidP="002B18A2">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E02C8A">
              <w:rPr>
                <w:rFonts w:ascii="Times New Roman" w:eastAsia="Times New Roman" w:hAnsi="Times New Roman" w:cs="Times New Roman"/>
                <w:b/>
                <w:bCs/>
                <w:color w:val="000000"/>
                <w:kern w:val="0"/>
                <w:szCs w:val="24"/>
                <w:lang w:eastAsia="en-IN"/>
                <w14:ligatures w14:val="none"/>
              </w:rPr>
              <w:t>Other Items</w:t>
            </w:r>
          </w:p>
        </w:tc>
        <w:tc>
          <w:tcPr>
            <w:tcW w:w="823" w:type="dxa"/>
            <w:gridSpan w:val="2"/>
            <w:noWrap/>
            <w:vAlign w:val="center"/>
            <w:hideMark/>
          </w:tcPr>
          <w:p w14:paraId="5AA0EAB1" w14:textId="77777777" w:rsidR="002B18A2" w:rsidRPr="00E02C8A" w:rsidRDefault="002B18A2" w:rsidP="002B18A2">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E02C8A">
              <w:rPr>
                <w:rFonts w:ascii="Times New Roman" w:eastAsia="Times New Roman" w:hAnsi="Times New Roman" w:cs="Times New Roman"/>
                <w:b/>
                <w:bCs/>
                <w:color w:val="000000"/>
                <w:kern w:val="0"/>
                <w:szCs w:val="24"/>
                <w:lang w:eastAsia="en-IN"/>
                <w14:ligatures w14:val="none"/>
              </w:rPr>
              <w:t>Total</w:t>
            </w:r>
          </w:p>
        </w:tc>
      </w:tr>
      <w:tr w:rsidR="007561EF" w:rsidRPr="002B18A2" w14:paraId="4DDE4C6B" w14:textId="77777777" w:rsidTr="007561EF">
        <w:trPr>
          <w:gridAfter w:val="1"/>
          <w:wAfter w:w="7" w:type="dxa"/>
          <w:trHeight w:val="536"/>
          <w:jc w:val="center"/>
        </w:trPr>
        <w:tc>
          <w:tcPr>
            <w:tcW w:w="1689" w:type="dxa"/>
            <w:noWrap/>
            <w:vAlign w:val="center"/>
            <w:hideMark/>
          </w:tcPr>
          <w:p w14:paraId="5FC4A231"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Assam</w:t>
            </w:r>
          </w:p>
        </w:tc>
        <w:tc>
          <w:tcPr>
            <w:tcW w:w="581" w:type="dxa"/>
            <w:noWrap/>
            <w:vAlign w:val="center"/>
            <w:hideMark/>
          </w:tcPr>
          <w:p w14:paraId="158F17C8"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81</w:t>
            </w:r>
          </w:p>
        </w:tc>
        <w:tc>
          <w:tcPr>
            <w:tcW w:w="527" w:type="dxa"/>
            <w:noWrap/>
            <w:vAlign w:val="center"/>
            <w:hideMark/>
          </w:tcPr>
          <w:p w14:paraId="2D900F4D"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8.7</w:t>
            </w:r>
          </w:p>
        </w:tc>
        <w:tc>
          <w:tcPr>
            <w:tcW w:w="645" w:type="dxa"/>
            <w:noWrap/>
            <w:vAlign w:val="center"/>
            <w:hideMark/>
          </w:tcPr>
          <w:p w14:paraId="0AA7C6EE"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7</w:t>
            </w:r>
          </w:p>
        </w:tc>
        <w:tc>
          <w:tcPr>
            <w:tcW w:w="421" w:type="dxa"/>
            <w:noWrap/>
            <w:vAlign w:val="center"/>
            <w:hideMark/>
          </w:tcPr>
          <w:p w14:paraId="618756A6"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0.8</w:t>
            </w:r>
          </w:p>
        </w:tc>
        <w:tc>
          <w:tcPr>
            <w:tcW w:w="576" w:type="dxa"/>
            <w:noWrap/>
            <w:vAlign w:val="center"/>
            <w:hideMark/>
          </w:tcPr>
          <w:p w14:paraId="2014155E"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10</w:t>
            </w:r>
          </w:p>
        </w:tc>
        <w:tc>
          <w:tcPr>
            <w:tcW w:w="490" w:type="dxa"/>
            <w:noWrap/>
            <w:vAlign w:val="center"/>
            <w:hideMark/>
          </w:tcPr>
          <w:p w14:paraId="3D8482AD"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1.1</w:t>
            </w:r>
          </w:p>
        </w:tc>
        <w:tc>
          <w:tcPr>
            <w:tcW w:w="845" w:type="dxa"/>
            <w:noWrap/>
            <w:vAlign w:val="center"/>
            <w:hideMark/>
          </w:tcPr>
          <w:p w14:paraId="1F960449"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182</w:t>
            </w:r>
          </w:p>
        </w:tc>
        <w:tc>
          <w:tcPr>
            <w:tcW w:w="606" w:type="dxa"/>
            <w:noWrap/>
            <w:vAlign w:val="center"/>
            <w:hideMark/>
          </w:tcPr>
          <w:p w14:paraId="592F2B67"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19.6</w:t>
            </w:r>
          </w:p>
        </w:tc>
        <w:tc>
          <w:tcPr>
            <w:tcW w:w="690" w:type="dxa"/>
            <w:noWrap/>
            <w:vAlign w:val="center"/>
            <w:hideMark/>
          </w:tcPr>
          <w:p w14:paraId="01A0E1D1"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278</w:t>
            </w:r>
          </w:p>
        </w:tc>
        <w:tc>
          <w:tcPr>
            <w:tcW w:w="527" w:type="dxa"/>
            <w:noWrap/>
            <w:vAlign w:val="center"/>
            <w:hideMark/>
          </w:tcPr>
          <w:p w14:paraId="1403C8C6" w14:textId="1E7783E9"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30</w:t>
            </w:r>
            <w:r w:rsidR="0064034B">
              <w:rPr>
                <w:rFonts w:ascii="Times New Roman" w:eastAsia="Times New Roman" w:hAnsi="Times New Roman" w:cs="Times New Roman"/>
                <w:i/>
                <w:iCs/>
                <w:color w:val="000000"/>
                <w:kern w:val="0"/>
                <w:szCs w:val="24"/>
                <w:lang w:eastAsia="en-IN"/>
                <w14:ligatures w14:val="none"/>
              </w:rPr>
              <w:t>.0</w:t>
            </w:r>
          </w:p>
        </w:tc>
        <w:tc>
          <w:tcPr>
            <w:tcW w:w="849" w:type="dxa"/>
            <w:noWrap/>
            <w:vAlign w:val="center"/>
            <w:hideMark/>
          </w:tcPr>
          <w:p w14:paraId="703A1018"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10</w:t>
            </w:r>
          </w:p>
        </w:tc>
        <w:tc>
          <w:tcPr>
            <w:tcW w:w="553" w:type="dxa"/>
            <w:noWrap/>
            <w:vAlign w:val="center"/>
            <w:hideMark/>
          </w:tcPr>
          <w:p w14:paraId="7E886EF3"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1.1</w:t>
            </w:r>
          </w:p>
        </w:tc>
        <w:tc>
          <w:tcPr>
            <w:tcW w:w="581" w:type="dxa"/>
            <w:noWrap/>
            <w:vAlign w:val="center"/>
            <w:hideMark/>
          </w:tcPr>
          <w:p w14:paraId="53155D08"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136</w:t>
            </w:r>
          </w:p>
        </w:tc>
        <w:tc>
          <w:tcPr>
            <w:tcW w:w="527" w:type="dxa"/>
            <w:noWrap/>
            <w:vAlign w:val="center"/>
            <w:hideMark/>
          </w:tcPr>
          <w:p w14:paraId="759EE660"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14.7</w:t>
            </w:r>
          </w:p>
        </w:tc>
        <w:tc>
          <w:tcPr>
            <w:tcW w:w="581" w:type="dxa"/>
            <w:gridSpan w:val="2"/>
            <w:noWrap/>
            <w:vAlign w:val="center"/>
            <w:hideMark/>
          </w:tcPr>
          <w:p w14:paraId="6BF8F559"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225</w:t>
            </w:r>
          </w:p>
        </w:tc>
        <w:tc>
          <w:tcPr>
            <w:tcW w:w="527" w:type="dxa"/>
            <w:noWrap/>
            <w:vAlign w:val="center"/>
            <w:hideMark/>
          </w:tcPr>
          <w:p w14:paraId="48E93691"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24.3</w:t>
            </w:r>
          </w:p>
        </w:tc>
        <w:tc>
          <w:tcPr>
            <w:tcW w:w="823" w:type="dxa"/>
            <w:gridSpan w:val="2"/>
            <w:noWrap/>
            <w:vAlign w:val="center"/>
            <w:hideMark/>
          </w:tcPr>
          <w:p w14:paraId="35DF2D6C"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928</w:t>
            </w:r>
          </w:p>
        </w:tc>
      </w:tr>
      <w:tr w:rsidR="007561EF" w:rsidRPr="002B18A2" w14:paraId="36A68A26" w14:textId="77777777" w:rsidTr="007561EF">
        <w:trPr>
          <w:gridAfter w:val="1"/>
          <w:wAfter w:w="7" w:type="dxa"/>
          <w:trHeight w:val="536"/>
          <w:jc w:val="center"/>
        </w:trPr>
        <w:tc>
          <w:tcPr>
            <w:tcW w:w="1689" w:type="dxa"/>
            <w:noWrap/>
            <w:vAlign w:val="center"/>
            <w:hideMark/>
          </w:tcPr>
          <w:p w14:paraId="642689F3"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Bihar</w:t>
            </w:r>
          </w:p>
        </w:tc>
        <w:tc>
          <w:tcPr>
            <w:tcW w:w="581" w:type="dxa"/>
            <w:noWrap/>
            <w:vAlign w:val="center"/>
            <w:hideMark/>
          </w:tcPr>
          <w:p w14:paraId="35870A64"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164</w:t>
            </w:r>
          </w:p>
        </w:tc>
        <w:tc>
          <w:tcPr>
            <w:tcW w:w="527" w:type="dxa"/>
            <w:noWrap/>
            <w:vAlign w:val="center"/>
            <w:hideMark/>
          </w:tcPr>
          <w:p w14:paraId="18A67360"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6.3</w:t>
            </w:r>
          </w:p>
        </w:tc>
        <w:tc>
          <w:tcPr>
            <w:tcW w:w="645" w:type="dxa"/>
            <w:noWrap/>
            <w:vAlign w:val="center"/>
            <w:hideMark/>
          </w:tcPr>
          <w:p w14:paraId="44A4E392"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201</w:t>
            </w:r>
          </w:p>
        </w:tc>
        <w:tc>
          <w:tcPr>
            <w:tcW w:w="421" w:type="dxa"/>
            <w:noWrap/>
            <w:vAlign w:val="center"/>
            <w:hideMark/>
          </w:tcPr>
          <w:p w14:paraId="04BB2CA3"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7.7</w:t>
            </w:r>
          </w:p>
        </w:tc>
        <w:tc>
          <w:tcPr>
            <w:tcW w:w="576" w:type="dxa"/>
            <w:noWrap/>
            <w:vAlign w:val="center"/>
            <w:hideMark/>
          </w:tcPr>
          <w:p w14:paraId="1BAC1F77"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5</w:t>
            </w:r>
          </w:p>
        </w:tc>
        <w:tc>
          <w:tcPr>
            <w:tcW w:w="490" w:type="dxa"/>
            <w:noWrap/>
            <w:vAlign w:val="center"/>
            <w:hideMark/>
          </w:tcPr>
          <w:p w14:paraId="353FDF30"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0.2</w:t>
            </w:r>
          </w:p>
        </w:tc>
        <w:tc>
          <w:tcPr>
            <w:tcW w:w="845" w:type="dxa"/>
            <w:noWrap/>
            <w:vAlign w:val="center"/>
            <w:hideMark/>
          </w:tcPr>
          <w:p w14:paraId="6E620ECC"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782</w:t>
            </w:r>
          </w:p>
        </w:tc>
        <w:tc>
          <w:tcPr>
            <w:tcW w:w="606" w:type="dxa"/>
            <w:noWrap/>
            <w:vAlign w:val="center"/>
            <w:hideMark/>
          </w:tcPr>
          <w:p w14:paraId="42DEAA8F" w14:textId="35306EA9"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30</w:t>
            </w:r>
            <w:r w:rsidR="0064034B">
              <w:rPr>
                <w:rFonts w:ascii="Times New Roman" w:eastAsia="Times New Roman" w:hAnsi="Times New Roman" w:cs="Times New Roman"/>
                <w:i/>
                <w:iCs/>
                <w:color w:val="000000"/>
                <w:kern w:val="0"/>
                <w:szCs w:val="24"/>
                <w:lang w:eastAsia="en-IN"/>
                <w14:ligatures w14:val="none"/>
              </w:rPr>
              <w:t>.0</w:t>
            </w:r>
          </w:p>
        </w:tc>
        <w:tc>
          <w:tcPr>
            <w:tcW w:w="690" w:type="dxa"/>
            <w:noWrap/>
            <w:vAlign w:val="center"/>
            <w:hideMark/>
          </w:tcPr>
          <w:p w14:paraId="734212ED"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702</w:t>
            </w:r>
          </w:p>
        </w:tc>
        <w:tc>
          <w:tcPr>
            <w:tcW w:w="527" w:type="dxa"/>
            <w:noWrap/>
            <w:vAlign w:val="center"/>
            <w:hideMark/>
          </w:tcPr>
          <w:p w14:paraId="48DD0C47"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26.9</w:t>
            </w:r>
          </w:p>
        </w:tc>
        <w:tc>
          <w:tcPr>
            <w:tcW w:w="849" w:type="dxa"/>
            <w:noWrap/>
            <w:vAlign w:val="center"/>
            <w:hideMark/>
          </w:tcPr>
          <w:p w14:paraId="632CD522"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62</w:t>
            </w:r>
          </w:p>
        </w:tc>
        <w:tc>
          <w:tcPr>
            <w:tcW w:w="553" w:type="dxa"/>
            <w:noWrap/>
            <w:vAlign w:val="center"/>
            <w:hideMark/>
          </w:tcPr>
          <w:p w14:paraId="49F97548"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2.4</w:t>
            </w:r>
          </w:p>
        </w:tc>
        <w:tc>
          <w:tcPr>
            <w:tcW w:w="581" w:type="dxa"/>
            <w:noWrap/>
            <w:vAlign w:val="center"/>
            <w:hideMark/>
          </w:tcPr>
          <w:p w14:paraId="021535A2"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419</w:t>
            </w:r>
          </w:p>
        </w:tc>
        <w:tc>
          <w:tcPr>
            <w:tcW w:w="527" w:type="dxa"/>
            <w:noWrap/>
            <w:vAlign w:val="center"/>
            <w:hideMark/>
          </w:tcPr>
          <w:p w14:paraId="02B73F9A"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16.1</w:t>
            </w:r>
          </w:p>
        </w:tc>
        <w:tc>
          <w:tcPr>
            <w:tcW w:w="581" w:type="dxa"/>
            <w:gridSpan w:val="2"/>
            <w:noWrap/>
            <w:vAlign w:val="center"/>
            <w:hideMark/>
          </w:tcPr>
          <w:p w14:paraId="4B0FAFD1"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271</w:t>
            </w:r>
          </w:p>
        </w:tc>
        <w:tc>
          <w:tcPr>
            <w:tcW w:w="527" w:type="dxa"/>
            <w:noWrap/>
            <w:vAlign w:val="center"/>
            <w:hideMark/>
          </w:tcPr>
          <w:p w14:paraId="33D8D098"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10.4</w:t>
            </w:r>
          </w:p>
        </w:tc>
        <w:tc>
          <w:tcPr>
            <w:tcW w:w="823" w:type="dxa"/>
            <w:gridSpan w:val="2"/>
            <w:noWrap/>
            <w:vAlign w:val="center"/>
            <w:hideMark/>
          </w:tcPr>
          <w:p w14:paraId="1FC72A17"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2605</w:t>
            </w:r>
          </w:p>
        </w:tc>
      </w:tr>
      <w:tr w:rsidR="007561EF" w:rsidRPr="002B18A2" w14:paraId="00D416DA" w14:textId="77777777" w:rsidTr="007561EF">
        <w:trPr>
          <w:gridAfter w:val="1"/>
          <w:wAfter w:w="7" w:type="dxa"/>
          <w:trHeight w:val="536"/>
          <w:jc w:val="center"/>
        </w:trPr>
        <w:tc>
          <w:tcPr>
            <w:tcW w:w="1689" w:type="dxa"/>
            <w:noWrap/>
            <w:vAlign w:val="center"/>
            <w:hideMark/>
          </w:tcPr>
          <w:p w14:paraId="2E0EACD2" w14:textId="095C0C2B" w:rsidR="002B18A2" w:rsidRPr="002B18A2" w:rsidRDefault="006669F7" w:rsidP="002B18A2">
            <w:pPr>
              <w:spacing w:after="0" w:line="240" w:lineRule="auto"/>
              <w:jc w:val="center"/>
              <w:rPr>
                <w:rFonts w:ascii="Times New Roman" w:eastAsia="Times New Roman" w:hAnsi="Times New Roman" w:cs="Times New Roman"/>
                <w:color w:val="000000"/>
                <w:kern w:val="0"/>
                <w:szCs w:val="24"/>
                <w:lang w:eastAsia="en-IN"/>
                <w14:ligatures w14:val="none"/>
              </w:rPr>
            </w:pPr>
            <w:r>
              <w:rPr>
                <w:rFonts w:ascii="Times New Roman" w:eastAsia="Times New Roman" w:hAnsi="Times New Roman" w:cs="Times New Roman"/>
                <w:color w:val="000000"/>
                <w:kern w:val="0"/>
                <w:szCs w:val="24"/>
                <w:lang w:eastAsia="en-IN"/>
                <w14:ligatures w14:val="none"/>
              </w:rPr>
              <w:t xml:space="preserve"> </w:t>
            </w:r>
            <w:r w:rsidR="002B18A2" w:rsidRPr="002B18A2">
              <w:rPr>
                <w:rFonts w:ascii="Times New Roman" w:eastAsia="Times New Roman" w:hAnsi="Times New Roman" w:cs="Times New Roman"/>
                <w:color w:val="000000"/>
                <w:kern w:val="0"/>
                <w:szCs w:val="24"/>
                <w:lang w:eastAsia="en-IN"/>
                <w14:ligatures w14:val="none"/>
              </w:rPr>
              <w:t>Bombay</w:t>
            </w:r>
          </w:p>
        </w:tc>
        <w:tc>
          <w:tcPr>
            <w:tcW w:w="581" w:type="dxa"/>
            <w:noWrap/>
            <w:vAlign w:val="center"/>
            <w:hideMark/>
          </w:tcPr>
          <w:p w14:paraId="0408C60A"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559</w:t>
            </w:r>
          </w:p>
        </w:tc>
        <w:tc>
          <w:tcPr>
            <w:tcW w:w="527" w:type="dxa"/>
            <w:noWrap/>
            <w:vAlign w:val="center"/>
            <w:hideMark/>
          </w:tcPr>
          <w:p w14:paraId="5FA227A0"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8.7</w:t>
            </w:r>
          </w:p>
        </w:tc>
        <w:tc>
          <w:tcPr>
            <w:tcW w:w="645" w:type="dxa"/>
            <w:noWrap/>
            <w:vAlign w:val="center"/>
            <w:hideMark/>
          </w:tcPr>
          <w:p w14:paraId="6AD71597"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211</w:t>
            </w:r>
          </w:p>
        </w:tc>
        <w:tc>
          <w:tcPr>
            <w:tcW w:w="421" w:type="dxa"/>
            <w:noWrap/>
            <w:vAlign w:val="center"/>
            <w:hideMark/>
          </w:tcPr>
          <w:p w14:paraId="58643458"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3.3</w:t>
            </w:r>
          </w:p>
        </w:tc>
        <w:tc>
          <w:tcPr>
            <w:tcW w:w="576" w:type="dxa"/>
            <w:noWrap/>
            <w:vAlign w:val="center"/>
            <w:hideMark/>
          </w:tcPr>
          <w:p w14:paraId="173902CA"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157</w:t>
            </w:r>
          </w:p>
        </w:tc>
        <w:tc>
          <w:tcPr>
            <w:tcW w:w="490" w:type="dxa"/>
            <w:noWrap/>
            <w:vAlign w:val="center"/>
            <w:hideMark/>
          </w:tcPr>
          <w:p w14:paraId="012CCBAA"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2.4</w:t>
            </w:r>
          </w:p>
        </w:tc>
        <w:tc>
          <w:tcPr>
            <w:tcW w:w="845" w:type="dxa"/>
            <w:noWrap/>
            <w:vAlign w:val="center"/>
            <w:hideMark/>
          </w:tcPr>
          <w:p w14:paraId="2E8DE8CA"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1653</w:t>
            </w:r>
          </w:p>
        </w:tc>
        <w:tc>
          <w:tcPr>
            <w:tcW w:w="606" w:type="dxa"/>
            <w:noWrap/>
            <w:vAlign w:val="center"/>
            <w:hideMark/>
          </w:tcPr>
          <w:p w14:paraId="1528516C" w14:textId="392F02D9"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2</w:t>
            </w:r>
            <w:r w:rsidR="0064034B">
              <w:rPr>
                <w:rFonts w:ascii="Times New Roman" w:eastAsia="Times New Roman" w:hAnsi="Times New Roman" w:cs="Times New Roman"/>
                <w:i/>
                <w:iCs/>
                <w:color w:val="000000"/>
                <w:kern w:val="0"/>
                <w:szCs w:val="24"/>
                <w:lang w:eastAsia="en-IN"/>
                <w14:ligatures w14:val="none"/>
              </w:rPr>
              <w:t>5</w:t>
            </w:r>
            <w:r w:rsidRPr="002B18A2">
              <w:rPr>
                <w:rFonts w:ascii="Times New Roman" w:eastAsia="Times New Roman" w:hAnsi="Times New Roman" w:cs="Times New Roman"/>
                <w:i/>
                <w:iCs/>
                <w:color w:val="000000"/>
                <w:kern w:val="0"/>
                <w:szCs w:val="24"/>
                <w:lang w:eastAsia="en-IN"/>
                <w14:ligatures w14:val="none"/>
              </w:rPr>
              <w:t>.7</w:t>
            </w:r>
          </w:p>
        </w:tc>
        <w:tc>
          <w:tcPr>
            <w:tcW w:w="690" w:type="dxa"/>
            <w:noWrap/>
            <w:vAlign w:val="center"/>
            <w:hideMark/>
          </w:tcPr>
          <w:p w14:paraId="46C85884"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2158</w:t>
            </w:r>
          </w:p>
        </w:tc>
        <w:tc>
          <w:tcPr>
            <w:tcW w:w="527" w:type="dxa"/>
            <w:noWrap/>
            <w:vAlign w:val="center"/>
            <w:hideMark/>
          </w:tcPr>
          <w:p w14:paraId="0EF88B99"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33.5</w:t>
            </w:r>
          </w:p>
        </w:tc>
        <w:tc>
          <w:tcPr>
            <w:tcW w:w="849" w:type="dxa"/>
            <w:noWrap/>
            <w:vAlign w:val="center"/>
            <w:hideMark/>
          </w:tcPr>
          <w:p w14:paraId="70101AE3"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472</w:t>
            </w:r>
          </w:p>
        </w:tc>
        <w:tc>
          <w:tcPr>
            <w:tcW w:w="553" w:type="dxa"/>
            <w:noWrap/>
            <w:vAlign w:val="center"/>
            <w:hideMark/>
          </w:tcPr>
          <w:p w14:paraId="34E45A0C"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7.3</w:t>
            </w:r>
          </w:p>
        </w:tc>
        <w:tc>
          <w:tcPr>
            <w:tcW w:w="581" w:type="dxa"/>
            <w:noWrap/>
            <w:vAlign w:val="center"/>
            <w:hideMark/>
          </w:tcPr>
          <w:p w14:paraId="375F4145"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639</w:t>
            </w:r>
          </w:p>
        </w:tc>
        <w:tc>
          <w:tcPr>
            <w:tcW w:w="527" w:type="dxa"/>
            <w:noWrap/>
            <w:vAlign w:val="center"/>
            <w:hideMark/>
          </w:tcPr>
          <w:p w14:paraId="5C57D5C6"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9.9</w:t>
            </w:r>
          </w:p>
        </w:tc>
        <w:tc>
          <w:tcPr>
            <w:tcW w:w="581" w:type="dxa"/>
            <w:gridSpan w:val="2"/>
            <w:noWrap/>
            <w:vAlign w:val="center"/>
            <w:hideMark/>
          </w:tcPr>
          <w:p w14:paraId="30B0E160"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589</w:t>
            </w:r>
          </w:p>
        </w:tc>
        <w:tc>
          <w:tcPr>
            <w:tcW w:w="527" w:type="dxa"/>
            <w:noWrap/>
            <w:vAlign w:val="center"/>
            <w:hideMark/>
          </w:tcPr>
          <w:p w14:paraId="0CC2EE8E"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9.2</w:t>
            </w:r>
          </w:p>
        </w:tc>
        <w:tc>
          <w:tcPr>
            <w:tcW w:w="823" w:type="dxa"/>
            <w:gridSpan w:val="2"/>
            <w:noWrap/>
            <w:vAlign w:val="center"/>
            <w:hideMark/>
          </w:tcPr>
          <w:p w14:paraId="2D46666C"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6437(a)</w:t>
            </w:r>
          </w:p>
        </w:tc>
      </w:tr>
      <w:tr w:rsidR="007561EF" w:rsidRPr="002B18A2" w14:paraId="4A0D123C" w14:textId="77777777" w:rsidTr="007561EF">
        <w:trPr>
          <w:gridAfter w:val="1"/>
          <w:wAfter w:w="7" w:type="dxa"/>
          <w:trHeight w:val="536"/>
          <w:jc w:val="center"/>
        </w:trPr>
        <w:tc>
          <w:tcPr>
            <w:tcW w:w="1689" w:type="dxa"/>
            <w:noWrap/>
            <w:vAlign w:val="center"/>
            <w:hideMark/>
          </w:tcPr>
          <w:p w14:paraId="637D65F6"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Madhya Pradesh</w:t>
            </w:r>
          </w:p>
        </w:tc>
        <w:tc>
          <w:tcPr>
            <w:tcW w:w="581" w:type="dxa"/>
            <w:noWrap/>
            <w:vAlign w:val="center"/>
            <w:hideMark/>
          </w:tcPr>
          <w:p w14:paraId="5CBD741F"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200</w:t>
            </w:r>
          </w:p>
        </w:tc>
        <w:tc>
          <w:tcPr>
            <w:tcW w:w="527" w:type="dxa"/>
            <w:noWrap/>
            <w:vAlign w:val="center"/>
            <w:hideMark/>
          </w:tcPr>
          <w:p w14:paraId="6B1CA1D3"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11.9</w:t>
            </w:r>
          </w:p>
        </w:tc>
        <w:tc>
          <w:tcPr>
            <w:tcW w:w="645" w:type="dxa"/>
            <w:noWrap/>
            <w:vAlign w:val="center"/>
            <w:hideMark/>
          </w:tcPr>
          <w:p w14:paraId="44791051"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23</w:t>
            </w:r>
          </w:p>
        </w:tc>
        <w:tc>
          <w:tcPr>
            <w:tcW w:w="421" w:type="dxa"/>
            <w:noWrap/>
            <w:vAlign w:val="center"/>
            <w:hideMark/>
          </w:tcPr>
          <w:p w14:paraId="7373C638"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1.4</w:t>
            </w:r>
          </w:p>
        </w:tc>
        <w:tc>
          <w:tcPr>
            <w:tcW w:w="576" w:type="dxa"/>
            <w:noWrap/>
            <w:vAlign w:val="center"/>
            <w:hideMark/>
          </w:tcPr>
          <w:p w14:paraId="3B884788"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35</w:t>
            </w:r>
          </w:p>
        </w:tc>
        <w:tc>
          <w:tcPr>
            <w:tcW w:w="490" w:type="dxa"/>
            <w:noWrap/>
            <w:vAlign w:val="center"/>
            <w:hideMark/>
          </w:tcPr>
          <w:p w14:paraId="762D098A"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2.1</w:t>
            </w:r>
          </w:p>
        </w:tc>
        <w:tc>
          <w:tcPr>
            <w:tcW w:w="845" w:type="dxa"/>
            <w:noWrap/>
            <w:vAlign w:val="center"/>
            <w:hideMark/>
          </w:tcPr>
          <w:p w14:paraId="38D3EADE"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483</w:t>
            </w:r>
          </w:p>
        </w:tc>
        <w:tc>
          <w:tcPr>
            <w:tcW w:w="606" w:type="dxa"/>
            <w:noWrap/>
            <w:vAlign w:val="center"/>
            <w:hideMark/>
          </w:tcPr>
          <w:p w14:paraId="34E62AAE"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28.9</w:t>
            </w:r>
          </w:p>
        </w:tc>
        <w:tc>
          <w:tcPr>
            <w:tcW w:w="690" w:type="dxa"/>
            <w:noWrap/>
            <w:vAlign w:val="center"/>
            <w:hideMark/>
          </w:tcPr>
          <w:p w14:paraId="7D001B7E"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453</w:t>
            </w:r>
          </w:p>
        </w:tc>
        <w:tc>
          <w:tcPr>
            <w:tcW w:w="527" w:type="dxa"/>
            <w:noWrap/>
            <w:vAlign w:val="center"/>
            <w:hideMark/>
          </w:tcPr>
          <w:p w14:paraId="082B9927"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27.1</w:t>
            </w:r>
          </w:p>
        </w:tc>
        <w:tc>
          <w:tcPr>
            <w:tcW w:w="849" w:type="dxa"/>
            <w:noWrap/>
            <w:vAlign w:val="center"/>
            <w:hideMark/>
          </w:tcPr>
          <w:p w14:paraId="0B9F21B2"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14</w:t>
            </w:r>
          </w:p>
        </w:tc>
        <w:tc>
          <w:tcPr>
            <w:tcW w:w="553" w:type="dxa"/>
            <w:noWrap/>
            <w:vAlign w:val="center"/>
            <w:hideMark/>
          </w:tcPr>
          <w:p w14:paraId="72DC69CD"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0.8</w:t>
            </w:r>
          </w:p>
        </w:tc>
        <w:tc>
          <w:tcPr>
            <w:tcW w:w="581" w:type="dxa"/>
            <w:noWrap/>
            <w:vAlign w:val="center"/>
            <w:hideMark/>
          </w:tcPr>
          <w:p w14:paraId="0CD3C9E6"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259</w:t>
            </w:r>
          </w:p>
        </w:tc>
        <w:tc>
          <w:tcPr>
            <w:tcW w:w="527" w:type="dxa"/>
            <w:noWrap/>
            <w:vAlign w:val="center"/>
            <w:hideMark/>
          </w:tcPr>
          <w:p w14:paraId="33F529BD"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15.5</w:t>
            </w:r>
          </w:p>
        </w:tc>
        <w:tc>
          <w:tcPr>
            <w:tcW w:w="581" w:type="dxa"/>
            <w:gridSpan w:val="2"/>
            <w:noWrap/>
            <w:vAlign w:val="center"/>
            <w:hideMark/>
          </w:tcPr>
          <w:p w14:paraId="5F4EFF71"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206</w:t>
            </w:r>
          </w:p>
        </w:tc>
        <w:tc>
          <w:tcPr>
            <w:tcW w:w="527" w:type="dxa"/>
            <w:noWrap/>
            <w:vAlign w:val="center"/>
            <w:hideMark/>
          </w:tcPr>
          <w:p w14:paraId="74AA6C56"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12.3</w:t>
            </w:r>
          </w:p>
        </w:tc>
        <w:tc>
          <w:tcPr>
            <w:tcW w:w="823" w:type="dxa"/>
            <w:gridSpan w:val="2"/>
            <w:noWrap/>
            <w:vAlign w:val="center"/>
            <w:hideMark/>
          </w:tcPr>
          <w:p w14:paraId="490B1AB9"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1674</w:t>
            </w:r>
          </w:p>
        </w:tc>
      </w:tr>
      <w:tr w:rsidR="007561EF" w:rsidRPr="002B18A2" w14:paraId="2AB7DB00" w14:textId="77777777" w:rsidTr="007561EF">
        <w:trPr>
          <w:gridAfter w:val="1"/>
          <w:wAfter w:w="7" w:type="dxa"/>
          <w:trHeight w:val="536"/>
          <w:jc w:val="center"/>
        </w:trPr>
        <w:tc>
          <w:tcPr>
            <w:tcW w:w="1689" w:type="dxa"/>
            <w:noWrap/>
            <w:vAlign w:val="center"/>
            <w:hideMark/>
          </w:tcPr>
          <w:p w14:paraId="72815844"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Madras</w:t>
            </w:r>
          </w:p>
        </w:tc>
        <w:tc>
          <w:tcPr>
            <w:tcW w:w="581" w:type="dxa"/>
            <w:noWrap/>
            <w:vAlign w:val="center"/>
            <w:hideMark/>
          </w:tcPr>
          <w:p w14:paraId="67242C0D"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524</w:t>
            </w:r>
          </w:p>
        </w:tc>
        <w:tc>
          <w:tcPr>
            <w:tcW w:w="527" w:type="dxa"/>
            <w:noWrap/>
            <w:vAlign w:val="center"/>
            <w:hideMark/>
          </w:tcPr>
          <w:p w14:paraId="71BAD898"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8.8</w:t>
            </w:r>
          </w:p>
        </w:tc>
        <w:tc>
          <w:tcPr>
            <w:tcW w:w="645" w:type="dxa"/>
            <w:noWrap/>
            <w:vAlign w:val="center"/>
            <w:hideMark/>
          </w:tcPr>
          <w:p w14:paraId="2814324F"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289</w:t>
            </w:r>
          </w:p>
        </w:tc>
        <w:tc>
          <w:tcPr>
            <w:tcW w:w="421" w:type="dxa"/>
            <w:noWrap/>
            <w:vAlign w:val="center"/>
            <w:hideMark/>
          </w:tcPr>
          <w:p w14:paraId="29DADA8A"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4.9</w:t>
            </w:r>
          </w:p>
        </w:tc>
        <w:tc>
          <w:tcPr>
            <w:tcW w:w="576" w:type="dxa"/>
            <w:noWrap/>
            <w:vAlign w:val="center"/>
            <w:hideMark/>
          </w:tcPr>
          <w:p w14:paraId="4BFEB1CE" w14:textId="24621E0A" w:rsidR="002B18A2" w:rsidRPr="002B18A2" w:rsidRDefault="0064034B" w:rsidP="002B18A2">
            <w:pPr>
              <w:spacing w:after="0" w:line="240" w:lineRule="auto"/>
              <w:jc w:val="center"/>
              <w:rPr>
                <w:rFonts w:ascii="Times New Roman" w:eastAsia="Times New Roman" w:hAnsi="Times New Roman" w:cs="Times New Roman"/>
                <w:color w:val="000000"/>
                <w:kern w:val="0"/>
                <w:szCs w:val="24"/>
                <w:lang w:eastAsia="en-IN"/>
                <w14:ligatures w14:val="none"/>
              </w:rPr>
            </w:pPr>
            <w:r>
              <w:rPr>
                <w:rFonts w:ascii="Times New Roman" w:eastAsia="Times New Roman" w:hAnsi="Times New Roman" w:cs="Times New Roman"/>
                <w:color w:val="000000"/>
                <w:kern w:val="0"/>
                <w:szCs w:val="24"/>
                <w:lang w:eastAsia="en-IN"/>
                <w14:ligatures w14:val="none"/>
              </w:rPr>
              <w:t>-</w:t>
            </w:r>
            <w:r w:rsidR="002B18A2" w:rsidRPr="002B18A2">
              <w:rPr>
                <w:rFonts w:ascii="Times New Roman" w:eastAsia="Times New Roman" w:hAnsi="Times New Roman" w:cs="Times New Roman"/>
                <w:color w:val="000000"/>
                <w:kern w:val="0"/>
                <w:szCs w:val="24"/>
                <w:lang w:eastAsia="en-IN"/>
                <w14:ligatures w14:val="none"/>
              </w:rPr>
              <w:t>66</w:t>
            </w:r>
          </w:p>
        </w:tc>
        <w:tc>
          <w:tcPr>
            <w:tcW w:w="490" w:type="dxa"/>
            <w:noWrap/>
            <w:vAlign w:val="center"/>
            <w:hideMark/>
          </w:tcPr>
          <w:p w14:paraId="04F8053B"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w:t>
            </w:r>
          </w:p>
        </w:tc>
        <w:tc>
          <w:tcPr>
            <w:tcW w:w="845" w:type="dxa"/>
            <w:noWrap/>
            <w:vAlign w:val="center"/>
            <w:hideMark/>
          </w:tcPr>
          <w:p w14:paraId="39ED504C"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1640</w:t>
            </w:r>
          </w:p>
        </w:tc>
        <w:tc>
          <w:tcPr>
            <w:tcW w:w="606" w:type="dxa"/>
            <w:noWrap/>
            <w:vAlign w:val="center"/>
            <w:hideMark/>
          </w:tcPr>
          <w:p w14:paraId="602E3F5C"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27.6</w:t>
            </w:r>
          </w:p>
        </w:tc>
        <w:tc>
          <w:tcPr>
            <w:tcW w:w="690" w:type="dxa"/>
            <w:noWrap/>
            <w:vAlign w:val="center"/>
            <w:hideMark/>
          </w:tcPr>
          <w:p w14:paraId="69419EC3"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1872</w:t>
            </w:r>
          </w:p>
        </w:tc>
        <w:tc>
          <w:tcPr>
            <w:tcW w:w="527" w:type="dxa"/>
            <w:noWrap/>
            <w:vAlign w:val="center"/>
            <w:hideMark/>
          </w:tcPr>
          <w:p w14:paraId="15747FBA"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31.5</w:t>
            </w:r>
          </w:p>
        </w:tc>
        <w:tc>
          <w:tcPr>
            <w:tcW w:w="849" w:type="dxa"/>
            <w:noWrap/>
            <w:vAlign w:val="center"/>
            <w:hideMark/>
          </w:tcPr>
          <w:p w14:paraId="3154B0BA"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308</w:t>
            </w:r>
          </w:p>
        </w:tc>
        <w:tc>
          <w:tcPr>
            <w:tcW w:w="553" w:type="dxa"/>
            <w:noWrap/>
            <w:vAlign w:val="center"/>
            <w:hideMark/>
          </w:tcPr>
          <w:p w14:paraId="190CA537"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5.2</w:t>
            </w:r>
          </w:p>
        </w:tc>
        <w:tc>
          <w:tcPr>
            <w:tcW w:w="581" w:type="dxa"/>
            <w:noWrap/>
            <w:vAlign w:val="center"/>
            <w:hideMark/>
          </w:tcPr>
          <w:p w14:paraId="152AFA10"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951</w:t>
            </w:r>
          </w:p>
        </w:tc>
        <w:tc>
          <w:tcPr>
            <w:tcW w:w="527" w:type="dxa"/>
            <w:noWrap/>
            <w:vAlign w:val="center"/>
            <w:hideMark/>
          </w:tcPr>
          <w:p w14:paraId="2CC7EB71"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16</w:t>
            </w:r>
          </w:p>
        </w:tc>
        <w:tc>
          <w:tcPr>
            <w:tcW w:w="581" w:type="dxa"/>
            <w:gridSpan w:val="2"/>
            <w:noWrap/>
            <w:vAlign w:val="center"/>
            <w:hideMark/>
          </w:tcPr>
          <w:p w14:paraId="0CA0074D"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428</w:t>
            </w:r>
          </w:p>
        </w:tc>
        <w:tc>
          <w:tcPr>
            <w:tcW w:w="527" w:type="dxa"/>
            <w:noWrap/>
            <w:vAlign w:val="center"/>
            <w:hideMark/>
          </w:tcPr>
          <w:p w14:paraId="7244BFC1"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7.2</w:t>
            </w:r>
          </w:p>
        </w:tc>
        <w:tc>
          <w:tcPr>
            <w:tcW w:w="823" w:type="dxa"/>
            <w:gridSpan w:val="2"/>
            <w:noWrap/>
            <w:vAlign w:val="center"/>
            <w:hideMark/>
          </w:tcPr>
          <w:p w14:paraId="527D4473"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5945</w:t>
            </w:r>
          </w:p>
        </w:tc>
      </w:tr>
      <w:tr w:rsidR="007561EF" w:rsidRPr="002B18A2" w14:paraId="498F9F53" w14:textId="77777777" w:rsidTr="007561EF">
        <w:trPr>
          <w:gridAfter w:val="1"/>
          <w:wAfter w:w="7" w:type="dxa"/>
          <w:trHeight w:val="536"/>
          <w:jc w:val="center"/>
        </w:trPr>
        <w:tc>
          <w:tcPr>
            <w:tcW w:w="1689" w:type="dxa"/>
            <w:noWrap/>
            <w:vAlign w:val="center"/>
            <w:hideMark/>
          </w:tcPr>
          <w:p w14:paraId="6A596610"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Orissa</w:t>
            </w:r>
          </w:p>
        </w:tc>
        <w:tc>
          <w:tcPr>
            <w:tcW w:w="581" w:type="dxa"/>
            <w:noWrap/>
            <w:vAlign w:val="center"/>
            <w:hideMark/>
          </w:tcPr>
          <w:p w14:paraId="02AD7691"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87</w:t>
            </w:r>
          </w:p>
        </w:tc>
        <w:tc>
          <w:tcPr>
            <w:tcW w:w="527" w:type="dxa"/>
            <w:noWrap/>
            <w:vAlign w:val="center"/>
            <w:hideMark/>
          </w:tcPr>
          <w:p w14:paraId="53AA4ABA"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7.2</w:t>
            </w:r>
          </w:p>
        </w:tc>
        <w:tc>
          <w:tcPr>
            <w:tcW w:w="645" w:type="dxa"/>
            <w:noWrap/>
            <w:vAlign w:val="center"/>
            <w:hideMark/>
          </w:tcPr>
          <w:p w14:paraId="4701A84D"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94</w:t>
            </w:r>
          </w:p>
        </w:tc>
        <w:tc>
          <w:tcPr>
            <w:tcW w:w="421" w:type="dxa"/>
            <w:noWrap/>
            <w:vAlign w:val="center"/>
            <w:hideMark/>
          </w:tcPr>
          <w:p w14:paraId="25A25D94"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7.8</w:t>
            </w:r>
          </w:p>
        </w:tc>
        <w:tc>
          <w:tcPr>
            <w:tcW w:w="576" w:type="dxa"/>
            <w:noWrap/>
            <w:vAlign w:val="center"/>
            <w:hideMark/>
          </w:tcPr>
          <w:p w14:paraId="60ECB4CE"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2</w:t>
            </w:r>
          </w:p>
        </w:tc>
        <w:tc>
          <w:tcPr>
            <w:tcW w:w="490" w:type="dxa"/>
            <w:noWrap/>
            <w:vAlign w:val="center"/>
            <w:hideMark/>
          </w:tcPr>
          <w:p w14:paraId="73E12BF5"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0.2</w:t>
            </w:r>
          </w:p>
        </w:tc>
        <w:tc>
          <w:tcPr>
            <w:tcW w:w="845" w:type="dxa"/>
            <w:noWrap/>
            <w:vAlign w:val="center"/>
            <w:hideMark/>
          </w:tcPr>
          <w:p w14:paraId="20605024"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295</w:t>
            </w:r>
          </w:p>
        </w:tc>
        <w:tc>
          <w:tcPr>
            <w:tcW w:w="606" w:type="dxa"/>
            <w:noWrap/>
            <w:vAlign w:val="center"/>
            <w:hideMark/>
          </w:tcPr>
          <w:p w14:paraId="29EF2B8D"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24.6</w:t>
            </w:r>
          </w:p>
        </w:tc>
        <w:tc>
          <w:tcPr>
            <w:tcW w:w="690" w:type="dxa"/>
            <w:noWrap/>
            <w:vAlign w:val="center"/>
            <w:hideMark/>
          </w:tcPr>
          <w:p w14:paraId="57669C15"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299</w:t>
            </w:r>
          </w:p>
        </w:tc>
        <w:tc>
          <w:tcPr>
            <w:tcW w:w="527" w:type="dxa"/>
            <w:noWrap/>
            <w:vAlign w:val="center"/>
            <w:hideMark/>
          </w:tcPr>
          <w:p w14:paraId="167EC5FF"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24.9</w:t>
            </w:r>
          </w:p>
        </w:tc>
        <w:tc>
          <w:tcPr>
            <w:tcW w:w="849" w:type="dxa"/>
            <w:noWrap/>
            <w:vAlign w:val="center"/>
            <w:hideMark/>
          </w:tcPr>
          <w:p w14:paraId="187E7E7D"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101</w:t>
            </w:r>
          </w:p>
        </w:tc>
        <w:tc>
          <w:tcPr>
            <w:tcW w:w="553" w:type="dxa"/>
            <w:noWrap/>
            <w:vAlign w:val="center"/>
            <w:hideMark/>
          </w:tcPr>
          <w:p w14:paraId="47C73363"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8.4</w:t>
            </w:r>
          </w:p>
        </w:tc>
        <w:tc>
          <w:tcPr>
            <w:tcW w:w="581" w:type="dxa"/>
            <w:noWrap/>
            <w:vAlign w:val="center"/>
            <w:hideMark/>
          </w:tcPr>
          <w:p w14:paraId="400B3CB9"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258</w:t>
            </w:r>
          </w:p>
        </w:tc>
        <w:tc>
          <w:tcPr>
            <w:tcW w:w="527" w:type="dxa"/>
            <w:noWrap/>
            <w:vAlign w:val="center"/>
            <w:hideMark/>
          </w:tcPr>
          <w:p w14:paraId="0A25644B"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21.5</w:t>
            </w:r>
          </w:p>
        </w:tc>
        <w:tc>
          <w:tcPr>
            <w:tcW w:w="581" w:type="dxa"/>
            <w:gridSpan w:val="2"/>
            <w:noWrap/>
            <w:vAlign w:val="center"/>
            <w:hideMark/>
          </w:tcPr>
          <w:p w14:paraId="578557FA"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66</w:t>
            </w:r>
          </w:p>
        </w:tc>
        <w:tc>
          <w:tcPr>
            <w:tcW w:w="527" w:type="dxa"/>
            <w:noWrap/>
            <w:vAlign w:val="center"/>
            <w:hideMark/>
          </w:tcPr>
          <w:p w14:paraId="318CFDA5"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5.5</w:t>
            </w:r>
          </w:p>
        </w:tc>
        <w:tc>
          <w:tcPr>
            <w:tcW w:w="823" w:type="dxa"/>
            <w:gridSpan w:val="2"/>
            <w:noWrap/>
            <w:vAlign w:val="center"/>
            <w:hideMark/>
          </w:tcPr>
          <w:p w14:paraId="08EB6508"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1201</w:t>
            </w:r>
          </w:p>
        </w:tc>
      </w:tr>
      <w:tr w:rsidR="007561EF" w:rsidRPr="002B18A2" w14:paraId="007756C2" w14:textId="77777777" w:rsidTr="007561EF">
        <w:trPr>
          <w:gridAfter w:val="1"/>
          <w:wAfter w:w="7" w:type="dxa"/>
          <w:trHeight w:val="536"/>
          <w:jc w:val="center"/>
        </w:trPr>
        <w:tc>
          <w:tcPr>
            <w:tcW w:w="1689" w:type="dxa"/>
            <w:noWrap/>
            <w:vAlign w:val="center"/>
            <w:hideMark/>
          </w:tcPr>
          <w:p w14:paraId="25E00E91"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Punjab</w:t>
            </w:r>
          </w:p>
        </w:tc>
        <w:tc>
          <w:tcPr>
            <w:tcW w:w="581" w:type="dxa"/>
            <w:noWrap/>
            <w:vAlign w:val="center"/>
            <w:hideMark/>
          </w:tcPr>
          <w:p w14:paraId="1F9B9B3B"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137</w:t>
            </w:r>
          </w:p>
        </w:tc>
        <w:tc>
          <w:tcPr>
            <w:tcW w:w="527" w:type="dxa"/>
            <w:noWrap/>
            <w:vAlign w:val="center"/>
            <w:hideMark/>
          </w:tcPr>
          <w:p w14:paraId="2F9EF602"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8.6</w:t>
            </w:r>
          </w:p>
        </w:tc>
        <w:tc>
          <w:tcPr>
            <w:tcW w:w="645" w:type="dxa"/>
            <w:noWrap/>
            <w:vAlign w:val="center"/>
            <w:hideMark/>
          </w:tcPr>
          <w:p w14:paraId="005080D3"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98</w:t>
            </w:r>
          </w:p>
        </w:tc>
        <w:tc>
          <w:tcPr>
            <w:tcW w:w="421" w:type="dxa"/>
            <w:noWrap/>
            <w:vAlign w:val="center"/>
            <w:hideMark/>
          </w:tcPr>
          <w:p w14:paraId="2B6AC6D1"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6.1</w:t>
            </w:r>
          </w:p>
        </w:tc>
        <w:tc>
          <w:tcPr>
            <w:tcW w:w="576" w:type="dxa"/>
            <w:noWrap/>
            <w:vAlign w:val="center"/>
            <w:hideMark/>
          </w:tcPr>
          <w:p w14:paraId="3A5A0131" w14:textId="63272386" w:rsidR="002B18A2" w:rsidRPr="002B18A2" w:rsidRDefault="0064034B" w:rsidP="002B18A2">
            <w:pPr>
              <w:spacing w:after="0" w:line="240" w:lineRule="auto"/>
              <w:jc w:val="center"/>
              <w:rPr>
                <w:rFonts w:ascii="Times New Roman" w:eastAsia="Times New Roman" w:hAnsi="Times New Roman" w:cs="Times New Roman"/>
                <w:color w:val="000000"/>
                <w:kern w:val="0"/>
                <w:szCs w:val="24"/>
                <w:lang w:eastAsia="en-IN"/>
                <w14:ligatures w14:val="none"/>
              </w:rPr>
            </w:pPr>
            <w:r>
              <w:rPr>
                <w:rFonts w:ascii="Times New Roman" w:eastAsia="Times New Roman" w:hAnsi="Times New Roman" w:cs="Times New Roman"/>
                <w:color w:val="000000"/>
                <w:kern w:val="0"/>
                <w:szCs w:val="24"/>
                <w:lang w:eastAsia="en-IN"/>
                <w14:ligatures w14:val="none"/>
              </w:rPr>
              <w:t>-</w:t>
            </w:r>
            <w:r w:rsidR="002B18A2" w:rsidRPr="002B18A2">
              <w:rPr>
                <w:rFonts w:ascii="Times New Roman" w:eastAsia="Times New Roman" w:hAnsi="Times New Roman" w:cs="Times New Roman"/>
                <w:color w:val="000000"/>
                <w:kern w:val="0"/>
                <w:szCs w:val="24"/>
                <w:lang w:eastAsia="en-IN"/>
                <w14:ligatures w14:val="none"/>
              </w:rPr>
              <w:t>3</w:t>
            </w:r>
          </w:p>
        </w:tc>
        <w:tc>
          <w:tcPr>
            <w:tcW w:w="490" w:type="dxa"/>
            <w:noWrap/>
            <w:vAlign w:val="center"/>
            <w:hideMark/>
          </w:tcPr>
          <w:p w14:paraId="29EC7EAF"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w:t>
            </w:r>
          </w:p>
        </w:tc>
        <w:tc>
          <w:tcPr>
            <w:tcW w:w="845" w:type="dxa"/>
            <w:noWrap/>
            <w:vAlign w:val="center"/>
            <w:hideMark/>
          </w:tcPr>
          <w:p w14:paraId="70C4B6CB"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499</w:t>
            </w:r>
          </w:p>
        </w:tc>
        <w:tc>
          <w:tcPr>
            <w:tcW w:w="606" w:type="dxa"/>
            <w:noWrap/>
            <w:vAlign w:val="center"/>
            <w:hideMark/>
          </w:tcPr>
          <w:p w14:paraId="45A584EE"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31.2</w:t>
            </w:r>
          </w:p>
        </w:tc>
        <w:tc>
          <w:tcPr>
            <w:tcW w:w="690" w:type="dxa"/>
            <w:noWrap/>
            <w:vAlign w:val="center"/>
            <w:hideMark/>
          </w:tcPr>
          <w:p w14:paraId="79E9699C"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387</w:t>
            </w:r>
          </w:p>
        </w:tc>
        <w:tc>
          <w:tcPr>
            <w:tcW w:w="527" w:type="dxa"/>
            <w:noWrap/>
            <w:vAlign w:val="center"/>
            <w:hideMark/>
          </w:tcPr>
          <w:p w14:paraId="0A858CFF"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24.2</w:t>
            </w:r>
          </w:p>
        </w:tc>
        <w:tc>
          <w:tcPr>
            <w:tcW w:w="849" w:type="dxa"/>
            <w:noWrap/>
            <w:vAlign w:val="center"/>
            <w:hideMark/>
          </w:tcPr>
          <w:p w14:paraId="407EC7E9"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33</w:t>
            </w:r>
          </w:p>
        </w:tc>
        <w:tc>
          <w:tcPr>
            <w:tcW w:w="553" w:type="dxa"/>
            <w:noWrap/>
            <w:vAlign w:val="center"/>
            <w:hideMark/>
          </w:tcPr>
          <w:p w14:paraId="5AC8151A"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2.1</w:t>
            </w:r>
          </w:p>
        </w:tc>
        <w:tc>
          <w:tcPr>
            <w:tcW w:w="581" w:type="dxa"/>
            <w:noWrap/>
            <w:vAlign w:val="center"/>
            <w:hideMark/>
          </w:tcPr>
          <w:p w14:paraId="48DE7005"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198</w:t>
            </w:r>
          </w:p>
        </w:tc>
        <w:tc>
          <w:tcPr>
            <w:tcW w:w="527" w:type="dxa"/>
            <w:noWrap/>
            <w:vAlign w:val="center"/>
            <w:hideMark/>
          </w:tcPr>
          <w:p w14:paraId="187C4709"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12.4</w:t>
            </w:r>
          </w:p>
        </w:tc>
        <w:tc>
          <w:tcPr>
            <w:tcW w:w="581" w:type="dxa"/>
            <w:gridSpan w:val="2"/>
            <w:noWrap/>
            <w:vAlign w:val="center"/>
            <w:hideMark/>
          </w:tcPr>
          <w:p w14:paraId="72BDE83A"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251</w:t>
            </w:r>
          </w:p>
        </w:tc>
        <w:tc>
          <w:tcPr>
            <w:tcW w:w="527" w:type="dxa"/>
            <w:noWrap/>
            <w:vAlign w:val="center"/>
            <w:hideMark/>
          </w:tcPr>
          <w:p w14:paraId="7A82EF9B"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15.7</w:t>
            </w:r>
          </w:p>
        </w:tc>
        <w:tc>
          <w:tcPr>
            <w:tcW w:w="823" w:type="dxa"/>
            <w:gridSpan w:val="2"/>
            <w:noWrap/>
            <w:vAlign w:val="center"/>
            <w:hideMark/>
          </w:tcPr>
          <w:p w14:paraId="0C2EF4F0"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1600</w:t>
            </w:r>
          </w:p>
        </w:tc>
      </w:tr>
      <w:tr w:rsidR="007561EF" w:rsidRPr="002B18A2" w14:paraId="4E3D4B7F" w14:textId="77777777" w:rsidTr="007561EF">
        <w:trPr>
          <w:gridAfter w:val="1"/>
          <w:wAfter w:w="7" w:type="dxa"/>
          <w:trHeight w:val="536"/>
          <w:jc w:val="center"/>
        </w:trPr>
        <w:tc>
          <w:tcPr>
            <w:tcW w:w="1689" w:type="dxa"/>
            <w:noWrap/>
            <w:vAlign w:val="center"/>
            <w:hideMark/>
          </w:tcPr>
          <w:p w14:paraId="7D481376"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Uttar Pradesh</w:t>
            </w:r>
          </w:p>
        </w:tc>
        <w:tc>
          <w:tcPr>
            <w:tcW w:w="581" w:type="dxa"/>
            <w:noWrap/>
            <w:vAlign w:val="center"/>
            <w:hideMark/>
          </w:tcPr>
          <w:p w14:paraId="511F7E8B"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498</w:t>
            </w:r>
          </w:p>
        </w:tc>
        <w:tc>
          <w:tcPr>
            <w:tcW w:w="527" w:type="dxa"/>
            <w:noWrap/>
            <w:vAlign w:val="center"/>
            <w:hideMark/>
          </w:tcPr>
          <w:p w14:paraId="4046766F"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9.6</w:t>
            </w:r>
          </w:p>
        </w:tc>
        <w:tc>
          <w:tcPr>
            <w:tcW w:w="645" w:type="dxa"/>
            <w:noWrap/>
            <w:vAlign w:val="center"/>
            <w:hideMark/>
          </w:tcPr>
          <w:p w14:paraId="6A3A554A"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227</w:t>
            </w:r>
          </w:p>
        </w:tc>
        <w:tc>
          <w:tcPr>
            <w:tcW w:w="421" w:type="dxa"/>
            <w:noWrap/>
            <w:vAlign w:val="center"/>
            <w:hideMark/>
          </w:tcPr>
          <w:p w14:paraId="5AE6F756"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4.4</w:t>
            </w:r>
          </w:p>
        </w:tc>
        <w:tc>
          <w:tcPr>
            <w:tcW w:w="576" w:type="dxa"/>
            <w:noWrap/>
            <w:vAlign w:val="center"/>
            <w:hideMark/>
          </w:tcPr>
          <w:p w14:paraId="69AB76F4"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71</w:t>
            </w:r>
          </w:p>
        </w:tc>
        <w:tc>
          <w:tcPr>
            <w:tcW w:w="490" w:type="dxa"/>
            <w:noWrap/>
            <w:vAlign w:val="center"/>
            <w:hideMark/>
          </w:tcPr>
          <w:p w14:paraId="71FF713D"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1.4</w:t>
            </w:r>
          </w:p>
        </w:tc>
        <w:tc>
          <w:tcPr>
            <w:tcW w:w="845" w:type="dxa"/>
            <w:noWrap/>
            <w:vAlign w:val="center"/>
            <w:hideMark/>
          </w:tcPr>
          <w:p w14:paraId="6FA82200"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1472</w:t>
            </w:r>
          </w:p>
        </w:tc>
        <w:tc>
          <w:tcPr>
            <w:tcW w:w="606" w:type="dxa"/>
            <w:noWrap/>
            <w:vAlign w:val="center"/>
            <w:hideMark/>
          </w:tcPr>
          <w:p w14:paraId="202D491F" w14:textId="4EDB9173"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2</w:t>
            </w:r>
            <w:r w:rsidR="0064034B">
              <w:rPr>
                <w:rFonts w:ascii="Times New Roman" w:eastAsia="Times New Roman" w:hAnsi="Times New Roman" w:cs="Times New Roman"/>
                <w:i/>
                <w:iCs/>
                <w:color w:val="000000"/>
                <w:kern w:val="0"/>
                <w:szCs w:val="24"/>
                <w:lang w:eastAsia="en-IN"/>
                <w14:ligatures w14:val="none"/>
              </w:rPr>
              <w:t>8</w:t>
            </w:r>
            <w:r w:rsidRPr="002B18A2">
              <w:rPr>
                <w:rFonts w:ascii="Times New Roman" w:eastAsia="Times New Roman" w:hAnsi="Times New Roman" w:cs="Times New Roman"/>
                <w:i/>
                <w:iCs/>
                <w:color w:val="000000"/>
                <w:kern w:val="0"/>
                <w:szCs w:val="24"/>
                <w:lang w:eastAsia="en-IN"/>
                <w14:ligatures w14:val="none"/>
              </w:rPr>
              <w:t>.4</w:t>
            </w:r>
          </w:p>
        </w:tc>
        <w:tc>
          <w:tcPr>
            <w:tcW w:w="690" w:type="dxa"/>
            <w:noWrap/>
            <w:vAlign w:val="center"/>
            <w:hideMark/>
          </w:tcPr>
          <w:p w14:paraId="045AEC21"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1536</w:t>
            </w:r>
          </w:p>
        </w:tc>
        <w:tc>
          <w:tcPr>
            <w:tcW w:w="527" w:type="dxa"/>
            <w:noWrap/>
            <w:vAlign w:val="center"/>
            <w:hideMark/>
          </w:tcPr>
          <w:p w14:paraId="2F215481"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29.6</w:t>
            </w:r>
          </w:p>
        </w:tc>
        <w:tc>
          <w:tcPr>
            <w:tcW w:w="849" w:type="dxa"/>
            <w:noWrap/>
            <w:vAlign w:val="center"/>
            <w:hideMark/>
          </w:tcPr>
          <w:p w14:paraId="2CB39A47"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425</w:t>
            </w:r>
          </w:p>
        </w:tc>
        <w:tc>
          <w:tcPr>
            <w:tcW w:w="553" w:type="dxa"/>
            <w:noWrap/>
            <w:vAlign w:val="center"/>
            <w:hideMark/>
          </w:tcPr>
          <w:p w14:paraId="01325F3A"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8.2</w:t>
            </w:r>
          </w:p>
        </w:tc>
        <w:tc>
          <w:tcPr>
            <w:tcW w:w="581" w:type="dxa"/>
            <w:noWrap/>
            <w:vAlign w:val="center"/>
            <w:hideMark/>
          </w:tcPr>
          <w:p w14:paraId="047BE7DA"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344</w:t>
            </w:r>
          </w:p>
        </w:tc>
        <w:tc>
          <w:tcPr>
            <w:tcW w:w="527" w:type="dxa"/>
            <w:noWrap/>
            <w:vAlign w:val="center"/>
            <w:hideMark/>
          </w:tcPr>
          <w:p w14:paraId="207A3704"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6.6</w:t>
            </w:r>
          </w:p>
        </w:tc>
        <w:tc>
          <w:tcPr>
            <w:tcW w:w="581" w:type="dxa"/>
            <w:gridSpan w:val="2"/>
            <w:noWrap/>
            <w:vAlign w:val="center"/>
            <w:hideMark/>
          </w:tcPr>
          <w:p w14:paraId="0B9D68DC"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611</w:t>
            </w:r>
          </w:p>
        </w:tc>
        <w:tc>
          <w:tcPr>
            <w:tcW w:w="527" w:type="dxa"/>
            <w:noWrap/>
            <w:vAlign w:val="center"/>
            <w:hideMark/>
          </w:tcPr>
          <w:p w14:paraId="30CC704A"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11.8</w:t>
            </w:r>
          </w:p>
        </w:tc>
        <w:tc>
          <w:tcPr>
            <w:tcW w:w="823" w:type="dxa"/>
            <w:gridSpan w:val="2"/>
            <w:noWrap/>
            <w:vAlign w:val="center"/>
            <w:hideMark/>
          </w:tcPr>
          <w:p w14:paraId="2DFC9718"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5184</w:t>
            </w:r>
          </w:p>
        </w:tc>
      </w:tr>
      <w:tr w:rsidR="007561EF" w:rsidRPr="002B18A2" w14:paraId="72E50C70" w14:textId="77777777" w:rsidTr="007561EF">
        <w:trPr>
          <w:gridAfter w:val="1"/>
          <w:wAfter w:w="7" w:type="dxa"/>
          <w:trHeight w:val="536"/>
          <w:jc w:val="center"/>
        </w:trPr>
        <w:tc>
          <w:tcPr>
            <w:tcW w:w="1689" w:type="dxa"/>
            <w:noWrap/>
            <w:vAlign w:val="center"/>
            <w:hideMark/>
          </w:tcPr>
          <w:p w14:paraId="20862C2E"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West Bengal</w:t>
            </w:r>
          </w:p>
        </w:tc>
        <w:tc>
          <w:tcPr>
            <w:tcW w:w="581" w:type="dxa"/>
            <w:noWrap/>
            <w:vAlign w:val="center"/>
            <w:hideMark/>
          </w:tcPr>
          <w:p w14:paraId="5659A532"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180</w:t>
            </w:r>
          </w:p>
        </w:tc>
        <w:tc>
          <w:tcPr>
            <w:tcW w:w="527" w:type="dxa"/>
            <w:noWrap/>
            <w:vAlign w:val="center"/>
            <w:hideMark/>
          </w:tcPr>
          <w:p w14:paraId="482349C1"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4.8</w:t>
            </w:r>
          </w:p>
        </w:tc>
        <w:tc>
          <w:tcPr>
            <w:tcW w:w="645" w:type="dxa"/>
            <w:noWrap/>
            <w:vAlign w:val="center"/>
            <w:hideMark/>
          </w:tcPr>
          <w:p w14:paraId="0CD13BBF"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104</w:t>
            </w:r>
          </w:p>
        </w:tc>
        <w:tc>
          <w:tcPr>
            <w:tcW w:w="421" w:type="dxa"/>
            <w:noWrap/>
            <w:vAlign w:val="center"/>
            <w:hideMark/>
          </w:tcPr>
          <w:p w14:paraId="51EDBE91"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2.8</w:t>
            </w:r>
          </w:p>
        </w:tc>
        <w:tc>
          <w:tcPr>
            <w:tcW w:w="576" w:type="dxa"/>
            <w:noWrap/>
            <w:vAlign w:val="center"/>
            <w:hideMark/>
          </w:tcPr>
          <w:p w14:paraId="28B492A6"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20</w:t>
            </w:r>
          </w:p>
        </w:tc>
        <w:tc>
          <w:tcPr>
            <w:tcW w:w="490" w:type="dxa"/>
            <w:noWrap/>
            <w:vAlign w:val="center"/>
            <w:hideMark/>
          </w:tcPr>
          <w:p w14:paraId="326AB935"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0.5</w:t>
            </w:r>
          </w:p>
        </w:tc>
        <w:tc>
          <w:tcPr>
            <w:tcW w:w="845" w:type="dxa"/>
            <w:noWrap/>
            <w:vAlign w:val="center"/>
            <w:hideMark/>
          </w:tcPr>
          <w:p w14:paraId="434FE3FF"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943</w:t>
            </w:r>
          </w:p>
        </w:tc>
        <w:tc>
          <w:tcPr>
            <w:tcW w:w="606" w:type="dxa"/>
            <w:noWrap/>
            <w:vAlign w:val="center"/>
            <w:hideMark/>
          </w:tcPr>
          <w:p w14:paraId="6AEA7AE3"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25.3</w:t>
            </w:r>
          </w:p>
        </w:tc>
        <w:tc>
          <w:tcPr>
            <w:tcW w:w="690" w:type="dxa"/>
            <w:noWrap/>
            <w:vAlign w:val="center"/>
            <w:hideMark/>
          </w:tcPr>
          <w:p w14:paraId="40793AB8"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892</w:t>
            </w:r>
          </w:p>
        </w:tc>
        <w:tc>
          <w:tcPr>
            <w:tcW w:w="527" w:type="dxa"/>
            <w:noWrap/>
            <w:vAlign w:val="center"/>
            <w:hideMark/>
          </w:tcPr>
          <w:p w14:paraId="05CE802F"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23.9</w:t>
            </w:r>
          </w:p>
        </w:tc>
        <w:tc>
          <w:tcPr>
            <w:tcW w:w="849" w:type="dxa"/>
            <w:noWrap/>
            <w:vAlign w:val="center"/>
            <w:hideMark/>
          </w:tcPr>
          <w:p w14:paraId="5E184EA8"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105</w:t>
            </w:r>
          </w:p>
        </w:tc>
        <w:tc>
          <w:tcPr>
            <w:tcW w:w="553" w:type="dxa"/>
            <w:noWrap/>
            <w:vAlign w:val="center"/>
            <w:hideMark/>
          </w:tcPr>
          <w:p w14:paraId="658E7D16"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2.8</w:t>
            </w:r>
          </w:p>
        </w:tc>
        <w:tc>
          <w:tcPr>
            <w:tcW w:w="581" w:type="dxa"/>
            <w:noWrap/>
            <w:vAlign w:val="center"/>
            <w:hideMark/>
          </w:tcPr>
          <w:p w14:paraId="2661B113"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326</w:t>
            </w:r>
          </w:p>
        </w:tc>
        <w:tc>
          <w:tcPr>
            <w:tcW w:w="527" w:type="dxa"/>
            <w:noWrap/>
            <w:vAlign w:val="center"/>
            <w:hideMark/>
          </w:tcPr>
          <w:p w14:paraId="0CD2F7F4"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8.7</w:t>
            </w:r>
          </w:p>
        </w:tc>
        <w:tc>
          <w:tcPr>
            <w:tcW w:w="581" w:type="dxa"/>
            <w:gridSpan w:val="2"/>
            <w:noWrap/>
            <w:vAlign w:val="center"/>
            <w:hideMark/>
          </w:tcPr>
          <w:p w14:paraId="147EFB26"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1165</w:t>
            </w:r>
          </w:p>
        </w:tc>
        <w:tc>
          <w:tcPr>
            <w:tcW w:w="527" w:type="dxa"/>
            <w:noWrap/>
            <w:vAlign w:val="center"/>
            <w:hideMark/>
          </w:tcPr>
          <w:p w14:paraId="66759A6C"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31.2</w:t>
            </w:r>
          </w:p>
        </w:tc>
        <w:tc>
          <w:tcPr>
            <w:tcW w:w="823" w:type="dxa"/>
            <w:gridSpan w:val="2"/>
            <w:noWrap/>
            <w:vAlign w:val="center"/>
            <w:hideMark/>
          </w:tcPr>
          <w:p w14:paraId="48B21539"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3734</w:t>
            </w:r>
          </w:p>
        </w:tc>
      </w:tr>
      <w:tr w:rsidR="007561EF" w:rsidRPr="002B18A2" w14:paraId="1306A62B" w14:textId="77777777" w:rsidTr="007561EF">
        <w:trPr>
          <w:gridAfter w:val="1"/>
          <w:wAfter w:w="7" w:type="dxa"/>
          <w:trHeight w:val="536"/>
          <w:jc w:val="center"/>
        </w:trPr>
        <w:tc>
          <w:tcPr>
            <w:tcW w:w="1689" w:type="dxa"/>
            <w:noWrap/>
            <w:vAlign w:val="center"/>
            <w:hideMark/>
          </w:tcPr>
          <w:p w14:paraId="581B11A2"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Hyderabad</w:t>
            </w:r>
          </w:p>
        </w:tc>
        <w:tc>
          <w:tcPr>
            <w:tcW w:w="581" w:type="dxa"/>
            <w:noWrap/>
            <w:vAlign w:val="center"/>
            <w:hideMark/>
          </w:tcPr>
          <w:p w14:paraId="218051E4"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297</w:t>
            </w:r>
          </w:p>
        </w:tc>
        <w:tc>
          <w:tcPr>
            <w:tcW w:w="527" w:type="dxa"/>
            <w:noWrap/>
            <w:vAlign w:val="center"/>
            <w:hideMark/>
          </w:tcPr>
          <w:p w14:paraId="52D249BB"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10.8</w:t>
            </w:r>
          </w:p>
        </w:tc>
        <w:tc>
          <w:tcPr>
            <w:tcW w:w="645" w:type="dxa"/>
            <w:noWrap/>
            <w:vAlign w:val="center"/>
            <w:hideMark/>
          </w:tcPr>
          <w:p w14:paraId="686363B9"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146</w:t>
            </w:r>
          </w:p>
        </w:tc>
        <w:tc>
          <w:tcPr>
            <w:tcW w:w="421" w:type="dxa"/>
            <w:noWrap/>
            <w:vAlign w:val="center"/>
            <w:hideMark/>
          </w:tcPr>
          <w:p w14:paraId="47F59369"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5.3</w:t>
            </w:r>
          </w:p>
        </w:tc>
        <w:tc>
          <w:tcPr>
            <w:tcW w:w="576" w:type="dxa"/>
            <w:noWrap/>
            <w:vAlign w:val="center"/>
            <w:hideMark/>
          </w:tcPr>
          <w:p w14:paraId="33250FDE"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257</w:t>
            </w:r>
          </w:p>
        </w:tc>
        <w:tc>
          <w:tcPr>
            <w:tcW w:w="490" w:type="dxa"/>
            <w:noWrap/>
            <w:vAlign w:val="center"/>
            <w:hideMark/>
          </w:tcPr>
          <w:p w14:paraId="2FDE80A1"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9.3</w:t>
            </w:r>
          </w:p>
        </w:tc>
        <w:tc>
          <w:tcPr>
            <w:tcW w:w="845" w:type="dxa"/>
            <w:noWrap/>
            <w:vAlign w:val="center"/>
            <w:hideMark/>
          </w:tcPr>
          <w:p w14:paraId="05F9772F"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718</w:t>
            </w:r>
          </w:p>
        </w:tc>
        <w:tc>
          <w:tcPr>
            <w:tcW w:w="606" w:type="dxa"/>
            <w:noWrap/>
            <w:vAlign w:val="center"/>
            <w:hideMark/>
          </w:tcPr>
          <w:p w14:paraId="4E5DFF9E"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26.1</w:t>
            </w:r>
          </w:p>
        </w:tc>
        <w:tc>
          <w:tcPr>
            <w:tcW w:w="690" w:type="dxa"/>
            <w:noWrap/>
            <w:vAlign w:val="center"/>
            <w:hideMark/>
          </w:tcPr>
          <w:p w14:paraId="07243D6C"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595</w:t>
            </w:r>
          </w:p>
        </w:tc>
        <w:tc>
          <w:tcPr>
            <w:tcW w:w="527" w:type="dxa"/>
            <w:noWrap/>
            <w:vAlign w:val="center"/>
            <w:hideMark/>
          </w:tcPr>
          <w:p w14:paraId="145516BA"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21.6</w:t>
            </w:r>
          </w:p>
        </w:tc>
        <w:tc>
          <w:tcPr>
            <w:tcW w:w="849" w:type="dxa"/>
            <w:noWrap/>
            <w:vAlign w:val="center"/>
            <w:hideMark/>
          </w:tcPr>
          <w:p w14:paraId="1F55A3C8"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151</w:t>
            </w:r>
          </w:p>
        </w:tc>
        <w:tc>
          <w:tcPr>
            <w:tcW w:w="553" w:type="dxa"/>
            <w:noWrap/>
            <w:vAlign w:val="center"/>
            <w:hideMark/>
          </w:tcPr>
          <w:p w14:paraId="3378EAB3"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5.5</w:t>
            </w:r>
          </w:p>
        </w:tc>
        <w:tc>
          <w:tcPr>
            <w:tcW w:w="581" w:type="dxa"/>
            <w:noWrap/>
            <w:vAlign w:val="center"/>
            <w:hideMark/>
          </w:tcPr>
          <w:p w14:paraId="40D0B3F6"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196</w:t>
            </w:r>
          </w:p>
        </w:tc>
        <w:tc>
          <w:tcPr>
            <w:tcW w:w="527" w:type="dxa"/>
            <w:noWrap/>
            <w:vAlign w:val="center"/>
            <w:hideMark/>
          </w:tcPr>
          <w:p w14:paraId="2194C387"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7.1</w:t>
            </w:r>
          </w:p>
        </w:tc>
        <w:tc>
          <w:tcPr>
            <w:tcW w:w="581" w:type="dxa"/>
            <w:gridSpan w:val="2"/>
            <w:noWrap/>
            <w:vAlign w:val="center"/>
            <w:hideMark/>
          </w:tcPr>
          <w:p w14:paraId="631DDFBE"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395</w:t>
            </w:r>
          </w:p>
        </w:tc>
        <w:tc>
          <w:tcPr>
            <w:tcW w:w="527" w:type="dxa"/>
            <w:noWrap/>
            <w:vAlign w:val="center"/>
            <w:hideMark/>
          </w:tcPr>
          <w:p w14:paraId="0C1D63BA"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14.3</w:t>
            </w:r>
          </w:p>
        </w:tc>
        <w:tc>
          <w:tcPr>
            <w:tcW w:w="823" w:type="dxa"/>
            <w:gridSpan w:val="2"/>
            <w:noWrap/>
            <w:vAlign w:val="center"/>
            <w:hideMark/>
          </w:tcPr>
          <w:p w14:paraId="5E879908"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2755</w:t>
            </w:r>
          </w:p>
        </w:tc>
      </w:tr>
      <w:tr w:rsidR="007561EF" w:rsidRPr="002B18A2" w14:paraId="34FB1B9D" w14:textId="77777777" w:rsidTr="007561EF">
        <w:trPr>
          <w:gridAfter w:val="1"/>
          <w:wAfter w:w="7" w:type="dxa"/>
          <w:trHeight w:val="536"/>
          <w:jc w:val="center"/>
        </w:trPr>
        <w:tc>
          <w:tcPr>
            <w:tcW w:w="1689" w:type="dxa"/>
            <w:noWrap/>
            <w:vAlign w:val="center"/>
            <w:hideMark/>
          </w:tcPr>
          <w:p w14:paraId="0121866F"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Madhya Bharat</w:t>
            </w:r>
          </w:p>
        </w:tc>
        <w:tc>
          <w:tcPr>
            <w:tcW w:w="581" w:type="dxa"/>
            <w:noWrap/>
            <w:vAlign w:val="center"/>
            <w:hideMark/>
          </w:tcPr>
          <w:p w14:paraId="7E2EF662"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92</w:t>
            </w:r>
          </w:p>
        </w:tc>
        <w:tc>
          <w:tcPr>
            <w:tcW w:w="527" w:type="dxa"/>
            <w:noWrap/>
            <w:vAlign w:val="center"/>
            <w:hideMark/>
          </w:tcPr>
          <w:p w14:paraId="6AAF184B"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7.8</w:t>
            </w:r>
          </w:p>
        </w:tc>
        <w:tc>
          <w:tcPr>
            <w:tcW w:w="645" w:type="dxa"/>
            <w:noWrap/>
            <w:vAlign w:val="center"/>
            <w:hideMark/>
          </w:tcPr>
          <w:p w14:paraId="5A43E304"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33</w:t>
            </w:r>
          </w:p>
        </w:tc>
        <w:tc>
          <w:tcPr>
            <w:tcW w:w="421" w:type="dxa"/>
            <w:noWrap/>
            <w:vAlign w:val="center"/>
            <w:hideMark/>
          </w:tcPr>
          <w:p w14:paraId="7968EE43"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2.8</w:t>
            </w:r>
          </w:p>
        </w:tc>
        <w:tc>
          <w:tcPr>
            <w:tcW w:w="576" w:type="dxa"/>
            <w:noWrap/>
            <w:vAlign w:val="center"/>
            <w:hideMark/>
          </w:tcPr>
          <w:p w14:paraId="49896A10"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w:t>
            </w:r>
          </w:p>
        </w:tc>
        <w:tc>
          <w:tcPr>
            <w:tcW w:w="490" w:type="dxa"/>
            <w:noWrap/>
            <w:vAlign w:val="center"/>
            <w:hideMark/>
          </w:tcPr>
          <w:p w14:paraId="37B6CD0B"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w:t>
            </w:r>
          </w:p>
        </w:tc>
        <w:tc>
          <w:tcPr>
            <w:tcW w:w="845" w:type="dxa"/>
            <w:noWrap/>
            <w:vAlign w:val="center"/>
            <w:hideMark/>
          </w:tcPr>
          <w:p w14:paraId="7AE4E1AE"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284</w:t>
            </w:r>
          </w:p>
        </w:tc>
        <w:tc>
          <w:tcPr>
            <w:tcW w:w="606" w:type="dxa"/>
            <w:noWrap/>
            <w:vAlign w:val="center"/>
            <w:hideMark/>
          </w:tcPr>
          <w:p w14:paraId="39B2C360"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24.1</w:t>
            </w:r>
          </w:p>
        </w:tc>
        <w:tc>
          <w:tcPr>
            <w:tcW w:w="690" w:type="dxa"/>
            <w:noWrap/>
            <w:vAlign w:val="center"/>
            <w:hideMark/>
          </w:tcPr>
          <w:p w14:paraId="19FE1AC3"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313</w:t>
            </w:r>
          </w:p>
        </w:tc>
        <w:tc>
          <w:tcPr>
            <w:tcW w:w="527" w:type="dxa"/>
            <w:noWrap/>
            <w:vAlign w:val="center"/>
            <w:hideMark/>
          </w:tcPr>
          <w:p w14:paraId="445558FF"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26.6</w:t>
            </w:r>
          </w:p>
        </w:tc>
        <w:tc>
          <w:tcPr>
            <w:tcW w:w="849" w:type="dxa"/>
            <w:noWrap/>
            <w:vAlign w:val="center"/>
            <w:hideMark/>
          </w:tcPr>
          <w:p w14:paraId="19440448"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73</w:t>
            </w:r>
          </w:p>
        </w:tc>
        <w:tc>
          <w:tcPr>
            <w:tcW w:w="553" w:type="dxa"/>
            <w:noWrap/>
            <w:vAlign w:val="center"/>
            <w:hideMark/>
          </w:tcPr>
          <w:p w14:paraId="6165093C"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6.2</w:t>
            </w:r>
          </w:p>
        </w:tc>
        <w:tc>
          <w:tcPr>
            <w:tcW w:w="581" w:type="dxa"/>
            <w:noWrap/>
            <w:vAlign w:val="center"/>
            <w:hideMark/>
          </w:tcPr>
          <w:p w14:paraId="7C201CC8"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102</w:t>
            </w:r>
          </w:p>
        </w:tc>
        <w:tc>
          <w:tcPr>
            <w:tcW w:w="527" w:type="dxa"/>
            <w:noWrap/>
            <w:vAlign w:val="center"/>
            <w:hideMark/>
          </w:tcPr>
          <w:p w14:paraId="76FD2AA0"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8.7</w:t>
            </w:r>
          </w:p>
        </w:tc>
        <w:tc>
          <w:tcPr>
            <w:tcW w:w="581" w:type="dxa"/>
            <w:gridSpan w:val="2"/>
            <w:noWrap/>
            <w:vAlign w:val="center"/>
            <w:hideMark/>
          </w:tcPr>
          <w:p w14:paraId="695933A2"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280</w:t>
            </w:r>
          </w:p>
        </w:tc>
        <w:tc>
          <w:tcPr>
            <w:tcW w:w="527" w:type="dxa"/>
            <w:noWrap/>
            <w:vAlign w:val="center"/>
            <w:hideMark/>
          </w:tcPr>
          <w:p w14:paraId="1E1EC344"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23.8</w:t>
            </w:r>
          </w:p>
        </w:tc>
        <w:tc>
          <w:tcPr>
            <w:tcW w:w="823" w:type="dxa"/>
            <w:gridSpan w:val="2"/>
            <w:noWrap/>
            <w:vAlign w:val="center"/>
            <w:hideMark/>
          </w:tcPr>
          <w:p w14:paraId="1D35D362"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1177</w:t>
            </w:r>
          </w:p>
        </w:tc>
      </w:tr>
      <w:tr w:rsidR="007561EF" w:rsidRPr="002B18A2" w14:paraId="0EBD5945" w14:textId="77777777" w:rsidTr="007561EF">
        <w:trPr>
          <w:gridAfter w:val="1"/>
          <w:wAfter w:w="7" w:type="dxa"/>
          <w:trHeight w:val="536"/>
          <w:jc w:val="center"/>
        </w:trPr>
        <w:tc>
          <w:tcPr>
            <w:tcW w:w="1689" w:type="dxa"/>
            <w:noWrap/>
            <w:vAlign w:val="center"/>
            <w:hideMark/>
          </w:tcPr>
          <w:p w14:paraId="205F14AD"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Mysore</w:t>
            </w:r>
          </w:p>
        </w:tc>
        <w:tc>
          <w:tcPr>
            <w:tcW w:w="581" w:type="dxa"/>
            <w:noWrap/>
            <w:vAlign w:val="center"/>
            <w:hideMark/>
          </w:tcPr>
          <w:p w14:paraId="7AA904FD"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80</w:t>
            </w:r>
          </w:p>
        </w:tc>
        <w:tc>
          <w:tcPr>
            <w:tcW w:w="527" w:type="dxa"/>
            <w:noWrap/>
            <w:vAlign w:val="center"/>
            <w:hideMark/>
          </w:tcPr>
          <w:p w14:paraId="41315D70"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5.9</w:t>
            </w:r>
          </w:p>
        </w:tc>
        <w:tc>
          <w:tcPr>
            <w:tcW w:w="645" w:type="dxa"/>
            <w:noWrap/>
            <w:vAlign w:val="center"/>
            <w:hideMark/>
          </w:tcPr>
          <w:p w14:paraId="1DDA7186"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19</w:t>
            </w:r>
          </w:p>
        </w:tc>
        <w:tc>
          <w:tcPr>
            <w:tcW w:w="421" w:type="dxa"/>
            <w:noWrap/>
            <w:vAlign w:val="center"/>
            <w:hideMark/>
          </w:tcPr>
          <w:p w14:paraId="6041E15E"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1.4</w:t>
            </w:r>
          </w:p>
        </w:tc>
        <w:tc>
          <w:tcPr>
            <w:tcW w:w="576" w:type="dxa"/>
            <w:noWrap/>
            <w:vAlign w:val="center"/>
            <w:hideMark/>
          </w:tcPr>
          <w:p w14:paraId="5A6FBC1F"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91</w:t>
            </w:r>
          </w:p>
        </w:tc>
        <w:tc>
          <w:tcPr>
            <w:tcW w:w="490" w:type="dxa"/>
            <w:noWrap/>
            <w:vAlign w:val="center"/>
            <w:hideMark/>
          </w:tcPr>
          <w:p w14:paraId="0B90DD76"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6.8</w:t>
            </w:r>
          </w:p>
        </w:tc>
        <w:tc>
          <w:tcPr>
            <w:tcW w:w="845" w:type="dxa"/>
            <w:noWrap/>
            <w:vAlign w:val="center"/>
            <w:hideMark/>
          </w:tcPr>
          <w:p w14:paraId="4F8CB66F"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175</w:t>
            </w:r>
          </w:p>
        </w:tc>
        <w:tc>
          <w:tcPr>
            <w:tcW w:w="606" w:type="dxa"/>
            <w:noWrap/>
            <w:vAlign w:val="center"/>
            <w:hideMark/>
          </w:tcPr>
          <w:p w14:paraId="643F8D80"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12.9</w:t>
            </w:r>
          </w:p>
        </w:tc>
        <w:tc>
          <w:tcPr>
            <w:tcW w:w="690" w:type="dxa"/>
            <w:noWrap/>
            <w:vAlign w:val="center"/>
            <w:hideMark/>
          </w:tcPr>
          <w:p w14:paraId="752444C8"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626</w:t>
            </w:r>
          </w:p>
        </w:tc>
        <w:tc>
          <w:tcPr>
            <w:tcW w:w="527" w:type="dxa"/>
            <w:noWrap/>
            <w:vAlign w:val="center"/>
            <w:hideMark/>
          </w:tcPr>
          <w:p w14:paraId="0B6FB255"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46.3</w:t>
            </w:r>
          </w:p>
        </w:tc>
        <w:tc>
          <w:tcPr>
            <w:tcW w:w="849" w:type="dxa"/>
            <w:noWrap/>
            <w:vAlign w:val="center"/>
            <w:hideMark/>
          </w:tcPr>
          <w:p w14:paraId="57191C27"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38</w:t>
            </w:r>
          </w:p>
        </w:tc>
        <w:tc>
          <w:tcPr>
            <w:tcW w:w="553" w:type="dxa"/>
            <w:noWrap/>
            <w:vAlign w:val="center"/>
            <w:hideMark/>
          </w:tcPr>
          <w:p w14:paraId="7959E3A0"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2.8</w:t>
            </w:r>
          </w:p>
        </w:tc>
        <w:tc>
          <w:tcPr>
            <w:tcW w:w="581" w:type="dxa"/>
            <w:noWrap/>
            <w:vAlign w:val="center"/>
            <w:hideMark/>
          </w:tcPr>
          <w:p w14:paraId="087E5AB4"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152</w:t>
            </w:r>
          </w:p>
        </w:tc>
        <w:tc>
          <w:tcPr>
            <w:tcW w:w="527" w:type="dxa"/>
            <w:noWrap/>
            <w:vAlign w:val="center"/>
            <w:hideMark/>
          </w:tcPr>
          <w:p w14:paraId="726A5C51"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11.2</w:t>
            </w:r>
          </w:p>
        </w:tc>
        <w:tc>
          <w:tcPr>
            <w:tcW w:w="581" w:type="dxa"/>
            <w:gridSpan w:val="2"/>
            <w:noWrap/>
            <w:vAlign w:val="center"/>
            <w:hideMark/>
          </w:tcPr>
          <w:p w14:paraId="756480B7"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170</w:t>
            </w:r>
          </w:p>
        </w:tc>
        <w:tc>
          <w:tcPr>
            <w:tcW w:w="527" w:type="dxa"/>
            <w:noWrap/>
            <w:vAlign w:val="center"/>
            <w:hideMark/>
          </w:tcPr>
          <w:p w14:paraId="2BAADEE6"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12.6</w:t>
            </w:r>
          </w:p>
        </w:tc>
        <w:tc>
          <w:tcPr>
            <w:tcW w:w="823" w:type="dxa"/>
            <w:gridSpan w:val="2"/>
            <w:noWrap/>
            <w:vAlign w:val="center"/>
            <w:hideMark/>
          </w:tcPr>
          <w:p w14:paraId="5535DF1E"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1352</w:t>
            </w:r>
          </w:p>
        </w:tc>
      </w:tr>
      <w:tr w:rsidR="007561EF" w:rsidRPr="002B18A2" w14:paraId="348E737A" w14:textId="77777777" w:rsidTr="007561EF">
        <w:trPr>
          <w:gridAfter w:val="1"/>
          <w:wAfter w:w="7" w:type="dxa"/>
          <w:trHeight w:val="536"/>
          <w:jc w:val="center"/>
        </w:trPr>
        <w:tc>
          <w:tcPr>
            <w:tcW w:w="1689" w:type="dxa"/>
            <w:noWrap/>
            <w:vAlign w:val="center"/>
            <w:hideMark/>
          </w:tcPr>
          <w:p w14:paraId="1116579A"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lastRenderedPageBreak/>
              <w:t>Patiala &amp; East Punjab States Union</w:t>
            </w:r>
          </w:p>
        </w:tc>
        <w:tc>
          <w:tcPr>
            <w:tcW w:w="581" w:type="dxa"/>
            <w:noWrap/>
            <w:vAlign w:val="center"/>
            <w:hideMark/>
          </w:tcPr>
          <w:p w14:paraId="212B76E1"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40</w:t>
            </w:r>
          </w:p>
        </w:tc>
        <w:tc>
          <w:tcPr>
            <w:tcW w:w="527" w:type="dxa"/>
            <w:noWrap/>
            <w:vAlign w:val="center"/>
            <w:hideMark/>
          </w:tcPr>
          <w:p w14:paraId="1B7C579A"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8.7</w:t>
            </w:r>
          </w:p>
        </w:tc>
        <w:tc>
          <w:tcPr>
            <w:tcW w:w="645" w:type="dxa"/>
            <w:noWrap/>
            <w:vAlign w:val="center"/>
            <w:hideMark/>
          </w:tcPr>
          <w:p w14:paraId="0C397BD3"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w:t>
            </w:r>
          </w:p>
        </w:tc>
        <w:tc>
          <w:tcPr>
            <w:tcW w:w="421" w:type="dxa"/>
            <w:noWrap/>
            <w:vAlign w:val="center"/>
            <w:hideMark/>
          </w:tcPr>
          <w:p w14:paraId="14500F11"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w:t>
            </w:r>
          </w:p>
        </w:tc>
        <w:tc>
          <w:tcPr>
            <w:tcW w:w="576" w:type="dxa"/>
            <w:noWrap/>
            <w:vAlign w:val="center"/>
            <w:hideMark/>
          </w:tcPr>
          <w:p w14:paraId="5E5EC89B"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w:t>
            </w:r>
          </w:p>
        </w:tc>
        <w:tc>
          <w:tcPr>
            <w:tcW w:w="490" w:type="dxa"/>
            <w:noWrap/>
            <w:vAlign w:val="center"/>
            <w:hideMark/>
          </w:tcPr>
          <w:p w14:paraId="7542BC72"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w:t>
            </w:r>
          </w:p>
        </w:tc>
        <w:tc>
          <w:tcPr>
            <w:tcW w:w="845" w:type="dxa"/>
            <w:noWrap/>
            <w:vAlign w:val="center"/>
            <w:hideMark/>
          </w:tcPr>
          <w:p w14:paraId="1C444EF6"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132</w:t>
            </w:r>
          </w:p>
        </w:tc>
        <w:tc>
          <w:tcPr>
            <w:tcW w:w="606" w:type="dxa"/>
            <w:noWrap/>
            <w:vAlign w:val="center"/>
            <w:hideMark/>
          </w:tcPr>
          <w:p w14:paraId="0395FC6D"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28.6</w:t>
            </w:r>
          </w:p>
        </w:tc>
        <w:tc>
          <w:tcPr>
            <w:tcW w:w="690" w:type="dxa"/>
            <w:noWrap/>
            <w:vAlign w:val="center"/>
            <w:hideMark/>
          </w:tcPr>
          <w:p w14:paraId="2C0198E5"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118</w:t>
            </w:r>
          </w:p>
        </w:tc>
        <w:tc>
          <w:tcPr>
            <w:tcW w:w="527" w:type="dxa"/>
            <w:noWrap/>
            <w:vAlign w:val="center"/>
            <w:hideMark/>
          </w:tcPr>
          <w:p w14:paraId="545364FA"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25.5</w:t>
            </w:r>
          </w:p>
        </w:tc>
        <w:tc>
          <w:tcPr>
            <w:tcW w:w="849" w:type="dxa"/>
            <w:noWrap/>
            <w:vAlign w:val="center"/>
            <w:hideMark/>
          </w:tcPr>
          <w:p w14:paraId="1E55B838"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12</w:t>
            </w:r>
          </w:p>
        </w:tc>
        <w:tc>
          <w:tcPr>
            <w:tcW w:w="553" w:type="dxa"/>
            <w:noWrap/>
            <w:vAlign w:val="center"/>
            <w:hideMark/>
          </w:tcPr>
          <w:p w14:paraId="5988F750"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2.6</w:t>
            </w:r>
          </w:p>
        </w:tc>
        <w:tc>
          <w:tcPr>
            <w:tcW w:w="581" w:type="dxa"/>
            <w:noWrap/>
            <w:vAlign w:val="center"/>
            <w:hideMark/>
          </w:tcPr>
          <w:p w14:paraId="76849006"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42</w:t>
            </w:r>
          </w:p>
        </w:tc>
        <w:tc>
          <w:tcPr>
            <w:tcW w:w="527" w:type="dxa"/>
            <w:noWrap/>
            <w:vAlign w:val="center"/>
            <w:hideMark/>
          </w:tcPr>
          <w:p w14:paraId="56963FD2"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9.1</w:t>
            </w:r>
          </w:p>
        </w:tc>
        <w:tc>
          <w:tcPr>
            <w:tcW w:w="581" w:type="dxa"/>
            <w:gridSpan w:val="2"/>
            <w:noWrap/>
            <w:vAlign w:val="center"/>
            <w:hideMark/>
          </w:tcPr>
          <w:p w14:paraId="5D1B4F0D"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117</w:t>
            </w:r>
          </w:p>
        </w:tc>
        <w:tc>
          <w:tcPr>
            <w:tcW w:w="527" w:type="dxa"/>
            <w:noWrap/>
            <w:vAlign w:val="center"/>
            <w:hideMark/>
          </w:tcPr>
          <w:p w14:paraId="7BB497E9"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25.3</w:t>
            </w:r>
          </w:p>
        </w:tc>
        <w:tc>
          <w:tcPr>
            <w:tcW w:w="823" w:type="dxa"/>
            <w:gridSpan w:val="2"/>
            <w:noWrap/>
            <w:vAlign w:val="center"/>
            <w:hideMark/>
          </w:tcPr>
          <w:p w14:paraId="5A34BEF4"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462</w:t>
            </w:r>
          </w:p>
        </w:tc>
      </w:tr>
      <w:tr w:rsidR="007561EF" w:rsidRPr="002B18A2" w14:paraId="58D479C0" w14:textId="77777777" w:rsidTr="007561EF">
        <w:trPr>
          <w:gridAfter w:val="1"/>
          <w:wAfter w:w="7" w:type="dxa"/>
          <w:trHeight w:val="536"/>
          <w:jc w:val="center"/>
        </w:trPr>
        <w:tc>
          <w:tcPr>
            <w:tcW w:w="1689" w:type="dxa"/>
            <w:noWrap/>
            <w:vAlign w:val="center"/>
            <w:hideMark/>
          </w:tcPr>
          <w:p w14:paraId="57F0EB2E"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Rajasthan</w:t>
            </w:r>
          </w:p>
        </w:tc>
        <w:tc>
          <w:tcPr>
            <w:tcW w:w="581" w:type="dxa"/>
            <w:noWrap/>
            <w:vAlign w:val="center"/>
            <w:hideMark/>
          </w:tcPr>
          <w:p w14:paraId="507B3813"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163</w:t>
            </w:r>
          </w:p>
        </w:tc>
        <w:tc>
          <w:tcPr>
            <w:tcW w:w="527" w:type="dxa"/>
            <w:noWrap/>
            <w:vAlign w:val="center"/>
            <w:hideMark/>
          </w:tcPr>
          <w:p w14:paraId="22230E1E"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11.7</w:t>
            </w:r>
          </w:p>
        </w:tc>
        <w:tc>
          <w:tcPr>
            <w:tcW w:w="645" w:type="dxa"/>
            <w:noWrap/>
            <w:vAlign w:val="center"/>
            <w:hideMark/>
          </w:tcPr>
          <w:p w14:paraId="35E146E0"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32</w:t>
            </w:r>
          </w:p>
        </w:tc>
        <w:tc>
          <w:tcPr>
            <w:tcW w:w="421" w:type="dxa"/>
            <w:noWrap/>
            <w:vAlign w:val="center"/>
            <w:hideMark/>
          </w:tcPr>
          <w:p w14:paraId="1E68DF23"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2.3</w:t>
            </w:r>
          </w:p>
        </w:tc>
        <w:tc>
          <w:tcPr>
            <w:tcW w:w="576" w:type="dxa"/>
            <w:noWrap/>
            <w:vAlign w:val="center"/>
            <w:hideMark/>
          </w:tcPr>
          <w:p w14:paraId="3844FA70"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21</w:t>
            </w:r>
          </w:p>
        </w:tc>
        <w:tc>
          <w:tcPr>
            <w:tcW w:w="490" w:type="dxa"/>
            <w:noWrap/>
            <w:vAlign w:val="center"/>
            <w:hideMark/>
          </w:tcPr>
          <w:p w14:paraId="4948616B"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1.5</w:t>
            </w:r>
          </w:p>
        </w:tc>
        <w:tc>
          <w:tcPr>
            <w:tcW w:w="845" w:type="dxa"/>
            <w:noWrap/>
            <w:vAlign w:val="center"/>
            <w:hideMark/>
          </w:tcPr>
          <w:p w14:paraId="78CE31B1" w14:textId="1FFDF4EF"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4</w:t>
            </w:r>
            <w:r w:rsidR="0064034B">
              <w:rPr>
                <w:rFonts w:ascii="Times New Roman" w:eastAsia="Times New Roman" w:hAnsi="Times New Roman" w:cs="Times New Roman"/>
                <w:color w:val="000000"/>
                <w:kern w:val="0"/>
                <w:szCs w:val="24"/>
                <w:lang w:eastAsia="en-IN"/>
                <w14:ligatures w14:val="none"/>
              </w:rPr>
              <w:t>1</w:t>
            </w:r>
            <w:r w:rsidRPr="002B18A2">
              <w:rPr>
                <w:rFonts w:ascii="Times New Roman" w:eastAsia="Times New Roman" w:hAnsi="Times New Roman" w:cs="Times New Roman"/>
                <w:color w:val="000000"/>
                <w:kern w:val="0"/>
                <w:szCs w:val="24"/>
                <w:lang w:eastAsia="en-IN"/>
                <w14:ligatures w14:val="none"/>
              </w:rPr>
              <w:t>2</w:t>
            </w:r>
          </w:p>
        </w:tc>
        <w:tc>
          <w:tcPr>
            <w:tcW w:w="606" w:type="dxa"/>
            <w:noWrap/>
            <w:vAlign w:val="center"/>
            <w:hideMark/>
          </w:tcPr>
          <w:p w14:paraId="19553BC1"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29.6</w:t>
            </w:r>
          </w:p>
        </w:tc>
        <w:tc>
          <w:tcPr>
            <w:tcW w:w="690" w:type="dxa"/>
            <w:noWrap/>
            <w:vAlign w:val="center"/>
            <w:hideMark/>
          </w:tcPr>
          <w:p w14:paraId="75E216AE"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370</w:t>
            </w:r>
          </w:p>
        </w:tc>
        <w:tc>
          <w:tcPr>
            <w:tcW w:w="527" w:type="dxa"/>
            <w:noWrap/>
            <w:vAlign w:val="center"/>
            <w:hideMark/>
          </w:tcPr>
          <w:p w14:paraId="7D8CFA8F"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26.6</w:t>
            </w:r>
          </w:p>
        </w:tc>
        <w:tc>
          <w:tcPr>
            <w:tcW w:w="849" w:type="dxa"/>
            <w:noWrap/>
            <w:vAlign w:val="center"/>
            <w:hideMark/>
          </w:tcPr>
          <w:p w14:paraId="247528C7"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78</w:t>
            </w:r>
          </w:p>
        </w:tc>
        <w:tc>
          <w:tcPr>
            <w:tcW w:w="553" w:type="dxa"/>
            <w:noWrap/>
            <w:vAlign w:val="center"/>
            <w:hideMark/>
          </w:tcPr>
          <w:p w14:paraId="3DAA1244"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5.6</w:t>
            </w:r>
          </w:p>
        </w:tc>
        <w:tc>
          <w:tcPr>
            <w:tcW w:w="581" w:type="dxa"/>
            <w:noWrap/>
            <w:vAlign w:val="center"/>
            <w:hideMark/>
          </w:tcPr>
          <w:p w14:paraId="408B887B"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129</w:t>
            </w:r>
          </w:p>
        </w:tc>
        <w:tc>
          <w:tcPr>
            <w:tcW w:w="527" w:type="dxa"/>
            <w:noWrap/>
            <w:vAlign w:val="center"/>
            <w:hideMark/>
          </w:tcPr>
          <w:p w14:paraId="43FF9EFD"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9.3</w:t>
            </w:r>
          </w:p>
        </w:tc>
        <w:tc>
          <w:tcPr>
            <w:tcW w:w="581" w:type="dxa"/>
            <w:gridSpan w:val="2"/>
            <w:noWrap/>
            <w:vAlign w:val="center"/>
            <w:hideMark/>
          </w:tcPr>
          <w:p w14:paraId="4083349D"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186</w:t>
            </w:r>
          </w:p>
        </w:tc>
        <w:tc>
          <w:tcPr>
            <w:tcW w:w="527" w:type="dxa"/>
            <w:noWrap/>
            <w:vAlign w:val="center"/>
            <w:hideMark/>
          </w:tcPr>
          <w:p w14:paraId="048649AC"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13.4</w:t>
            </w:r>
          </w:p>
        </w:tc>
        <w:tc>
          <w:tcPr>
            <w:tcW w:w="823" w:type="dxa"/>
            <w:gridSpan w:val="2"/>
            <w:noWrap/>
            <w:vAlign w:val="center"/>
            <w:hideMark/>
          </w:tcPr>
          <w:p w14:paraId="2EC50EC5"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1391</w:t>
            </w:r>
          </w:p>
        </w:tc>
      </w:tr>
      <w:tr w:rsidR="007561EF" w:rsidRPr="002B18A2" w14:paraId="2E468AEA" w14:textId="77777777" w:rsidTr="007561EF">
        <w:trPr>
          <w:gridAfter w:val="1"/>
          <w:wAfter w:w="7" w:type="dxa"/>
          <w:trHeight w:val="536"/>
          <w:jc w:val="center"/>
        </w:trPr>
        <w:tc>
          <w:tcPr>
            <w:tcW w:w="1689" w:type="dxa"/>
            <w:noWrap/>
            <w:vAlign w:val="center"/>
            <w:hideMark/>
          </w:tcPr>
          <w:p w14:paraId="6A4FA0F3"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Saurashtra</w:t>
            </w:r>
          </w:p>
        </w:tc>
        <w:tc>
          <w:tcPr>
            <w:tcW w:w="581" w:type="dxa"/>
            <w:noWrap/>
            <w:vAlign w:val="center"/>
            <w:hideMark/>
          </w:tcPr>
          <w:p w14:paraId="0BDE8131"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41</w:t>
            </w:r>
          </w:p>
        </w:tc>
        <w:tc>
          <w:tcPr>
            <w:tcW w:w="527" w:type="dxa"/>
            <w:noWrap/>
            <w:vAlign w:val="center"/>
            <w:hideMark/>
          </w:tcPr>
          <w:p w14:paraId="720EF264"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5.5</w:t>
            </w:r>
          </w:p>
        </w:tc>
        <w:tc>
          <w:tcPr>
            <w:tcW w:w="645" w:type="dxa"/>
            <w:noWrap/>
            <w:vAlign w:val="center"/>
            <w:hideMark/>
          </w:tcPr>
          <w:p w14:paraId="4275CC02"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22</w:t>
            </w:r>
          </w:p>
        </w:tc>
        <w:tc>
          <w:tcPr>
            <w:tcW w:w="421" w:type="dxa"/>
            <w:noWrap/>
            <w:vAlign w:val="center"/>
            <w:hideMark/>
          </w:tcPr>
          <w:p w14:paraId="3C202EEF" w14:textId="410CD55D"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3</w:t>
            </w:r>
            <w:r w:rsidR="0064034B">
              <w:rPr>
                <w:rFonts w:ascii="Times New Roman" w:eastAsia="Times New Roman" w:hAnsi="Times New Roman" w:cs="Times New Roman"/>
                <w:i/>
                <w:iCs/>
                <w:color w:val="000000"/>
                <w:kern w:val="0"/>
                <w:szCs w:val="24"/>
                <w:lang w:eastAsia="en-IN"/>
                <w14:ligatures w14:val="none"/>
              </w:rPr>
              <w:t>.0</w:t>
            </w:r>
          </w:p>
        </w:tc>
        <w:tc>
          <w:tcPr>
            <w:tcW w:w="576" w:type="dxa"/>
            <w:noWrap/>
            <w:vAlign w:val="center"/>
            <w:hideMark/>
          </w:tcPr>
          <w:p w14:paraId="39B5683B"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3</w:t>
            </w:r>
          </w:p>
        </w:tc>
        <w:tc>
          <w:tcPr>
            <w:tcW w:w="490" w:type="dxa"/>
            <w:noWrap/>
            <w:vAlign w:val="center"/>
            <w:hideMark/>
          </w:tcPr>
          <w:p w14:paraId="7F6C7E5D"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0.4</w:t>
            </w:r>
          </w:p>
        </w:tc>
        <w:tc>
          <w:tcPr>
            <w:tcW w:w="845" w:type="dxa"/>
            <w:noWrap/>
            <w:vAlign w:val="center"/>
            <w:hideMark/>
          </w:tcPr>
          <w:p w14:paraId="0038BB50"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257</w:t>
            </w:r>
          </w:p>
        </w:tc>
        <w:tc>
          <w:tcPr>
            <w:tcW w:w="606" w:type="dxa"/>
            <w:noWrap/>
            <w:vAlign w:val="center"/>
            <w:hideMark/>
          </w:tcPr>
          <w:p w14:paraId="1B76938D"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34.6</w:t>
            </w:r>
          </w:p>
        </w:tc>
        <w:tc>
          <w:tcPr>
            <w:tcW w:w="690" w:type="dxa"/>
            <w:noWrap/>
            <w:vAlign w:val="center"/>
            <w:hideMark/>
          </w:tcPr>
          <w:p w14:paraId="2F075780"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215</w:t>
            </w:r>
          </w:p>
        </w:tc>
        <w:tc>
          <w:tcPr>
            <w:tcW w:w="527" w:type="dxa"/>
            <w:noWrap/>
            <w:vAlign w:val="center"/>
            <w:hideMark/>
          </w:tcPr>
          <w:p w14:paraId="47B4921B" w14:textId="7119D20A"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29</w:t>
            </w:r>
            <w:r w:rsidR="0064034B">
              <w:rPr>
                <w:rFonts w:ascii="Times New Roman" w:eastAsia="Times New Roman" w:hAnsi="Times New Roman" w:cs="Times New Roman"/>
                <w:i/>
                <w:iCs/>
                <w:color w:val="000000"/>
                <w:kern w:val="0"/>
                <w:szCs w:val="24"/>
                <w:lang w:eastAsia="en-IN"/>
                <w14:ligatures w14:val="none"/>
              </w:rPr>
              <w:t>.0</w:t>
            </w:r>
          </w:p>
        </w:tc>
        <w:tc>
          <w:tcPr>
            <w:tcW w:w="849" w:type="dxa"/>
            <w:noWrap/>
            <w:vAlign w:val="center"/>
            <w:hideMark/>
          </w:tcPr>
          <w:p w14:paraId="7555F005"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37</w:t>
            </w:r>
          </w:p>
        </w:tc>
        <w:tc>
          <w:tcPr>
            <w:tcW w:w="553" w:type="dxa"/>
            <w:noWrap/>
            <w:vAlign w:val="center"/>
            <w:hideMark/>
          </w:tcPr>
          <w:p w14:paraId="7CE5E454" w14:textId="2B7B2693"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5</w:t>
            </w:r>
            <w:r w:rsidR="0064034B">
              <w:rPr>
                <w:rFonts w:ascii="Times New Roman" w:eastAsia="Times New Roman" w:hAnsi="Times New Roman" w:cs="Times New Roman"/>
                <w:i/>
                <w:iCs/>
                <w:color w:val="000000"/>
                <w:kern w:val="0"/>
                <w:szCs w:val="24"/>
                <w:lang w:eastAsia="en-IN"/>
                <w14:ligatures w14:val="none"/>
              </w:rPr>
              <w:t>.0</w:t>
            </w:r>
          </w:p>
        </w:tc>
        <w:tc>
          <w:tcPr>
            <w:tcW w:w="581" w:type="dxa"/>
            <w:noWrap/>
            <w:vAlign w:val="center"/>
            <w:hideMark/>
          </w:tcPr>
          <w:p w14:paraId="1A7555BE"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70</w:t>
            </w:r>
          </w:p>
        </w:tc>
        <w:tc>
          <w:tcPr>
            <w:tcW w:w="527" w:type="dxa"/>
            <w:noWrap/>
            <w:vAlign w:val="center"/>
            <w:hideMark/>
          </w:tcPr>
          <w:p w14:paraId="22670ACE"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9.4</w:t>
            </w:r>
          </w:p>
        </w:tc>
        <w:tc>
          <w:tcPr>
            <w:tcW w:w="581" w:type="dxa"/>
            <w:gridSpan w:val="2"/>
            <w:noWrap/>
            <w:vAlign w:val="center"/>
            <w:hideMark/>
          </w:tcPr>
          <w:p w14:paraId="66163DD3"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96</w:t>
            </w:r>
          </w:p>
        </w:tc>
        <w:tc>
          <w:tcPr>
            <w:tcW w:w="527" w:type="dxa"/>
            <w:noWrap/>
            <w:vAlign w:val="center"/>
            <w:hideMark/>
          </w:tcPr>
          <w:p w14:paraId="7E4EC24E"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12.9</w:t>
            </w:r>
          </w:p>
        </w:tc>
        <w:tc>
          <w:tcPr>
            <w:tcW w:w="823" w:type="dxa"/>
            <w:gridSpan w:val="2"/>
            <w:noWrap/>
            <w:vAlign w:val="center"/>
            <w:hideMark/>
          </w:tcPr>
          <w:p w14:paraId="2E8137CD"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742</w:t>
            </w:r>
          </w:p>
        </w:tc>
      </w:tr>
      <w:tr w:rsidR="007561EF" w:rsidRPr="002B18A2" w14:paraId="4D89DC0E" w14:textId="77777777" w:rsidTr="007561EF">
        <w:trPr>
          <w:gridAfter w:val="1"/>
          <w:wAfter w:w="7" w:type="dxa"/>
          <w:trHeight w:val="536"/>
          <w:jc w:val="center"/>
        </w:trPr>
        <w:tc>
          <w:tcPr>
            <w:tcW w:w="1689" w:type="dxa"/>
            <w:noWrap/>
            <w:vAlign w:val="center"/>
            <w:hideMark/>
          </w:tcPr>
          <w:p w14:paraId="634C0BDF"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Travancore-Cochin</w:t>
            </w:r>
          </w:p>
        </w:tc>
        <w:tc>
          <w:tcPr>
            <w:tcW w:w="581" w:type="dxa"/>
            <w:noWrap/>
            <w:vAlign w:val="center"/>
            <w:hideMark/>
          </w:tcPr>
          <w:p w14:paraId="7770542F"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112</w:t>
            </w:r>
          </w:p>
        </w:tc>
        <w:tc>
          <w:tcPr>
            <w:tcW w:w="527" w:type="dxa"/>
            <w:noWrap/>
            <w:vAlign w:val="center"/>
            <w:hideMark/>
          </w:tcPr>
          <w:p w14:paraId="2B5A77AD"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8.8</w:t>
            </w:r>
          </w:p>
        </w:tc>
        <w:tc>
          <w:tcPr>
            <w:tcW w:w="645" w:type="dxa"/>
            <w:noWrap/>
            <w:vAlign w:val="center"/>
            <w:hideMark/>
          </w:tcPr>
          <w:p w14:paraId="48ADF134"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3</w:t>
            </w:r>
          </w:p>
        </w:tc>
        <w:tc>
          <w:tcPr>
            <w:tcW w:w="421" w:type="dxa"/>
            <w:noWrap/>
            <w:vAlign w:val="center"/>
            <w:hideMark/>
          </w:tcPr>
          <w:p w14:paraId="540B2B0F"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0.2</w:t>
            </w:r>
          </w:p>
        </w:tc>
        <w:tc>
          <w:tcPr>
            <w:tcW w:w="576" w:type="dxa"/>
            <w:noWrap/>
            <w:vAlign w:val="center"/>
            <w:hideMark/>
          </w:tcPr>
          <w:p w14:paraId="4B7FD01D"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105</w:t>
            </w:r>
          </w:p>
        </w:tc>
        <w:tc>
          <w:tcPr>
            <w:tcW w:w="490" w:type="dxa"/>
            <w:noWrap/>
            <w:vAlign w:val="center"/>
            <w:hideMark/>
          </w:tcPr>
          <w:p w14:paraId="015FD76F"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8.8</w:t>
            </w:r>
          </w:p>
        </w:tc>
        <w:tc>
          <w:tcPr>
            <w:tcW w:w="845" w:type="dxa"/>
            <w:noWrap/>
            <w:vAlign w:val="center"/>
            <w:hideMark/>
          </w:tcPr>
          <w:p w14:paraId="54D86A35"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153</w:t>
            </w:r>
          </w:p>
        </w:tc>
        <w:tc>
          <w:tcPr>
            <w:tcW w:w="606" w:type="dxa"/>
            <w:noWrap/>
            <w:vAlign w:val="center"/>
            <w:hideMark/>
          </w:tcPr>
          <w:p w14:paraId="0D6F4588" w14:textId="5A838648"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1</w:t>
            </w:r>
            <w:r w:rsidR="0064034B">
              <w:rPr>
                <w:rFonts w:ascii="Times New Roman" w:eastAsia="Times New Roman" w:hAnsi="Times New Roman" w:cs="Times New Roman"/>
                <w:i/>
                <w:iCs/>
                <w:color w:val="000000"/>
                <w:kern w:val="0"/>
                <w:szCs w:val="24"/>
                <w:lang w:eastAsia="en-IN"/>
                <w14:ligatures w14:val="none"/>
              </w:rPr>
              <w:t>8.0</w:t>
            </w:r>
          </w:p>
        </w:tc>
        <w:tc>
          <w:tcPr>
            <w:tcW w:w="690" w:type="dxa"/>
            <w:noWrap/>
            <w:vAlign w:val="center"/>
            <w:hideMark/>
          </w:tcPr>
          <w:p w14:paraId="00CB1BEC"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390</w:t>
            </w:r>
          </w:p>
        </w:tc>
        <w:tc>
          <w:tcPr>
            <w:tcW w:w="527" w:type="dxa"/>
            <w:noWrap/>
            <w:vAlign w:val="center"/>
            <w:hideMark/>
          </w:tcPr>
          <w:p w14:paraId="0AFAD1FA"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30.6</w:t>
            </w:r>
          </w:p>
        </w:tc>
        <w:tc>
          <w:tcPr>
            <w:tcW w:w="849" w:type="dxa"/>
            <w:noWrap/>
            <w:vAlign w:val="center"/>
            <w:hideMark/>
          </w:tcPr>
          <w:p w14:paraId="535621DC"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18</w:t>
            </w:r>
          </w:p>
        </w:tc>
        <w:tc>
          <w:tcPr>
            <w:tcW w:w="553" w:type="dxa"/>
            <w:noWrap/>
            <w:vAlign w:val="center"/>
            <w:hideMark/>
          </w:tcPr>
          <w:p w14:paraId="2A5DE98D"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1.4</w:t>
            </w:r>
          </w:p>
        </w:tc>
        <w:tc>
          <w:tcPr>
            <w:tcW w:w="581" w:type="dxa"/>
            <w:noWrap/>
            <w:vAlign w:val="center"/>
            <w:hideMark/>
          </w:tcPr>
          <w:p w14:paraId="6FD58250"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193</w:t>
            </w:r>
          </w:p>
        </w:tc>
        <w:tc>
          <w:tcPr>
            <w:tcW w:w="527" w:type="dxa"/>
            <w:noWrap/>
            <w:vAlign w:val="center"/>
            <w:hideMark/>
          </w:tcPr>
          <w:p w14:paraId="6CF52AD3"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15.1</w:t>
            </w:r>
          </w:p>
        </w:tc>
        <w:tc>
          <w:tcPr>
            <w:tcW w:w="581" w:type="dxa"/>
            <w:gridSpan w:val="2"/>
            <w:noWrap/>
            <w:vAlign w:val="center"/>
            <w:hideMark/>
          </w:tcPr>
          <w:p w14:paraId="1478D2EC"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300</w:t>
            </w:r>
          </w:p>
        </w:tc>
        <w:tc>
          <w:tcPr>
            <w:tcW w:w="527" w:type="dxa"/>
            <w:noWrap/>
            <w:vAlign w:val="center"/>
            <w:hideMark/>
          </w:tcPr>
          <w:p w14:paraId="7A405B5B"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23.6</w:t>
            </w:r>
          </w:p>
        </w:tc>
        <w:tc>
          <w:tcPr>
            <w:tcW w:w="823" w:type="dxa"/>
            <w:gridSpan w:val="2"/>
            <w:noWrap/>
            <w:vAlign w:val="center"/>
            <w:hideMark/>
          </w:tcPr>
          <w:p w14:paraId="11FDB809"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1274</w:t>
            </w:r>
          </w:p>
        </w:tc>
      </w:tr>
      <w:tr w:rsidR="007561EF" w:rsidRPr="002B18A2" w14:paraId="31A0C416" w14:textId="77777777" w:rsidTr="007561EF">
        <w:trPr>
          <w:gridAfter w:val="1"/>
          <w:wAfter w:w="7" w:type="dxa"/>
          <w:trHeight w:val="536"/>
          <w:jc w:val="center"/>
        </w:trPr>
        <w:tc>
          <w:tcPr>
            <w:tcW w:w="1689" w:type="dxa"/>
            <w:noWrap/>
            <w:vAlign w:val="center"/>
            <w:hideMark/>
          </w:tcPr>
          <w:p w14:paraId="3CCBD410"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TOTAL</w:t>
            </w:r>
          </w:p>
        </w:tc>
        <w:tc>
          <w:tcPr>
            <w:tcW w:w="581" w:type="dxa"/>
            <w:noWrap/>
            <w:vAlign w:val="center"/>
            <w:hideMark/>
          </w:tcPr>
          <w:p w14:paraId="72932E85"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3255</w:t>
            </w:r>
          </w:p>
        </w:tc>
        <w:tc>
          <w:tcPr>
            <w:tcW w:w="527" w:type="dxa"/>
            <w:noWrap/>
            <w:vAlign w:val="center"/>
            <w:hideMark/>
          </w:tcPr>
          <w:p w14:paraId="136C93D0"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8.5</w:t>
            </w:r>
          </w:p>
        </w:tc>
        <w:tc>
          <w:tcPr>
            <w:tcW w:w="645" w:type="dxa"/>
            <w:noWrap/>
            <w:vAlign w:val="center"/>
            <w:hideMark/>
          </w:tcPr>
          <w:p w14:paraId="476F50D4"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1509</w:t>
            </w:r>
          </w:p>
        </w:tc>
        <w:tc>
          <w:tcPr>
            <w:tcW w:w="421" w:type="dxa"/>
            <w:noWrap/>
            <w:vAlign w:val="center"/>
            <w:hideMark/>
          </w:tcPr>
          <w:p w14:paraId="147CACAF"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3.9</w:t>
            </w:r>
          </w:p>
        </w:tc>
        <w:tc>
          <w:tcPr>
            <w:tcW w:w="576" w:type="dxa"/>
            <w:noWrap/>
            <w:vAlign w:val="center"/>
            <w:hideMark/>
          </w:tcPr>
          <w:p w14:paraId="0DF97CFC"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708</w:t>
            </w:r>
          </w:p>
        </w:tc>
        <w:tc>
          <w:tcPr>
            <w:tcW w:w="490" w:type="dxa"/>
            <w:noWrap/>
            <w:vAlign w:val="center"/>
            <w:hideMark/>
          </w:tcPr>
          <w:p w14:paraId="373C86FF"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1.8</w:t>
            </w:r>
          </w:p>
        </w:tc>
        <w:tc>
          <w:tcPr>
            <w:tcW w:w="845" w:type="dxa"/>
            <w:noWrap/>
            <w:vAlign w:val="center"/>
            <w:hideMark/>
          </w:tcPr>
          <w:p w14:paraId="2813A800"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10080</w:t>
            </w:r>
          </w:p>
        </w:tc>
        <w:tc>
          <w:tcPr>
            <w:tcW w:w="606" w:type="dxa"/>
            <w:noWrap/>
            <w:vAlign w:val="center"/>
            <w:hideMark/>
          </w:tcPr>
          <w:p w14:paraId="1520C6CB"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26.2</w:t>
            </w:r>
          </w:p>
        </w:tc>
        <w:tc>
          <w:tcPr>
            <w:tcW w:w="690" w:type="dxa"/>
            <w:noWrap/>
            <w:vAlign w:val="center"/>
            <w:hideMark/>
          </w:tcPr>
          <w:p w14:paraId="25771577"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11207</w:t>
            </w:r>
          </w:p>
        </w:tc>
        <w:tc>
          <w:tcPr>
            <w:tcW w:w="527" w:type="dxa"/>
            <w:noWrap/>
            <w:vAlign w:val="center"/>
            <w:hideMark/>
          </w:tcPr>
          <w:p w14:paraId="647F4727"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29.1</w:t>
            </w:r>
          </w:p>
        </w:tc>
        <w:tc>
          <w:tcPr>
            <w:tcW w:w="849" w:type="dxa"/>
            <w:noWrap/>
            <w:vAlign w:val="center"/>
            <w:hideMark/>
          </w:tcPr>
          <w:p w14:paraId="01D9839B"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1931</w:t>
            </w:r>
          </w:p>
        </w:tc>
        <w:tc>
          <w:tcPr>
            <w:tcW w:w="553" w:type="dxa"/>
            <w:noWrap/>
            <w:vAlign w:val="center"/>
            <w:hideMark/>
          </w:tcPr>
          <w:p w14:paraId="109A7C05" w14:textId="0CE3CF54"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5</w:t>
            </w:r>
            <w:r w:rsidR="0064034B">
              <w:rPr>
                <w:rFonts w:ascii="Times New Roman" w:eastAsia="Times New Roman" w:hAnsi="Times New Roman" w:cs="Times New Roman"/>
                <w:i/>
                <w:iCs/>
                <w:color w:val="000000"/>
                <w:kern w:val="0"/>
                <w:szCs w:val="24"/>
                <w:lang w:eastAsia="en-IN"/>
                <w14:ligatures w14:val="none"/>
              </w:rPr>
              <w:t>.0</w:t>
            </w:r>
          </w:p>
        </w:tc>
        <w:tc>
          <w:tcPr>
            <w:tcW w:w="581" w:type="dxa"/>
            <w:noWrap/>
            <w:vAlign w:val="center"/>
            <w:hideMark/>
          </w:tcPr>
          <w:p w14:paraId="119493D4"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4414</w:t>
            </w:r>
          </w:p>
        </w:tc>
        <w:tc>
          <w:tcPr>
            <w:tcW w:w="527" w:type="dxa"/>
            <w:noWrap/>
            <w:vAlign w:val="center"/>
            <w:hideMark/>
          </w:tcPr>
          <w:p w14:paraId="0BF7E57D"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11.5</w:t>
            </w:r>
          </w:p>
        </w:tc>
        <w:tc>
          <w:tcPr>
            <w:tcW w:w="581" w:type="dxa"/>
            <w:gridSpan w:val="2"/>
            <w:noWrap/>
            <w:vAlign w:val="center"/>
            <w:hideMark/>
          </w:tcPr>
          <w:p w14:paraId="402BAC19"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5356</w:t>
            </w:r>
          </w:p>
        </w:tc>
        <w:tc>
          <w:tcPr>
            <w:tcW w:w="527" w:type="dxa"/>
            <w:noWrap/>
            <w:vAlign w:val="center"/>
            <w:hideMark/>
          </w:tcPr>
          <w:p w14:paraId="6676240E" w14:textId="77777777" w:rsidR="002B18A2" w:rsidRPr="002B18A2" w:rsidRDefault="002B18A2" w:rsidP="002B18A2">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2B18A2">
              <w:rPr>
                <w:rFonts w:ascii="Times New Roman" w:eastAsia="Times New Roman" w:hAnsi="Times New Roman" w:cs="Times New Roman"/>
                <w:i/>
                <w:iCs/>
                <w:color w:val="000000"/>
                <w:kern w:val="0"/>
                <w:szCs w:val="24"/>
                <w:lang w:eastAsia="en-IN"/>
                <w14:ligatures w14:val="none"/>
              </w:rPr>
              <w:t>13.9</w:t>
            </w:r>
          </w:p>
        </w:tc>
        <w:tc>
          <w:tcPr>
            <w:tcW w:w="823" w:type="dxa"/>
            <w:gridSpan w:val="2"/>
            <w:noWrap/>
            <w:vAlign w:val="center"/>
            <w:hideMark/>
          </w:tcPr>
          <w:p w14:paraId="5D521948" w14:textId="77777777" w:rsidR="002B18A2" w:rsidRPr="002B18A2" w:rsidRDefault="002B18A2" w:rsidP="002B18A2">
            <w:pPr>
              <w:spacing w:after="0" w:line="240" w:lineRule="auto"/>
              <w:jc w:val="center"/>
              <w:rPr>
                <w:rFonts w:ascii="Times New Roman" w:eastAsia="Times New Roman" w:hAnsi="Times New Roman" w:cs="Times New Roman"/>
                <w:color w:val="000000"/>
                <w:kern w:val="0"/>
                <w:szCs w:val="24"/>
                <w:lang w:eastAsia="en-IN"/>
                <w14:ligatures w14:val="none"/>
              </w:rPr>
            </w:pPr>
            <w:r w:rsidRPr="002B18A2">
              <w:rPr>
                <w:rFonts w:ascii="Times New Roman" w:eastAsia="Times New Roman" w:hAnsi="Times New Roman" w:cs="Times New Roman"/>
                <w:color w:val="000000"/>
                <w:kern w:val="0"/>
                <w:szCs w:val="24"/>
                <w:lang w:eastAsia="en-IN"/>
                <w14:ligatures w14:val="none"/>
              </w:rPr>
              <w:t>38461</w:t>
            </w:r>
          </w:p>
        </w:tc>
      </w:tr>
    </w:tbl>
    <w:p w14:paraId="7BF0C47E" w14:textId="77777777" w:rsidR="002B18A2" w:rsidRPr="005534D4" w:rsidRDefault="00971D75" w:rsidP="002B18A2">
      <w:pPr>
        <w:pStyle w:val="Sources"/>
      </w:pPr>
      <w:r w:rsidRPr="005534D4">
        <w:t>(a) Rs. 400 lakhs transferred to meet capital expenditure, corresponding to transfer to</w:t>
      </w:r>
      <w:r w:rsidR="002B18A2">
        <w:t xml:space="preserve"> </w:t>
      </w:r>
      <w:r w:rsidR="002B18A2" w:rsidRPr="005534D4">
        <w:t>revenue of an equivalent amount from the Revenue Reserve Fund, not excluded.</w:t>
      </w:r>
    </w:p>
    <w:p w14:paraId="38824FB7" w14:textId="77777777" w:rsidR="002B18A2" w:rsidRDefault="002B18A2" w:rsidP="00971D75">
      <w:pPr>
        <w:pStyle w:val="NoSpacing"/>
        <w:rPr>
          <w:rFonts w:ascii="Times New Roman" w:hAnsi="Times New Roman" w:cs="Times New Roman"/>
        </w:rPr>
        <w:sectPr w:rsidR="002B18A2" w:rsidSect="002B18A2">
          <w:pgSz w:w="16838" w:h="11906" w:orient="landscape"/>
          <w:pgMar w:top="1134" w:right="1440" w:bottom="1440" w:left="1440" w:header="709" w:footer="709" w:gutter="0"/>
          <w:cols w:space="708"/>
          <w:docGrid w:linePitch="360"/>
        </w:sectPr>
      </w:pPr>
    </w:p>
    <w:p w14:paraId="78E85A48" w14:textId="5EAEFF6C" w:rsidR="00971D75" w:rsidRPr="005534D4" w:rsidRDefault="00971D75" w:rsidP="00971D75">
      <w:pPr>
        <w:pStyle w:val="NoSpacing"/>
        <w:rPr>
          <w:rFonts w:ascii="Times New Roman" w:hAnsi="Times New Roman" w:cs="Times New Roman"/>
        </w:rPr>
      </w:pPr>
    </w:p>
    <w:p w14:paraId="2F11A4C5" w14:textId="729D2B6E" w:rsidR="009D0FC7" w:rsidRDefault="00754CB8" w:rsidP="0075507D">
      <w:pPr>
        <w:pStyle w:val="Heading3"/>
      </w:pPr>
      <w:bookmarkStart w:id="33" w:name="_Toc221007142"/>
      <w:r w:rsidRPr="005534D4">
        <w:t>7(b).—Composition of Expenditure met from Revenue of</w:t>
      </w:r>
      <w:r w:rsidR="009D0FC7">
        <w:t xml:space="preserve"> </w:t>
      </w:r>
      <w:r w:rsidR="009D0FC7" w:rsidRPr="005534D4">
        <w:t>Part 'A' and Part 'B' States—1951-52 (Provisional figures)</w:t>
      </w:r>
      <w:bookmarkEnd w:id="33"/>
    </w:p>
    <w:p w14:paraId="749730AB" w14:textId="72D9F825" w:rsidR="00754CB8" w:rsidRPr="009D0FC7" w:rsidRDefault="00754CB8" w:rsidP="009D0FC7">
      <w:pPr>
        <w:jc w:val="center"/>
        <w:rPr>
          <w:rFonts w:ascii="Times New Roman" w:hAnsi="Times New Roman" w:cs="Times New Roman"/>
        </w:rPr>
      </w:pPr>
      <w:r w:rsidRPr="009D0FC7">
        <w:rPr>
          <w:rFonts w:ascii="Times New Roman" w:hAnsi="Times New Roman" w:cs="Times New Roman"/>
        </w:rPr>
        <w:t>The percentage of the expenditure in each category to</w:t>
      </w:r>
      <w:r w:rsidR="009D0FC7" w:rsidRPr="009D0FC7">
        <w:rPr>
          <w:rFonts w:ascii="Times New Roman" w:hAnsi="Times New Roman" w:cs="Times New Roman"/>
        </w:rPr>
        <w:t xml:space="preserve"> the total expenditure is given in italics along-side the figures.</w:t>
      </w:r>
    </w:p>
    <w:p w14:paraId="7528F065" w14:textId="77777777" w:rsidR="009D0FC7" w:rsidRDefault="009D0FC7" w:rsidP="00754CB8">
      <w:pPr>
        <w:rPr>
          <w:rFonts w:ascii="Times New Roman" w:hAnsi="Times New Roman" w:cs="Times New Roman"/>
          <w:b/>
          <w:bCs/>
        </w:rPr>
      </w:pPr>
    </w:p>
    <w:tbl>
      <w:tblPr>
        <w:tblW w:w="13657" w:type="dxa"/>
        <w:jc w:val="center"/>
        <w:tblLook w:val="04A0" w:firstRow="1" w:lastRow="0" w:firstColumn="1" w:lastColumn="0" w:noHBand="0" w:noVBand="1"/>
      </w:tblPr>
      <w:tblGrid>
        <w:gridCol w:w="1586"/>
        <w:gridCol w:w="1434"/>
        <w:gridCol w:w="1404"/>
        <w:gridCol w:w="1206"/>
        <w:gridCol w:w="2013"/>
        <w:gridCol w:w="1206"/>
        <w:gridCol w:w="1891"/>
        <w:gridCol w:w="1039"/>
        <w:gridCol w:w="947"/>
        <w:gridCol w:w="931"/>
      </w:tblGrid>
      <w:tr w:rsidR="009D0FC7" w:rsidRPr="009D0FC7" w14:paraId="04F32020" w14:textId="77777777" w:rsidTr="009D0FC7">
        <w:trPr>
          <w:trHeight w:val="20"/>
          <w:jc w:val="center"/>
        </w:trPr>
        <w:tc>
          <w:tcPr>
            <w:tcW w:w="1586" w:type="dxa"/>
            <w:tcBorders>
              <w:top w:val="single" w:sz="4" w:space="0" w:color="auto"/>
              <w:left w:val="single" w:sz="4" w:space="0" w:color="auto"/>
              <w:bottom w:val="single" w:sz="4" w:space="0" w:color="auto"/>
              <w:right w:val="single" w:sz="4" w:space="0" w:color="auto"/>
            </w:tcBorders>
            <w:vAlign w:val="center"/>
            <w:hideMark/>
          </w:tcPr>
          <w:p w14:paraId="2A516E46" w14:textId="12981027" w:rsidR="009D0FC7" w:rsidRPr="009D0FC7" w:rsidRDefault="009D0FC7" w:rsidP="009D0FC7">
            <w:pPr>
              <w:spacing w:after="0" w:line="240" w:lineRule="auto"/>
              <w:jc w:val="center"/>
              <w:rPr>
                <w:rFonts w:ascii="Aptos" w:eastAsia="Times New Roman" w:hAnsi="Aptos" w:cs="Times New Roman"/>
                <w:color w:val="000000"/>
                <w:kern w:val="0"/>
                <w:szCs w:val="24"/>
                <w:lang w:eastAsia="en-IN"/>
                <w14:ligatures w14:val="none"/>
              </w:rPr>
            </w:pPr>
          </w:p>
        </w:tc>
        <w:tc>
          <w:tcPr>
            <w:tcW w:w="1434" w:type="dxa"/>
            <w:tcBorders>
              <w:top w:val="single" w:sz="4" w:space="0" w:color="auto"/>
              <w:left w:val="nil"/>
              <w:bottom w:val="single" w:sz="4" w:space="0" w:color="auto"/>
              <w:right w:val="single" w:sz="4" w:space="0" w:color="auto"/>
            </w:tcBorders>
            <w:vAlign w:val="center"/>
            <w:hideMark/>
          </w:tcPr>
          <w:p w14:paraId="11003BBD" w14:textId="77777777" w:rsidR="009D0FC7" w:rsidRPr="009D0FC7" w:rsidRDefault="009D0FC7" w:rsidP="009D0FC7">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9D0FC7">
              <w:rPr>
                <w:rFonts w:ascii="Times New Roman" w:eastAsia="Times New Roman" w:hAnsi="Times New Roman" w:cs="Times New Roman"/>
                <w:b/>
                <w:bCs/>
                <w:color w:val="000000"/>
                <w:kern w:val="0"/>
                <w:szCs w:val="24"/>
                <w:lang w:eastAsia="en-IN"/>
                <w14:ligatures w14:val="none"/>
              </w:rPr>
              <w:t>Cost of Tax Collection</w:t>
            </w:r>
          </w:p>
        </w:tc>
        <w:tc>
          <w:tcPr>
            <w:tcW w:w="1404" w:type="dxa"/>
            <w:tcBorders>
              <w:top w:val="single" w:sz="4" w:space="0" w:color="auto"/>
              <w:left w:val="nil"/>
              <w:bottom w:val="single" w:sz="4" w:space="0" w:color="auto"/>
              <w:right w:val="single" w:sz="4" w:space="0" w:color="auto"/>
            </w:tcBorders>
            <w:vAlign w:val="center"/>
            <w:hideMark/>
          </w:tcPr>
          <w:p w14:paraId="51008000" w14:textId="77777777" w:rsidR="009D0FC7" w:rsidRPr="009D0FC7" w:rsidRDefault="009D0FC7" w:rsidP="009D0FC7">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9D0FC7">
              <w:rPr>
                <w:rFonts w:ascii="Times New Roman" w:eastAsia="Times New Roman" w:hAnsi="Times New Roman" w:cs="Times New Roman"/>
                <w:b/>
                <w:bCs/>
                <w:color w:val="000000"/>
                <w:kern w:val="0"/>
                <w:szCs w:val="24"/>
                <w:lang w:eastAsia="en-IN"/>
                <w14:ligatures w14:val="none"/>
              </w:rPr>
              <w:t>Irrigation</w:t>
            </w:r>
          </w:p>
        </w:tc>
        <w:tc>
          <w:tcPr>
            <w:tcW w:w="1206" w:type="dxa"/>
            <w:tcBorders>
              <w:top w:val="single" w:sz="4" w:space="0" w:color="auto"/>
              <w:left w:val="nil"/>
              <w:bottom w:val="single" w:sz="4" w:space="0" w:color="auto"/>
              <w:right w:val="nil"/>
            </w:tcBorders>
            <w:vAlign w:val="center"/>
            <w:hideMark/>
          </w:tcPr>
          <w:p w14:paraId="1B3B5EA3" w14:textId="77777777" w:rsidR="009D0FC7" w:rsidRPr="009D0FC7" w:rsidRDefault="009D0FC7" w:rsidP="009D0FC7">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9D0FC7">
              <w:rPr>
                <w:rFonts w:ascii="Times New Roman" w:eastAsia="Times New Roman" w:hAnsi="Times New Roman" w:cs="Times New Roman"/>
                <w:b/>
                <w:bCs/>
                <w:color w:val="000000"/>
                <w:kern w:val="0"/>
                <w:szCs w:val="24"/>
                <w:lang w:eastAsia="en-IN"/>
                <w14:ligatures w14:val="none"/>
              </w:rPr>
              <w:t>Debt Services</w:t>
            </w:r>
          </w:p>
        </w:tc>
        <w:tc>
          <w:tcPr>
            <w:tcW w:w="2013" w:type="dxa"/>
            <w:tcBorders>
              <w:top w:val="single" w:sz="4" w:space="0" w:color="auto"/>
              <w:left w:val="single" w:sz="4" w:space="0" w:color="auto"/>
              <w:bottom w:val="single" w:sz="4" w:space="0" w:color="auto"/>
              <w:right w:val="single" w:sz="4" w:space="0" w:color="auto"/>
            </w:tcBorders>
            <w:vAlign w:val="center"/>
            <w:hideMark/>
          </w:tcPr>
          <w:p w14:paraId="4FAA5680" w14:textId="77777777" w:rsidR="009D0FC7" w:rsidRPr="009D0FC7" w:rsidRDefault="009D0FC7" w:rsidP="009D0FC7">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9D0FC7">
              <w:rPr>
                <w:rFonts w:ascii="Times New Roman" w:eastAsia="Times New Roman" w:hAnsi="Times New Roman" w:cs="Times New Roman"/>
                <w:b/>
                <w:bCs/>
                <w:color w:val="000000"/>
                <w:kern w:val="0"/>
                <w:szCs w:val="24"/>
                <w:lang w:eastAsia="en-IN"/>
                <w14:ligatures w14:val="none"/>
              </w:rPr>
              <w:t>Administrative Services</w:t>
            </w:r>
          </w:p>
        </w:tc>
        <w:tc>
          <w:tcPr>
            <w:tcW w:w="1206" w:type="dxa"/>
            <w:tcBorders>
              <w:top w:val="single" w:sz="4" w:space="0" w:color="auto"/>
              <w:left w:val="nil"/>
              <w:bottom w:val="single" w:sz="4" w:space="0" w:color="auto"/>
              <w:right w:val="single" w:sz="4" w:space="0" w:color="auto"/>
            </w:tcBorders>
            <w:vAlign w:val="center"/>
            <w:hideMark/>
          </w:tcPr>
          <w:p w14:paraId="54C54AAF" w14:textId="77777777" w:rsidR="009D0FC7" w:rsidRPr="009D0FC7" w:rsidRDefault="009D0FC7" w:rsidP="009D0FC7">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9D0FC7">
              <w:rPr>
                <w:rFonts w:ascii="Times New Roman" w:eastAsia="Times New Roman" w:hAnsi="Times New Roman" w:cs="Times New Roman"/>
                <w:b/>
                <w:bCs/>
                <w:color w:val="000000"/>
                <w:kern w:val="0"/>
                <w:szCs w:val="24"/>
                <w:lang w:eastAsia="en-IN"/>
                <w14:ligatures w14:val="none"/>
              </w:rPr>
              <w:t>Social Services</w:t>
            </w:r>
          </w:p>
        </w:tc>
        <w:tc>
          <w:tcPr>
            <w:tcW w:w="1891" w:type="dxa"/>
            <w:tcBorders>
              <w:top w:val="single" w:sz="4" w:space="0" w:color="auto"/>
              <w:left w:val="nil"/>
              <w:bottom w:val="single" w:sz="4" w:space="0" w:color="auto"/>
              <w:right w:val="single" w:sz="4" w:space="0" w:color="auto"/>
            </w:tcBorders>
            <w:vAlign w:val="center"/>
            <w:hideMark/>
          </w:tcPr>
          <w:p w14:paraId="2FCF01C7" w14:textId="77777777" w:rsidR="009D0FC7" w:rsidRPr="009D0FC7" w:rsidRDefault="009D0FC7" w:rsidP="009D0FC7">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9D0FC7">
              <w:rPr>
                <w:rFonts w:ascii="Times New Roman" w:eastAsia="Times New Roman" w:hAnsi="Times New Roman" w:cs="Times New Roman"/>
                <w:b/>
                <w:bCs/>
                <w:color w:val="000000"/>
                <w:kern w:val="0"/>
                <w:szCs w:val="24"/>
                <w:lang w:eastAsia="en-IN"/>
                <w14:ligatures w14:val="none"/>
              </w:rPr>
              <w:t>Industries &amp; Miscellaneous Departments</w:t>
            </w:r>
          </w:p>
        </w:tc>
        <w:tc>
          <w:tcPr>
            <w:tcW w:w="1039" w:type="dxa"/>
            <w:tcBorders>
              <w:top w:val="single" w:sz="4" w:space="0" w:color="auto"/>
              <w:left w:val="nil"/>
              <w:bottom w:val="single" w:sz="4" w:space="0" w:color="auto"/>
              <w:right w:val="single" w:sz="4" w:space="0" w:color="auto"/>
            </w:tcBorders>
            <w:vAlign w:val="center"/>
            <w:hideMark/>
          </w:tcPr>
          <w:p w14:paraId="3383FFD8" w14:textId="77777777" w:rsidR="009D0FC7" w:rsidRPr="009D0FC7" w:rsidRDefault="009D0FC7" w:rsidP="009D0FC7">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9D0FC7">
              <w:rPr>
                <w:rFonts w:ascii="Times New Roman" w:eastAsia="Times New Roman" w:hAnsi="Times New Roman" w:cs="Times New Roman"/>
                <w:b/>
                <w:bCs/>
                <w:color w:val="000000"/>
                <w:kern w:val="0"/>
                <w:szCs w:val="24"/>
                <w:lang w:eastAsia="en-IN"/>
                <w14:ligatures w14:val="none"/>
              </w:rPr>
              <w:t>Civil Works</w:t>
            </w:r>
          </w:p>
        </w:tc>
        <w:tc>
          <w:tcPr>
            <w:tcW w:w="947" w:type="dxa"/>
            <w:tcBorders>
              <w:top w:val="single" w:sz="4" w:space="0" w:color="auto"/>
              <w:left w:val="nil"/>
              <w:bottom w:val="single" w:sz="4" w:space="0" w:color="auto"/>
              <w:right w:val="single" w:sz="4" w:space="0" w:color="auto"/>
            </w:tcBorders>
            <w:vAlign w:val="center"/>
            <w:hideMark/>
          </w:tcPr>
          <w:p w14:paraId="69FABF0F" w14:textId="77777777" w:rsidR="009D0FC7" w:rsidRPr="009D0FC7" w:rsidRDefault="009D0FC7" w:rsidP="009D0FC7">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9D0FC7">
              <w:rPr>
                <w:rFonts w:ascii="Times New Roman" w:eastAsia="Times New Roman" w:hAnsi="Times New Roman" w:cs="Times New Roman"/>
                <w:b/>
                <w:bCs/>
                <w:color w:val="000000"/>
                <w:kern w:val="0"/>
                <w:szCs w:val="24"/>
                <w:lang w:eastAsia="en-IN"/>
                <w14:ligatures w14:val="none"/>
              </w:rPr>
              <w:t>Other Items</w:t>
            </w:r>
          </w:p>
        </w:tc>
        <w:tc>
          <w:tcPr>
            <w:tcW w:w="931" w:type="dxa"/>
            <w:tcBorders>
              <w:top w:val="single" w:sz="4" w:space="0" w:color="auto"/>
              <w:left w:val="nil"/>
              <w:bottom w:val="single" w:sz="4" w:space="0" w:color="auto"/>
              <w:right w:val="single" w:sz="4" w:space="0" w:color="auto"/>
            </w:tcBorders>
            <w:vAlign w:val="center"/>
            <w:hideMark/>
          </w:tcPr>
          <w:p w14:paraId="53808820" w14:textId="77777777" w:rsidR="009D0FC7" w:rsidRPr="009D0FC7" w:rsidRDefault="009D0FC7" w:rsidP="009D0FC7">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9D0FC7">
              <w:rPr>
                <w:rFonts w:ascii="Times New Roman" w:eastAsia="Times New Roman" w:hAnsi="Times New Roman" w:cs="Times New Roman"/>
                <w:b/>
                <w:bCs/>
                <w:color w:val="000000"/>
                <w:kern w:val="0"/>
                <w:szCs w:val="24"/>
                <w:lang w:eastAsia="en-IN"/>
                <w14:ligatures w14:val="none"/>
              </w:rPr>
              <w:t>Total</w:t>
            </w:r>
          </w:p>
        </w:tc>
      </w:tr>
      <w:tr w:rsidR="009D0FC7" w:rsidRPr="009D0FC7" w14:paraId="23249121" w14:textId="77777777" w:rsidTr="009D0FC7">
        <w:trPr>
          <w:trHeight w:val="20"/>
          <w:jc w:val="center"/>
        </w:trPr>
        <w:tc>
          <w:tcPr>
            <w:tcW w:w="1586" w:type="dxa"/>
            <w:tcBorders>
              <w:top w:val="nil"/>
              <w:left w:val="single" w:sz="4" w:space="0" w:color="auto"/>
              <w:bottom w:val="single" w:sz="4" w:space="0" w:color="auto"/>
              <w:right w:val="single" w:sz="4" w:space="0" w:color="auto"/>
            </w:tcBorders>
            <w:vAlign w:val="center"/>
            <w:hideMark/>
          </w:tcPr>
          <w:p w14:paraId="7E241FB2"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Assam</w:t>
            </w:r>
          </w:p>
        </w:tc>
        <w:tc>
          <w:tcPr>
            <w:tcW w:w="1434" w:type="dxa"/>
            <w:tcBorders>
              <w:top w:val="nil"/>
              <w:left w:val="nil"/>
              <w:bottom w:val="single" w:sz="4" w:space="0" w:color="auto"/>
              <w:right w:val="single" w:sz="4" w:space="0" w:color="auto"/>
            </w:tcBorders>
            <w:vAlign w:val="center"/>
            <w:hideMark/>
          </w:tcPr>
          <w:p w14:paraId="4AE0F915"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98</w:t>
            </w:r>
          </w:p>
        </w:tc>
        <w:tc>
          <w:tcPr>
            <w:tcW w:w="1404" w:type="dxa"/>
            <w:tcBorders>
              <w:top w:val="nil"/>
              <w:left w:val="nil"/>
              <w:bottom w:val="single" w:sz="4" w:space="0" w:color="auto"/>
              <w:right w:val="single" w:sz="4" w:space="0" w:color="auto"/>
            </w:tcBorders>
            <w:vAlign w:val="center"/>
            <w:hideMark/>
          </w:tcPr>
          <w:p w14:paraId="33C07990"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16</w:t>
            </w:r>
          </w:p>
        </w:tc>
        <w:tc>
          <w:tcPr>
            <w:tcW w:w="1206" w:type="dxa"/>
            <w:tcBorders>
              <w:top w:val="nil"/>
              <w:left w:val="nil"/>
              <w:bottom w:val="single" w:sz="4" w:space="0" w:color="auto"/>
              <w:right w:val="nil"/>
            </w:tcBorders>
            <w:vAlign w:val="center"/>
            <w:hideMark/>
          </w:tcPr>
          <w:p w14:paraId="7A046878"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9</w:t>
            </w:r>
          </w:p>
        </w:tc>
        <w:tc>
          <w:tcPr>
            <w:tcW w:w="2013" w:type="dxa"/>
            <w:tcBorders>
              <w:top w:val="nil"/>
              <w:left w:val="single" w:sz="4" w:space="0" w:color="auto"/>
              <w:bottom w:val="single" w:sz="4" w:space="0" w:color="auto"/>
              <w:right w:val="single" w:sz="4" w:space="0" w:color="auto"/>
            </w:tcBorders>
            <w:vAlign w:val="center"/>
            <w:hideMark/>
          </w:tcPr>
          <w:p w14:paraId="1628B7A9"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222</w:t>
            </w:r>
          </w:p>
        </w:tc>
        <w:tc>
          <w:tcPr>
            <w:tcW w:w="1206" w:type="dxa"/>
            <w:tcBorders>
              <w:top w:val="nil"/>
              <w:left w:val="nil"/>
              <w:bottom w:val="single" w:sz="4" w:space="0" w:color="auto"/>
              <w:right w:val="single" w:sz="4" w:space="0" w:color="auto"/>
            </w:tcBorders>
            <w:vAlign w:val="center"/>
            <w:hideMark/>
          </w:tcPr>
          <w:p w14:paraId="331A8FCF"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330</w:t>
            </w:r>
          </w:p>
        </w:tc>
        <w:tc>
          <w:tcPr>
            <w:tcW w:w="1891" w:type="dxa"/>
            <w:tcBorders>
              <w:top w:val="nil"/>
              <w:left w:val="nil"/>
              <w:bottom w:val="single" w:sz="4" w:space="0" w:color="auto"/>
              <w:right w:val="single" w:sz="4" w:space="0" w:color="auto"/>
            </w:tcBorders>
            <w:vAlign w:val="center"/>
            <w:hideMark/>
          </w:tcPr>
          <w:p w14:paraId="1D0BC1A2"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11</w:t>
            </w:r>
          </w:p>
        </w:tc>
        <w:tc>
          <w:tcPr>
            <w:tcW w:w="1039" w:type="dxa"/>
            <w:tcBorders>
              <w:top w:val="nil"/>
              <w:left w:val="nil"/>
              <w:bottom w:val="single" w:sz="4" w:space="0" w:color="auto"/>
              <w:right w:val="single" w:sz="4" w:space="0" w:color="auto"/>
            </w:tcBorders>
            <w:vAlign w:val="center"/>
            <w:hideMark/>
          </w:tcPr>
          <w:p w14:paraId="671017A0"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206</w:t>
            </w:r>
          </w:p>
        </w:tc>
        <w:tc>
          <w:tcPr>
            <w:tcW w:w="947" w:type="dxa"/>
            <w:tcBorders>
              <w:top w:val="nil"/>
              <w:left w:val="nil"/>
              <w:bottom w:val="single" w:sz="4" w:space="0" w:color="auto"/>
              <w:right w:val="single" w:sz="4" w:space="0" w:color="auto"/>
            </w:tcBorders>
            <w:vAlign w:val="center"/>
            <w:hideMark/>
          </w:tcPr>
          <w:p w14:paraId="6F6742AB"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198</w:t>
            </w:r>
          </w:p>
        </w:tc>
        <w:tc>
          <w:tcPr>
            <w:tcW w:w="931" w:type="dxa"/>
            <w:tcBorders>
              <w:top w:val="nil"/>
              <w:left w:val="nil"/>
              <w:bottom w:val="single" w:sz="4" w:space="0" w:color="auto"/>
              <w:right w:val="single" w:sz="4" w:space="0" w:color="auto"/>
            </w:tcBorders>
            <w:vAlign w:val="center"/>
            <w:hideMark/>
          </w:tcPr>
          <w:p w14:paraId="67758963"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1090</w:t>
            </w:r>
          </w:p>
        </w:tc>
      </w:tr>
      <w:tr w:rsidR="009D0FC7" w:rsidRPr="009D0FC7" w14:paraId="6B82B120" w14:textId="77777777" w:rsidTr="009D0FC7">
        <w:trPr>
          <w:trHeight w:val="20"/>
          <w:jc w:val="center"/>
        </w:trPr>
        <w:tc>
          <w:tcPr>
            <w:tcW w:w="1586" w:type="dxa"/>
            <w:tcBorders>
              <w:top w:val="nil"/>
              <w:left w:val="single" w:sz="4" w:space="0" w:color="auto"/>
              <w:bottom w:val="single" w:sz="4" w:space="0" w:color="auto"/>
              <w:right w:val="single" w:sz="4" w:space="0" w:color="auto"/>
            </w:tcBorders>
            <w:vAlign w:val="center"/>
            <w:hideMark/>
          </w:tcPr>
          <w:p w14:paraId="4CE0639F" w14:textId="6EB05EF0"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p>
        </w:tc>
        <w:tc>
          <w:tcPr>
            <w:tcW w:w="1434" w:type="dxa"/>
            <w:tcBorders>
              <w:top w:val="nil"/>
              <w:left w:val="nil"/>
              <w:bottom w:val="single" w:sz="4" w:space="0" w:color="auto"/>
              <w:right w:val="single" w:sz="4" w:space="0" w:color="auto"/>
            </w:tcBorders>
            <w:vAlign w:val="center"/>
            <w:hideMark/>
          </w:tcPr>
          <w:p w14:paraId="575AB349" w14:textId="48C912A8"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9</w:t>
            </w:r>
            <w:r w:rsidR="00A62199">
              <w:rPr>
                <w:rFonts w:ascii="Times New Roman" w:eastAsia="Times New Roman" w:hAnsi="Times New Roman" w:cs="Times New Roman"/>
                <w:i/>
                <w:iCs/>
                <w:color w:val="000000"/>
                <w:kern w:val="0"/>
                <w:szCs w:val="24"/>
                <w:lang w:eastAsia="en-IN"/>
                <w14:ligatures w14:val="none"/>
              </w:rPr>
              <w:t>.0</w:t>
            </w:r>
          </w:p>
        </w:tc>
        <w:tc>
          <w:tcPr>
            <w:tcW w:w="1404" w:type="dxa"/>
            <w:tcBorders>
              <w:top w:val="nil"/>
              <w:left w:val="nil"/>
              <w:bottom w:val="single" w:sz="4" w:space="0" w:color="auto"/>
              <w:right w:val="single" w:sz="4" w:space="0" w:color="auto"/>
            </w:tcBorders>
            <w:vAlign w:val="center"/>
            <w:hideMark/>
          </w:tcPr>
          <w:p w14:paraId="4D9CE045"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1.5</w:t>
            </w:r>
          </w:p>
        </w:tc>
        <w:tc>
          <w:tcPr>
            <w:tcW w:w="1206" w:type="dxa"/>
            <w:tcBorders>
              <w:top w:val="nil"/>
              <w:left w:val="nil"/>
              <w:bottom w:val="single" w:sz="4" w:space="0" w:color="auto"/>
              <w:right w:val="nil"/>
            </w:tcBorders>
            <w:vAlign w:val="center"/>
            <w:hideMark/>
          </w:tcPr>
          <w:p w14:paraId="16548E5C"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0.8</w:t>
            </w:r>
          </w:p>
        </w:tc>
        <w:tc>
          <w:tcPr>
            <w:tcW w:w="2013" w:type="dxa"/>
            <w:tcBorders>
              <w:top w:val="nil"/>
              <w:left w:val="single" w:sz="4" w:space="0" w:color="auto"/>
              <w:bottom w:val="single" w:sz="4" w:space="0" w:color="auto"/>
              <w:right w:val="single" w:sz="4" w:space="0" w:color="auto"/>
            </w:tcBorders>
            <w:vAlign w:val="center"/>
            <w:hideMark/>
          </w:tcPr>
          <w:p w14:paraId="44E62A5A"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20.4</w:t>
            </w:r>
          </w:p>
        </w:tc>
        <w:tc>
          <w:tcPr>
            <w:tcW w:w="1206" w:type="dxa"/>
            <w:tcBorders>
              <w:top w:val="nil"/>
              <w:left w:val="nil"/>
              <w:bottom w:val="single" w:sz="4" w:space="0" w:color="auto"/>
              <w:right w:val="single" w:sz="4" w:space="0" w:color="auto"/>
            </w:tcBorders>
            <w:vAlign w:val="center"/>
            <w:hideMark/>
          </w:tcPr>
          <w:p w14:paraId="4CF38ABF"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30.3</w:t>
            </w:r>
          </w:p>
        </w:tc>
        <w:tc>
          <w:tcPr>
            <w:tcW w:w="1891" w:type="dxa"/>
            <w:tcBorders>
              <w:top w:val="nil"/>
              <w:left w:val="nil"/>
              <w:bottom w:val="single" w:sz="4" w:space="0" w:color="auto"/>
              <w:right w:val="single" w:sz="4" w:space="0" w:color="auto"/>
            </w:tcBorders>
            <w:vAlign w:val="center"/>
            <w:hideMark/>
          </w:tcPr>
          <w:p w14:paraId="361EA93D" w14:textId="6223349F"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1</w:t>
            </w:r>
            <w:r w:rsidR="00A62199">
              <w:rPr>
                <w:rFonts w:ascii="Times New Roman" w:eastAsia="Times New Roman" w:hAnsi="Times New Roman" w:cs="Times New Roman"/>
                <w:i/>
                <w:iCs/>
                <w:color w:val="000000"/>
                <w:kern w:val="0"/>
                <w:szCs w:val="24"/>
                <w:lang w:eastAsia="en-IN"/>
                <w14:ligatures w14:val="none"/>
              </w:rPr>
              <w:t>.0</w:t>
            </w:r>
          </w:p>
        </w:tc>
        <w:tc>
          <w:tcPr>
            <w:tcW w:w="1039" w:type="dxa"/>
            <w:tcBorders>
              <w:top w:val="nil"/>
              <w:left w:val="nil"/>
              <w:bottom w:val="single" w:sz="4" w:space="0" w:color="auto"/>
              <w:right w:val="single" w:sz="4" w:space="0" w:color="auto"/>
            </w:tcBorders>
            <w:vAlign w:val="center"/>
            <w:hideMark/>
          </w:tcPr>
          <w:p w14:paraId="514F598F"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18.9</w:t>
            </w:r>
          </w:p>
        </w:tc>
        <w:tc>
          <w:tcPr>
            <w:tcW w:w="947" w:type="dxa"/>
            <w:tcBorders>
              <w:top w:val="nil"/>
              <w:left w:val="nil"/>
              <w:bottom w:val="single" w:sz="4" w:space="0" w:color="auto"/>
              <w:right w:val="single" w:sz="4" w:space="0" w:color="auto"/>
            </w:tcBorders>
            <w:vAlign w:val="center"/>
            <w:hideMark/>
          </w:tcPr>
          <w:p w14:paraId="6C2B98F7"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18.1</w:t>
            </w:r>
          </w:p>
        </w:tc>
        <w:tc>
          <w:tcPr>
            <w:tcW w:w="931" w:type="dxa"/>
            <w:tcBorders>
              <w:top w:val="nil"/>
              <w:left w:val="nil"/>
              <w:bottom w:val="single" w:sz="4" w:space="0" w:color="auto"/>
              <w:right w:val="single" w:sz="4" w:space="0" w:color="auto"/>
            </w:tcBorders>
            <w:vAlign w:val="center"/>
            <w:hideMark/>
          </w:tcPr>
          <w:p w14:paraId="5F9829A6" w14:textId="7F3714EB"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p>
        </w:tc>
      </w:tr>
      <w:tr w:rsidR="009D0FC7" w:rsidRPr="009D0FC7" w14:paraId="11DE1ADC" w14:textId="77777777" w:rsidTr="009D0FC7">
        <w:trPr>
          <w:trHeight w:val="20"/>
          <w:jc w:val="center"/>
        </w:trPr>
        <w:tc>
          <w:tcPr>
            <w:tcW w:w="1586" w:type="dxa"/>
            <w:tcBorders>
              <w:top w:val="nil"/>
              <w:left w:val="single" w:sz="4" w:space="0" w:color="auto"/>
              <w:bottom w:val="single" w:sz="4" w:space="0" w:color="auto"/>
              <w:right w:val="single" w:sz="4" w:space="0" w:color="auto"/>
            </w:tcBorders>
            <w:vAlign w:val="center"/>
            <w:hideMark/>
          </w:tcPr>
          <w:p w14:paraId="0FD20114"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Bihar</w:t>
            </w:r>
          </w:p>
        </w:tc>
        <w:tc>
          <w:tcPr>
            <w:tcW w:w="1434" w:type="dxa"/>
            <w:tcBorders>
              <w:top w:val="nil"/>
              <w:left w:val="nil"/>
              <w:bottom w:val="single" w:sz="4" w:space="0" w:color="auto"/>
              <w:right w:val="single" w:sz="4" w:space="0" w:color="auto"/>
            </w:tcBorders>
            <w:vAlign w:val="center"/>
            <w:hideMark/>
          </w:tcPr>
          <w:p w14:paraId="068017D6"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177</w:t>
            </w:r>
          </w:p>
        </w:tc>
        <w:tc>
          <w:tcPr>
            <w:tcW w:w="1404" w:type="dxa"/>
            <w:tcBorders>
              <w:top w:val="nil"/>
              <w:left w:val="nil"/>
              <w:bottom w:val="single" w:sz="4" w:space="0" w:color="auto"/>
              <w:right w:val="single" w:sz="4" w:space="0" w:color="auto"/>
            </w:tcBorders>
            <w:vAlign w:val="center"/>
            <w:hideMark/>
          </w:tcPr>
          <w:p w14:paraId="7B1F2FBA"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227</w:t>
            </w:r>
          </w:p>
        </w:tc>
        <w:tc>
          <w:tcPr>
            <w:tcW w:w="1206" w:type="dxa"/>
            <w:tcBorders>
              <w:top w:val="nil"/>
              <w:left w:val="nil"/>
              <w:bottom w:val="single" w:sz="4" w:space="0" w:color="auto"/>
              <w:right w:val="nil"/>
            </w:tcBorders>
            <w:vAlign w:val="center"/>
            <w:hideMark/>
          </w:tcPr>
          <w:p w14:paraId="7676DB3E"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—9</w:t>
            </w:r>
          </w:p>
        </w:tc>
        <w:tc>
          <w:tcPr>
            <w:tcW w:w="2013" w:type="dxa"/>
            <w:tcBorders>
              <w:top w:val="nil"/>
              <w:left w:val="single" w:sz="4" w:space="0" w:color="auto"/>
              <w:bottom w:val="single" w:sz="4" w:space="0" w:color="auto"/>
              <w:right w:val="single" w:sz="4" w:space="0" w:color="auto"/>
            </w:tcBorders>
            <w:vAlign w:val="center"/>
            <w:hideMark/>
          </w:tcPr>
          <w:p w14:paraId="48C5D049"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864</w:t>
            </w:r>
          </w:p>
        </w:tc>
        <w:tc>
          <w:tcPr>
            <w:tcW w:w="1206" w:type="dxa"/>
            <w:tcBorders>
              <w:top w:val="nil"/>
              <w:left w:val="nil"/>
              <w:bottom w:val="single" w:sz="4" w:space="0" w:color="auto"/>
              <w:right w:val="single" w:sz="4" w:space="0" w:color="auto"/>
            </w:tcBorders>
            <w:vAlign w:val="center"/>
            <w:hideMark/>
          </w:tcPr>
          <w:p w14:paraId="67D4569C"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796</w:t>
            </w:r>
          </w:p>
        </w:tc>
        <w:tc>
          <w:tcPr>
            <w:tcW w:w="1891" w:type="dxa"/>
            <w:tcBorders>
              <w:top w:val="nil"/>
              <w:left w:val="nil"/>
              <w:bottom w:val="single" w:sz="4" w:space="0" w:color="auto"/>
              <w:right w:val="single" w:sz="4" w:space="0" w:color="auto"/>
            </w:tcBorders>
            <w:vAlign w:val="center"/>
            <w:hideMark/>
          </w:tcPr>
          <w:p w14:paraId="580B938F"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68</w:t>
            </w:r>
          </w:p>
        </w:tc>
        <w:tc>
          <w:tcPr>
            <w:tcW w:w="1039" w:type="dxa"/>
            <w:tcBorders>
              <w:top w:val="nil"/>
              <w:left w:val="nil"/>
              <w:bottom w:val="single" w:sz="4" w:space="0" w:color="auto"/>
              <w:right w:val="single" w:sz="4" w:space="0" w:color="auto"/>
            </w:tcBorders>
            <w:vAlign w:val="center"/>
            <w:hideMark/>
          </w:tcPr>
          <w:p w14:paraId="4F28BC93"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657</w:t>
            </w:r>
          </w:p>
        </w:tc>
        <w:tc>
          <w:tcPr>
            <w:tcW w:w="947" w:type="dxa"/>
            <w:tcBorders>
              <w:top w:val="nil"/>
              <w:left w:val="nil"/>
              <w:bottom w:val="single" w:sz="4" w:space="0" w:color="auto"/>
              <w:right w:val="single" w:sz="4" w:space="0" w:color="auto"/>
            </w:tcBorders>
            <w:vAlign w:val="center"/>
            <w:hideMark/>
          </w:tcPr>
          <w:p w14:paraId="68D73542"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493</w:t>
            </w:r>
          </w:p>
        </w:tc>
        <w:tc>
          <w:tcPr>
            <w:tcW w:w="931" w:type="dxa"/>
            <w:tcBorders>
              <w:top w:val="nil"/>
              <w:left w:val="nil"/>
              <w:bottom w:val="single" w:sz="4" w:space="0" w:color="auto"/>
              <w:right w:val="single" w:sz="4" w:space="0" w:color="auto"/>
            </w:tcBorders>
            <w:vAlign w:val="center"/>
            <w:hideMark/>
          </w:tcPr>
          <w:p w14:paraId="2323075C"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3273</w:t>
            </w:r>
          </w:p>
        </w:tc>
      </w:tr>
      <w:tr w:rsidR="009D0FC7" w:rsidRPr="009D0FC7" w14:paraId="178E46DD" w14:textId="77777777" w:rsidTr="009D0FC7">
        <w:trPr>
          <w:trHeight w:val="20"/>
          <w:jc w:val="center"/>
        </w:trPr>
        <w:tc>
          <w:tcPr>
            <w:tcW w:w="1586" w:type="dxa"/>
            <w:tcBorders>
              <w:top w:val="nil"/>
              <w:left w:val="single" w:sz="4" w:space="0" w:color="auto"/>
              <w:bottom w:val="single" w:sz="4" w:space="0" w:color="auto"/>
              <w:right w:val="single" w:sz="4" w:space="0" w:color="auto"/>
            </w:tcBorders>
            <w:vAlign w:val="center"/>
            <w:hideMark/>
          </w:tcPr>
          <w:p w14:paraId="10B91383" w14:textId="7F2A85C3"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p>
        </w:tc>
        <w:tc>
          <w:tcPr>
            <w:tcW w:w="1434" w:type="dxa"/>
            <w:tcBorders>
              <w:top w:val="nil"/>
              <w:left w:val="nil"/>
              <w:bottom w:val="single" w:sz="4" w:space="0" w:color="auto"/>
              <w:right w:val="single" w:sz="4" w:space="0" w:color="auto"/>
            </w:tcBorders>
            <w:vAlign w:val="center"/>
            <w:hideMark/>
          </w:tcPr>
          <w:p w14:paraId="272E34CD"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5.4</w:t>
            </w:r>
          </w:p>
        </w:tc>
        <w:tc>
          <w:tcPr>
            <w:tcW w:w="1404" w:type="dxa"/>
            <w:tcBorders>
              <w:top w:val="nil"/>
              <w:left w:val="nil"/>
              <w:bottom w:val="single" w:sz="4" w:space="0" w:color="auto"/>
              <w:right w:val="single" w:sz="4" w:space="0" w:color="auto"/>
            </w:tcBorders>
            <w:vAlign w:val="center"/>
            <w:hideMark/>
          </w:tcPr>
          <w:p w14:paraId="32AC5665"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6.9</w:t>
            </w:r>
          </w:p>
        </w:tc>
        <w:tc>
          <w:tcPr>
            <w:tcW w:w="1206" w:type="dxa"/>
            <w:tcBorders>
              <w:top w:val="nil"/>
              <w:left w:val="nil"/>
              <w:bottom w:val="single" w:sz="4" w:space="0" w:color="auto"/>
              <w:right w:val="nil"/>
            </w:tcBorders>
            <w:vAlign w:val="center"/>
            <w:hideMark/>
          </w:tcPr>
          <w:p w14:paraId="187B23D4"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w:t>
            </w:r>
          </w:p>
        </w:tc>
        <w:tc>
          <w:tcPr>
            <w:tcW w:w="2013" w:type="dxa"/>
            <w:tcBorders>
              <w:top w:val="nil"/>
              <w:left w:val="single" w:sz="4" w:space="0" w:color="auto"/>
              <w:bottom w:val="single" w:sz="4" w:space="0" w:color="auto"/>
              <w:right w:val="single" w:sz="4" w:space="0" w:color="auto"/>
            </w:tcBorders>
            <w:vAlign w:val="center"/>
            <w:hideMark/>
          </w:tcPr>
          <w:p w14:paraId="471A4C44"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26.4</w:t>
            </w:r>
          </w:p>
        </w:tc>
        <w:tc>
          <w:tcPr>
            <w:tcW w:w="1206" w:type="dxa"/>
            <w:tcBorders>
              <w:top w:val="nil"/>
              <w:left w:val="nil"/>
              <w:bottom w:val="single" w:sz="4" w:space="0" w:color="auto"/>
              <w:right w:val="single" w:sz="4" w:space="0" w:color="auto"/>
            </w:tcBorders>
            <w:vAlign w:val="center"/>
            <w:hideMark/>
          </w:tcPr>
          <w:p w14:paraId="56EC94C8"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24.3</w:t>
            </w:r>
          </w:p>
        </w:tc>
        <w:tc>
          <w:tcPr>
            <w:tcW w:w="1891" w:type="dxa"/>
            <w:tcBorders>
              <w:top w:val="nil"/>
              <w:left w:val="nil"/>
              <w:bottom w:val="single" w:sz="4" w:space="0" w:color="auto"/>
              <w:right w:val="single" w:sz="4" w:space="0" w:color="auto"/>
            </w:tcBorders>
            <w:vAlign w:val="center"/>
            <w:hideMark/>
          </w:tcPr>
          <w:p w14:paraId="4D14B2D1"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2.1</w:t>
            </w:r>
          </w:p>
        </w:tc>
        <w:tc>
          <w:tcPr>
            <w:tcW w:w="1039" w:type="dxa"/>
            <w:tcBorders>
              <w:top w:val="nil"/>
              <w:left w:val="nil"/>
              <w:bottom w:val="single" w:sz="4" w:space="0" w:color="auto"/>
              <w:right w:val="single" w:sz="4" w:space="0" w:color="auto"/>
            </w:tcBorders>
            <w:vAlign w:val="center"/>
            <w:hideMark/>
          </w:tcPr>
          <w:p w14:paraId="2E1CE6ED"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20.1</w:t>
            </w:r>
          </w:p>
        </w:tc>
        <w:tc>
          <w:tcPr>
            <w:tcW w:w="947" w:type="dxa"/>
            <w:tcBorders>
              <w:top w:val="nil"/>
              <w:left w:val="nil"/>
              <w:bottom w:val="single" w:sz="4" w:space="0" w:color="auto"/>
              <w:right w:val="single" w:sz="4" w:space="0" w:color="auto"/>
            </w:tcBorders>
            <w:vAlign w:val="center"/>
            <w:hideMark/>
          </w:tcPr>
          <w:p w14:paraId="25D3D443"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15.1</w:t>
            </w:r>
          </w:p>
        </w:tc>
        <w:tc>
          <w:tcPr>
            <w:tcW w:w="931" w:type="dxa"/>
            <w:tcBorders>
              <w:top w:val="nil"/>
              <w:left w:val="nil"/>
              <w:bottom w:val="single" w:sz="4" w:space="0" w:color="auto"/>
              <w:right w:val="single" w:sz="4" w:space="0" w:color="auto"/>
            </w:tcBorders>
            <w:vAlign w:val="center"/>
            <w:hideMark/>
          </w:tcPr>
          <w:p w14:paraId="4A82D0BA" w14:textId="1D5A7690"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p>
        </w:tc>
      </w:tr>
      <w:tr w:rsidR="009D0FC7" w:rsidRPr="009D0FC7" w14:paraId="60F760CC" w14:textId="77777777" w:rsidTr="009D0FC7">
        <w:trPr>
          <w:trHeight w:val="20"/>
          <w:jc w:val="center"/>
        </w:trPr>
        <w:tc>
          <w:tcPr>
            <w:tcW w:w="1586" w:type="dxa"/>
            <w:tcBorders>
              <w:top w:val="nil"/>
              <w:left w:val="single" w:sz="4" w:space="0" w:color="auto"/>
              <w:bottom w:val="single" w:sz="4" w:space="0" w:color="auto"/>
              <w:right w:val="single" w:sz="4" w:space="0" w:color="auto"/>
            </w:tcBorders>
            <w:vAlign w:val="center"/>
            <w:hideMark/>
          </w:tcPr>
          <w:p w14:paraId="48415737"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Bombay</w:t>
            </w:r>
          </w:p>
        </w:tc>
        <w:tc>
          <w:tcPr>
            <w:tcW w:w="1434" w:type="dxa"/>
            <w:tcBorders>
              <w:top w:val="nil"/>
              <w:left w:val="nil"/>
              <w:bottom w:val="single" w:sz="4" w:space="0" w:color="auto"/>
              <w:right w:val="single" w:sz="4" w:space="0" w:color="auto"/>
            </w:tcBorders>
            <w:vAlign w:val="center"/>
            <w:hideMark/>
          </w:tcPr>
          <w:p w14:paraId="0DBBA509"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545</w:t>
            </w:r>
          </w:p>
        </w:tc>
        <w:tc>
          <w:tcPr>
            <w:tcW w:w="1404" w:type="dxa"/>
            <w:tcBorders>
              <w:top w:val="nil"/>
              <w:left w:val="nil"/>
              <w:bottom w:val="single" w:sz="4" w:space="0" w:color="auto"/>
              <w:right w:val="single" w:sz="4" w:space="0" w:color="auto"/>
            </w:tcBorders>
            <w:vAlign w:val="center"/>
            <w:hideMark/>
          </w:tcPr>
          <w:p w14:paraId="72B70BC1"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162</w:t>
            </w:r>
          </w:p>
        </w:tc>
        <w:tc>
          <w:tcPr>
            <w:tcW w:w="1206" w:type="dxa"/>
            <w:tcBorders>
              <w:top w:val="nil"/>
              <w:left w:val="nil"/>
              <w:bottom w:val="single" w:sz="4" w:space="0" w:color="auto"/>
              <w:right w:val="nil"/>
            </w:tcBorders>
            <w:vAlign w:val="center"/>
            <w:hideMark/>
          </w:tcPr>
          <w:p w14:paraId="734AE1DF"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206</w:t>
            </w:r>
          </w:p>
        </w:tc>
        <w:tc>
          <w:tcPr>
            <w:tcW w:w="2013" w:type="dxa"/>
            <w:tcBorders>
              <w:top w:val="nil"/>
              <w:left w:val="single" w:sz="4" w:space="0" w:color="auto"/>
              <w:bottom w:val="single" w:sz="4" w:space="0" w:color="auto"/>
              <w:right w:val="single" w:sz="4" w:space="0" w:color="auto"/>
            </w:tcBorders>
            <w:vAlign w:val="center"/>
            <w:hideMark/>
          </w:tcPr>
          <w:p w14:paraId="1AC82478"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1672</w:t>
            </w:r>
          </w:p>
        </w:tc>
        <w:tc>
          <w:tcPr>
            <w:tcW w:w="1206" w:type="dxa"/>
            <w:tcBorders>
              <w:top w:val="nil"/>
              <w:left w:val="nil"/>
              <w:bottom w:val="single" w:sz="4" w:space="0" w:color="auto"/>
              <w:right w:val="single" w:sz="4" w:space="0" w:color="auto"/>
            </w:tcBorders>
            <w:vAlign w:val="center"/>
            <w:hideMark/>
          </w:tcPr>
          <w:p w14:paraId="0B2BDE32"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2063</w:t>
            </w:r>
          </w:p>
        </w:tc>
        <w:tc>
          <w:tcPr>
            <w:tcW w:w="1891" w:type="dxa"/>
            <w:tcBorders>
              <w:top w:val="nil"/>
              <w:left w:val="nil"/>
              <w:bottom w:val="single" w:sz="4" w:space="0" w:color="auto"/>
              <w:right w:val="single" w:sz="4" w:space="0" w:color="auto"/>
            </w:tcBorders>
            <w:vAlign w:val="center"/>
            <w:hideMark/>
          </w:tcPr>
          <w:p w14:paraId="2CF7EC65"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605</w:t>
            </w:r>
          </w:p>
        </w:tc>
        <w:tc>
          <w:tcPr>
            <w:tcW w:w="1039" w:type="dxa"/>
            <w:tcBorders>
              <w:top w:val="nil"/>
              <w:left w:val="nil"/>
              <w:bottom w:val="single" w:sz="4" w:space="0" w:color="auto"/>
              <w:right w:val="single" w:sz="4" w:space="0" w:color="auto"/>
            </w:tcBorders>
            <w:vAlign w:val="center"/>
            <w:hideMark/>
          </w:tcPr>
          <w:p w14:paraId="3E34BC6D"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305</w:t>
            </w:r>
          </w:p>
        </w:tc>
        <w:tc>
          <w:tcPr>
            <w:tcW w:w="947" w:type="dxa"/>
            <w:tcBorders>
              <w:top w:val="nil"/>
              <w:left w:val="nil"/>
              <w:bottom w:val="single" w:sz="4" w:space="0" w:color="auto"/>
              <w:right w:val="single" w:sz="4" w:space="0" w:color="auto"/>
            </w:tcBorders>
            <w:vAlign w:val="center"/>
            <w:hideMark/>
          </w:tcPr>
          <w:p w14:paraId="082D845B"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716</w:t>
            </w:r>
          </w:p>
        </w:tc>
        <w:tc>
          <w:tcPr>
            <w:tcW w:w="931" w:type="dxa"/>
            <w:tcBorders>
              <w:top w:val="nil"/>
              <w:left w:val="nil"/>
              <w:bottom w:val="single" w:sz="4" w:space="0" w:color="auto"/>
              <w:right w:val="single" w:sz="4" w:space="0" w:color="auto"/>
            </w:tcBorders>
            <w:vAlign w:val="center"/>
            <w:hideMark/>
          </w:tcPr>
          <w:p w14:paraId="553B59F8"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6274</w:t>
            </w:r>
          </w:p>
        </w:tc>
      </w:tr>
      <w:tr w:rsidR="009D0FC7" w:rsidRPr="009D0FC7" w14:paraId="1056F515" w14:textId="77777777" w:rsidTr="009D0FC7">
        <w:trPr>
          <w:trHeight w:val="20"/>
          <w:jc w:val="center"/>
        </w:trPr>
        <w:tc>
          <w:tcPr>
            <w:tcW w:w="1586" w:type="dxa"/>
            <w:tcBorders>
              <w:top w:val="nil"/>
              <w:left w:val="single" w:sz="4" w:space="0" w:color="auto"/>
              <w:bottom w:val="single" w:sz="4" w:space="0" w:color="auto"/>
              <w:right w:val="single" w:sz="4" w:space="0" w:color="auto"/>
            </w:tcBorders>
            <w:vAlign w:val="center"/>
            <w:hideMark/>
          </w:tcPr>
          <w:p w14:paraId="0D496CEC" w14:textId="32833B5E"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p>
        </w:tc>
        <w:tc>
          <w:tcPr>
            <w:tcW w:w="1434" w:type="dxa"/>
            <w:tcBorders>
              <w:top w:val="nil"/>
              <w:left w:val="nil"/>
              <w:bottom w:val="single" w:sz="4" w:space="0" w:color="auto"/>
              <w:right w:val="single" w:sz="4" w:space="0" w:color="auto"/>
            </w:tcBorders>
            <w:vAlign w:val="center"/>
            <w:hideMark/>
          </w:tcPr>
          <w:p w14:paraId="54E4420B"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8.7</w:t>
            </w:r>
          </w:p>
        </w:tc>
        <w:tc>
          <w:tcPr>
            <w:tcW w:w="1404" w:type="dxa"/>
            <w:tcBorders>
              <w:top w:val="nil"/>
              <w:left w:val="nil"/>
              <w:bottom w:val="single" w:sz="4" w:space="0" w:color="auto"/>
              <w:right w:val="single" w:sz="4" w:space="0" w:color="auto"/>
            </w:tcBorders>
            <w:vAlign w:val="center"/>
            <w:hideMark/>
          </w:tcPr>
          <w:p w14:paraId="53C6958F"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2.6</w:t>
            </w:r>
          </w:p>
        </w:tc>
        <w:tc>
          <w:tcPr>
            <w:tcW w:w="1206" w:type="dxa"/>
            <w:tcBorders>
              <w:top w:val="nil"/>
              <w:left w:val="nil"/>
              <w:bottom w:val="single" w:sz="4" w:space="0" w:color="auto"/>
              <w:right w:val="nil"/>
            </w:tcBorders>
            <w:vAlign w:val="center"/>
            <w:hideMark/>
          </w:tcPr>
          <w:p w14:paraId="04646891"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3.3</w:t>
            </w:r>
          </w:p>
        </w:tc>
        <w:tc>
          <w:tcPr>
            <w:tcW w:w="2013" w:type="dxa"/>
            <w:tcBorders>
              <w:top w:val="nil"/>
              <w:left w:val="single" w:sz="4" w:space="0" w:color="auto"/>
              <w:bottom w:val="single" w:sz="4" w:space="0" w:color="auto"/>
              <w:right w:val="single" w:sz="4" w:space="0" w:color="auto"/>
            </w:tcBorders>
            <w:vAlign w:val="center"/>
            <w:hideMark/>
          </w:tcPr>
          <w:p w14:paraId="1B0C3F72"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26.6</w:t>
            </w:r>
          </w:p>
        </w:tc>
        <w:tc>
          <w:tcPr>
            <w:tcW w:w="1206" w:type="dxa"/>
            <w:tcBorders>
              <w:top w:val="nil"/>
              <w:left w:val="nil"/>
              <w:bottom w:val="single" w:sz="4" w:space="0" w:color="auto"/>
              <w:right w:val="single" w:sz="4" w:space="0" w:color="auto"/>
            </w:tcBorders>
            <w:vAlign w:val="center"/>
            <w:hideMark/>
          </w:tcPr>
          <w:p w14:paraId="3FEAB7CE"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32.9</w:t>
            </w:r>
          </w:p>
        </w:tc>
        <w:tc>
          <w:tcPr>
            <w:tcW w:w="1891" w:type="dxa"/>
            <w:tcBorders>
              <w:top w:val="nil"/>
              <w:left w:val="nil"/>
              <w:bottom w:val="single" w:sz="4" w:space="0" w:color="auto"/>
              <w:right w:val="single" w:sz="4" w:space="0" w:color="auto"/>
            </w:tcBorders>
            <w:vAlign w:val="center"/>
            <w:hideMark/>
          </w:tcPr>
          <w:p w14:paraId="2A9A26F0"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9.6</w:t>
            </w:r>
          </w:p>
        </w:tc>
        <w:tc>
          <w:tcPr>
            <w:tcW w:w="1039" w:type="dxa"/>
            <w:tcBorders>
              <w:top w:val="nil"/>
              <w:left w:val="nil"/>
              <w:bottom w:val="single" w:sz="4" w:space="0" w:color="auto"/>
              <w:right w:val="single" w:sz="4" w:space="0" w:color="auto"/>
            </w:tcBorders>
            <w:vAlign w:val="center"/>
            <w:hideMark/>
          </w:tcPr>
          <w:p w14:paraId="76D49B80"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4.9</w:t>
            </w:r>
          </w:p>
        </w:tc>
        <w:tc>
          <w:tcPr>
            <w:tcW w:w="947" w:type="dxa"/>
            <w:tcBorders>
              <w:top w:val="nil"/>
              <w:left w:val="nil"/>
              <w:bottom w:val="single" w:sz="4" w:space="0" w:color="auto"/>
              <w:right w:val="single" w:sz="4" w:space="0" w:color="auto"/>
            </w:tcBorders>
            <w:vAlign w:val="center"/>
            <w:hideMark/>
          </w:tcPr>
          <w:p w14:paraId="555E874B"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11.4</w:t>
            </w:r>
          </w:p>
        </w:tc>
        <w:tc>
          <w:tcPr>
            <w:tcW w:w="931" w:type="dxa"/>
            <w:tcBorders>
              <w:top w:val="nil"/>
              <w:left w:val="nil"/>
              <w:bottom w:val="single" w:sz="4" w:space="0" w:color="auto"/>
              <w:right w:val="single" w:sz="4" w:space="0" w:color="auto"/>
            </w:tcBorders>
            <w:vAlign w:val="center"/>
            <w:hideMark/>
          </w:tcPr>
          <w:p w14:paraId="26792396" w14:textId="6F8962CE"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p>
        </w:tc>
      </w:tr>
      <w:tr w:rsidR="009D0FC7" w:rsidRPr="009D0FC7" w14:paraId="633DDE68" w14:textId="77777777" w:rsidTr="009D0FC7">
        <w:trPr>
          <w:trHeight w:val="20"/>
          <w:jc w:val="center"/>
        </w:trPr>
        <w:tc>
          <w:tcPr>
            <w:tcW w:w="1586" w:type="dxa"/>
            <w:tcBorders>
              <w:top w:val="nil"/>
              <w:left w:val="single" w:sz="4" w:space="0" w:color="auto"/>
              <w:bottom w:val="single" w:sz="4" w:space="0" w:color="auto"/>
              <w:right w:val="single" w:sz="4" w:space="0" w:color="auto"/>
            </w:tcBorders>
            <w:vAlign w:val="center"/>
            <w:hideMark/>
          </w:tcPr>
          <w:p w14:paraId="7304D3F5"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Madhya Pradesh</w:t>
            </w:r>
          </w:p>
        </w:tc>
        <w:tc>
          <w:tcPr>
            <w:tcW w:w="1434" w:type="dxa"/>
            <w:tcBorders>
              <w:top w:val="nil"/>
              <w:left w:val="nil"/>
              <w:bottom w:val="single" w:sz="4" w:space="0" w:color="auto"/>
              <w:right w:val="single" w:sz="4" w:space="0" w:color="auto"/>
            </w:tcBorders>
            <w:vAlign w:val="center"/>
            <w:hideMark/>
          </w:tcPr>
          <w:p w14:paraId="1B445A16"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248</w:t>
            </w:r>
          </w:p>
        </w:tc>
        <w:tc>
          <w:tcPr>
            <w:tcW w:w="1404" w:type="dxa"/>
            <w:tcBorders>
              <w:top w:val="nil"/>
              <w:left w:val="nil"/>
              <w:bottom w:val="single" w:sz="4" w:space="0" w:color="auto"/>
              <w:right w:val="single" w:sz="4" w:space="0" w:color="auto"/>
            </w:tcBorders>
            <w:vAlign w:val="center"/>
            <w:hideMark/>
          </w:tcPr>
          <w:p w14:paraId="2840D00A"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42</w:t>
            </w:r>
          </w:p>
        </w:tc>
        <w:tc>
          <w:tcPr>
            <w:tcW w:w="1206" w:type="dxa"/>
            <w:tcBorders>
              <w:top w:val="nil"/>
              <w:left w:val="nil"/>
              <w:bottom w:val="single" w:sz="4" w:space="0" w:color="auto"/>
              <w:right w:val="nil"/>
            </w:tcBorders>
            <w:vAlign w:val="center"/>
            <w:hideMark/>
          </w:tcPr>
          <w:p w14:paraId="5979E580"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41</w:t>
            </w:r>
          </w:p>
        </w:tc>
        <w:tc>
          <w:tcPr>
            <w:tcW w:w="2013" w:type="dxa"/>
            <w:tcBorders>
              <w:top w:val="nil"/>
              <w:left w:val="single" w:sz="4" w:space="0" w:color="auto"/>
              <w:bottom w:val="single" w:sz="4" w:space="0" w:color="auto"/>
              <w:right w:val="single" w:sz="4" w:space="0" w:color="auto"/>
            </w:tcBorders>
            <w:vAlign w:val="center"/>
            <w:hideMark/>
          </w:tcPr>
          <w:p w14:paraId="34663F7C"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504</w:t>
            </w:r>
          </w:p>
        </w:tc>
        <w:tc>
          <w:tcPr>
            <w:tcW w:w="1206" w:type="dxa"/>
            <w:tcBorders>
              <w:top w:val="nil"/>
              <w:left w:val="nil"/>
              <w:bottom w:val="single" w:sz="4" w:space="0" w:color="auto"/>
              <w:right w:val="single" w:sz="4" w:space="0" w:color="auto"/>
            </w:tcBorders>
            <w:vAlign w:val="center"/>
            <w:hideMark/>
          </w:tcPr>
          <w:p w14:paraId="519E45AC"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508</w:t>
            </w:r>
          </w:p>
        </w:tc>
        <w:tc>
          <w:tcPr>
            <w:tcW w:w="1891" w:type="dxa"/>
            <w:tcBorders>
              <w:top w:val="nil"/>
              <w:left w:val="nil"/>
              <w:bottom w:val="single" w:sz="4" w:space="0" w:color="auto"/>
              <w:right w:val="single" w:sz="4" w:space="0" w:color="auto"/>
            </w:tcBorders>
            <w:vAlign w:val="center"/>
            <w:hideMark/>
          </w:tcPr>
          <w:p w14:paraId="3FE3B838"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13</w:t>
            </w:r>
          </w:p>
        </w:tc>
        <w:tc>
          <w:tcPr>
            <w:tcW w:w="1039" w:type="dxa"/>
            <w:tcBorders>
              <w:top w:val="nil"/>
              <w:left w:val="nil"/>
              <w:bottom w:val="single" w:sz="4" w:space="0" w:color="auto"/>
              <w:right w:val="single" w:sz="4" w:space="0" w:color="auto"/>
            </w:tcBorders>
            <w:vAlign w:val="center"/>
            <w:hideMark/>
          </w:tcPr>
          <w:p w14:paraId="1E1F02EE"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274</w:t>
            </w:r>
          </w:p>
        </w:tc>
        <w:tc>
          <w:tcPr>
            <w:tcW w:w="947" w:type="dxa"/>
            <w:tcBorders>
              <w:top w:val="nil"/>
              <w:left w:val="nil"/>
              <w:bottom w:val="single" w:sz="4" w:space="0" w:color="auto"/>
              <w:right w:val="single" w:sz="4" w:space="0" w:color="auto"/>
            </w:tcBorders>
            <w:vAlign w:val="center"/>
            <w:hideMark/>
          </w:tcPr>
          <w:p w14:paraId="26C01BFC"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192</w:t>
            </w:r>
          </w:p>
        </w:tc>
        <w:tc>
          <w:tcPr>
            <w:tcW w:w="931" w:type="dxa"/>
            <w:tcBorders>
              <w:top w:val="nil"/>
              <w:left w:val="nil"/>
              <w:bottom w:val="single" w:sz="4" w:space="0" w:color="auto"/>
              <w:right w:val="single" w:sz="4" w:space="0" w:color="auto"/>
            </w:tcBorders>
            <w:vAlign w:val="center"/>
            <w:hideMark/>
          </w:tcPr>
          <w:p w14:paraId="32FE5CE0"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1822 (a)</w:t>
            </w:r>
          </w:p>
        </w:tc>
      </w:tr>
      <w:tr w:rsidR="009D0FC7" w:rsidRPr="009D0FC7" w14:paraId="724511C1" w14:textId="77777777" w:rsidTr="009D0FC7">
        <w:trPr>
          <w:trHeight w:val="20"/>
          <w:jc w:val="center"/>
        </w:trPr>
        <w:tc>
          <w:tcPr>
            <w:tcW w:w="1586" w:type="dxa"/>
            <w:tcBorders>
              <w:top w:val="nil"/>
              <w:left w:val="single" w:sz="4" w:space="0" w:color="auto"/>
              <w:bottom w:val="single" w:sz="4" w:space="0" w:color="auto"/>
              <w:right w:val="single" w:sz="4" w:space="0" w:color="auto"/>
            </w:tcBorders>
            <w:vAlign w:val="center"/>
            <w:hideMark/>
          </w:tcPr>
          <w:p w14:paraId="578A1E3C" w14:textId="04A07AFE"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p>
        </w:tc>
        <w:tc>
          <w:tcPr>
            <w:tcW w:w="1434" w:type="dxa"/>
            <w:tcBorders>
              <w:top w:val="nil"/>
              <w:left w:val="nil"/>
              <w:bottom w:val="single" w:sz="4" w:space="0" w:color="auto"/>
              <w:right w:val="single" w:sz="4" w:space="0" w:color="auto"/>
            </w:tcBorders>
            <w:vAlign w:val="center"/>
            <w:hideMark/>
          </w:tcPr>
          <w:p w14:paraId="68B6D78F"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13.6</w:t>
            </w:r>
          </w:p>
        </w:tc>
        <w:tc>
          <w:tcPr>
            <w:tcW w:w="1404" w:type="dxa"/>
            <w:tcBorders>
              <w:top w:val="nil"/>
              <w:left w:val="nil"/>
              <w:bottom w:val="single" w:sz="4" w:space="0" w:color="auto"/>
              <w:right w:val="single" w:sz="4" w:space="0" w:color="auto"/>
            </w:tcBorders>
            <w:vAlign w:val="center"/>
            <w:hideMark/>
          </w:tcPr>
          <w:p w14:paraId="49787B24" w14:textId="55ECE50D"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2.3</w:t>
            </w:r>
          </w:p>
        </w:tc>
        <w:tc>
          <w:tcPr>
            <w:tcW w:w="1206" w:type="dxa"/>
            <w:tcBorders>
              <w:top w:val="nil"/>
              <w:left w:val="nil"/>
              <w:bottom w:val="single" w:sz="4" w:space="0" w:color="auto"/>
              <w:right w:val="nil"/>
            </w:tcBorders>
            <w:vAlign w:val="center"/>
            <w:hideMark/>
          </w:tcPr>
          <w:p w14:paraId="2E18E706"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2.3</w:t>
            </w:r>
          </w:p>
        </w:tc>
        <w:tc>
          <w:tcPr>
            <w:tcW w:w="2013" w:type="dxa"/>
            <w:tcBorders>
              <w:top w:val="nil"/>
              <w:left w:val="single" w:sz="4" w:space="0" w:color="auto"/>
              <w:bottom w:val="single" w:sz="4" w:space="0" w:color="auto"/>
              <w:right w:val="single" w:sz="4" w:space="0" w:color="auto"/>
            </w:tcBorders>
            <w:vAlign w:val="center"/>
            <w:hideMark/>
          </w:tcPr>
          <w:p w14:paraId="0C63ADF2"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27.7</w:t>
            </w:r>
          </w:p>
        </w:tc>
        <w:tc>
          <w:tcPr>
            <w:tcW w:w="1206" w:type="dxa"/>
            <w:tcBorders>
              <w:top w:val="nil"/>
              <w:left w:val="nil"/>
              <w:bottom w:val="single" w:sz="4" w:space="0" w:color="auto"/>
              <w:right w:val="single" w:sz="4" w:space="0" w:color="auto"/>
            </w:tcBorders>
            <w:vAlign w:val="center"/>
            <w:hideMark/>
          </w:tcPr>
          <w:p w14:paraId="6714CB71"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27.9</w:t>
            </w:r>
          </w:p>
        </w:tc>
        <w:tc>
          <w:tcPr>
            <w:tcW w:w="1891" w:type="dxa"/>
            <w:tcBorders>
              <w:top w:val="nil"/>
              <w:left w:val="nil"/>
              <w:bottom w:val="single" w:sz="4" w:space="0" w:color="auto"/>
              <w:right w:val="single" w:sz="4" w:space="0" w:color="auto"/>
            </w:tcBorders>
            <w:vAlign w:val="center"/>
            <w:hideMark/>
          </w:tcPr>
          <w:p w14:paraId="23CDA68A"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0.7</w:t>
            </w:r>
          </w:p>
        </w:tc>
        <w:tc>
          <w:tcPr>
            <w:tcW w:w="1039" w:type="dxa"/>
            <w:tcBorders>
              <w:top w:val="nil"/>
              <w:left w:val="nil"/>
              <w:bottom w:val="single" w:sz="4" w:space="0" w:color="auto"/>
              <w:right w:val="single" w:sz="4" w:space="0" w:color="auto"/>
            </w:tcBorders>
            <w:vAlign w:val="center"/>
            <w:hideMark/>
          </w:tcPr>
          <w:p w14:paraId="237AB29C" w14:textId="07FB6722"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15</w:t>
            </w:r>
            <w:r w:rsidR="00A62199">
              <w:rPr>
                <w:rFonts w:ascii="Times New Roman" w:eastAsia="Times New Roman" w:hAnsi="Times New Roman" w:cs="Times New Roman"/>
                <w:i/>
                <w:iCs/>
                <w:color w:val="000000"/>
                <w:kern w:val="0"/>
                <w:szCs w:val="24"/>
                <w:lang w:eastAsia="en-IN"/>
                <w14:ligatures w14:val="none"/>
              </w:rPr>
              <w:t>.0</w:t>
            </w:r>
          </w:p>
        </w:tc>
        <w:tc>
          <w:tcPr>
            <w:tcW w:w="947" w:type="dxa"/>
            <w:tcBorders>
              <w:top w:val="nil"/>
              <w:left w:val="nil"/>
              <w:bottom w:val="single" w:sz="4" w:space="0" w:color="auto"/>
              <w:right w:val="single" w:sz="4" w:space="0" w:color="auto"/>
            </w:tcBorders>
            <w:vAlign w:val="center"/>
            <w:hideMark/>
          </w:tcPr>
          <w:p w14:paraId="3522C02C"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10.5</w:t>
            </w:r>
          </w:p>
        </w:tc>
        <w:tc>
          <w:tcPr>
            <w:tcW w:w="931" w:type="dxa"/>
            <w:tcBorders>
              <w:top w:val="nil"/>
              <w:left w:val="nil"/>
              <w:bottom w:val="single" w:sz="4" w:space="0" w:color="auto"/>
              <w:right w:val="single" w:sz="4" w:space="0" w:color="auto"/>
            </w:tcBorders>
            <w:vAlign w:val="center"/>
            <w:hideMark/>
          </w:tcPr>
          <w:p w14:paraId="113325FD" w14:textId="1B9B0305"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p>
        </w:tc>
      </w:tr>
      <w:tr w:rsidR="009D0FC7" w:rsidRPr="009D0FC7" w14:paraId="42DE08D1" w14:textId="77777777" w:rsidTr="009D0FC7">
        <w:trPr>
          <w:trHeight w:val="20"/>
          <w:jc w:val="center"/>
        </w:trPr>
        <w:tc>
          <w:tcPr>
            <w:tcW w:w="1586" w:type="dxa"/>
            <w:tcBorders>
              <w:top w:val="nil"/>
              <w:left w:val="single" w:sz="4" w:space="0" w:color="auto"/>
              <w:bottom w:val="single" w:sz="4" w:space="0" w:color="auto"/>
              <w:right w:val="single" w:sz="4" w:space="0" w:color="auto"/>
            </w:tcBorders>
            <w:vAlign w:val="center"/>
            <w:hideMark/>
          </w:tcPr>
          <w:p w14:paraId="5EC717D1"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Madras</w:t>
            </w:r>
          </w:p>
        </w:tc>
        <w:tc>
          <w:tcPr>
            <w:tcW w:w="1434" w:type="dxa"/>
            <w:tcBorders>
              <w:top w:val="nil"/>
              <w:left w:val="nil"/>
              <w:bottom w:val="single" w:sz="4" w:space="0" w:color="auto"/>
              <w:right w:val="single" w:sz="4" w:space="0" w:color="auto"/>
            </w:tcBorders>
            <w:vAlign w:val="center"/>
            <w:hideMark/>
          </w:tcPr>
          <w:p w14:paraId="16E98CC3"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590</w:t>
            </w:r>
          </w:p>
        </w:tc>
        <w:tc>
          <w:tcPr>
            <w:tcW w:w="1404" w:type="dxa"/>
            <w:tcBorders>
              <w:top w:val="nil"/>
              <w:left w:val="nil"/>
              <w:bottom w:val="single" w:sz="4" w:space="0" w:color="auto"/>
              <w:right w:val="single" w:sz="4" w:space="0" w:color="auto"/>
            </w:tcBorders>
            <w:vAlign w:val="center"/>
            <w:hideMark/>
          </w:tcPr>
          <w:p w14:paraId="18C9D488"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299</w:t>
            </w:r>
          </w:p>
        </w:tc>
        <w:tc>
          <w:tcPr>
            <w:tcW w:w="1206" w:type="dxa"/>
            <w:tcBorders>
              <w:top w:val="nil"/>
              <w:left w:val="nil"/>
              <w:bottom w:val="single" w:sz="4" w:space="0" w:color="auto"/>
              <w:right w:val="nil"/>
            </w:tcBorders>
            <w:vAlign w:val="center"/>
            <w:hideMark/>
          </w:tcPr>
          <w:p w14:paraId="11EB2805"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w:t>
            </w:r>
          </w:p>
        </w:tc>
        <w:tc>
          <w:tcPr>
            <w:tcW w:w="2013" w:type="dxa"/>
            <w:tcBorders>
              <w:top w:val="nil"/>
              <w:left w:val="single" w:sz="4" w:space="0" w:color="auto"/>
              <w:bottom w:val="single" w:sz="4" w:space="0" w:color="auto"/>
              <w:right w:val="single" w:sz="4" w:space="0" w:color="auto"/>
            </w:tcBorders>
            <w:vAlign w:val="center"/>
            <w:hideMark/>
          </w:tcPr>
          <w:p w14:paraId="056B0DA7"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1777</w:t>
            </w:r>
          </w:p>
        </w:tc>
        <w:tc>
          <w:tcPr>
            <w:tcW w:w="1206" w:type="dxa"/>
            <w:tcBorders>
              <w:top w:val="nil"/>
              <w:left w:val="nil"/>
              <w:bottom w:val="single" w:sz="4" w:space="0" w:color="auto"/>
              <w:right w:val="single" w:sz="4" w:space="0" w:color="auto"/>
            </w:tcBorders>
            <w:vAlign w:val="center"/>
            <w:hideMark/>
          </w:tcPr>
          <w:p w14:paraId="76F77E3B"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2050</w:t>
            </w:r>
          </w:p>
        </w:tc>
        <w:tc>
          <w:tcPr>
            <w:tcW w:w="1891" w:type="dxa"/>
            <w:tcBorders>
              <w:top w:val="nil"/>
              <w:left w:val="nil"/>
              <w:bottom w:val="single" w:sz="4" w:space="0" w:color="auto"/>
              <w:right w:val="single" w:sz="4" w:space="0" w:color="auto"/>
            </w:tcBorders>
            <w:vAlign w:val="center"/>
            <w:hideMark/>
          </w:tcPr>
          <w:p w14:paraId="0FB290FA"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438</w:t>
            </w:r>
          </w:p>
        </w:tc>
        <w:tc>
          <w:tcPr>
            <w:tcW w:w="1039" w:type="dxa"/>
            <w:tcBorders>
              <w:top w:val="nil"/>
              <w:left w:val="nil"/>
              <w:bottom w:val="single" w:sz="4" w:space="0" w:color="auto"/>
              <w:right w:val="single" w:sz="4" w:space="0" w:color="auto"/>
            </w:tcBorders>
            <w:vAlign w:val="center"/>
            <w:hideMark/>
          </w:tcPr>
          <w:p w14:paraId="50707DE4"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919</w:t>
            </w:r>
          </w:p>
        </w:tc>
        <w:tc>
          <w:tcPr>
            <w:tcW w:w="947" w:type="dxa"/>
            <w:tcBorders>
              <w:top w:val="nil"/>
              <w:left w:val="nil"/>
              <w:bottom w:val="single" w:sz="4" w:space="0" w:color="auto"/>
              <w:right w:val="single" w:sz="4" w:space="0" w:color="auto"/>
            </w:tcBorders>
            <w:vAlign w:val="center"/>
            <w:hideMark/>
          </w:tcPr>
          <w:p w14:paraId="069A8114"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419</w:t>
            </w:r>
          </w:p>
        </w:tc>
        <w:tc>
          <w:tcPr>
            <w:tcW w:w="931" w:type="dxa"/>
            <w:tcBorders>
              <w:top w:val="nil"/>
              <w:left w:val="nil"/>
              <w:bottom w:val="single" w:sz="4" w:space="0" w:color="auto"/>
              <w:right w:val="single" w:sz="4" w:space="0" w:color="auto"/>
            </w:tcBorders>
            <w:vAlign w:val="center"/>
            <w:hideMark/>
          </w:tcPr>
          <w:p w14:paraId="7056894B"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6372</w:t>
            </w:r>
          </w:p>
        </w:tc>
      </w:tr>
      <w:tr w:rsidR="009D0FC7" w:rsidRPr="009D0FC7" w14:paraId="5875DDC1" w14:textId="77777777" w:rsidTr="009D0FC7">
        <w:trPr>
          <w:trHeight w:val="20"/>
          <w:jc w:val="center"/>
        </w:trPr>
        <w:tc>
          <w:tcPr>
            <w:tcW w:w="1586" w:type="dxa"/>
            <w:tcBorders>
              <w:top w:val="nil"/>
              <w:left w:val="single" w:sz="4" w:space="0" w:color="auto"/>
              <w:bottom w:val="single" w:sz="4" w:space="0" w:color="auto"/>
              <w:right w:val="single" w:sz="4" w:space="0" w:color="auto"/>
            </w:tcBorders>
            <w:vAlign w:val="center"/>
            <w:hideMark/>
          </w:tcPr>
          <w:p w14:paraId="5B051C75" w14:textId="24CF98C1"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p>
        </w:tc>
        <w:tc>
          <w:tcPr>
            <w:tcW w:w="1434" w:type="dxa"/>
            <w:tcBorders>
              <w:top w:val="nil"/>
              <w:left w:val="nil"/>
              <w:bottom w:val="single" w:sz="4" w:space="0" w:color="auto"/>
              <w:right w:val="single" w:sz="4" w:space="0" w:color="auto"/>
            </w:tcBorders>
            <w:vAlign w:val="center"/>
            <w:hideMark/>
          </w:tcPr>
          <w:p w14:paraId="6E2188DF"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9.2</w:t>
            </w:r>
          </w:p>
        </w:tc>
        <w:tc>
          <w:tcPr>
            <w:tcW w:w="1404" w:type="dxa"/>
            <w:tcBorders>
              <w:top w:val="nil"/>
              <w:left w:val="nil"/>
              <w:bottom w:val="single" w:sz="4" w:space="0" w:color="auto"/>
              <w:right w:val="single" w:sz="4" w:space="0" w:color="auto"/>
            </w:tcBorders>
            <w:vAlign w:val="center"/>
            <w:hideMark/>
          </w:tcPr>
          <w:p w14:paraId="178CC116"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4.7</w:t>
            </w:r>
          </w:p>
        </w:tc>
        <w:tc>
          <w:tcPr>
            <w:tcW w:w="1206" w:type="dxa"/>
            <w:tcBorders>
              <w:top w:val="nil"/>
              <w:left w:val="nil"/>
              <w:bottom w:val="single" w:sz="4" w:space="0" w:color="auto"/>
              <w:right w:val="nil"/>
            </w:tcBorders>
            <w:vAlign w:val="center"/>
            <w:hideMark/>
          </w:tcPr>
          <w:p w14:paraId="0DD81607"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w:t>
            </w:r>
          </w:p>
        </w:tc>
        <w:tc>
          <w:tcPr>
            <w:tcW w:w="2013" w:type="dxa"/>
            <w:tcBorders>
              <w:top w:val="nil"/>
              <w:left w:val="single" w:sz="4" w:space="0" w:color="auto"/>
              <w:bottom w:val="single" w:sz="4" w:space="0" w:color="auto"/>
              <w:right w:val="single" w:sz="4" w:space="0" w:color="auto"/>
            </w:tcBorders>
            <w:vAlign w:val="center"/>
            <w:hideMark/>
          </w:tcPr>
          <w:p w14:paraId="35D1C463"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27.9</w:t>
            </w:r>
          </w:p>
        </w:tc>
        <w:tc>
          <w:tcPr>
            <w:tcW w:w="1206" w:type="dxa"/>
            <w:tcBorders>
              <w:top w:val="nil"/>
              <w:left w:val="nil"/>
              <w:bottom w:val="single" w:sz="4" w:space="0" w:color="auto"/>
              <w:right w:val="single" w:sz="4" w:space="0" w:color="auto"/>
            </w:tcBorders>
            <w:vAlign w:val="center"/>
            <w:hideMark/>
          </w:tcPr>
          <w:p w14:paraId="4B67EC7F"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32.2</w:t>
            </w:r>
          </w:p>
        </w:tc>
        <w:tc>
          <w:tcPr>
            <w:tcW w:w="1891" w:type="dxa"/>
            <w:tcBorders>
              <w:top w:val="nil"/>
              <w:left w:val="nil"/>
              <w:bottom w:val="single" w:sz="4" w:space="0" w:color="auto"/>
              <w:right w:val="single" w:sz="4" w:space="0" w:color="auto"/>
            </w:tcBorders>
            <w:vAlign w:val="center"/>
            <w:hideMark/>
          </w:tcPr>
          <w:p w14:paraId="6CE89881"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6.9</w:t>
            </w:r>
          </w:p>
        </w:tc>
        <w:tc>
          <w:tcPr>
            <w:tcW w:w="1039" w:type="dxa"/>
            <w:tcBorders>
              <w:top w:val="nil"/>
              <w:left w:val="nil"/>
              <w:bottom w:val="single" w:sz="4" w:space="0" w:color="auto"/>
              <w:right w:val="single" w:sz="4" w:space="0" w:color="auto"/>
            </w:tcBorders>
            <w:vAlign w:val="center"/>
            <w:hideMark/>
          </w:tcPr>
          <w:p w14:paraId="322F7AEF"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14.4</w:t>
            </w:r>
          </w:p>
        </w:tc>
        <w:tc>
          <w:tcPr>
            <w:tcW w:w="947" w:type="dxa"/>
            <w:tcBorders>
              <w:top w:val="nil"/>
              <w:left w:val="nil"/>
              <w:bottom w:val="single" w:sz="4" w:space="0" w:color="auto"/>
              <w:right w:val="single" w:sz="4" w:space="0" w:color="auto"/>
            </w:tcBorders>
            <w:vAlign w:val="center"/>
            <w:hideMark/>
          </w:tcPr>
          <w:p w14:paraId="628BF638"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6.6</w:t>
            </w:r>
          </w:p>
        </w:tc>
        <w:tc>
          <w:tcPr>
            <w:tcW w:w="931" w:type="dxa"/>
            <w:tcBorders>
              <w:top w:val="nil"/>
              <w:left w:val="nil"/>
              <w:bottom w:val="single" w:sz="4" w:space="0" w:color="auto"/>
              <w:right w:val="single" w:sz="4" w:space="0" w:color="auto"/>
            </w:tcBorders>
            <w:vAlign w:val="center"/>
            <w:hideMark/>
          </w:tcPr>
          <w:p w14:paraId="2E71A28E" w14:textId="4B23F7F5"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p>
        </w:tc>
      </w:tr>
      <w:tr w:rsidR="009D0FC7" w:rsidRPr="009D0FC7" w14:paraId="1115FA32" w14:textId="77777777" w:rsidTr="009D0FC7">
        <w:trPr>
          <w:trHeight w:val="20"/>
          <w:jc w:val="center"/>
        </w:trPr>
        <w:tc>
          <w:tcPr>
            <w:tcW w:w="1586" w:type="dxa"/>
            <w:tcBorders>
              <w:top w:val="nil"/>
              <w:left w:val="single" w:sz="4" w:space="0" w:color="auto"/>
              <w:bottom w:val="single" w:sz="4" w:space="0" w:color="auto"/>
              <w:right w:val="single" w:sz="4" w:space="0" w:color="auto"/>
            </w:tcBorders>
            <w:vAlign w:val="center"/>
            <w:hideMark/>
          </w:tcPr>
          <w:p w14:paraId="3CC9097C"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Orissa</w:t>
            </w:r>
          </w:p>
        </w:tc>
        <w:tc>
          <w:tcPr>
            <w:tcW w:w="1434" w:type="dxa"/>
            <w:tcBorders>
              <w:top w:val="nil"/>
              <w:left w:val="nil"/>
              <w:bottom w:val="single" w:sz="4" w:space="0" w:color="auto"/>
              <w:right w:val="single" w:sz="4" w:space="0" w:color="auto"/>
            </w:tcBorders>
            <w:vAlign w:val="center"/>
            <w:hideMark/>
          </w:tcPr>
          <w:p w14:paraId="077DA1C2"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84</w:t>
            </w:r>
          </w:p>
        </w:tc>
        <w:tc>
          <w:tcPr>
            <w:tcW w:w="1404" w:type="dxa"/>
            <w:tcBorders>
              <w:top w:val="nil"/>
              <w:left w:val="nil"/>
              <w:bottom w:val="single" w:sz="4" w:space="0" w:color="auto"/>
              <w:right w:val="single" w:sz="4" w:space="0" w:color="auto"/>
            </w:tcBorders>
            <w:vAlign w:val="center"/>
            <w:hideMark/>
          </w:tcPr>
          <w:p w14:paraId="79B33C6E"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100</w:t>
            </w:r>
          </w:p>
        </w:tc>
        <w:tc>
          <w:tcPr>
            <w:tcW w:w="1206" w:type="dxa"/>
            <w:tcBorders>
              <w:top w:val="nil"/>
              <w:left w:val="nil"/>
              <w:bottom w:val="single" w:sz="4" w:space="0" w:color="auto"/>
              <w:right w:val="nil"/>
            </w:tcBorders>
            <w:vAlign w:val="center"/>
            <w:hideMark/>
          </w:tcPr>
          <w:p w14:paraId="6C224790"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34</w:t>
            </w:r>
          </w:p>
        </w:tc>
        <w:tc>
          <w:tcPr>
            <w:tcW w:w="2013" w:type="dxa"/>
            <w:tcBorders>
              <w:top w:val="nil"/>
              <w:left w:val="single" w:sz="4" w:space="0" w:color="auto"/>
              <w:bottom w:val="single" w:sz="4" w:space="0" w:color="auto"/>
              <w:right w:val="single" w:sz="4" w:space="0" w:color="auto"/>
            </w:tcBorders>
            <w:vAlign w:val="center"/>
            <w:hideMark/>
          </w:tcPr>
          <w:p w14:paraId="7A204609"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303</w:t>
            </w:r>
          </w:p>
        </w:tc>
        <w:tc>
          <w:tcPr>
            <w:tcW w:w="1206" w:type="dxa"/>
            <w:tcBorders>
              <w:top w:val="nil"/>
              <w:left w:val="nil"/>
              <w:bottom w:val="single" w:sz="4" w:space="0" w:color="auto"/>
              <w:right w:val="single" w:sz="4" w:space="0" w:color="auto"/>
            </w:tcBorders>
            <w:vAlign w:val="center"/>
            <w:hideMark/>
          </w:tcPr>
          <w:p w14:paraId="432BC8AC"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274</w:t>
            </w:r>
          </w:p>
        </w:tc>
        <w:tc>
          <w:tcPr>
            <w:tcW w:w="1891" w:type="dxa"/>
            <w:tcBorders>
              <w:top w:val="nil"/>
              <w:left w:val="nil"/>
              <w:bottom w:val="single" w:sz="4" w:space="0" w:color="auto"/>
              <w:right w:val="single" w:sz="4" w:space="0" w:color="auto"/>
            </w:tcBorders>
            <w:vAlign w:val="center"/>
            <w:hideMark/>
          </w:tcPr>
          <w:p w14:paraId="01BE3CA4"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50</w:t>
            </w:r>
          </w:p>
        </w:tc>
        <w:tc>
          <w:tcPr>
            <w:tcW w:w="1039" w:type="dxa"/>
            <w:tcBorders>
              <w:top w:val="nil"/>
              <w:left w:val="nil"/>
              <w:bottom w:val="single" w:sz="4" w:space="0" w:color="auto"/>
              <w:right w:val="single" w:sz="4" w:space="0" w:color="auto"/>
            </w:tcBorders>
            <w:vAlign w:val="center"/>
            <w:hideMark/>
          </w:tcPr>
          <w:p w14:paraId="7A28FDFF"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179</w:t>
            </w:r>
          </w:p>
        </w:tc>
        <w:tc>
          <w:tcPr>
            <w:tcW w:w="947" w:type="dxa"/>
            <w:tcBorders>
              <w:top w:val="nil"/>
              <w:left w:val="nil"/>
              <w:bottom w:val="single" w:sz="4" w:space="0" w:color="auto"/>
              <w:right w:val="single" w:sz="4" w:space="0" w:color="auto"/>
            </w:tcBorders>
            <w:vAlign w:val="center"/>
            <w:hideMark/>
          </w:tcPr>
          <w:p w14:paraId="11A5161B"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61</w:t>
            </w:r>
          </w:p>
        </w:tc>
        <w:tc>
          <w:tcPr>
            <w:tcW w:w="931" w:type="dxa"/>
            <w:tcBorders>
              <w:top w:val="nil"/>
              <w:left w:val="nil"/>
              <w:bottom w:val="single" w:sz="4" w:space="0" w:color="auto"/>
              <w:right w:val="single" w:sz="4" w:space="0" w:color="auto"/>
            </w:tcBorders>
            <w:vAlign w:val="center"/>
            <w:hideMark/>
          </w:tcPr>
          <w:p w14:paraId="054DB499"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1085</w:t>
            </w:r>
          </w:p>
        </w:tc>
      </w:tr>
      <w:tr w:rsidR="009D0FC7" w:rsidRPr="009D0FC7" w14:paraId="7B34404B" w14:textId="77777777" w:rsidTr="009D0FC7">
        <w:trPr>
          <w:trHeight w:val="20"/>
          <w:jc w:val="center"/>
        </w:trPr>
        <w:tc>
          <w:tcPr>
            <w:tcW w:w="1586" w:type="dxa"/>
            <w:tcBorders>
              <w:top w:val="nil"/>
              <w:left w:val="single" w:sz="4" w:space="0" w:color="auto"/>
              <w:bottom w:val="single" w:sz="4" w:space="0" w:color="auto"/>
              <w:right w:val="single" w:sz="4" w:space="0" w:color="auto"/>
            </w:tcBorders>
            <w:vAlign w:val="center"/>
            <w:hideMark/>
          </w:tcPr>
          <w:p w14:paraId="132C14E0" w14:textId="3DEC55A9"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p>
        </w:tc>
        <w:tc>
          <w:tcPr>
            <w:tcW w:w="1434" w:type="dxa"/>
            <w:tcBorders>
              <w:top w:val="nil"/>
              <w:left w:val="nil"/>
              <w:bottom w:val="single" w:sz="4" w:space="0" w:color="auto"/>
              <w:right w:val="single" w:sz="4" w:space="0" w:color="auto"/>
            </w:tcBorders>
            <w:vAlign w:val="center"/>
            <w:hideMark/>
          </w:tcPr>
          <w:p w14:paraId="1D299E82"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7.8</w:t>
            </w:r>
          </w:p>
        </w:tc>
        <w:tc>
          <w:tcPr>
            <w:tcW w:w="1404" w:type="dxa"/>
            <w:tcBorders>
              <w:top w:val="nil"/>
              <w:left w:val="nil"/>
              <w:bottom w:val="single" w:sz="4" w:space="0" w:color="auto"/>
              <w:right w:val="single" w:sz="4" w:space="0" w:color="auto"/>
            </w:tcBorders>
            <w:vAlign w:val="center"/>
            <w:hideMark/>
          </w:tcPr>
          <w:p w14:paraId="60B29F7E"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9.2</w:t>
            </w:r>
          </w:p>
        </w:tc>
        <w:tc>
          <w:tcPr>
            <w:tcW w:w="1206" w:type="dxa"/>
            <w:tcBorders>
              <w:top w:val="nil"/>
              <w:left w:val="nil"/>
              <w:bottom w:val="single" w:sz="4" w:space="0" w:color="auto"/>
              <w:right w:val="nil"/>
            </w:tcBorders>
            <w:vAlign w:val="center"/>
            <w:hideMark/>
          </w:tcPr>
          <w:p w14:paraId="3F9D7C71"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3.1</w:t>
            </w:r>
          </w:p>
        </w:tc>
        <w:tc>
          <w:tcPr>
            <w:tcW w:w="2013" w:type="dxa"/>
            <w:tcBorders>
              <w:top w:val="nil"/>
              <w:left w:val="single" w:sz="4" w:space="0" w:color="auto"/>
              <w:bottom w:val="single" w:sz="4" w:space="0" w:color="auto"/>
              <w:right w:val="single" w:sz="4" w:space="0" w:color="auto"/>
            </w:tcBorders>
            <w:vAlign w:val="center"/>
            <w:hideMark/>
          </w:tcPr>
          <w:p w14:paraId="17BBC276"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27.9</w:t>
            </w:r>
          </w:p>
        </w:tc>
        <w:tc>
          <w:tcPr>
            <w:tcW w:w="1206" w:type="dxa"/>
            <w:tcBorders>
              <w:top w:val="nil"/>
              <w:left w:val="nil"/>
              <w:bottom w:val="single" w:sz="4" w:space="0" w:color="auto"/>
              <w:right w:val="single" w:sz="4" w:space="0" w:color="auto"/>
            </w:tcBorders>
            <w:vAlign w:val="center"/>
            <w:hideMark/>
          </w:tcPr>
          <w:p w14:paraId="191FE051"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25.3</w:t>
            </w:r>
          </w:p>
        </w:tc>
        <w:tc>
          <w:tcPr>
            <w:tcW w:w="1891" w:type="dxa"/>
            <w:tcBorders>
              <w:top w:val="nil"/>
              <w:left w:val="nil"/>
              <w:bottom w:val="single" w:sz="4" w:space="0" w:color="auto"/>
              <w:right w:val="single" w:sz="4" w:space="0" w:color="auto"/>
            </w:tcBorders>
            <w:vAlign w:val="center"/>
            <w:hideMark/>
          </w:tcPr>
          <w:p w14:paraId="76ED46C9"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4.6</w:t>
            </w:r>
          </w:p>
        </w:tc>
        <w:tc>
          <w:tcPr>
            <w:tcW w:w="1039" w:type="dxa"/>
            <w:tcBorders>
              <w:top w:val="nil"/>
              <w:left w:val="nil"/>
              <w:bottom w:val="single" w:sz="4" w:space="0" w:color="auto"/>
              <w:right w:val="single" w:sz="4" w:space="0" w:color="auto"/>
            </w:tcBorders>
            <w:vAlign w:val="center"/>
            <w:hideMark/>
          </w:tcPr>
          <w:p w14:paraId="07C1722D" w14:textId="4B1AACDF"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1</w:t>
            </w:r>
            <w:r w:rsidR="00A62199">
              <w:rPr>
                <w:rFonts w:ascii="Times New Roman" w:eastAsia="Times New Roman" w:hAnsi="Times New Roman" w:cs="Times New Roman"/>
                <w:i/>
                <w:iCs/>
                <w:color w:val="000000"/>
                <w:kern w:val="0"/>
                <w:szCs w:val="24"/>
                <w:lang w:eastAsia="en-IN"/>
                <w14:ligatures w14:val="none"/>
              </w:rPr>
              <w:t>5</w:t>
            </w:r>
            <w:r w:rsidRPr="009D0FC7">
              <w:rPr>
                <w:rFonts w:ascii="Times New Roman" w:eastAsia="Times New Roman" w:hAnsi="Times New Roman" w:cs="Times New Roman"/>
                <w:i/>
                <w:iCs/>
                <w:color w:val="000000"/>
                <w:kern w:val="0"/>
                <w:szCs w:val="24"/>
                <w:lang w:eastAsia="en-IN"/>
                <w14:ligatures w14:val="none"/>
              </w:rPr>
              <w:t>.5</w:t>
            </w:r>
          </w:p>
        </w:tc>
        <w:tc>
          <w:tcPr>
            <w:tcW w:w="947" w:type="dxa"/>
            <w:tcBorders>
              <w:top w:val="nil"/>
              <w:left w:val="nil"/>
              <w:bottom w:val="single" w:sz="4" w:space="0" w:color="auto"/>
              <w:right w:val="single" w:sz="4" w:space="0" w:color="auto"/>
            </w:tcBorders>
            <w:vAlign w:val="center"/>
            <w:hideMark/>
          </w:tcPr>
          <w:p w14:paraId="2345E438"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5.6</w:t>
            </w:r>
          </w:p>
        </w:tc>
        <w:tc>
          <w:tcPr>
            <w:tcW w:w="931" w:type="dxa"/>
            <w:tcBorders>
              <w:top w:val="nil"/>
              <w:left w:val="nil"/>
              <w:bottom w:val="single" w:sz="4" w:space="0" w:color="auto"/>
              <w:right w:val="single" w:sz="4" w:space="0" w:color="auto"/>
            </w:tcBorders>
            <w:vAlign w:val="center"/>
            <w:hideMark/>
          </w:tcPr>
          <w:p w14:paraId="4B50F0D7" w14:textId="2E9EFE33"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p>
        </w:tc>
      </w:tr>
      <w:tr w:rsidR="009D0FC7" w:rsidRPr="009D0FC7" w14:paraId="311C7481" w14:textId="77777777" w:rsidTr="009D0FC7">
        <w:trPr>
          <w:trHeight w:val="20"/>
          <w:jc w:val="center"/>
        </w:trPr>
        <w:tc>
          <w:tcPr>
            <w:tcW w:w="1586" w:type="dxa"/>
            <w:tcBorders>
              <w:top w:val="nil"/>
              <w:left w:val="single" w:sz="4" w:space="0" w:color="auto"/>
              <w:bottom w:val="single" w:sz="4" w:space="0" w:color="auto"/>
              <w:right w:val="single" w:sz="4" w:space="0" w:color="auto"/>
            </w:tcBorders>
            <w:vAlign w:val="center"/>
            <w:hideMark/>
          </w:tcPr>
          <w:p w14:paraId="1E93756F"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Punjab</w:t>
            </w:r>
          </w:p>
        </w:tc>
        <w:tc>
          <w:tcPr>
            <w:tcW w:w="1434" w:type="dxa"/>
            <w:tcBorders>
              <w:top w:val="nil"/>
              <w:left w:val="nil"/>
              <w:bottom w:val="single" w:sz="4" w:space="0" w:color="auto"/>
              <w:right w:val="single" w:sz="4" w:space="0" w:color="auto"/>
            </w:tcBorders>
            <w:vAlign w:val="center"/>
            <w:hideMark/>
          </w:tcPr>
          <w:p w14:paraId="1A0CE44A"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147</w:t>
            </w:r>
          </w:p>
        </w:tc>
        <w:tc>
          <w:tcPr>
            <w:tcW w:w="1404" w:type="dxa"/>
            <w:tcBorders>
              <w:top w:val="nil"/>
              <w:left w:val="nil"/>
              <w:bottom w:val="single" w:sz="4" w:space="0" w:color="auto"/>
              <w:right w:val="single" w:sz="4" w:space="0" w:color="auto"/>
            </w:tcBorders>
            <w:vAlign w:val="center"/>
            <w:hideMark/>
          </w:tcPr>
          <w:p w14:paraId="7B9EB0DD"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67</w:t>
            </w:r>
          </w:p>
        </w:tc>
        <w:tc>
          <w:tcPr>
            <w:tcW w:w="1206" w:type="dxa"/>
            <w:tcBorders>
              <w:top w:val="nil"/>
              <w:left w:val="nil"/>
              <w:bottom w:val="single" w:sz="4" w:space="0" w:color="auto"/>
              <w:right w:val="nil"/>
            </w:tcBorders>
            <w:vAlign w:val="center"/>
            <w:hideMark/>
          </w:tcPr>
          <w:p w14:paraId="11F40127"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110</w:t>
            </w:r>
          </w:p>
        </w:tc>
        <w:tc>
          <w:tcPr>
            <w:tcW w:w="2013" w:type="dxa"/>
            <w:tcBorders>
              <w:top w:val="nil"/>
              <w:left w:val="single" w:sz="4" w:space="0" w:color="auto"/>
              <w:bottom w:val="single" w:sz="4" w:space="0" w:color="auto"/>
              <w:right w:val="single" w:sz="4" w:space="0" w:color="auto"/>
            </w:tcBorders>
            <w:vAlign w:val="center"/>
            <w:hideMark/>
          </w:tcPr>
          <w:p w14:paraId="58DCFA2D"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504</w:t>
            </w:r>
          </w:p>
        </w:tc>
        <w:tc>
          <w:tcPr>
            <w:tcW w:w="1206" w:type="dxa"/>
            <w:tcBorders>
              <w:top w:val="nil"/>
              <w:left w:val="nil"/>
              <w:bottom w:val="single" w:sz="4" w:space="0" w:color="auto"/>
              <w:right w:val="single" w:sz="4" w:space="0" w:color="auto"/>
            </w:tcBorders>
            <w:vAlign w:val="center"/>
            <w:hideMark/>
          </w:tcPr>
          <w:p w14:paraId="3076755A"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374</w:t>
            </w:r>
          </w:p>
        </w:tc>
        <w:tc>
          <w:tcPr>
            <w:tcW w:w="1891" w:type="dxa"/>
            <w:tcBorders>
              <w:top w:val="nil"/>
              <w:left w:val="nil"/>
              <w:bottom w:val="single" w:sz="4" w:space="0" w:color="auto"/>
              <w:right w:val="single" w:sz="4" w:space="0" w:color="auto"/>
            </w:tcBorders>
            <w:vAlign w:val="center"/>
            <w:hideMark/>
          </w:tcPr>
          <w:p w14:paraId="4B80D1D7"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32</w:t>
            </w:r>
          </w:p>
        </w:tc>
        <w:tc>
          <w:tcPr>
            <w:tcW w:w="1039" w:type="dxa"/>
            <w:tcBorders>
              <w:top w:val="nil"/>
              <w:left w:val="nil"/>
              <w:bottom w:val="single" w:sz="4" w:space="0" w:color="auto"/>
              <w:right w:val="single" w:sz="4" w:space="0" w:color="auto"/>
            </w:tcBorders>
            <w:vAlign w:val="center"/>
            <w:hideMark/>
          </w:tcPr>
          <w:p w14:paraId="27FEFE46"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169</w:t>
            </w:r>
          </w:p>
        </w:tc>
        <w:tc>
          <w:tcPr>
            <w:tcW w:w="947" w:type="dxa"/>
            <w:tcBorders>
              <w:top w:val="nil"/>
              <w:left w:val="nil"/>
              <w:bottom w:val="single" w:sz="4" w:space="0" w:color="auto"/>
              <w:right w:val="single" w:sz="4" w:space="0" w:color="auto"/>
            </w:tcBorders>
            <w:vAlign w:val="center"/>
            <w:hideMark/>
          </w:tcPr>
          <w:p w14:paraId="7C6D7CBF"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246</w:t>
            </w:r>
          </w:p>
        </w:tc>
        <w:tc>
          <w:tcPr>
            <w:tcW w:w="931" w:type="dxa"/>
            <w:tcBorders>
              <w:top w:val="nil"/>
              <w:left w:val="nil"/>
              <w:bottom w:val="single" w:sz="4" w:space="0" w:color="auto"/>
              <w:right w:val="single" w:sz="4" w:space="0" w:color="auto"/>
            </w:tcBorders>
            <w:vAlign w:val="center"/>
            <w:hideMark/>
          </w:tcPr>
          <w:p w14:paraId="0F57A9DE"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1649</w:t>
            </w:r>
          </w:p>
        </w:tc>
      </w:tr>
      <w:tr w:rsidR="009D0FC7" w:rsidRPr="009D0FC7" w14:paraId="1BF4C3F7" w14:textId="77777777" w:rsidTr="009D0FC7">
        <w:trPr>
          <w:trHeight w:val="20"/>
          <w:jc w:val="center"/>
        </w:trPr>
        <w:tc>
          <w:tcPr>
            <w:tcW w:w="1586" w:type="dxa"/>
            <w:tcBorders>
              <w:top w:val="nil"/>
              <w:left w:val="single" w:sz="4" w:space="0" w:color="auto"/>
              <w:bottom w:val="single" w:sz="4" w:space="0" w:color="auto"/>
              <w:right w:val="single" w:sz="4" w:space="0" w:color="auto"/>
            </w:tcBorders>
            <w:vAlign w:val="center"/>
            <w:hideMark/>
          </w:tcPr>
          <w:p w14:paraId="2BAE3DF3" w14:textId="248AC125"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p>
        </w:tc>
        <w:tc>
          <w:tcPr>
            <w:tcW w:w="1434" w:type="dxa"/>
            <w:tcBorders>
              <w:top w:val="nil"/>
              <w:left w:val="nil"/>
              <w:bottom w:val="single" w:sz="4" w:space="0" w:color="auto"/>
              <w:right w:val="single" w:sz="4" w:space="0" w:color="auto"/>
            </w:tcBorders>
            <w:vAlign w:val="center"/>
            <w:hideMark/>
          </w:tcPr>
          <w:p w14:paraId="568B58E2"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8.9</w:t>
            </w:r>
          </w:p>
        </w:tc>
        <w:tc>
          <w:tcPr>
            <w:tcW w:w="1404" w:type="dxa"/>
            <w:tcBorders>
              <w:top w:val="nil"/>
              <w:left w:val="nil"/>
              <w:bottom w:val="single" w:sz="4" w:space="0" w:color="auto"/>
              <w:right w:val="single" w:sz="4" w:space="0" w:color="auto"/>
            </w:tcBorders>
            <w:vAlign w:val="center"/>
            <w:hideMark/>
          </w:tcPr>
          <w:p w14:paraId="3ADDCC7D"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4.1</w:t>
            </w:r>
          </w:p>
        </w:tc>
        <w:tc>
          <w:tcPr>
            <w:tcW w:w="1206" w:type="dxa"/>
            <w:tcBorders>
              <w:top w:val="nil"/>
              <w:left w:val="nil"/>
              <w:bottom w:val="single" w:sz="4" w:space="0" w:color="auto"/>
              <w:right w:val="nil"/>
            </w:tcBorders>
            <w:vAlign w:val="center"/>
            <w:hideMark/>
          </w:tcPr>
          <w:p w14:paraId="69FAB0F2"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6.7</w:t>
            </w:r>
          </w:p>
        </w:tc>
        <w:tc>
          <w:tcPr>
            <w:tcW w:w="2013" w:type="dxa"/>
            <w:tcBorders>
              <w:top w:val="nil"/>
              <w:left w:val="single" w:sz="4" w:space="0" w:color="auto"/>
              <w:bottom w:val="single" w:sz="4" w:space="0" w:color="auto"/>
              <w:right w:val="single" w:sz="4" w:space="0" w:color="auto"/>
            </w:tcBorders>
            <w:vAlign w:val="center"/>
            <w:hideMark/>
          </w:tcPr>
          <w:p w14:paraId="51633670"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30.6</w:t>
            </w:r>
          </w:p>
        </w:tc>
        <w:tc>
          <w:tcPr>
            <w:tcW w:w="1206" w:type="dxa"/>
            <w:tcBorders>
              <w:top w:val="nil"/>
              <w:left w:val="nil"/>
              <w:bottom w:val="single" w:sz="4" w:space="0" w:color="auto"/>
              <w:right w:val="single" w:sz="4" w:space="0" w:color="auto"/>
            </w:tcBorders>
            <w:vAlign w:val="center"/>
            <w:hideMark/>
          </w:tcPr>
          <w:p w14:paraId="662C508F"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22.7</w:t>
            </w:r>
          </w:p>
        </w:tc>
        <w:tc>
          <w:tcPr>
            <w:tcW w:w="1891" w:type="dxa"/>
            <w:tcBorders>
              <w:top w:val="nil"/>
              <w:left w:val="nil"/>
              <w:bottom w:val="single" w:sz="4" w:space="0" w:color="auto"/>
              <w:right w:val="single" w:sz="4" w:space="0" w:color="auto"/>
            </w:tcBorders>
            <w:vAlign w:val="center"/>
            <w:hideMark/>
          </w:tcPr>
          <w:p w14:paraId="4D1B710A"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1.9</w:t>
            </w:r>
          </w:p>
        </w:tc>
        <w:tc>
          <w:tcPr>
            <w:tcW w:w="1039" w:type="dxa"/>
            <w:tcBorders>
              <w:top w:val="nil"/>
              <w:left w:val="nil"/>
              <w:bottom w:val="single" w:sz="4" w:space="0" w:color="auto"/>
              <w:right w:val="single" w:sz="4" w:space="0" w:color="auto"/>
            </w:tcBorders>
            <w:vAlign w:val="center"/>
            <w:hideMark/>
          </w:tcPr>
          <w:p w14:paraId="30CC6679"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10.2</w:t>
            </w:r>
          </w:p>
        </w:tc>
        <w:tc>
          <w:tcPr>
            <w:tcW w:w="947" w:type="dxa"/>
            <w:tcBorders>
              <w:top w:val="nil"/>
              <w:left w:val="nil"/>
              <w:bottom w:val="single" w:sz="4" w:space="0" w:color="auto"/>
              <w:right w:val="single" w:sz="4" w:space="0" w:color="auto"/>
            </w:tcBorders>
            <w:vAlign w:val="center"/>
            <w:hideMark/>
          </w:tcPr>
          <w:p w14:paraId="2C8401A1"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14.9</w:t>
            </w:r>
          </w:p>
        </w:tc>
        <w:tc>
          <w:tcPr>
            <w:tcW w:w="931" w:type="dxa"/>
            <w:tcBorders>
              <w:top w:val="nil"/>
              <w:left w:val="nil"/>
              <w:bottom w:val="single" w:sz="4" w:space="0" w:color="auto"/>
              <w:right w:val="single" w:sz="4" w:space="0" w:color="auto"/>
            </w:tcBorders>
            <w:vAlign w:val="center"/>
            <w:hideMark/>
          </w:tcPr>
          <w:p w14:paraId="5F3F56E0" w14:textId="7A208161"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p>
        </w:tc>
      </w:tr>
      <w:tr w:rsidR="009D0FC7" w:rsidRPr="009D0FC7" w14:paraId="7B0C9390" w14:textId="77777777" w:rsidTr="009D0FC7">
        <w:trPr>
          <w:trHeight w:val="20"/>
          <w:jc w:val="center"/>
        </w:trPr>
        <w:tc>
          <w:tcPr>
            <w:tcW w:w="1586" w:type="dxa"/>
            <w:tcBorders>
              <w:top w:val="nil"/>
              <w:left w:val="single" w:sz="4" w:space="0" w:color="auto"/>
              <w:bottom w:val="single" w:sz="4" w:space="0" w:color="auto"/>
              <w:right w:val="single" w:sz="4" w:space="0" w:color="auto"/>
            </w:tcBorders>
            <w:vAlign w:val="center"/>
            <w:hideMark/>
          </w:tcPr>
          <w:p w14:paraId="180EA67C"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Uttar Pradesh</w:t>
            </w:r>
          </w:p>
        </w:tc>
        <w:tc>
          <w:tcPr>
            <w:tcW w:w="1434" w:type="dxa"/>
            <w:tcBorders>
              <w:top w:val="nil"/>
              <w:left w:val="nil"/>
              <w:bottom w:val="single" w:sz="4" w:space="0" w:color="auto"/>
              <w:right w:val="single" w:sz="4" w:space="0" w:color="auto"/>
            </w:tcBorders>
            <w:vAlign w:val="center"/>
            <w:hideMark/>
          </w:tcPr>
          <w:p w14:paraId="0515AF07"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545</w:t>
            </w:r>
          </w:p>
        </w:tc>
        <w:tc>
          <w:tcPr>
            <w:tcW w:w="1404" w:type="dxa"/>
            <w:tcBorders>
              <w:top w:val="nil"/>
              <w:left w:val="nil"/>
              <w:bottom w:val="single" w:sz="4" w:space="0" w:color="auto"/>
              <w:right w:val="single" w:sz="4" w:space="0" w:color="auto"/>
            </w:tcBorders>
            <w:vAlign w:val="center"/>
            <w:hideMark/>
          </w:tcPr>
          <w:p w14:paraId="2BE85A10"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261</w:t>
            </w:r>
          </w:p>
        </w:tc>
        <w:tc>
          <w:tcPr>
            <w:tcW w:w="1206" w:type="dxa"/>
            <w:tcBorders>
              <w:top w:val="nil"/>
              <w:left w:val="nil"/>
              <w:bottom w:val="single" w:sz="4" w:space="0" w:color="auto"/>
              <w:right w:val="nil"/>
            </w:tcBorders>
            <w:vAlign w:val="center"/>
            <w:hideMark/>
          </w:tcPr>
          <w:p w14:paraId="0BD3EC56"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105</w:t>
            </w:r>
          </w:p>
        </w:tc>
        <w:tc>
          <w:tcPr>
            <w:tcW w:w="2013" w:type="dxa"/>
            <w:tcBorders>
              <w:top w:val="nil"/>
              <w:left w:val="single" w:sz="4" w:space="0" w:color="auto"/>
              <w:bottom w:val="single" w:sz="4" w:space="0" w:color="auto"/>
              <w:right w:val="single" w:sz="4" w:space="0" w:color="auto"/>
            </w:tcBorders>
            <w:vAlign w:val="center"/>
            <w:hideMark/>
          </w:tcPr>
          <w:p w14:paraId="5C1E4E85"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1469</w:t>
            </w:r>
          </w:p>
        </w:tc>
        <w:tc>
          <w:tcPr>
            <w:tcW w:w="1206" w:type="dxa"/>
            <w:tcBorders>
              <w:top w:val="nil"/>
              <w:left w:val="nil"/>
              <w:bottom w:val="single" w:sz="4" w:space="0" w:color="auto"/>
              <w:right w:val="single" w:sz="4" w:space="0" w:color="auto"/>
            </w:tcBorders>
            <w:vAlign w:val="center"/>
            <w:hideMark/>
          </w:tcPr>
          <w:p w14:paraId="11B735C3"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1530</w:t>
            </w:r>
          </w:p>
        </w:tc>
        <w:tc>
          <w:tcPr>
            <w:tcW w:w="1891" w:type="dxa"/>
            <w:tcBorders>
              <w:top w:val="nil"/>
              <w:left w:val="nil"/>
              <w:bottom w:val="single" w:sz="4" w:space="0" w:color="auto"/>
              <w:right w:val="single" w:sz="4" w:space="0" w:color="auto"/>
            </w:tcBorders>
            <w:vAlign w:val="center"/>
            <w:hideMark/>
          </w:tcPr>
          <w:p w14:paraId="3C962D77"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418</w:t>
            </w:r>
          </w:p>
        </w:tc>
        <w:tc>
          <w:tcPr>
            <w:tcW w:w="1039" w:type="dxa"/>
            <w:tcBorders>
              <w:top w:val="nil"/>
              <w:left w:val="nil"/>
              <w:bottom w:val="single" w:sz="4" w:space="0" w:color="auto"/>
              <w:right w:val="single" w:sz="4" w:space="0" w:color="auto"/>
            </w:tcBorders>
            <w:vAlign w:val="center"/>
            <w:hideMark/>
          </w:tcPr>
          <w:p w14:paraId="685B0DD6"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316</w:t>
            </w:r>
          </w:p>
        </w:tc>
        <w:tc>
          <w:tcPr>
            <w:tcW w:w="947" w:type="dxa"/>
            <w:tcBorders>
              <w:top w:val="nil"/>
              <w:left w:val="nil"/>
              <w:bottom w:val="single" w:sz="4" w:space="0" w:color="auto"/>
              <w:right w:val="single" w:sz="4" w:space="0" w:color="auto"/>
            </w:tcBorders>
            <w:vAlign w:val="center"/>
            <w:hideMark/>
          </w:tcPr>
          <w:p w14:paraId="082EC242"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798</w:t>
            </w:r>
          </w:p>
        </w:tc>
        <w:tc>
          <w:tcPr>
            <w:tcW w:w="931" w:type="dxa"/>
            <w:tcBorders>
              <w:top w:val="nil"/>
              <w:left w:val="nil"/>
              <w:bottom w:val="single" w:sz="4" w:space="0" w:color="auto"/>
              <w:right w:val="single" w:sz="4" w:space="0" w:color="auto"/>
            </w:tcBorders>
            <w:vAlign w:val="center"/>
            <w:hideMark/>
          </w:tcPr>
          <w:p w14:paraId="04DF0697"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5442</w:t>
            </w:r>
          </w:p>
        </w:tc>
      </w:tr>
      <w:tr w:rsidR="009D0FC7" w:rsidRPr="009D0FC7" w14:paraId="59FB379B" w14:textId="77777777" w:rsidTr="009D0FC7">
        <w:trPr>
          <w:trHeight w:val="20"/>
          <w:jc w:val="center"/>
        </w:trPr>
        <w:tc>
          <w:tcPr>
            <w:tcW w:w="1586" w:type="dxa"/>
            <w:tcBorders>
              <w:top w:val="nil"/>
              <w:left w:val="single" w:sz="4" w:space="0" w:color="auto"/>
              <w:bottom w:val="single" w:sz="4" w:space="0" w:color="auto"/>
              <w:right w:val="single" w:sz="4" w:space="0" w:color="auto"/>
            </w:tcBorders>
            <w:vAlign w:val="center"/>
            <w:hideMark/>
          </w:tcPr>
          <w:p w14:paraId="2C85EACF" w14:textId="4C105761"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p>
        </w:tc>
        <w:tc>
          <w:tcPr>
            <w:tcW w:w="1434" w:type="dxa"/>
            <w:tcBorders>
              <w:top w:val="nil"/>
              <w:left w:val="nil"/>
              <w:bottom w:val="single" w:sz="4" w:space="0" w:color="auto"/>
              <w:right w:val="single" w:sz="4" w:space="0" w:color="auto"/>
            </w:tcBorders>
            <w:vAlign w:val="center"/>
            <w:hideMark/>
          </w:tcPr>
          <w:p w14:paraId="288DC577" w14:textId="25C32D63"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10</w:t>
            </w:r>
            <w:r w:rsidR="00A62199">
              <w:rPr>
                <w:rFonts w:ascii="Times New Roman" w:eastAsia="Times New Roman" w:hAnsi="Times New Roman" w:cs="Times New Roman"/>
                <w:i/>
                <w:iCs/>
                <w:color w:val="000000"/>
                <w:kern w:val="0"/>
                <w:szCs w:val="24"/>
                <w:lang w:eastAsia="en-IN"/>
                <w14:ligatures w14:val="none"/>
              </w:rPr>
              <w:t>.0</w:t>
            </w:r>
          </w:p>
        </w:tc>
        <w:tc>
          <w:tcPr>
            <w:tcW w:w="1404" w:type="dxa"/>
            <w:tcBorders>
              <w:top w:val="nil"/>
              <w:left w:val="nil"/>
              <w:bottom w:val="single" w:sz="4" w:space="0" w:color="auto"/>
              <w:right w:val="single" w:sz="4" w:space="0" w:color="auto"/>
            </w:tcBorders>
            <w:vAlign w:val="center"/>
            <w:hideMark/>
          </w:tcPr>
          <w:p w14:paraId="61DD3DE5"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4.8</w:t>
            </w:r>
          </w:p>
        </w:tc>
        <w:tc>
          <w:tcPr>
            <w:tcW w:w="1206" w:type="dxa"/>
            <w:tcBorders>
              <w:top w:val="nil"/>
              <w:left w:val="nil"/>
              <w:bottom w:val="single" w:sz="4" w:space="0" w:color="auto"/>
              <w:right w:val="nil"/>
            </w:tcBorders>
            <w:vAlign w:val="center"/>
            <w:hideMark/>
          </w:tcPr>
          <w:p w14:paraId="7F9C67F5"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1.9</w:t>
            </w:r>
          </w:p>
        </w:tc>
        <w:tc>
          <w:tcPr>
            <w:tcW w:w="2013" w:type="dxa"/>
            <w:tcBorders>
              <w:top w:val="nil"/>
              <w:left w:val="single" w:sz="4" w:space="0" w:color="auto"/>
              <w:bottom w:val="single" w:sz="4" w:space="0" w:color="auto"/>
              <w:right w:val="single" w:sz="4" w:space="0" w:color="auto"/>
            </w:tcBorders>
            <w:vAlign w:val="center"/>
            <w:hideMark/>
          </w:tcPr>
          <w:p w14:paraId="2E4D262E" w14:textId="35FA239E"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27</w:t>
            </w:r>
            <w:r w:rsidR="00A62199">
              <w:rPr>
                <w:rFonts w:ascii="Times New Roman" w:eastAsia="Times New Roman" w:hAnsi="Times New Roman" w:cs="Times New Roman"/>
                <w:i/>
                <w:iCs/>
                <w:color w:val="000000"/>
                <w:kern w:val="0"/>
                <w:szCs w:val="24"/>
                <w:lang w:eastAsia="en-IN"/>
                <w14:ligatures w14:val="none"/>
              </w:rPr>
              <w:t>.0</w:t>
            </w:r>
          </w:p>
        </w:tc>
        <w:tc>
          <w:tcPr>
            <w:tcW w:w="1206" w:type="dxa"/>
            <w:tcBorders>
              <w:top w:val="nil"/>
              <w:left w:val="nil"/>
              <w:bottom w:val="single" w:sz="4" w:space="0" w:color="auto"/>
              <w:right w:val="single" w:sz="4" w:space="0" w:color="auto"/>
            </w:tcBorders>
            <w:vAlign w:val="center"/>
            <w:hideMark/>
          </w:tcPr>
          <w:p w14:paraId="60BE7612"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28.1</w:t>
            </w:r>
          </w:p>
        </w:tc>
        <w:tc>
          <w:tcPr>
            <w:tcW w:w="1891" w:type="dxa"/>
            <w:tcBorders>
              <w:top w:val="nil"/>
              <w:left w:val="nil"/>
              <w:bottom w:val="single" w:sz="4" w:space="0" w:color="auto"/>
              <w:right w:val="single" w:sz="4" w:space="0" w:color="auto"/>
            </w:tcBorders>
            <w:vAlign w:val="center"/>
            <w:hideMark/>
          </w:tcPr>
          <w:p w14:paraId="05C475B2"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7.7</w:t>
            </w:r>
          </w:p>
        </w:tc>
        <w:tc>
          <w:tcPr>
            <w:tcW w:w="1039" w:type="dxa"/>
            <w:tcBorders>
              <w:top w:val="nil"/>
              <w:left w:val="nil"/>
              <w:bottom w:val="single" w:sz="4" w:space="0" w:color="auto"/>
              <w:right w:val="single" w:sz="4" w:space="0" w:color="auto"/>
            </w:tcBorders>
            <w:vAlign w:val="center"/>
            <w:hideMark/>
          </w:tcPr>
          <w:p w14:paraId="5CE3E961"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5.8</w:t>
            </w:r>
          </w:p>
        </w:tc>
        <w:tc>
          <w:tcPr>
            <w:tcW w:w="947" w:type="dxa"/>
            <w:tcBorders>
              <w:top w:val="nil"/>
              <w:left w:val="nil"/>
              <w:bottom w:val="single" w:sz="4" w:space="0" w:color="auto"/>
              <w:right w:val="single" w:sz="4" w:space="0" w:color="auto"/>
            </w:tcBorders>
            <w:vAlign w:val="center"/>
            <w:hideMark/>
          </w:tcPr>
          <w:p w14:paraId="2E7D2587"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14.7</w:t>
            </w:r>
          </w:p>
        </w:tc>
        <w:tc>
          <w:tcPr>
            <w:tcW w:w="931" w:type="dxa"/>
            <w:tcBorders>
              <w:top w:val="nil"/>
              <w:left w:val="nil"/>
              <w:bottom w:val="single" w:sz="4" w:space="0" w:color="auto"/>
              <w:right w:val="single" w:sz="4" w:space="0" w:color="auto"/>
            </w:tcBorders>
            <w:vAlign w:val="center"/>
            <w:hideMark/>
          </w:tcPr>
          <w:p w14:paraId="1215661E" w14:textId="29F508DE"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p>
        </w:tc>
      </w:tr>
      <w:tr w:rsidR="009D0FC7" w:rsidRPr="009D0FC7" w14:paraId="4A30240E" w14:textId="77777777" w:rsidTr="009D0FC7">
        <w:trPr>
          <w:trHeight w:val="20"/>
          <w:jc w:val="center"/>
        </w:trPr>
        <w:tc>
          <w:tcPr>
            <w:tcW w:w="1586" w:type="dxa"/>
            <w:tcBorders>
              <w:top w:val="nil"/>
              <w:left w:val="single" w:sz="4" w:space="0" w:color="auto"/>
              <w:bottom w:val="single" w:sz="4" w:space="0" w:color="auto"/>
              <w:right w:val="single" w:sz="4" w:space="0" w:color="auto"/>
            </w:tcBorders>
            <w:vAlign w:val="center"/>
            <w:hideMark/>
          </w:tcPr>
          <w:p w14:paraId="159123AE"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West Bengal</w:t>
            </w:r>
          </w:p>
        </w:tc>
        <w:tc>
          <w:tcPr>
            <w:tcW w:w="1434" w:type="dxa"/>
            <w:tcBorders>
              <w:top w:val="nil"/>
              <w:left w:val="nil"/>
              <w:bottom w:val="single" w:sz="4" w:space="0" w:color="auto"/>
              <w:right w:val="single" w:sz="4" w:space="0" w:color="auto"/>
            </w:tcBorders>
            <w:vAlign w:val="center"/>
            <w:hideMark/>
          </w:tcPr>
          <w:p w14:paraId="7C12930A"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188</w:t>
            </w:r>
          </w:p>
        </w:tc>
        <w:tc>
          <w:tcPr>
            <w:tcW w:w="1404" w:type="dxa"/>
            <w:tcBorders>
              <w:top w:val="nil"/>
              <w:left w:val="nil"/>
              <w:bottom w:val="single" w:sz="4" w:space="0" w:color="auto"/>
              <w:right w:val="single" w:sz="4" w:space="0" w:color="auto"/>
            </w:tcBorders>
            <w:vAlign w:val="center"/>
            <w:hideMark/>
          </w:tcPr>
          <w:p w14:paraId="6F9FD5C0"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95</w:t>
            </w:r>
          </w:p>
        </w:tc>
        <w:tc>
          <w:tcPr>
            <w:tcW w:w="1206" w:type="dxa"/>
            <w:tcBorders>
              <w:top w:val="nil"/>
              <w:left w:val="nil"/>
              <w:bottom w:val="single" w:sz="4" w:space="0" w:color="auto"/>
              <w:right w:val="nil"/>
            </w:tcBorders>
            <w:vAlign w:val="center"/>
            <w:hideMark/>
          </w:tcPr>
          <w:p w14:paraId="61D80EF9"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18</w:t>
            </w:r>
          </w:p>
        </w:tc>
        <w:tc>
          <w:tcPr>
            <w:tcW w:w="2013" w:type="dxa"/>
            <w:tcBorders>
              <w:top w:val="nil"/>
              <w:left w:val="single" w:sz="4" w:space="0" w:color="auto"/>
              <w:bottom w:val="single" w:sz="4" w:space="0" w:color="auto"/>
              <w:right w:val="single" w:sz="4" w:space="0" w:color="auto"/>
            </w:tcBorders>
            <w:vAlign w:val="center"/>
            <w:hideMark/>
          </w:tcPr>
          <w:p w14:paraId="38C359C6"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1031</w:t>
            </w:r>
          </w:p>
        </w:tc>
        <w:tc>
          <w:tcPr>
            <w:tcW w:w="1206" w:type="dxa"/>
            <w:tcBorders>
              <w:top w:val="nil"/>
              <w:left w:val="nil"/>
              <w:bottom w:val="single" w:sz="4" w:space="0" w:color="auto"/>
              <w:right w:val="single" w:sz="4" w:space="0" w:color="auto"/>
            </w:tcBorders>
            <w:vAlign w:val="center"/>
            <w:hideMark/>
          </w:tcPr>
          <w:p w14:paraId="3957C950"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1025</w:t>
            </w:r>
          </w:p>
        </w:tc>
        <w:tc>
          <w:tcPr>
            <w:tcW w:w="1891" w:type="dxa"/>
            <w:tcBorders>
              <w:top w:val="nil"/>
              <w:left w:val="nil"/>
              <w:bottom w:val="single" w:sz="4" w:space="0" w:color="auto"/>
              <w:right w:val="single" w:sz="4" w:space="0" w:color="auto"/>
            </w:tcBorders>
            <w:vAlign w:val="center"/>
            <w:hideMark/>
          </w:tcPr>
          <w:p w14:paraId="77D2C75E"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102</w:t>
            </w:r>
          </w:p>
        </w:tc>
        <w:tc>
          <w:tcPr>
            <w:tcW w:w="1039" w:type="dxa"/>
            <w:tcBorders>
              <w:top w:val="nil"/>
              <w:left w:val="nil"/>
              <w:bottom w:val="single" w:sz="4" w:space="0" w:color="auto"/>
              <w:right w:val="single" w:sz="4" w:space="0" w:color="auto"/>
            </w:tcBorders>
            <w:vAlign w:val="center"/>
            <w:hideMark/>
          </w:tcPr>
          <w:p w14:paraId="6C376206"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422</w:t>
            </w:r>
          </w:p>
        </w:tc>
        <w:tc>
          <w:tcPr>
            <w:tcW w:w="947" w:type="dxa"/>
            <w:tcBorders>
              <w:top w:val="nil"/>
              <w:left w:val="nil"/>
              <w:bottom w:val="single" w:sz="4" w:space="0" w:color="auto"/>
              <w:right w:val="single" w:sz="4" w:space="0" w:color="auto"/>
            </w:tcBorders>
            <w:vAlign w:val="center"/>
            <w:hideMark/>
          </w:tcPr>
          <w:p w14:paraId="23B86A35"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858</w:t>
            </w:r>
          </w:p>
        </w:tc>
        <w:tc>
          <w:tcPr>
            <w:tcW w:w="931" w:type="dxa"/>
            <w:tcBorders>
              <w:top w:val="nil"/>
              <w:left w:val="nil"/>
              <w:bottom w:val="single" w:sz="4" w:space="0" w:color="auto"/>
              <w:right w:val="single" w:sz="4" w:space="0" w:color="auto"/>
            </w:tcBorders>
            <w:vAlign w:val="center"/>
            <w:hideMark/>
          </w:tcPr>
          <w:p w14:paraId="74CF27A0"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3739</w:t>
            </w:r>
          </w:p>
        </w:tc>
      </w:tr>
      <w:tr w:rsidR="009D0FC7" w:rsidRPr="009D0FC7" w14:paraId="58F8401C" w14:textId="77777777" w:rsidTr="009D0FC7">
        <w:trPr>
          <w:trHeight w:val="20"/>
          <w:jc w:val="center"/>
        </w:trPr>
        <w:tc>
          <w:tcPr>
            <w:tcW w:w="1586" w:type="dxa"/>
            <w:tcBorders>
              <w:top w:val="nil"/>
              <w:left w:val="single" w:sz="4" w:space="0" w:color="auto"/>
              <w:bottom w:val="single" w:sz="4" w:space="0" w:color="auto"/>
              <w:right w:val="single" w:sz="4" w:space="0" w:color="auto"/>
            </w:tcBorders>
            <w:vAlign w:val="center"/>
            <w:hideMark/>
          </w:tcPr>
          <w:p w14:paraId="33E3FB89" w14:textId="38620451"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p>
        </w:tc>
        <w:tc>
          <w:tcPr>
            <w:tcW w:w="1434" w:type="dxa"/>
            <w:tcBorders>
              <w:top w:val="nil"/>
              <w:left w:val="nil"/>
              <w:bottom w:val="single" w:sz="4" w:space="0" w:color="auto"/>
              <w:right w:val="single" w:sz="4" w:space="0" w:color="auto"/>
            </w:tcBorders>
            <w:vAlign w:val="center"/>
            <w:hideMark/>
          </w:tcPr>
          <w:p w14:paraId="4C35976D" w14:textId="61A01906"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5</w:t>
            </w:r>
            <w:r w:rsidR="00A62199">
              <w:rPr>
                <w:rFonts w:ascii="Times New Roman" w:eastAsia="Times New Roman" w:hAnsi="Times New Roman" w:cs="Times New Roman"/>
                <w:i/>
                <w:iCs/>
                <w:color w:val="000000"/>
                <w:kern w:val="0"/>
                <w:szCs w:val="24"/>
                <w:lang w:eastAsia="en-IN"/>
                <w14:ligatures w14:val="none"/>
              </w:rPr>
              <w:t>.0</w:t>
            </w:r>
          </w:p>
        </w:tc>
        <w:tc>
          <w:tcPr>
            <w:tcW w:w="1404" w:type="dxa"/>
            <w:tcBorders>
              <w:top w:val="nil"/>
              <w:left w:val="nil"/>
              <w:bottom w:val="single" w:sz="4" w:space="0" w:color="auto"/>
              <w:right w:val="single" w:sz="4" w:space="0" w:color="auto"/>
            </w:tcBorders>
            <w:vAlign w:val="center"/>
            <w:hideMark/>
          </w:tcPr>
          <w:p w14:paraId="3EFF1693"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2.5</w:t>
            </w:r>
          </w:p>
        </w:tc>
        <w:tc>
          <w:tcPr>
            <w:tcW w:w="1206" w:type="dxa"/>
            <w:tcBorders>
              <w:top w:val="nil"/>
              <w:left w:val="nil"/>
              <w:bottom w:val="single" w:sz="4" w:space="0" w:color="auto"/>
              <w:right w:val="nil"/>
            </w:tcBorders>
            <w:vAlign w:val="center"/>
            <w:hideMark/>
          </w:tcPr>
          <w:p w14:paraId="5B11E768"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0.5</w:t>
            </w:r>
          </w:p>
        </w:tc>
        <w:tc>
          <w:tcPr>
            <w:tcW w:w="2013" w:type="dxa"/>
            <w:tcBorders>
              <w:top w:val="nil"/>
              <w:left w:val="single" w:sz="4" w:space="0" w:color="auto"/>
              <w:bottom w:val="single" w:sz="4" w:space="0" w:color="auto"/>
              <w:right w:val="single" w:sz="4" w:space="0" w:color="auto"/>
            </w:tcBorders>
            <w:vAlign w:val="center"/>
            <w:hideMark/>
          </w:tcPr>
          <w:p w14:paraId="58E77119"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27.7</w:t>
            </w:r>
          </w:p>
        </w:tc>
        <w:tc>
          <w:tcPr>
            <w:tcW w:w="1206" w:type="dxa"/>
            <w:tcBorders>
              <w:top w:val="nil"/>
              <w:left w:val="nil"/>
              <w:bottom w:val="single" w:sz="4" w:space="0" w:color="auto"/>
              <w:right w:val="single" w:sz="4" w:space="0" w:color="auto"/>
            </w:tcBorders>
            <w:vAlign w:val="center"/>
            <w:hideMark/>
          </w:tcPr>
          <w:p w14:paraId="41EAB0A3"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27.4</w:t>
            </w:r>
          </w:p>
        </w:tc>
        <w:tc>
          <w:tcPr>
            <w:tcW w:w="1891" w:type="dxa"/>
            <w:tcBorders>
              <w:top w:val="nil"/>
              <w:left w:val="nil"/>
              <w:bottom w:val="single" w:sz="4" w:space="0" w:color="auto"/>
              <w:right w:val="single" w:sz="4" w:space="0" w:color="auto"/>
            </w:tcBorders>
            <w:vAlign w:val="center"/>
            <w:hideMark/>
          </w:tcPr>
          <w:p w14:paraId="63872DE9"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2.7</w:t>
            </w:r>
          </w:p>
        </w:tc>
        <w:tc>
          <w:tcPr>
            <w:tcW w:w="1039" w:type="dxa"/>
            <w:tcBorders>
              <w:top w:val="nil"/>
              <w:left w:val="nil"/>
              <w:bottom w:val="single" w:sz="4" w:space="0" w:color="auto"/>
              <w:right w:val="single" w:sz="4" w:space="0" w:color="auto"/>
            </w:tcBorders>
            <w:vAlign w:val="center"/>
            <w:hideMark/>
          </w:tcPr>
          <w:p w14:paraId="53F93589"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11.3</w:t>
            </w:r>
          </w:p>
        </w:tc>
        <w:tc>
          <w:tcPr>
            <w:tcW w:w="947" w:type="dxa"/>
            <w:tcBorders>
              <w:top w:val="nil"/>
              <w:left w:val="nil"/>
              <w:bottom w:val="single" w:sz="4" w:space="0" w:color="auto"/>
              <w:right w:val="single" w:sz="4" w:space="0" w:color="auto"/>
            </w:tcBorders>
            <w:vAlign w:val="center"/>
            <w:hideMark/>
          </w:tcPr>
          <w:p w14:paraId="1A87A635"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22.9</w:t>
            </w:r>
          </w:p>
        </w:tc>
        <w:tc>
          <w:tcPr>
            <w:tcW w:w="931" w:type="dxa"/>
            <w:tcBorders>
              <w:top w:val="nil"/>
              <w:left w:val="nil"/>
              <w:bottom w:val="single" w:sz="4" w:space="0" w:color="auto"/>
              <w:right w:val="single" w:sz="4" w:space="0" w:color="auto"/>
            </w:tcBorders>
            <w:vAlign w:val="center"/>
            <w:hideMark/>
          </w:tcPr>
          <w:p w14:paraId="61000622" w14:textId="234C5ED6"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p>
        </w:tc>
      </w:tr>
      <w:tr w:rsidR="009D0FC7" w:rsidRPr="009D0FC7" w14:paraId="347DDE97" w14:textId="77777777" w:rsidTr="009D0FC7">
        <w:trPr>
          <w:trHeight w:val="20"/>
          <w:jc w:val="center"/>
        </w:trPr>
        <w:tc>
          <w:tcPr>
            <w:tcW w:w="1586" w:type="dxa"/>
            <w:tcBorders>
              <w:top w:val="nil"/>
              <w:left w:val="single" w:sz="4" w:space="0" w:color="auto"/>
              <w:bottom w:val="single" w:sz="4" w:space="0" w:color="auto"/>
              <w:right w:val="single" w:sz="4" w:space="0" w:color="auto"/>
            </w:tcBorders>
            <w:vAlign w:val="center"/>
            <w:hideMark/>
          </w:tcPr>
          <w:p w14:paraId="46C05261"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Hyderabad</w:t>
            </w:r>
          </w:p>
        </w:tc>
        <w:tc>
          <w:tcPr>
            <w:tcW w:w="1434" w:type="dxa"/>
            <w:tcBorders>
              <w:top w:val="nil"/>
              <w:left w:val="nil"/>
              <w:bottom w:val="single" w:sz="4" w:space="0" w:color="auto"/>
              <w:right w:val="single" w:sz="4" w:space="0" w:color="auto"/>
            </w:tcBorders>
            <w:vAlign w:val="center"/>
            <w:hideMark/>
          </w:tcPr>
          <w:p w14:paraId="5B2535C5"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306</w:t>
            </w:r>
          </w:p>
        </w:tc>
        <w:tc>
          <w:tcPr>
            <w:tcW w:w="1404" w:type="dxa"/>
            <w:tcBorders>
              <w:top w:val="nil"/>
              <w:left w:val="nil"/>
              <w:bottom w:val="single" w:sz="4" w:space="0" w:color="auto"/>
              <w:right w:val="single" w:sz="4" w:space="0" w:color="auto"/>
            </w:tcBorders>
            <w:vAlign w:val="center"/>
            <w:hideMark/>
          </w:tcPr>
          <w:p w14:paraId="3D8C9AF0"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106</w:t>
            </w:r>
          </w:p>
        </w:tc>
        <w:tc>
          <w:tcPr>
            <w:tcW w:w="1206" w:type="dxa"/>
            <w:tcBorders>
              <w:top w:val="nil"/>
              <w:left w:val="nil"/>
              <w:bottom w:val="single" w:sz="4" w:space="0" w:color="auto"/>
              <w:right w:val="nil"/>
            </w:tcBorders>
            <w:vAlign w:val="center"/>
            <w:hideMark/>
          </w:tcPr>
          <w:p w14:paraId="5620B0E5"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213</w:t>
            </w:r>
          </w:p>
        </w:tc>
        <w:tc>
          <w:tcPr>
            <w:tcW w:w="2013" w:type="dxa"/>
            <w:tcBorders>
              <w:top w:val="nil"/>
              <w:left w:val="single" w:sz="4" w:space="0" w:color="auto"/>
              <w:bottom w:val="single" w:sz="4" w:space="0" w:color="auto"/>
              <w:right w:val="single" w:sz="4" w:space="0" w:color="auto"/>
            </w:tcBorders>
            <w:vAlign w:val="center"/>
            <w:hideMark/>
          </w:tcPr>
          <w:p w14:paraId="3F2F1483"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703</w:t>
            </w:r>
          </w:p>
        </w:tc>
        <w:tc>
          <w:tcPr>
            <w:tcW w:w="1206" w:type="dxa"/>
            <w:tcBorders>
              <w:top w:val="nil"/>
              <w:left w:val="nil"/>
              <w:bottom w:val="single" w:sz="4" w:space="0" w:color="auto"/>
              <w:right w:val="single" w:sz="4" w:space="0" w:color="auto"/>
            </w:tcBorders>
            <w:vAlign w:val="center"/>
            <w:hideMark/>
          </w:tcPr>
          <w:p w14:paraId="0C32BED5"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672</w:t>
            </w:r>
          </w:p>
        </w:tc>
        <w:tc>
          <w:tcPr>
            <w:tcW w:w="1891" w:type="dxa"/>
            <w:tcBorders>
              <w:top w:val="nil"/>
              <w:left w:val="nil"/>
              <w:bottom w:val="single" w:sz="4" w:space="0" w:color="auto"/>
              <w:right w:val="single" w:sz="4" w:space="0" w:color="auto"/>
            </w:tcBorders>
            <w:vAlign w:val="center"/>
            <w:hideMark/>
          </w:tcPr>
          <w:p w14:paraId="11CFB1AC"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130</w:t>
            </w:r>
          </w:p>
        </w:tc>
        <w:tc>
          <w:tcPr>
            <w:tcW w:w="1039" w:type="dxa"/>
            <w:tcBorders>
              <w:top w:val="nil"/>
              <w:left w:val="nil"/>
              <w:bottom w:val="single" w:sz="4" w:space="0" w:color="auto"/>
              <w:right w:val="single" w:sz="4" w:space="0" w:color="auto"/>
            </w:tcBorders>
            <w:vAlign w:val="center"/>
            <w:hideMark/>
          </w:tcPr>
          <w:p w14:paraId="67DFC11D"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150</w:t>
            </w:r>
          </w:p>
        </w:tc>
        <w:tc>
          <w:tcPr>
            <w:tcW w:w="947" w:type="dxa"/>
            <w:tcBorders>
              <w:top w:val="nil"/>
              <w:left w:val="nil"/>
              <w:bottom w:val="single" w:sz="4" w:space="0" w:color="auto"/>
              <w:right w:val="single" w:sz="4" w:space="0" w:color="auto"/>
            </w:tcBorders>
            <w:vAlign w:val="center"/>
            <w:hideMark/>
          </w:tcPr>
          <w:p w14:paraId="0E006721"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421</w:t>
            </w:r>
          </w:p>
        </w:tc>
        <w:tc>
          <w:tcPr>
            <w:tcW w:w="931" w:type="dxa"/>
            <w:tcBorders>
              <w:top w:val="nil"/>
              <w:left w:val="nil"/>
              <w:bottom w:val="single" w:sz="4" w:space="0" w:color="auto"/>
              <w:right w:val="single" w:sz="4" w:space="0" w:color="auto"/>
            </w:tcBorders>
            <w:vAlign w:val="center"/>
            <w:hideMark/>
          </w:tcPr>
          <w:p w14:paraId="40811E8D"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2701</w:t>
            </w:r>
          </w:p>
        </w:tc>
      </w:tr>
      <w:tr w:rsidR="009D0FC7" w:rsidRPr="009D0FC7" w14:paraId="3E026BD2" w14:textId="77777777" w:rsidTr="009D0FC7">
        <w:trPr>
          <w:trHeight w:val="20"/>
          <w:jc w:val="center"/>
        </w:trPr>
        <w:tc>
          <w:tcPr>
            <w:tcW w:w="1586" w:type="dxa"/>
            <w:tcBorders>
              <w:top w:val="nil"/>
              <w:left w:val="single" w:sz="4" w:space="0" w:color="auto"/>
              <w:bottom w:val="single" w:sz="4" w:space="0" w:color="auto"/>
              <w:right w:val="single" w:sz="4" w:space="0" w:color="auto"/>
            </w:tcBorders>
            <w:vAlign w:val="center"/>
            <w:hideMark/>
          </w:tcPr>
          <w:p w14:paraId="5BD118C0" w14:textId="43DEEF30"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p>
        </w:tc>
        <w:tc>
          <w:tcPr>
            <w:tcW w:w="1434" w:type="dxa"/>
            <w:tcBorders>
              <w:top w:val="nil"/>
              <w:left w:val="nil"/>
              <w:bottom w:val="single" w:sz="4" w:space="0" w:color="auto"/>
              <w:right w:val="single" w:sz="4" w:space="0" w:color="auto"/>
            </w:tcBorders>
            <w:vAlign w:val="center"/>
            <w:hideMark/>
          </w:tcPr>
          <w:p w14:paraId="7FAF6C0A"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11.3</w:t>
            </w:r>
          </w:p>
        </w:tc>
        <w:tc>
          <w:tcPr>
            <w:tcW w:w="1404" w:type="dxa"/>
            <w:tcBorders>
              <w:top w:val="nil"/>
              <w:left w:val="nil"/>
              <w:bottom w:val="single" w:sz="4" w:space="0" w:color="auto"/>
              <w:right w:val="single" w:sz="4" w:space="0" w:color="auto"/>
            </w:tcBorders>
            <w:vAlign w:val="center"/>
            <w:hideMark/>
          </w:tcPr>
          <w:p w14:paraId="07D0CA3A"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3.9</w:t>
            </w:r>
          </w:p>
        </w:tc>
        <w:tc>
          <w:tcPr>
            <w:tcW w:w="1206" w:type="dxa"/>
            <w:tcBorders>
              <w:top w:val="nil"/>
              <w:left w:val="nil"/>
              <w:bottom w:val="single" w:sz="4" w:space="0" w:color="auto"/>
              <w:right w:val="nil"/>
            </w:tcBorders>
            <w:vAlign w:val="center"/>
            <w:hideMark/>
          </w:tcPr>
          <w:p w14:paraId="6FEAB9A8"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7.9</w:t>
            </w:r>
          </w:p>
        </w:tc>
        <w:tc>
          <w:tcPr>
            <w:tcW w:w="2013" w:type="dxa"/>
            <w:tcBorders>
              <w:top w:val="nil"/>
              <w:left w:val="single" w:sz="4" w:space="0" w:color="auto"/>
              <w:bottom w:val="single" w:sz="4" w:space="0" w:color="auto"/>
              <w:right w:val="single" w:sz="4" w:space="0" w:color="auto"/>
            </w:tcBorders>
            <w:vAlign w:val="center"/>
            <w:hideMark/>
          </w:tcPr>
          <w:p w14:paraId="1AE150C7" w14:textId="0B45D6FE"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26</w:t>
            </w:r>
            <w:r w:rsidR="00A62199">
              <w:rPr>
                <w:rFonts w:ascii="Times New Roman" w:eastAsia="Times New Roman" w:hAnsi="Times New Roman" w:cs="Times New Roman"/>
                <w:i/>
                <w:iCs/>
                <w:color w:val="000000"/>
                <w:kern w:val="0"/>
                <w:szCs w:val="24"/>
                <w:lang w:eastAsia="en-IN"/>
                <w14:ligatures w14:val="none"/>
              </w:rPr>
              <w:t>.0</w:t>
            </w:r>
          </w:p>
        </w:tc>
        <w:tc>
          <w:tcPr>
            <w:tcW w:w="1206" w:type="dxa"/>
            <w:tcBorders>
              <w:top w:val="nil"/>
              <w:left w:val="nil"/>
              <w:bottom w:val="single" w:sz="4" w:space="0" w:color="auto"/>
              <w:right w:val="single" w:sz="4" w:space="0" w:color="auto"/>
            </w:tcBorders>
            <w:vAlign w:val="center"/>
            <w:hideMark/>
          </w:tcPr>
          <w:p w14:paraId="50E4A7C0"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24.9</w:t>
            </w:r>
          </w:p>
        </w:tc>
        <w:tc>
          <w:tcPr>
            <w:tcW w:w="1891" w:type="dxa"/>
            <w:tcBorders>
              <w:top w:val="nil"/>
              <w:left w:val="nil"/>
              <w:bottom w:val="single" w:sz="4" w:space="0" w:color="auto"/>
              <w:right w:val="single" w:sz="4" w:space="0" w:color="auto"/>
            </w:tcBorders>
            <w:vAlign w:val="center"/>
            <w:hideMark/>
          </w:tcPr>
          <w:p w14:paraId="6F045933"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4.8</w:t>
            </w:r>
          </w:p>
        </w:tc>
        <w:tc>
          <w:tcPr>
            <w:tcW w:w="1039" w:type="dxa"/>
            <w:tcBorders>
              <w:top w:val="nil"/>
              <w:left w:val="nil"/>
              <w:bottom w:val="single" w:sz="4" w:space="0" w:color="auto"/>
              <w:right w:val="single" w:sz="4" w:space="0" w:color="auto"/>
            </w:tcBorders>
            <w:vAlign w:val="center"/>
            <w:hideMark/>
          </w:tcPr>
          <w:p w14:paraId="14DEDB50"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5.6</w:t>
            </w:r>
          </w:p>
        </w:tc>
        <w:tc>
          <w:tcPr>
            <w:tcW w:w="947" w:type="dxa"/>
            <w:tcBorders>
              <w:top w:val="nil"/>
              <w:left w:val="nil"/>
              <w:bottom w:val="single" w:sz="4" w:space="0" w:color="auto"/>
              <w:right w:val="single" w:sz="4" w:space="0" w:color="auto"/>
            </w:tcBorders>
            <w:vAlign w:val="center"/>
            <w:hideMark/>
          </w:tcPr>
          <w:p w14:paraId="44904130"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15.6</w:t>
            </w:r>
          </w:p>
        </w:tc>
        <w:tc>
          <w:tcPr>
            <w:tcW w:w="931" w:type="dxa"/>
            <w:tcBorders>
              <w:top w:val="nil"/>
              <w:left w:val="nil"/>
              <w:bottom w:val="single" w:sz="4" w:space="0" w:color="auto"/>
              <w:right w:val="single" w:sz="4" w:space="0" w:color="auto"/>
            </w:tcBorders>
            <w:vAlign w:val="center"/>
            <w:hideMark/>
          </w:tcPr>
          <w:p w14:paraId="6D219FF5" w14:textId="5A8AEE29"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p>
        </w:tc>
      </w:tr>
      <w:tr w:rsidR="009D0FC7" w:rsidRPr="009D0FC7" w14:paraId="492BAAE7" w14:textId="77777777" w:rsidTr="009D0FC7">
        <w:trPr>
          <w:trHeight w:val="20"/>
          <w:jc w:val="center"/>
        </w:trPr>
        <w:tc>
          <w:tcPr>
            <w:tcW w:w="1586" w:type="dxa"/>
            <w:tcBorders>
              <w:top w:val="nil"/>
              <w:left w:val="single" w:sz="4" w:space="0" w:color="auto"/>
              <w:bottom w:val="single" w:sz="4" w:space="0" w:color="auto"/>
              <w:right w:val="single" w:sz="4" w:space="0" w:color="auto"/>
            </w:tcBorders>
            <w:vAlign w:val="center"/>
            <w:hideMark/>
          </w:tcPr>
          <w:p w14:paraId="7DEF2DD4"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lastRenderedPageBreak/>
              <w:t>Madhya Bharat</w:t>
            </w:r>
          </w:p>
        </w:tc>
        <w:tc>
          <w:tcPr>
            <w:tcW w:w="1434" w:type="dxa"/>
            <w:tcBorders>
              <w:top w:val="nil"/>
              <w:left w:val="nil"/>
              <w:bottom w:val="single" w:sz="4" w:space="0" w:color="auto"/>
              <w:right w:val="single" w:sz="4" w:space="0" w:color="auto"/>
            </w:tcBorders>
            <w:vAlign w:val="center"/>
            <w:hideMark/>
          </w:tcPr>
          <w:p w14:paraId="5BBE1659"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102</w:t>
            </w:r>
          </w:p>
        </w:tc>
        <w:tc>
          <w:tcPr>
            <w:tcW w:w="1404" w:type="dxa"/>
            <w:tcBorders>
              <w:top w:val="nil"/>
              <w:left w:val="nil"/>
              <w:bottom w:val="single" w:sz="4" w:space="0" w:color="auto"/>
              <w:right w:val="single" w:sz="4" w:space="0" w:color="auto"/>
            </w:tcBorders>
            <w:vAlign w:val="center"/>
            <w:hideMark/>
          </w:tcPr>
          <w:p w14:paraId="266C49BF"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41</w:t>
            </w:r>
          </w:p>
        </w:tc>
        <w:tc>
          <w:tcPr>
            <w:tcW w:w="1206" w:type="dxa"/>
            <w:tcBorders>
              <w:top w:val="nil"/>
              <w:left w:val="nil"/>
              <w:bottom w:val="single" w:sz="4" w:space="0" w:color="auto"/>
              <w:right w:val="nil"/>
            </w:tcBorders>
            <w:vAlign w:val="center"/>
            <w:hideMark/>
          </w:tcPr>
          <w:p w14:paraId="2355F011"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w:t>
            </w:r>
          </w:p>
        </w:tc>
        <w:tc>
          <w:tcPr>
            <w:tcW w:w="2013" w:type="dxa"/>
            <w:tcBorders>
              <w:top w:val="nil"/>
              <w:left w:val="single" w:sz="4" w:space="0" w:color="auto"/>
              <w:bottom w:val="single" w:sz="4" w:space="0" w:color="auto"/>
              <w:right w:val="single" w:sz="4" w:space="0" w:color="auto"/>
            </w:tcBorders>
            <w:vAlign w:val="center"/>
            <w:hideMark/>
          </w:tcPr>
          <w:p w14:paraId="32E78130"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304</w:t>
            </w:r>
          </w:p>
        </w:tc>
        <w:tc>
          <w:tcPr>
            <w:tcW w:w="1206" w:type="dxa"/>
            <w:tcBorders>
              <w:top w:val="nil"/>
              <w:left w:val="nil"/>
              <w:bottom w:val="single" w:sz="4" w:space="0" w:color="auto"/>
              <w:right w:val="single" w:sz="4" w:space="0" w:color="auto"/>
            </w:tcBorders>
            <w:vAlign w:val="center"/>
            <w:hideMark/>
          </w:tcPr>
          <w:p w14:paraId="7653CD13"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334</w:t>
            </w:r>
          </w:p>
        </w:tc>
        <w:tc>
          <w:tcPr>
            <w:tcW w:w="1891" w:type="dxa"/>
            <w:tcBorders>
              <w:top w:val="nil"/>
              <w:left w:val="nil"/>
              <w:bottom w:val="single" w:sz="4" w:space="0" w:color="auto"/>
              <w:right w:val="single" w:sz="4" w:space="0" w:color="auto"/>
            </w:tcBorders>
            <w:vAlign w:val="center"/>
            <w:hideMark/>
          </w:tcPr>
          <w:p w14:paraId="07EF4C6A"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39</w:t>
            </w:r>
          </w:p>
        </w:tc>
        <w:tc>
          <w:tcPr>
            <w:tcW w:w="1039" w:type="dxa"/>
            <w:tcBorders>
              <w:top w:val="nil"/>
              <w:left w:val="nil"/>
              <w:bottom w:val="single" w:sz="4" w:space="0" w:color="auto"/>
              <w:right w:val="single" w:sz="4" w:space="0" w:color="auto"/>
            </w:tcBorders>
            <w:vAlign w:val="center"/>
            <w:hideMark/>
          </w:tcPr>
          <w:p w14:paraId="02533163"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112</w:t>
            </w:r>
          </w:p>
        </w:tc>
        <w:tc>
          <w:tcPr>
            <w:tcW w:w="947" w:type="dxa"/>
            <w:tcBorders>
              <w:top w:val="nil"/>
              <w:left w:val="nil"/>
              <w:bottom w:val="single" w:sz="4" w:space="0" w:color="auto"/>
              <w:right w:val="single" w:sz="4" w:space="0" w:color="auto"/>
            </w:tcBorders>
            <w:vAlign w:val="center"/>
            <w:hideMark/>
          </w:tcPr>
          <w:p w14:paraId="4C9A6341"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160</w:t>
            </w:r>
          </w:p>
        </w:tc>
        <w:tc>
          <w:tcPr>
            <w:tcW w:w="931" w:type="dxa"/>
            <w:tcBorders>
              <w:top w:val="nil"/>
              <w:left w:val="nil"/>
              <w:bottom w:val="single" w:sz="4" w:space="0" w:color="auto"/>
              <w:right w:val="single" w:sz="4" w:space="0" w:color="auto"/>
            </w:tcBorders>
            <w:vAlign w:val="center"/>
            <w:hideMark/>
          </w:tcPr>
          <w:p w14:paraId="59DE889C"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1142</w:t>
            </w:r>
          </w:p>
        </w:tc>
      </w:tr>
      <w:tr w:rsidR="009D0FC7" w:rsidRPr="009D0FC7" w14:paraId="67B66CD1" w14:textId="77777777" w:rsidTr="009D0FC7">
        <w:trPr>
          <w:trHeight w:val="20"/>
          <w:jc w:val="center"/>
        </w:trPr>
        <w:tc>
          <w:tcPr>
            <w:tcW w:w="1586" w:type="dxa"/>
            <w:tcBorders>
              <w:top w:val="nil"/>
              <w:left w:val="single" w:sz="4" w:space="0" w:color="auto"/>
              <w:bottom w:val="single" w:sz="4" w:space="0" w:color="auto"/>
              <w:right w:val="single" w:sz="4" w:space="0" w:color="auto"/>
            </w:tcBorders>
            <w:vAlign w:val="center"/>
            <w:hideMark/>
          </w:tcPr>
          <w:p w14:paraId="2B483EC7" w14:textId="1EDF800D"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p>
        </w:tc>
        <w:tc>
          <w:tcPr>
            <w:tcW w:w="1434" w:type="dxa"/>
            <w:tcBorders>
              <w:top w:val="nil"/>
              <w:left w:val="nil"/>
              <w:bottom w:val="single" w:sz="4" w:space="0" w:color="auto"/>
              <w:right w:val="single" w:sz="4" w:space="0" w:color="auto"/>
            </w:tcBorders>
            <w:vAlign w:val="center"/>
            <w:hideMark/>
          </w:tcPr>
          <w:p w14:paraId="0D9D307D"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3.9</w:t>
            </w:r>
          </w:p>
        </w:tc>
        <w:tc>
          <w:tcPr>
            <w:tcW w:w="1404" w:type="dxa"/>
            <w:tcBorders>
              <w:top w:val="nil"/>
              <w:left w:val="nil"/>
              <w:bottom w:val="single" w:sz="4" w:space="0" w:color="auto"/>
              <w:right w:val="single" w:sz="4" w:space="0" w:color="auto"/>
            </w:tcBorders>
            <w:vAlign w:val="center"/>
            <w:hideMark/>
          </w:tcPr>
          <w:p w14:paraId="6259D6DE"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3.6</w:t>
            </w:r>
          </w:p>
        </w:tc>
        <w:tc>
          <w:tcPr>
            <w:tcW w:w="1206" w:type="dxa"/>
            <w:tcBorders>
              <w:top w:val="nil"/>
              <w:left w:val="nil"/>
              <w:bottom w:val="single" w:sz="4" w:space="0" w:color="auto"/>
              <w:right w:val="nil"/>
            </w:tcBorders>
            <w:vAlign w:val="center"/>
            <w:hideMark/>
          </w:tcPr>
          <w:p w14:paraId="2B94E9FA"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w:t>
            </w:r>
          </w:p>
        </w:tc>
        <w:tc>
          <w:tcPr>
            <w:tcW w:w="2013" w:type="dxa"/>
            <w:tcBorders>
              <w:top w:val="nil"/>
              <w:left w:val="single" w:sz="4" w:space="0" w:color="auto"/>
              <w:bottom w:val="single" w:sz="4" w:space="0" w:color="auto"/>
              <w:right w:val="single" w:sz="4" w:space="0" w:color="auto"/>
            </w:tcBorders>
            <w:vAlign w:val="center"/>
            <w:hideMark/>
          </w:tcPr>
          <w:p w14:paraId="0AE0E1CF"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26.6</w:t>
            </w:r>
          </w:p>
        </w:tc>
        <w:tc>
          <w:tcPr>
            <w:tcW w:w="1206" w:type="dxa"/>
            <w:tcBorders>
              <w:top w:val="nil"/>
              <w:left w:val="nil"/>
              <w:bottom w:val="single" w:sz="4" w:space="0" w:color="auto"/>
              <w:right w:val="single" w:sz="4" w:space="0" w:color="auto"/>
            </w:tcBorders>
            <w:vAlign w:val="center"/>
            <w:hideMark/>
          </w:tcPr>
          <w:p w14:paraId="70436856"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29.3</w:t>
            </w:r>
          </w:p>
        </w:tc>
        <w:tc>
          <w:tcPr>
            <w:tcW w:w="1891" w:type="dxa"/>
            <w:tcBorders>
              <w:top w:val="nil"/>
              <w:left w:val="nil"/>
              <w:bottom w:val="single" w:sz="4" w:space="0" w:color="auto"/>
              <w:right w:val="single" w:sz="4" w:space="0" w:color="auto"/>
            </w:tcBorders>
            <w:vAlign w:val="center"/>
            <w:hideMark/>
          </w:tcPr>
          <w:p w14:paraId="6506968A"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3.4</w:t>
            </w:r>
          </w:p>
        </w:tc>
        <w:tc>
          <w:tcPr>
            <w:tcW w:w="1039" w:type="dxa"/>
            <w:tcBorders>
              <w:top w:val="nil"/>
              <w:left w:val="nil"/>
              <w:bottom w:val="single" w:sz="4" w:space="0" w:color="auto"/>
              <w:right w:val="single" w:sz="4" w:space="0" w:color="auto"/>
            </w:tcBorders>
            <w:vAlign w:val="center"/>
            <w:hideMark/>
          </w:tcPr>
          <w:p w14:paraId="48CA0A2B" w14:textId="567157D3"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9.</w:t>
            </w:r>
            <w:r w:rsidR="00A62199">
              <w:rPr>
                <w:rFonts w:ascii="Times New Roman" w:eastAsia="Times New Roman" w:hAnsi="Times New Roman" w:cs="Times New Roman"/>
                <w:i/>
                <w:iCs/>
                <w:color w:val="000000"/>
                <w:kern w:val="0"/>
                <w:szCs w:val="24"/>
                <w:lang w:eastAsia="en-IN"/>
                <w14:ligatures w14:val="none"/>
              </w:rPr>
              <w:t>3</w:t>
            </w:r>
          </w:p>
        </w:tc>
        <w:tc>
          <w:tcPr>
            <w:tcW w:w="947" w:type="dxa"/>
            <w:tcBorders>
              <w:top w:val="nil"/>
              <w:left w:val="nil"/>
              <w:bottom w:val="single" w:sz="4" w:space="0" w:color="auto"/>
              <w:right w:val="single" w:sz="4" w:space="0" w:color="auto"/>
            </w:tcBorders>
            <w:vAlign w:val="center"/>
            <w:hideMark/>
          </w:tcPr>
          <w:p w14:paraId="09F4EBE4" w14:textId="2B477D29"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14</w:t>
            </w:r>
            <w:r w:rsidR="00A62199">
              <w:rPr>
                <w:rFonts w:ascii="Times New Roman" w:eastAsia="Times New Roman" w:hAnsi="Times New Roman" w:cs="Times New Roman"/>
                <w:i/>
                <w:iCs/>
                <w:color w:val="000000"/>
                <w:kern w:val="0"/>
                <w:szCs w:val="24"/>
                <w:lang w:eastAsia="en-IN"/>
                <w14:ligatures w14:val="none"/>
              </w:rPr>
              <w:t>.0</w:t>
            </w:r>
          </w:p>
        </w:tc>
        <w:tc>
          <w:tcPr>
            <w:tcW w:w="931" w:type="dxa"/>
            <w:tcBorders>
              <w:top w:val="nil"/>
              <w:left w:val="nil"/>
              <w:bottom w:val="single" w:sz="4" w:space="0" w:color="auto"/>
              <w:right w:val="single" w:sz="4" w:space="0" w:color="auto"/>
            </w:tcBorders>
            <w:vAlign w:val="center"/>
            <w:hideMark/>
          </w:tcPr>
          <w:p w14:paraId="140A3C42" w14:textId="7F402E70"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p>
        </w:tc>
      </w:tr>
      <w:tr w:rsidR="009D0FC7" w:rsidRPr="009D0FC7" w14:paraId="1F3FC6AF" w14:textId="77777777" w:rsidTr="009D0FC7">
        <w:trPr>
          <w:trHeight w:val="20"/>
          <w:jc w:val="center"/>
        </w:trPr>
        <w:tc>
          <w:tcPr>
            <w:tcW w:w="1586" w:type="dxa"/>
            <w:tcBorders>
              <w:top w:val="nil"/>
              <w:left w:val="single" w:sz="4" w:space="0" w:color="auto"/>
              <w:bottom w:val="single" w:sz="4" w:space="0" w:color="auto"/>
              <w:right w:val="single" w:sz="4" w:space="0" w:color="auto"/>
            </w:tcBorders>
            <w:vAlign w:val="center"/>
            <w:hideMark/>
          </w:tcPr>
          <w:p w14:paraId="5C797AA5"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Mysore</w:t>
            </w:r>
          </w:p>
        </w:tc>
        <w:tc>
          <w:tcPr>
            <w:tcW w:w="1434" w:type="dxa"/>
            <w:tcBorders>
              <w:top w:val="nil"/>
              <w:left w:val="nil"/>
              <w:bottom w:val="single" w:sz="4" w:space="0" w:color="auto"/>
              <w:right w:val="single" w:sz="4" w:space="0" w:color="auto"/>
            </w:tcBorders>
            <w:vAlign w:val="center"/>
            <w:hideMark/>
          </w:tcPr>
          <w:p w14:paraId="3B62FB49"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90</w:t>
            </w:r>
          </w:p>
        </w:tc>
        <w:tc>
          <w:tcPr>
            <w:tcW w:w="1404" w:type="dxa"/>
            <w:tcBorders>
              <w:top w:val="nil"/>
              <w:left w:val="nil"/>
              <w:bottom w:val="single" w:sz="4" w:space="0" w:color="auto"/>
              <w:right w:val="single" w:sz="4" w:space="0" w:color="auto"/>
            </w:tcBorders>
            <w:vAlign w:val="center"/>
            <w:hideMark/>
          </w:tcPr>
          <w:p w14:paraId="5F4EF636"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76</w:t>
            </w:r>
          </w:p>
        </w:tc>
        <w:tc>
          <w:tcPr>
            <w:tcW w:w="1206" w:type="dxa"/>
            <w:tcBorders>
              <w:top w:val="nil"/>
              <w:left w:val="nil"/>
              <w:bottom w:val="single" w:sz="4" w:space="0" w:color="auto"/>
              <w:right w:val="nil"/>
            </w:tcBorders>
            <w:vAlign w:val="center"/>
            <w:hideMark/>
          </w:tcPr>
          <w:p w14:paraId="73485586"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121</w:t>
            </w:r>
          </w:p>
        </w:tc>
        <w:tc>
          <w:tcPr>
            <w:tcW w:w="2013" w:type="dxa"/>
            <w:tcBorders>
              <w:top w:val="nil"/>
              <w:left w:val="single" w:sz="4" w:space="0" w:color="auto"/>
              <w:bottom w:val="single" w:sz="4" w:space="0" w:color="auto"/>
              <w:right w:val="single" w:sz="4" w:space="0" w:color="auto"/>
            </w:tcBorders>
            <w:vAlign w:val="center"/>
            <w:hideMark/>
          </w:tcPr>
          <w:p w14:paraId="3905E2B3"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200</w:t>
            </w:r>
          </w:p>
        </w:tc>
        <w:tc>
          <w:tcPr>
            <w:tcW w:w="1206" w:type="dxa"/>
            <w:tcBorders>
              <w:top w:val="nil"/>
              <w:left w:val="nil"/>
              <w:bottom w:val="single" w:sz="4" w:space="0" w:color="auto"/>
              <w:right w:val="single" w:sz="4" w:space="0" w:color="auto"/>
            </w:tcBorders>
            <w:vAlign w:val="center"/>
            <w:hideMark/>
          </w:tcPr>
          <w:p w14:paraId="31D6D1F5"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515</w:t>
            </w:r>
          </w:p>
        </w:tc>
        <w:tc>
          <w:tcPr>
            <w:tcW w:w="1891" w:type="dxa"/>
            <w:tcBorders>
              <w:top w:val="nil"/>
              <w:left w:val="nil"/>
              <w:bottom w:val="single" w:sz="4" w:space="0" w:color="auto"/>
              <w:right w:val="single" w:sz="4" w:space="0" w:color="auto"/>
            </w:tcBorders>
            <w:vAlign w:val="center"/>
            <w:hideMark/>
          </w:tcPr>
          <w:p w14:paraId="1941712F"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57(b)</w:t>
            </w:r>
          </w:p>
        </w:tc>
        <w:tc>
          <w:tcPr>
            <w:tcW w:w="1039" w:type="dxa"/>
            <w:tcBorders>
              <w:top w:val="nil"/>
              <w:left w:val="nil"/>
              <w:bottom w:val="single" w:sz="4" w:space="0" w:color="auto"/>
              <w:right w:val="single" w:sz="4" w:space="0" w:color="auto"/>
            </w:tcBorders>
            <w:vAlign w:val="center"/>
            <w:hideMark/>
          </w:tcPr>
          <w:p w14:paraId="7E9FCEFE"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155</w:t>
            </w:r>
          </w:p>
        </w:tc>
        <w:tc>
          <w:tcPr>
            <w:tcW w:w="947" w:type="dxa"/>
            <w:tcBorders>
              <w:top w:val="nil"/>
              <w:left w:val="nil"/>
              <w:bottom w:val="single" w:sz="4" w:space="0" w:color="auto"/>
              <w:right w:val="single" w:sz="4" w:space="0" w:color="auto"/>
            </w:tcBorders>
            <w:vAlign w:val="center"/>
            <w:hideMark/>
          </w:tcPr>
          <w:p w14:paraId="53D4EBF2"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122</w:t>
            </w:r>
          </w:p>
        </w:tc>
        <w:tc>
          <w:tcPr>
            <w:tcW w:w="931" w:type="dxa"/>
            <w:tcBorders>
              <w:top w:val="nil"/>
              <w:left w:val="nil"/>
              <w:bottom w:val="single" w:sz="4" w:space="0" w:color="auto"/>
              <w:right w:val="single" w:sz="4" w:space="0" w:color="auto"/>
            </w:tcBorders>
            <w:vAlign w:val="center"/>
            <w:hideMark/>
          </w:tcPr>
          <w:p w14:paraId="2A6C7E8E"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1337 (b)</w:t>
            </w:r>
          </w:p>
        </w:tc>
      </w:tr>
      <w:tr w:rsidR="009D0FC7" w:rsidRPr="009D0FC7" w14:paraId="14FE7D76" w14:textId="77777777" w:rsidTr="009D0FC7">
        <w:trPr>
          <w:trHeight w:val="20"/>
          <w:jc w:val="center"/>
        </w:trPr>
        <w:tc>
          <w:tcPr>
            <w:tcW w:w="1586" w:type="dxa"/>
            <w:tcBorders>
              <w:top w:val="nil"/>
              <w:left w:val="single" w:sz="4" w:space="0" w:color="auto"/>
              <w:bottom w:val="single" w:sz="4" w:space="0" w:color="auto"/>
              <w:right w:val="single" w:sz="4" w:space="0" w:color="auto"/>
            </w:tcBorders>
            <w:vAlign w:val="center"/>
            <w:hideMark/>
          </w:tcPr>
          <w:p w14:paraId="6CB5EAC8" w14:textId="5C4275F9"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p>
        </w:tc>
        <w:tc>
          <w:tcPr>
            <w:tcW w:w="1434" w:type="dxa"/>
            <w:tcBorders>
              <w:top w:val="nil"/>
              <w:left w:val="nil"/>
              <w:bottom w:val="single" w:sz="4" w:space="0" w:color="auto"/>
              <w:right w:val="single" w:sz="4" w:space="0" w:color="auto"/>
            </w:tcBorders>
            <w:vAlign w:val="center"/>
            <w:hideMark/>
          </w:tcPr>
          <w:p w14:paraId="19FCF83D"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6.7</w:t>
            </w:r>
          </w:p>
        </w:tc>
        <w:tc>
          <w:tcPr>
            <w:tcW w:w="1404" w:type="dxa"/>
            <w:tcBorders>
              <w:top w:val="nil"/>
              <w:left w:val="nil"/>
              <w:bottom w:val="single" w:sz="4" w:space="0" w:color="auto"/>
              <w:right w:val="single" w:sz="4" w:space="0" w:color="auto"/>
            </w:tcBorders>
            <w:vAlign w:val="center"/>
            <w:hideMark/>
          </w:tcPr>
          <w:p w14:paraId="18CC001F"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5.7</w:t>
            </w:r>
          </w:p>
        </w:tc>
        <w:tc>
          <w:tcPr>
            <w:tcW w:w="1206" w:type="dxa"/>
            <w:tcBorders>
              <w:top w:val="nil"/>
              <w:left w:val="nil"/>
              <w:bottom w:val="single" w:sz="4" w:space="0" w:color="auto"/>
              <w:right w:val="nil"/>
            </w:tcBorders>
            <w:vAlign w:val="center"/>
            <w:hideMark/>
          </w:tcPr>
          <w:p w14:paraId="652D756F" w14:textId="5CA40366"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9</w:t>
            </w:r>
            <w:r w:rsidR="00A62199">
              <w:rPr>
                <w:rFonts w:ascii="Times New Roman" w:eastAsia="Times New Roman" w:hAnsi="Times New Roman" w:cs="Times New Roman"/>
                <w:i/>
                <w:iCs/>
                <w:color w:val="000000"/>
                <w:kern w:val="0"/>
                <w:szCs w:val="24"/>
                <w:lang w:eastAsia="en-IN"/>
                <w14:ligatures w14:val="none"/>
              </w:rPr>
              <w:t>.0</w:t>
            </w:r>
          </w:p>
        </w:tc>
        <w:tc>
          <w:tcPr>
            <w:tcW w:w="2013" w:type="dxa"/>
            <w:tcBorders>
              <w:top w:val="nil"/>
              <w:left w:val="single" w:sz="4" w:space="0" w:color="auto"/>
              <w:bottom w:val="single" w:sz="4" w:space="0" w:color="auto"/>
              <w:right w:val="single" w:sz="4" w:space="0" w:color="auto"/>
            </w:tcBorders>
            <w:vAlign w:val="center"/>
            <w:hideMark/>
          </w:tcPr>
          <w:p w14:paraId="1BFF0ACD" w14:textId="1B84503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15</w:t>
            </w:r>
            <w:r w:rsidR="00A62199">
              <w:rPr>
                <w:rFonts w:ascii="Times New Roman" w:eastAsia="Times New Roman" w:hAnsi="Times New Roman" w:cs="Times New Roman"/>
                <w:i/>
                <w:iCs/>
                <w:color w:val="000000"/>
                <w:kern w:val="0"/>
                <w:szCs w:val="24"/>
                <w:lang w:eastAsia="en-IN"/>
                <w14:ligatures w14:val="none"/>
              </w:rPr>
              <w:t>.0</w:t>
            </w:r>
          </w:p>
        </w:tc>
        <w:tc>
          <w:tcPr>
            <w:tcW w:w="1206" w:type="dxa"/>
            <w:tcBorders>
              <w:top w:val="nil"/>
              <w:left w:val="nil"/>
              <w:bottom w:val="single" w:sz="4" w:space="0" w:color="auto"/>
              <w:right w:val="single" w:sz="4" w:space="0" w:color="auto"/>
            </w:tcBorders>
            <w:vAlign w:val="center"/>
            <w:hideMark/>
          </w:tcPr>
          <w:p w14:paraId="224E2E65"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38.5</w:t>
            </w:r>
          </w:p>
        </w:tc>
        <w:tc>
          <w:tcPr>
            <w:tcW w:w="1891" w:type="dxa"/>
            <w:tcBorders>
              <w:top w:val="nil"/>
              <w:left w:val="nil"/>
              <w:bottom w:val="single" w:sz="4" w:space="0" w:color="auto"/>
              <w:right w:val="single" w:sz="4" w:space="0" w:color="auto"/>
            </w:tcBorders>
            <w:vAlign w:val="center"/>
            <w:hideMark/>
          </w:tcPr>
          <w:p w14:paraId="2C569CF4"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4.3</w:t>
            </w:r>
          </w:p>
        </w:tc>
        <w:tc>
          <w:tcPr>
            <w:tcW w:w="1039" w:type="dxa"/>
            <w:tcBorders>
              <w:top w:val="nil"/>
              <w:left w:val="nil"/>
              <w:bottom w:val="single" w:sz="4" w:space="0" w:color="auto"/>
              <w:right w:val="single" w:sz="4" w:space="0" w:color="auto"/>
            </w:tcBorders>
            <w:vAlign w:val="center"/>
            <w:hideMark/>
          </w:tcPr>
          <w:p w14:paraId="11D00254"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11.6</w:t>
            </w:r>
          </w:p>
        </w:tc>
        <w:tc>
          <w:tcPr>
            <w:tcW w:w="947" w:type="dxa"/>
            <w:tcBorders>
              <w:top w:val="nil"/>
              <w:left w:val="nil"/>
              <w:bottom w:val="single" w:sz="4" w:space="0" w:color="auto"/>
              <w:right w:val="single" w:sz="4" w:space="0" w:color="auto"/>
            </w:tcBorders>
            <w:vAlign w:val="center"/>
            <w:hideMark/>
          </w:tcPr>
          <w:p w14:paraId="73F60124"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9.1</w:t>
            </w:r>
          </w:p>
        </w:tc>
        <w:tc>
          <w:tcPr>
            <w:tcW w:w="931" w:type="dxa"/>
            <w:tcBorders>
              <w:top w:val="nil"/>
              <w:left w:val="nil"/>
              <w:bottom w:val="single" w:sz="4" w:space="0" w:color="auto"/>
              <w:right w:val="single" w:sz="4" w:space="0" w:color="auto"/>
            </w:tcBorders>
            <w:vAlign w:val="center"/>
            <w:hideMark/>
          </w:tcPr>
          <w:p w14:paraId="3F96BDDC" w14:textId="7CB4B1E3"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p>
        </w:tc>
      </w:tr>
      <w:tr w:rsidR="009D0FC7" w:rsidRPr="009D0FC7" w14:paraId="243DA95A" w14:textId="77777777" w:rsidTr="009D0FC7">
        <w:trPr>
          <w:trHeight w:val="20"/>
          <w:jc w:val="center"/>
        </w:trPr>
        <w:tc>
          <w:tcPr>
            <w:tcW w:w="1586" w:type="dxa"/>
            <w:tcBorders>
              <w:top w:val="nil"/>
              <w:left w:val="single" w:sz="4" w:space="0" w:color="auto"/>
              <w:bottom w:val="single" w:sz="4" w:space="0" w:color="auto"/>
              <w:right w:val="single" w:sz="4" w:space="0" w:color="auto"/>
            </w:tcBorders>
            <w:vAlign w:val="center"/>
            <w:hideMark/>
          </w:tcPr>
          <w:p w14:paraId="021FD7DC"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Patiala &amp; East Punjab States Union</w:t>
            </w:r>
          </w:p>
        </w:tc>
        <w:tc>
          <w:tcPr>
            <w:tcW w:w="1434" w:type="dxa"/>
            <w:tcBorders>
              <w:top w:val="nil"/>
              <w:left w:val="nil"/>
              <w:bottom w:val="single" w:sz="4" w:space="0" w:color="auto"/>
              <w:right w:val="single" w:sz="4" w:space="0" w:color="auto"/>
            </w:tcBorders>
            <w:vAlign w:val="center"/>
            <w:hideMark/>
          </w:tcPr>
          <w:p w14:paraId="1AA8CB0C"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47</w:t>
            </w:r>
          </w:p>
        </w:tc>
        <w:tc>
          <w:tcPr>
            <w:tcW w:w="1404" w:type="dxa"/>
            <w:tcBorders>
              <w:top w:val="nil"/>
              <w:left w:val="nil"/>
              <w:bottom w:val="single" w:sz="4" w:space="0" w:color="auto"/>
              <w:right w:val="single" w:sz="4" w:space="0" w:color="auto"/>
            </w:tcBorders>
            <w:vAlign w:val="center"/>
            <w:hideMark/>
          </w:tcPr>
          <w:p w14:paraId="588240B6"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w:t>
            </w:r>
          </w:p>
        </w:tc>
        <w:tc>
          <w:tcPr>
            <w:tcW w:w="1206" w:type="dxa"/>
            <w:tcBorders>
              <w:top w:val="nil"/>
              <w:left w:val="nil"/>
              <w:bottom w:val="single" w:sz="4" w:space="0" w:color="auto"/>
              <w:right w:val="nil"/>
            </w:tcBorders>
            <w:vAlign w:val="center"/>
            <w:hideMark/>
          </w:tcPr>
          <w:p w14:paraId="17F95D30"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w:t>
            </w:r>
          </w:p>
        </w:tc>
        <w:tc>
          <w:tcPr>
            <w:tcW w:w="2013" w:type="dxa"/>
            <w:tcBorders>
              <w:top w:val="nil"/>
              <w:left w:val="single" w:sz="4" w:space="0" w:color="auto"/>
              <w:bottom w:val="single" w:sz="4" w:space="0" w:color="auto"/>
              <w:right w:val="single" w:sz="4" w:space="0" w:color="auto"/>
            </w:tcBorders>
            <w:vAlign w:val="center"/>
            <w:hideMark/>
          </w:tcPr>
          <w:p w14:paraId="5478B076"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150</w:t>
            </w:r>
          </w:p>
        </w:tc>
        <w:tc>
          <w:tcPr>
            <w:tcW w:w="1206" w:type="dxa"/>
            <w:tcBorders>
              <w:top w:val="nil"/>
              <w:left w:val="nil"/>
              <w:bottom w:val="single" w:sz="4" w:space="0" w:color="auto"/>
              <w:right w:val="single" w:sz="4" w:space="0" w:color="auto"/>
            </w:tcBorders>
            <w:vAlign w:val="center"/>
            <w:hideMark/>
          </w:tcPr>
          <w:p w14:paraId="35167749"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114</w:t>
            </w:r>
          </w:p>
        </w:tc>
        <w:tc>
          <w:tcPr>
            <w:tcW w:w="1891" w:type="dxa"/>
            <w:tcBorders>
              <w:top w:val="nil"/>
              <w:left w:val="nil"/>
              <w:bottom w:val="single" w:sz="4" w:space="0" w:color="auto"/>
              <w:right w:val="single" w:sz="4" w:space="0" w:color="auto"/>
            </w:tcBorders>
            <w:vAlign w:val="center"/>
            <w:hideMark/>
          </w:tcPr>
          <w:p w14:paraId="39EAEBE2"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14</w:t>
            </w:r>
          </w:p>
        </w:tc>
        <w:tc>
          <w:tcPr>
            <w:tcW w:w="1039" w:type="dxa"/>
            <w:tcBorders>
              <w:top w:val="nil"/>
              <w:left w:val="nil"/>
              <w:bottom w:val="single" w:sz="4" w:space="0" w:color="auto"/>
              <w:right w:val="single" w:sz="4" w:space="0" w:color="auto"/>
            </w:tcBorders>
            <w:vAlign w:val="center"/>
            <w:hideMark/>
          </w:tcPr>
          <w:p w14:paraId="04681812"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69</w:t>
            </w:r>
          </w:p>
        </w:tc>
        <w:tc>
          <w:tcPr>
            <w:tcW w:w="947" w:type="dxa"/>
            <w:tcBorders>
              <w:top w:val="nil"/>
              <w:left w:val="nil"/>
              <w:bottom w:val="single" w:sz="4" w:space="0" w:color="auto"/>
              <w:right w:val="single" w:sz="4" w:space="0" w:color="auto"/>
            </w:tcBorders>
            <w:vAlign w:val="center"/>
            <w:hideMark/>
          </w:tcPr>
          <w:p w14:paraId="28700B49"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70</w:t>
            </w:r>
          </w:p>
        </w:tc>
        <w:tc>
          <w:tcPr>
            <w:tcW w:w="931" w:type="dxa"/>
            <w:tcBorders>
              <w:top w:val="nil"/>
              <w:left w:val="nil"/>
              <w:bottom w:val="single" w:sz="4" w:space="0" w:color="auto"/>
              <w:right w:val="single" w:sz="4" w:space="0" w:color="auto"/>
            </w:tcBorders>
            <w:vAlign w:val="center"/>
            <w:hideMark/>
          </w:tcPr>
          <w:p w14:paraId="6D6DB174"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464</w:t>
            </w:r>
          </w:p>
        </w:tc>
      </w:tr>
      <w:tr w:rsidR="009D0FC7" w:rsidRPr="009D0FC7" w14:paraId="3C8F1539" w14:textId="77777777" w:rsidTr="009D0FC7">
        <w:trPr>
          <w:trHeight w:val="20"/>
          <w:jc w:val="center"/>
        </w:trPr>
        <w:tc>
          <w:tcPr>
            <w:tcW w:w="1586" w:type="dxa"/>
            <w:tcBorders>
              <w:top w:val="nil"/>
              <w:left w:val="single" w:sz="4" w:space="0" w:color="auto"/>
              <w:bottom w:val="single" w:sz="4" w:space="0" w:color="auto"/>
              <w:right w:val="single" w:sz="4" w:space="0" w:color="auto"/>
            </w:tcBorders>
            <w:vAlign w:val="center"/>
            <w:hideMark/>
          </w:tcPr>
          <w:p w14:paraId="6C969F0F" w14:textId="3B1948E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p>
        </w:tc>
        <w:tc>
          <w:tcPr>
            <w:tcW w:w="1434" w:type="dxa"/>
            <w:tcBorders>
              <w:top w:val="nil"/>
              <w:left w:val="nil"/>
              <w:bottom w:val="single" w:sz="4" w:space="0" w:color="auto"/>
              <w:right w:val="single" w:sz="4" w:space="0" w:color="auto"/>
            </w:tcBorders>
            <w:vAlign w:val="center"/>
            <w:hideMark/>
          </w:tcPr>
          <w:p w14:paraId="6960F995"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10.1</w:t>
            </w:r>
          </w:p>
        </w:tc>
        <w:tc>
          <w:tcPr>
            <w:tcW w:w="1404" w:type="dxa"/>
            <w:tcBorders>
              <w:top w:val="nil"/>
              <w:left w:val="nil"/>
              <w:bottom w:val="single" w:sz="4" w:space="0" w:color="auto"/>
              <w:right w:val="single" w:sz="4" w:space="0" w:color="auto"/>
            </w:tcBorders>
            <w:vAlign w:val="center"/>
            <w:hideMark/>
          </w:tcPr>
          <w:p w14:paraId="4853C223"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w:t>
            </w:r>
          </w:p>
        </w:tc>
        <w:tc>
          <w:tcPr>
            <w:tcW w:w="1206" w:type="dxa"/>
            <w:tcBorders>
              <w:top w:val="nil"/>
              <w:left w:val="nil"/>
              <w:bottom w:val="single" w:sz="4" w:space="0" w:color="auto"/>
              <w:right w:val="nil"/>
            </w:tcBorders>
            <w:vAlign w:val="center"/>
            <w:hideMark/>
          </w:tcPr>
          <w:p w14:paraId="504B9FF7"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w:t>
            </w:r>
          </w:p>
        </w:tc>
        <w:tc>
          <w:tcPr>
            <w:tcW w:w="2013" w:type="dxa"/>
            <w:tcBorders>
              <w:top w:val="nil"/>
              <w:left w:val="single" w:sz="4" w:space="0" w:color="auto"/>
              <w:bottom w:val="single" w:sz="4" w:space="0" w:color="auto"/>
              <w:right w:val="single" w:sz="4" w:space="0" w:color="auto"/>
            </w:tcBorders>
            <w:vAlign w:val="center"/>
            <w:hideMark/>
          </w:tcPr>
          <w:p w14:paraId="0044AC1D"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32.3</w:t>
            </w:r>
          </w:p>
        </w:tc>
        <w:tc>
          <w:tcPr>
            <w:tcW w:w="1206" w:type="dxa"/>
            <w:tcBorders>
              <w:top w:val="nil"/>
              <w:left w:val="nil"/>
              <w:bottom w:val="single" w:sz="4" w:space="0" w:color="auto"/>
              <w:right w:val="single" w:sz="4" w:space="0" w:color="auto"/>
            </w:tcBorders>
            <w:vAlign w:val="center"/>
            <w:hideMark/>
          </w:tcPr>
          <w:p w14:paraId="658B7ECB"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24.5</w:t>
            </w:r>
          </w:p>
        </w:tc>
        <w:tc>
          <w:tcPr>
            <w:tcW w:w="1891" w:type="dxa"/>
            <w:tcBorders>
              <w:top w:val="nil"/>
              <w:left w:val="nil"/>
              <w:bottom w:val="single" w:sz="4" w:space="0" w:color="auto"/>
              <w:right w:val="single" w:sz="4" w:space="0" w:color="auto"/>
            </w:tcBorders>
            <w:vAlign w:val="center"/>
            <w:hideMark/>
          </w:tcPr>
          <w:p w14:paraId="338C1CAC" w14:textId="4590548A"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3</w:t>
            </w:r>
            <w:r w:rsidR="00A62199">
              <w:rPr>
                <w:rFonts w:ascii="Times New Roman" w:eastAsia="Times New Roman" w:hAnsi="Times New Roman" w:cs="Times New Roman"/>
                <w:i/>
                <w:iCs/>
                <w:color w:val="000000"/>
                <w:kern w:val="0"/>
                <w:szCs w:val="24"/>
                <w:lang w:eastAsia="en-IN"/>
                <w14:ligatures w14:val="none"/>
              </w:rPr>
              <w:t>.0</w:t>
            </w:r>
          </w:p>
        </w:tc>
        <w:tc>
          <w:tcPr>
            <w:tcW w:w="1039" w:type="dxa"/>
            <w:tcBorders>
              <w:top w:val="nil"/>
              <w:left w:val="nil"/>
              <w:bottom w:val="single" w:sz="4" w:space="0" w:color="auto"/>
              <w:right w:val="single" w:sz="4" w:space="0" w:color="auto"/>
            </w:tcBorders>
            <w:vAlign w:val="center"/>
            <w:hideMark/>
          </w:tcPr>
          <w:p w14:paraId="2134BC11"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14.9</w:t>
            </w:r>
          </w:p>
        </w:tc>
        <w:tc>
          <w:tcPr>
            <w:tcW w:w="947" w:type="dxa"/>
            <w:tcBorders>
              <w:top w:val="nil"/>
              <w:left w:val="nil"/>
              <w:bottom w:val="single" w:sz="4" w:space="0" w:color="auto"/>
              <w:right w:val="single" w:sz="4" w:space="0" w:color="auto"/>
            </w:tcBorders>
            <w:vAlign w:val="center"/>
            <w:hideMark/>
          </w:tcPr>
          <w:p w14:paraId="7F1F99E2"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15.1</w:t>
            </w:r>
          </w:p>
        </w:tc>
        <w:tc>
          <w:tcPr>
            <w:tcW w:w="931" w:type="dxa"/>
            <w:tcBorders>
              <w:top w:val="nil"/>
              <w:left w:val="nil"/>
              <w:bottom w:val="single" w:sz="4" w:space="0" w:color="auto"/>
              <w:right w:val="single" w:sz="4" w:space="0" w:color="auto"/>
            </w:tcBorders>
            <w:vAlign w:val="center"/>
            <w:hideMark/>
          </w:tcPr>
          <w:p w14:paraId="7A5F7EC4" w14:textId="540E8E13"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p>
        </w:tc>
      </w:tr>
      <w:tr w:rsidR="009D0FC7" w:rsidRPr="009D0FC7" w14:paraId="773BDCC7" w14:textId="77777777" w:rsidTr="009D0FC7">
        <w:trPr>
          <w:trHeight w:val="20"/>
          <w:jc w:val="center"/>
        </w:trPr>
        <w:tc>
          <w:tcPr>
            <w:tcW w:w="1586" w:type="dxa"/>
            <w:tcBorders>
              <w:top w:val="nil"/>
              <w:left w:val="single" w:sz="4" w:space="0" w:color="auto"/>
              <w:bottom w:val="single" w:sz="4" w:space="0" w:color="auto"/>
              <w:right w:val="single" w:sz="4" w:space="0" w:color="auto"/>
            </w:tcBorders>
            <w:vAlign w:val="center"/>
            <w:hideMark/>
          </w:tcPr>
          <w:p w14:paraId="582DF476"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Rajasthan</w:t>
            </w:r>
          </w:p>
        </w:tc>
        <w:tc>
          <w:tcPr>
            <w:tcW w:w="1434" w:type="dxa"/>
            <w:tcBorders>
              <w:top w:val="nil"/>
              <w:left w:val="nil"/>
              <w:bottom w:val="single" w:sz="4" w:space="0" w:color="auto"/>
              <w:right w:val="single" w:sz="4" w:space="0" w:color="auto"/>
            </w:tcBorders>
            <w:vAlign w:val="center"/>
            <w:hideMark/>
          </w:tcPr>
          <w:p w14:paraId="76083B04"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201</w:t>
            </w:r>
          </w:p>
        </w:tc>
        <w:tc>
          <w:tcPr>
            <w:tcW w:w="1404" w:type="dxa"/>
            <w:tcBorders>
              <w:top w:val="nil"/>
              <w:left w:val="nil"/>
              <w:bottom w:val="single" w:sz="4" w:space="0" w:color="auto"/>
              <w:right w:val="single" w:sz="4" w:space="0" w:color="auto"/>
            </w:tcBorders>
            <w:vAlign w:val="center"/>
            <w:hideMark/>
          </w:tcPr>
          <w:p w14:paraId="34CCF4BA"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50</w:t>
            </w:r>
          </w:p>
        </w:tc>
        <w:tc>
          <w:tcPr>
            <w:tcW w:w="1206" w:type="dxa"/>
            <w:tcBorders>
              <w:top w:val="nil"/>
              <w:left w:val="nil"/>
              <w:bottom w:val="single" w:sz="4" w:space="0" w:color="auto"/>
              <w:right w:val="nil"/>
            </w:tcBorders>
            <w:vAlign w:val="center"/>
            <w:hideMark/>
          </w:tcPr>
          <w:p w14:paraId="35D5492E"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18</w:t>
            </w:r>
          </w:p>
        </w:tc>
        <w:tc>
          <w:tcPr>
            <w:tcW w:w="2013" w:type="dxa"/>
            <w:tcBorders>
              <w:top w:val="nil"/>
              <w:left w:val="single" w:sz="4" w:space="0" w:color="auto"/>
              <w:bottom w:val="single" w:sz="4" w:space="0" w:color="auto"/>
              <w:right w:val="single" w:sz="4" w:space="0" w:color="auto"/>
            </w:tcBorders>
            <w:vAlign w:val="center"/>
            <w:hideMark/>
          </w:tcPr>
          <w:p w14:paraId="526539BC"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462</w:t>
            </w:r>
          </w:p>
        </w:tc>
        <w:tc>
          <w:tcPr>
            <w:tcW w:w="1206" w:type="dxa"/>
            <w:tcBorders>
              <w:top w:val="nil"/>
              <w:left w:val="nil"/>
              <w:bottom w:val="single" w:sz="4" w:space="0" w:color="auto"/>
              <w:right w:val="single" w:sz="4" w:space="0" w:color="auto"/>
            </w:tcBorders>
            <w:vAlign w:val="center"/>
            <w:hideMark/>
          </w:tcPr>
          <w:p w14:paraId="1064BAD7"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425</w:t>
            </w:r>
          </w:p>
        </w:tc>
        <w:tc>
          <w:tcPr>
            <w:tcW w:w="1891" w:type="dxa"/>
            <w:tcBorders>
              <w:top w:val="nil"/>
              <w:left w:val="nil"/>
              <w:bottom w:val="single" w:sz="4" w:space="0" w:color="auto"/>
              <w:right w:val="single" w:sz="4" w:space="0" w:color="auto"/>
            </w:tcBorders>
            <w:vAlign w:val="center"/>
            <w:hideMark/>
          </w:tcPr>
          <w:p w14:paraId="03607FE8"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61</w:t>
            </w:r>
          </w:p>
        </w:tc>
        <w:tc>
          <w:tcPr>
            <w:tcW w:w="1039" w:type="dxa"/>
            <w:tcBorders>
              <w:top w:val="nil"/>
              <w:left w:val="nil"/>
              <w:bottom w:val="single" w:sz="4" w:space="0" w:color="auto"/>
              <w:right w:val="single" w:sz="4" w:space="0" w:color="auto"/>
            </w:tcBorders>
            <w:vAlign w:val="center"/>
            <w:hideMark/>
          </w:tcPr>
          <w:p w14:paraId="2817AACB"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93</w:t>
            </w:r>
          </w:p>
        </w:tc>
        <w:tc>
          <w:tcPr>
            <w:tcW w:w="947" w:type="dxa"/>
            <w:tcBorders>
              <w:top w:val="nil"/>
              <w:left w:val="nil"/>
              <w:bottom w:val="single" w:sz="4" w:space="0" w:color="auto"/>
              <w:right w:val="single" w:sz="4" w:space="0" w:color="auto"/>
            </w:tcBorders>
            <w:vAlign w:val="center"/>
            <w:hideMark/>
          </w:tcPr>
          <w:p w14:paraId="2EFFFA79"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242</w:t>
            </w:r>
          </w:p>
        </w:tc>
        <w:tc>
          <w:tcPr>
            <w:tcW w:w="931" w:type="dxa"/>
            <w:tcBorders>
              <w:top w:val="nil"/>
              <w:left w:val="nil"/>
              <w:bottom w:val="single" w:sz="4" w:space="0" w:color="auto"/>
              <w:right w:val="single" w:sz="4" w:space="0" w:color="auto"/>
            </w:tcBorders>
            <w:vAlign w:val="center"/>
            <w:hideMark/>
          </w:tcPr>
          <w:p w14:paraId="2D38CDCC"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1552</w:t>
            </w:r>
          </w:p>
        </w:tc>
      </w:tr>
      <w:tr w:rsidR="009D0FC7" w:rsidRPr="009D0FC7" w14:paraId="0B4CB05E" w14:textId="77777777" w:rsidTr="009D0FC7">
        <w:trPr>
          <w:trHeight w:val="20"/>
          <w:jc w:val="center"/>
        </w:trPr>
        <w:tc>
          <w:tcPr>
            <w:tcW w:w="1586" w:type="dxa"/>
            <w:tcBorders>
              <w:top w:val="nil"/>
              <w:left w:val="single" w:sz="4" w:space="0" w:color="auto"/>
              <w:bottom w:val="single" w:sz="4" w:space="0" w:color="auto"/>
              <w:right w:val="single" w:sz="4" w:space="0" w:color="auto"/>
            </w:tcBorders>
            <w:vAlign w:val="center"/>
            <w:hideMark/>
          </w:tcPr>
          <w:p w14:paraId="4E91BE0C" w14:textId="4D6D45AB"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p>
        </w:tc>
        <w:tc>
          <w:tcPr>
            <w:tcW w:w="1434" w:type="dxa"/>
            <w:tcBorders>
              <w:top w:val="nil"/>
              <w:left w:val="nil"/>
              <w:bottom w:val="single" w:sz="4" w:space="0" w:color="auto"/>
              <w:right w:val="single" w:sz="4" w:space="0" w:color="auto"/>
            </w:tcBorders>
            <w:vAlign w:val="center"/>
            <w:hideMark/>
          </w:tcPr>
          <w:p w14:paraId="4834A0A9"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12.9</w:t>
            </w:r>
          </w:p>
        </w:tc>
        <w:tc>
          <w:tcPr>
            <w:tcW w:w="1404" w:type="dxa"/>
            <w:tcBorders>
              <w:top w:val="nil"/>
              <w:left w:val="nil"/>
              <w:bottom w:val="single" w:sz="4" w:space="0" w:color="auto"/>
              <w:right w:val="single" w:sz="4" w:space="0" w:color="auto"/>
            </w:tcBorders>
            <w:vAlign w:val="center"/>
            <w:hideMark/>
          </w:tcPr>
          <w:p w14:paraId="2604461E"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3.2</w:t>
            </w:r>
          </w:p>
        </w:tc>
        <w:tc>
          <w:tcPr>
            <w:tcW w:w="1206" w:type="dxa"/>
            <w:tcBorders>
              <w:top w:val="nil"/>
              <w:left w:val="nil"/>
              <w:bottom w:val="single" w:sz="4" w:space="0" w:color="auto"/>
              <w:right w:val="nil"/>
            </w:tcBorders>
            <w:vAlign w:val="center"/>
            <w:hideMark/>
          </w:tcPr>
          <w:p w14:paraId="0D02B4C2"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1.2</w:t>
            </w:r>
          </w:p>
        </w:tc>
        <w:tc>
          <w:tcPr>
            <w:tcW w:w="2013" w:type="dxa"/>
            <w:tcBorders>
              <w:top w:val="nil"/>
              <w:left w:val="single" w:sz="4" w:space="0" w:color="auto"/>
              <w:bottom w:val="single" w:sz="4" w:space="0" w:color="auto"/>
              <w:right w:val="single" w:sz="4" w:space="0" w:color="auto"/>
            </w:tcBorders>
            <w:vAlign w:val="center"/>
            <w:hideMark/>
          </w:tcPr>
          <w:p w14:paraId="3BDD315F"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29.8</w:t>
            </w:r>
          </w:p>
        </w:tc>
        <w:tc>
          <w:tcPr>
            <w:tcW w:w="1206" w:type="dxa"/>
            <w:tcBorders>
              <w:top w:val="nil"/>
              <w:left w:val="nil"/>
              <w:bottom w:val="single" w:sz="4" w:space="0" w:color="auto"/>
              <w:right w:val="single" w:sz="4" w:space="0" w:color="auto"/>
            </w:tcBorders>
            <w:vAlign w:val="center"/>
            <w:hideMark/>
          </w:tcPr>
          <w:p w14:paraId="2FBBDA83"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27.4</w:t>
            </w:r>
          </w:p>
        </w:tc>
        <w:tc>
          <w:tcPr>
            <w:tcW w:w="1891" w:type="dxa"/>
            <w:tcBorders>
              <w:top w:val="nil"/>
              <w:left w:val="nil"/>
              <w:bottom w:val="single" w:sz="4" w:space="0" w:color="auto"/>
              <w:right w:val="single" w:sz="4" w:space="0" w:color="auto"/>
            </w:tcBorders>
            <w:vAlign w:val="center"/>
            <w:hideMark/>
          </w:tcPr>
          <w:p w14:paraId="54BA94A0"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3.9</w:t>
            </w:r>
          </w:p>
        </w:tc>
        <w:tc>
          <w:tcPr>
            <w:tcW w:w="1039" w:type="dxa"/>
            <w:tcBorders>
              <w:top w:val="nil"/>
              <w:left w:val="nil"/>
              <w:bottom w:val="single" w:sz="4" w:space="0" w:color="auto"/>
              <w:right w:val="single" w:sz="4" w:space="0" w:color="auto"/>
            </w:tcBorders>
            <w:vAlign w:val="center"/>
            <w:hideMark/>
          </w:tcPr>
          <w:p w14:paraId="14E4B171" w14:textId="082787C5"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6</w:t>
            </w:r>
            <w:r w:rsidR="00A62199">
              <w:rPr>
                <w:rFonts w:ascii="Times New Roman" w:eastAsia="Times New Roman" w:hAnsi="Times New Roman" w:cs="Times New Roman"/>
                <w:i/>
                <w:iCs/>
                <w:color w:val="000000"/>
                <w:kern w:val="0"/>
                <w:szCs w:val="24"/>
                <w:lang w:eastAsia="en-IN"/>
                <w14:ligatures w14:val="none"/>
              </w:rPr>
              <w:t>.0</w:t>
            </w:r>
          </w:p>
        </w:tc>
        <w:tc>
          <w:tcPr>
            <w:tcW w:w="947" w:type="dxa"/>
            <w:tcBorders>
              <w:top w:val="nil"/>
              <w:left w:val="nil"/>
              <w:bottom w:val="single" w:sz="4" w:space="0" w:color="auto"/>
              <w:right w:val="single" w:sz="4" w:space="0" w:color="auto"/>
            </w:tcBorders>
            <w:vAlign w:val="center"/>
            <w:hideMark/>
          </w:tcPr>
          <w:p w14:paraId="2478046F"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15.6</w:t>
            </w:r>
          </w:p>
        </w:tc>
        <w:tc>
          <w:tcPr>
            <w:tcW w:w="931" w:type="dxa"/>
            <w:tcBorders>
              <w:top w:val="nil"/>
              <w:left w:val="nil"/>
              <w:bottom w:val="single" w:sz="4" w:space="0" w:color="auto"/>
              <w:right w:val="single" w:sz="4" w:space="0" w:color="auto"/>
            </w:tcBorders>
            <w:vAlign w:val="center"/>
            <w:hideMark/>
          </w:tcPr>
          <w:p w14:paraId="2B4EDBA2" w14:textId="741697FF"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p>
        </w:tc>
      </w:tr>
      <w:tr w:rsidR="009D0FC7" w:rsidRPr="009D0FC7" w14:paraId="7A7B66C9" w14:textId="77777777" w:rsidTr="009D0FC7">
        <w:trPr>
          <w:trHeight w:val="20"/>
          <w:jc w:val="center"/>
        </w:trPr>
        <w:tc>
          <w:tcPr>
            <w:tcW w:w="1586" w:type="dxa"/>
            <w:tcBorders>
              <w:top w:val="nil"/>
              <w:left w:val="single" w:sz="4" w:space="0" w:color="auto"/>
              <w:bottom w:val="single" w:sz="4" w:space="0" w:color="auto"/>
              <w:right w:val="single" w:sz="4" w:space="0" w:color="auto"/>
            </w:tcBorders>
            <w:vAlign w:val="center"/>
            <w:hideMark/>
          </w:tcPr>
          <w:p w14:paraId="1816C9D0"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Saurashtra</w:t>
            </w:r>
          </w:p>
        </w:tc>
        <w:tc>
          <w:tcPr>
            <w:tcW w:w="1434" w:type="dxa"/>
            <w:tcBorders>
              <w:top w:val="nil"/>
              <w:left w:val="nil"/>
              <w:bottom w:val="single" w:sz="4" w:space="0" w:color="auto"/>
              <w:right w:val="single" w:sz="4" w:space="0" w:color="auto"/>
            </w:tcBorders>
            <w:vAlign w:val="center"/>
            <w:hideMark/>
          </w:tcPr>
          <w:p w14:paraId="3D48E4DD"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57</w:t>
            </w:r>
          </w:p>
        </w:tc>
        <w:tc>
          <w:tcPr>
            <w:tcW w:w="1404" w:type="dxa"/>
            <w:tcBorders>
              <w:top w:val="nil"/>
              <w:left w:val="nil"/>
              <w:bottom w:val="single" w:sz="4" w:space="0" w:color="auto"/>
              <w:right w:val="single" w:sz="4" w:space="0" w:color="auto"/>
            </w:tcBorders>
            <w:vAlign w:val="center"/>
            <w:hideMark/>
          </w:tcPr>
          <w:p w14:paraId="3080C3E2"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32</w:t>
            </w:r>
          </w:p>
        </w:tc>
        <w:tc>
          <w:tcPr>
            <w:tcW w:w="1206" w:type="dxa"/>
            <w:tcBorders>
              <w:top w:val="nil"/>
              <w:left w:val="nil"/>
              <w:bottom w:val="single" w:sz="4" w:space="0" w:color="auto"/>
              <w:right w:val="nil"/>
            </w:tcBorders>
            <w:vAlign w:val="center"/>
            <w:hideMark/>
          </w:tcPr>
          <w:p w14:paraId="56E78786"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11</w:t>
            </w:r>
          </w:p>
        </w:tc>
        <w:tc>
          <w:tcPr>
            <w:tcW w:w="2013" w:type="dxa"/>
            <w:tcBorders>
              <w:top w:val="nil"/>
              <w:left w:val="single" w:sz="4" w:space="0" w:color="auto"/>
              <w:bottom w:val="single" w:sz="4" w:space="0" w:color="auto"/>
              <w:right w:val="single" w:sz="4" w:space="0" w:color="auto"/>
            </w:tcBorders>
            <w:vAlign w:val="center"/>
            <w:hideMark/>
          </w:tcPr>
          <w:p w14:paraId="0B46F208"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278</w:t>
            </w:r>
          </w:p>
        </w:tc>
        <w:tc>
          <w:tcPr>
            <w:tcW w:w="1206" w:type="dxa"/>
            <w:tcBorders>
              <w:top w:val="nil"/>
              <w:left w:val="nil"/>
              <w:bottom w:val="single" w:sz="4" w:space="0" w:color="auto"/>
              <w:right w:val="single" w:sz="4" w:space="0" w:color="auto"/>
            </w:tcBorders>
            <w:vAlign w:val="center"/>
            <w:hideMark/>
          </w:tcPr>
          <w:p w14:paraId="3BBFC1EC"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210</w:t>
            </w:r>
          </w:p>
        </w:tc>
        <w:tc>
          <w:tcPr>
            <w:tcW w:w="1891" w:type="dxa"/>
            <w:tcBorders>
              <w:top w:val="nil"/>
              <w:left w:val="nil"/>
              <w:bottom w:val="single" w:sz="4" w:space="0" w:color="auto"/>
              <w:right w:val="single" w:sz="4" w:space="0" w:color="auto"/>
            </w:tcBorders>
            <w:vAlign w:val="center"/>
            <w:hideMark/>
          </w:tcPr>
          <w:p w14:paraId="467F4A3C"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35</w:t>
            </w:r>
          </w:p>
        </w:tc>
        <w:tc>
          <w:tcPr>
            <w:tcW w:w="1039" w:type="dxa"/>
            <w:tcBorders>
              <w:top w:val="nil"/>
              <w:left w:val="nil"/>
              <w:bottom w:val="single" w:sz="4" w:space="0" w:color="auto"/>
              <w:right w:val="single" w:sz="4" w:space="0" w:color="auto"/>
            </w:tcBorders>
            <w:vAlign w:val="center"/>
            <w:hideMark/>
          </w:tcPr>
          <w:p w14:paraId="1C4FAEEC"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93</w:t>
            </w:r>
          </w:p>
        </w:tc>
        <w:tc>
          <w:tcPr>
            <w:tcW w:w="947" w:type="dxa"/>
            <w:tcBorders>
              <w:top w:val="nil"/>
              <w:left w:val="nil"/>
              <w:bottom w:val="single" w:sz="4" w:space="0" w:color="auto"/>
              <w:right w:val="single" w:sz="4" w:space="0" w:color="auto"/>
            </w:tcBorders>
            <w:vAlign w:val="center"/>
            <w:hideMark/>
          </w:tcPr>
          <w:p w14:paraId="37F66662"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169</w:t>
            </w:r>
          </w:p>
        </w:tc>
        <w:tc>
          <w:tcPr>
            <w:tcW w:w="931" w:type="dxa"/>
            <w:tcBorders>
              <w:top w:val="nil"/>
              <w:left w:val="nil"/>
              <w:bottom w:val="single" w:sz="4" w:space="0" w:color="auto"/>
              <w:right w:val="single" w:sz="4" w:space="0" w:color="auto"/>
            </w:tcBorders>
            <w:vAlign w:val="center"/>
            <w:hideMark/>
          </w:tcPr>
          <w:p w14:paraId="02C27E7E"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884</w:t>
            </w:r>
          </w:p>
        </w:tc>
      </w:tr>
      <w:tr w:rsidR="009D0FC7" w:rsidRPr="009D0FC7" w14:paraId="7A651954" w14:textId="77777777" w:rsidTr="009D0FC7">
        <w:trPr>
          <w:trHeight w:val="20"/>
          <w:jc w:val="center"/>
        </w:trPr>
        <w:tc>
          <w:tcPr>
            <w:tcW w:w="1586" w:type="dxa"/>
            <w:tcBorders>
              <w:top w:val="nil"/>
              <w:left w:val="single" w:sz="4" w:space="0" w:color="auto"/>
              <w:bottom w:val="single" w:sz="4" w:space="0" w:color="auto"/>
              <w:right w:val="single" w:sz="4" w:space="0" w:color="auto"/>
            </w:tcBorders>
            <w:vAlign w:val="center"/>
            <w:hideMark/>
          </w:tcPr>
          <w:p w14:paraId="6B232401" w14:textId="21D1FA8A"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p>
        </w:tc>
        <w:tc>
          <w:tcPr>
            <w:tcW w:w="1434" w:type="dxa"/>
            <w:tcBorders>
              <w:top w:val="nil"/>
              <w:left w:val="nil"/>
              <w:bottom w:val="single" w:sz="4" w:space="0" w:color="auto"/>
              <w:right w:val="single" w:sz="4" w:space="0" w:color="auto"/>
            </w:tcBorders>
            <w:vAlign w:val="center"/>
            <w:hideMark/>
          </w:tcPr>
          <w:p w14:paraId="3E293C5D"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6.4</w:t>
            </w:r>
          </w:p>
        </w:tc>
        <w:tc>
          <w:tcPr>
            <w:tcW w:w="1404" w:type="dxa"/>
            <w:tcBorders>
              <w:top w:val="nil"/>
              <w:left w:val="nil"/>
              <w:bottom w:val="single" w:sz="4" w:space="0" w:color="auto"/>
              <w:right w:val="single" w:sz="4" w:space="0" w:color="auto"/>
            </w:tcBorders>
            <w:vAlign w:val="center"/>
            <w:hideMark/>
          </w:tcPr>
          <w:p w14:paraId="4EFD9B51"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3.6</w:t>
            </w:r>
          </w:p>
        </w:tc>
        <w:tc>
          <w:tcPr>
            <w:tcW w:w="1206" w:type="dxa"/>
            <w:tcBorders>
              <w:top w:val="nil"/>
              <w:left w:val="nil"/>
              <w:bottom w:val="single" w:sz="4" w:space="0" w:color="auto"/>
              <w:right w:val="nil"/>
            </w:tcBorders>
            <w:vAlign w:val="center"/>
            <w:hideMark/>
          </w:tcPr>
          <w:p w14:paraId="723C62F7"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1.3</w:t>
            </w:r>
          </w:p>
        </w:tc>
        <w:tc>
          <w:tcPr>
            <w:tcW w:w="2013" w:type="dxa"/>
            <w:tcBorders>
              <w:top w:val="nil"/>
              <w:left w:val="single" w:sz="4" w:space="0" w:color="auto"/>
              <w:bottom w:val="single" w:sz="4" w:space="0" w:color="auto"/>
              <w:right w:val="single" w:sz="4" w:space="0" w:color="auto"/>
            </w:tcBorders>
            <w:vAlign w:val="center"/>
            <w:hideMark/>
          </w:tcPr>
          <w:p w14:paraId="11AD9731"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31.4</w:t>
            </w:r>
          </w:p>
        </w:tc>
        <w:tc>
          <w:tcPr>
            <w:tcW w:w="1206" w:type="dxa"/>
            <w:tcBorders>
              <w:top w:val="nil"/>
              <w:left w:val="nil"/>
              <w:bottom w:val="single" w:sz="4" w:space="0" w:color="auto"/>
              <w:right w:val="single" w:sz="4" w:space="0" w:color="auto"/>
            </w:tcBorders>
            <w:vAlign w:val="center"/>
            <w:hideMark/>
          </w:tcPr>
          <w:p w14:paraId="4B8DF736"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23.8</w:t>
            </w:r>
          </w:p>
        </w:tc>
        <w:tc>
          <w:tcPr>
            <w:tcW w:w="1891" w:type="dxa"/>
            <w:tcBorders>
              <w:top w:val="nil"/>
              <w:left w:val="nil"/>
              <w:bottom w:val="single" w:sz="4" w:space="0" w:color="auto"/>
              <w:right w:val="single" w:sz="4" w:space="0" w:color="auto"/>
            </w:tcBorders>
            <w:vAlign w:val="center"/>
            <w:hideMark/>
          </w:tcPr>
          <w:p w14:paraId="2051A63D" w14:textId="4B3884AD"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4</w:t>
            </w:r>
            <w:r w:rsidR="00A62199">
              <w:rPr>
                <w:rFonts w:ascii="Times New Roman" w:eastAsia="Times New Roman" w:hAnsi="Times New Roman" w:cs="Times New Roman"/>
                <w:i/>
                <w:iCs/>
                <w:color w:val="000000"/>
                <w:kern w:val="0"/>
                <w:szCs w:val="24"/>
                <w:lang w:eastAsia="en-IN"/>
                <w14:ligatures w14:val="none"/>
              </w:rPr>
              <w:t>.0</w:t>
            </w:r>
          </w:p>
        </w:tc>
        <w:tc>
          <w:tcPr>
            <w:tcW w:w="1039" w:type="dxa"/>
            <w:tcBorders>
              <w:top w:val="nil"/>
              <w:left w:val="nil"/>
              <w:bottom w:val="single" w:sz="4" w:space="0" w:color="auto"/>
              <w:right w:val="single" w:sz="4" w:space="0" w:color="auto"/>
            </w:tcBorders>
            <w:vAlign w:val="center"/>
            <w:hideMark/>
          </w:tcPr>
          <w:p w14:paraId="776340E8"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10.5</w:t>
            </w:r>
          </w:p>
        </w:tc>
        <w:tc>
          <w:tcPr>
            <w:tcW w:w="947" w:type="dxa"/>
            <w:tcBorders>
              <w:top w:val="nil"/>
              <w:left w:val="nil"/>
              <w:bottom w:val="single" w:sz="4" w:space="0" w:color="auto"/>
              <w:right w:val="single" w:sz="4" w:space="0" w:color="auto"/>
            </w:tcBorders>
            <w:vAlign w:val="center"/>
            <w:hideMark/>
          </w:tcPr>
          <w:p w14:paraId="35BE00D0"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19.1</w:t>
            </w:r>
          </w:p>
        </w:tc>
        <w:tc>
          <w:tcPr>
            <w:tcW w:w="931" w:type="dxa"/>
            <w:tcBorders>
              <w:top w:val="nil"/>
              <w:left w:val="nil"/>
              <w:bottom w:val="single" w:sz="4" w:space="0" w:color="auto"/>
              <w:right w:val="single" w:sz="4" w:space="0" w:color="auto"/>
            </w:tcBorders>
            <w:vAlign w:val="center"/>
            <w:hideMark/>
          </w:tcPr>
          <w:p w14:paraId="55320134" w14:textId="0F853F00"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p>
        </w:tc>
      </w:tr>
      <w:tr w:rsidR="009D0FC7" w:rsidRPr="009D0FC7" w14:paraId="7D9CDFCA" w14:textId="77777777" w:rsidTr="009D0FC7">
        <w:trPr>
          <w:trHeight w:val="20"/>
          <w:jc w:val="center"/>
        </w:trPr>
        <w:tc>
          <w:tcPr>
            <w:tcW w:w="1586" w:type="dxa"/>
            <w:tcBorders>
              <w:top w:val="nil"/>
              <w:left w:val="single" w:sz="4" w:space="0" w:color="auto"/>
              <w:bottom w:val="single" w:sz="4" w:space="0" w:color="auto"/>
              <w:right w:val="single" w:sz="4" w:space="0" w:color="auto"/>
            </w:tcBorders>
            <w:vAlign w:val="center"/>
            <w:hideMark/>
          </w:tcPr>
          <w:p w14:paraId="1389ABDF"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Travancore-Cochin</w:t>
            </w:r>
          </w:p>
        </w:tc>
        <w:tc>
          <w:tcPr>
            <w:tcW w:w="1434" w:type="dxa"/>
            <w:tcBorders>
              <w:top w:val="nil"/>
              <w:left w:val="nil"/>
              <w:bottom w:val="single" w:sz="4" w:space="0" w:color="auto"/>
              <w:right w:val="single" w:sz="4" w:space="0" w:color="auto"/>
            </w:tcBorders>
            <w:vAlign w:val="center"/>
            <w:hideMark/>
          </w:tcPr>
          <w:p w14:paraId="23934355"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125</w:t>
            </w:r>
          </w:p>
        </w:tc>
        <w:tc>
          <w:tcPr>
            <w:tcW w:w="1404" w:type="dxa"/>
            <w:tcBorders>
              <w:top w:val="nil"/>
              <w:left w:val="nil"/>
              <w:bottom w:val="single" w:sz="4" w:space="0" w:color="auto"/>
              <w:right w:val="single" w:sz="4" w:space="0" w:color="auto"/>
            </w:tcBorders>
            <w:vAlign w:val="center"/>
            <w:hideMark/>
          </w:tcPr>
          <w:p w14:paraId="638AEBFE"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62</w:t>
            </w:r>
          </w:p>
        </w:tc>
        <w:tc>
          <w:tcPr>
            <w:tcW w:w="1206" w:type="dxa"/>
            <w:tcBorders>
              <w:top w:val="nil"/>
              <w:left w:val="nil"/>
              <w:bottom w:val="single" w:sz="4" w:space="0" w:color="auto"/>
              <w:right w:val="nil"/>
            </w:tcBorders>
            <w:vAlign w:val="center"/>
            <w:hideMark/>
          </w:tcPr>
          <w:p w14:paraId="638C607D"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89</w:t>
            </w:r>
          </w:p>
        </w:tc>
        <w:tc>
          <w:tcPr>
            <w:tcW w:w="2013" w:type="dxa"/>
            <w:tcBorders>
              <w:top w:val="nil"/>
              <w:left w:val="single" w:sz="4" w:space="0" w:color="auto"/>
              <w:bottom w:val="single" w:sz="4" w:space="0" w:color="auto"/>
              <w:right w:val="single" w:sz="4" w:space="0" w:color="auto"/>
            </w:tcBorders>
            <w:vAlign w:val="center"/>
            <w:hideMark/>
          </w:tcPr>
          <w:p w14:paraId="1B5E86DC"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166</w:t>
            </w:r>
          </w:p>
        </w:tc>
        <w:tc>
          <w:tcPr>
            <w:tcW w:w="1206" w:type="dxa"/>
            <w:tcBorders>
              <w:top w:val="nil"/>
              <w:left w:val="nil"/>
              <w:bottom w:val="single" w:sz="4" w:space="0" w:color="auto"/>
              <w:right w:val="single" w:sz="4" w:space="0" w:color="auto"/>
            </w:tcBorders>
            <w:vAlign w:val="center"/>
            <w:hideMark/>
          </w:tcPr>
          <w:p w14:paraId="14686B89"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406</w:t>
            </w:r>
          </w:p>
        </w:tc>
        <w:tc>
          <w:tcPr>
            <w:tcW w:w="1891" w:type="dxa"/>
            <w:tcBorders>
              <w:top w:val="nil"/>
              <w:left w:val="nil"/>
              <w:bottom w:val="single" w:sz="4" w:space="0" w:color="auto"/>
              <w:right w:val="single" w:sz="4" w:space="0" w:color="auto"/>
            </w:tcBorders>
            <w:vAlign w:val="center"/>
            <w:hideMark/>
          </w:tcPr>
          <w:p w14:paraId="04F2106F"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17</w:t>
            </w:r>
          </w:p>
        </w:tc>
        <w:tc>
          <w:tcPr>
            <w:tcW w:w="1039" w:type="dxa"/>
            <w:tcBorders>
              <w:top w:val="nil"/>
              <w:left w:val="nil"/>
              <w:bottom w:val="single" w:sz="4" w:space="0" w:color="auto"/>
              <w:right w:val="single" w:sz="4" w:space="0" w:color="auto"/>
            </w:tcBorders>
            <w:vAlign w:val="center"/>
            <w:hideMark/>
          </w:tcPr>
          <w:p w14:paraId="556D2580"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183</w:t>
            </w:r>
          </w:p>
        </w:tc>
        <w:tc>
          <w:tcPr>
            <w:tcW w:w="947" w:type="dxa"/>
            <w:tcBorders>
              <w:top w:val="nil"/>
              <w:left w:val="nil"/>
              <w:bottom w:val="single" w:sz="4" w:space="0" w:color="auto"/>
              <w:right w:val="single" w:sz="4" w:space="0" w:color="auto"/>
            </w:tcBorders>
            <w:vAlign w:val="center"/>
            <w:hideMark/>
          </w:tcPr>
          <w:p w14:paraId="57447BA9"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305</w:t>
            </w:r>
          </w:p>
        </w:tc>
        <w:tc>
          <w:tcPr>
            <w:tcW w:w="931" w:type="dxa"/>
            <w:tcBorders>
              <w:top w:val="nil"/>
              <w:left w:val="nil"/>
              <w:bottom w:val="single" w:sz="4" w:space="0" w:color="auto"/>
              <w:right w:val="single" w:sz="4" w:space="0" w:color="auto"/>
            </w:tcBorders>
            <w:vAlign w:val="center"/>
            <w:hideMark/>
          </w:tcPr>
          <w:p w14:paraId="7948EC44"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1352</w:t>
            </w:r>
          </w:p>
        </w:tc>
      </w:tr>
      <w:tr w:rsidR="009D0FC7" w:rsidRPr="009D0FC7" w14:paraId="4FA53EE9" w14:textId="77777777" w:rsidTr="009D0FC7">
        <w:trPr>
          <w:trHeight w:val="20"/>
          <w:jc w:val="center"/>
        </w:trPr>
        <w:tc>
          <w:tcPr>
            <w:tcW w:w="1586" w:type="dxa"/>
            <w:tcBorders>
              <w:top w:val="nil"/>
              <w:left w:val="single" w:sz="4" w:space="0" w:color="auto"/>
              <w:bottom w:val="single" w:sz="4" w:space="0" w:color="auto"/>
              <w:right w:val="single" w:sz="4" w:space="0" w:color="auto"/>
            </w:tcBorders>
            <w:vAlign w:val="center"/>
            <w:hideMark/>
          </w:tcPr>
          <w:p w14:paraId="06424897" w14:textId="05CEA5B1"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p>
        </w:tc>
        <w:tc>
          <w:tcPr>
            <w:tcW w:w="1434" w:type="dxa"/>
            <w:tcBorders>
              <w:top w:val="nil"/>
              <w:left w:val="nil"/>
              <w:bottom w:val="single" w:sz="4" w:space="0" w:color="auto"/>
              <w:right w:val="single" w:sz="4" w:space="0" w:color="auto"/>
            </w:tcBorders>
            <w:vAlign w:val="center"/>
            <w:hideMark/>
          </w:tcPr>
          <w:p w14:paraId="37E7743D"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9.3</w:t>
            </w:r>
          </w:p>
        </w:tc>
        <w:tc>
          <w:tcPr>
            <w:tcW w:w="1404" w:type="dxa"/>
            <w:tcBorders>
              <w:top w:val="nil"/>
              <w:left w:val="nil"/>
              <w:bottom w:val="single" w:sz="4" w:space="0" w:color="auto"/>
              <w:right w:val="single" w:sz="4" w:space="0" w:color="auto"/>
            </w:tcBorders>
            <w:vAlign w:val="center"/>
            <w:hideMark/>
          </w:tcPr>
          <w:p w14:paraId="45632885"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4.6</w:t>
            </w:r>
          </w:p>
        </w:tc>
        <w:tc>
          <w:tcPr>
            <w:tcW w:w="1206" w:type="dxa"/>
            <w:tcBorders>
              <w:top w:val="nil"/>
              <w:left w:val="nil"/>
              <w:bottom w:val="single" w:sz="4" w:space="0" w:color="auto"/>
              <w:right w:val="nil"/>
            </w:tcBorders>
            <w:vAlign w:val="center"/>
            <w:hideMark/>
          </w:tcPr>
          <w:p w14:paraId="0816406D"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6.6</w:t>
            </w:r>
          </w:p>
        </w:tc>
        <w:tc>
          <w:tcPr>
            <w:tcW w:w="2013" w:type="dxa"/>
            <w:tcBorders>
              <w:top w:val="nil"/>
              <w:left w:val="single" w:sz="4" w:space="0" w:color="auto"/>
              <w:bottom w:val="single" w:sz="4" w:space="0" w:color="auto"/>
              <w:right w:val="single" w:sz="4" w:space="0" w:color="auto"/>
            </w:tcBorders>
            <w:vAlign w:val="center"/>
            <w:hideMark/>
          </w:tcPr>
          <w:p w14:paraId="58B23B5C"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12.3</w:t>
            </w:r>
          </w:p>
        </w:tc>
        <w:tc>
          <w:tcPr>
            <w:tcW w:w="1206" w:type="dxa"/>
            <w:tcBorders>
              <w:top w:val="nil"/>
              <w:left w:val="nil"/>
              <w:bottom w:val="single" w:sz="4" w:space="0" w:color="auto"/>
              <w:right w:val="single" w:sz="4" w:space="0" w:color="auto"/>
            </w:tcBorders>
            <w:vAlign w:val="center"/>
            <w:hideMark/>
          </w:tcPr>
          <w:p w14:paraId="489C273E" w14:textId="06EE7D21"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30</w:t>
            </w:r>
            <w:r w:rsidR="00A62199">
              <w:rPr>
                <w:rFonts w:ascii="Times New Roman" w:eastAsia="Times New Roman" w:hAnsi="Times New Roman" w:cs="Times New Roman"/>
                <w:i/>
                <w:iCs/>
                <w:color w:val="000000"/>
                <w:kern w:val="0"/>
                <w:szCs w:val="24"/>
                <w:lang w:eastAsia="en-IN"/>
                <w14:ligatures w14:val="none"/>
              </w:rPr>
              <w:t>.0</w:t>
            </w:r>
          </w:p>
        </w:tc>
        <w:tc>
          <w:tcPr>
            <w:tcW w:w="1891" w:type="dxa"/>
            <w:tcBorders>
              <w:top w:val="nil"/>
              <w:left w:val="nil"/>
              <w:bottom w:val="single" w:sz="4" w:space="0" w:color="auto"/>
              <w:right w:val="single" w:sz="4" w:space="0" w:color="auto"/>
            </w:tcBorders>
            <w:vAlign w:val="center"/>
            <w:hideMark/>
          </w:tcPr>
          <w:p w14:paraId="299A41CD"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1.3</w:t>
            </w:r>
          </w:p>
        </w:tc>
        <w:tc>
          <w:tcPr>
            <w:tcW w:w="1039" w:type="dxa"/>
            <w:tcBorders>
              <w:top w:val="nil"/>
              <w:left w:val="nil"/>
              <w:bottom w:val="single" w:sz="4" w:space="0" w:color="auto"/>
              <w:right w:val="single" w:sz="4" w:space="0" w:color="auto"/>
            </w:tcBorders>
            <w:vAlign w:val="center"/>
            <w:hideMark/>
          </w:tcPr>
          <w:p w14:paraId="1DDB2BDE" w14:textId="0CDCC82E"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13.</w:t>
            </w:r>
            <w:r w:rsidR="00A62199">
              <w:rPr>
                <w:rFonts w:ascii="Times New Roman" w:eastAsia="Times New Roman" w:hAnsi="Times New Roman" w:cs="Times New Roman"/>
                <w:i/>
                <w:iCs/>
                <w:color w:val="000000"/>
                <w:kern w:val="0"/>
                <w:szCs w:val="24"/>
                <w:lang w:eastAsia="en-IN"/>
                <w14:ligatures w14:val="none"/>
              </w:rPr>
              <w:t>3</w:t>
            </w:r>
          </w:p>
        </w:tc>
        <w:tc>
          <w:tcPr>
            <w:tcW w:w="947" w:type="dxa"/>
            <w:tcBorders>
              <w:top w:val="nil"/>
              <w:left w:val="nil"/>
              <w:bottom w:val="single" w:sz="4" w:space="0" w:color="auto"/>
              <w:right w:val="single" w:sz="4" w:space="0" w:color="auto"/>
            </w:tcBorders>
            <w:vAlign w:val="center"/>
            <w:hideMark/>
          </w:tcPr>
          <w:p w14:paraId="7C2EA7AE"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22.6</w:t>
            </w:r>
          </w:p>
        </w:tc>
        <w:tc>
          <w:tcPr>
            <w:tcW w:w="931" w:type="dxa"/>
            <w:tcBorders>
              <w:top w:val="nil"/>
              <w:left w:val="nil"/>
              <w:bottom w:val="single" w:sz="4" w:space="0" w:color="auto"/>
              <w:right w:val="single" w:sz="4" w:space="0" w:color="auto"/>
            </w:tcBorders>
            <w:vAlign w:val="center"/>
            <w:hideMark/>
          </w:tcPr>
          <w:p w14:paraId="24E3BBB8" w14:textId="63B71DBD"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p>
        </w:tc>
      </w:tr>
      <w:tr w:rsidR="009D0FC7" w:rsidRPr="009D0FC7" w14:paraId="3094ACA0" w14:textId="77777777" w:rsidTr="009D0FC7">
        <w:trPr>
          <w:trHeight w:val="20"/>
          <w:jc w:val="center"/>
        </w:trPr>
        <w:tc>
          <w:tcPr>
            <w:tcW w:w="1586" w:type="dxa"/>
            <w:tcBorders>
              <w:top w:val="nil"/>
              <w:left w:val="single" w:sz="4" w:space="0" w:color="auto"/>
              <w:bottom w:val="single" w:sz="4" w:space="0" w:color="auto"/>
              <w:right w:val="single" w:sz="4" w:space="0" w:color="auto"/>
            </w:tcBorders>
            <w:vAlign w:val="center"/>
            <w:hideMark/>
          </w:tcPr>
          <w:p w14:paraId="116B4BE9"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TOTAL</w:t>
            </w:r>
          </w:p>
        </w:tc>
        <w:tc>
          <w:tcPr>
            <w:tcW w:w="1434" w:type="dxa"/>
            <w:tcBorders>
              <w:top w:val="nil"/>
              <w:left w:val="nil"/>
              <w:bottom w:val="single" w:sz="4" w:space="0" w:color="auto"/>
              <w:right w:val="single" w:sz="4" w:space="0" w:color="auto"/>
            </w:tcBorders>
            <w:vAlign w:val="center"/>
            <w:hideMark/>
          </w:tcPr>
          <w:p w14:paraId="5C4BE643"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3550</w:t>
            </w:r>
          </w:p>
        </w:tc>
        <w:tc>
          <w:tcPr>
            <w:tcW w:w="1404" w:type="dxa"/>
            <w:tcBorders>
              <w:top w:val="nil"/>
              <w:left w:val="nil"/>
              <w:bottom w:val="single" w:sz="4" w:space="0" w:color="auto"/>
              <w:right w:val="single" w:sz="4" w:space="0" w:color="auto"/>
            </w:tcBorders>
            <w:vAlign w:val="center"/>
            <w:hideMark/>
          </w:tcPr>
          <w:p w14:paraId="66CD7027"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1636</w:t>
            </w:r>
          </w:p>
        </w:tc>
        <w:tc>
          <w:tcPr>
            <w:tcW w:w="1206" w:type="dxa"/>
            <w:tcBorders>
              <w:top w:val="nil"/>
              <w:left w:val="nil"/>
              <w:bottom w:val="single" w:sz="4" w:space="0" w:color="auto"/>
              <w:right w:val="nil"/>
            </w:tcBorders>
            <w:vAlign w:val="center"/>
            <w:hideMark/>
          </w:tcPr>
          <w:p w14:paraId="725483DF"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846</w:t>
            </w:r>
          </w:p>
        </w:tc>
        <w:tc>
          <w:tcPr>
            <w:tcW w:w="2013" w:type="dxa"/>
            <w:tcBorders>
              <w:top w:val="nil"/>
              <w:left w:val="single" w:sz="4" w:space="0" w:color="auto"/>
              <w:bottom w:val="single" w:sz="4" w:space="0" w:color="auto"/>
              <w:right w:val="single" w:sz="4" w:space="0" w:color="auto"/>
            </w:tcBorders>
            <w:vAlign w:val="center"/>
            <w:hideMark/>
          </w:tcPr>
          <w:p w14:paraId="2F53FDF2"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10609</w:t>
            </w:r>
          </w:p>
        </w:tc>
        <w:tc>
          <w:tcPr>
            <w:tcW w:w="1206" w:type="dxa"/>
            <w:tcBorders>
              <w:top w:val="nil"/>
              <w:left w:val="nil"/>
              <w:bottom w:val="single" w:sz="4" w:space="0" w:color="auto"/>
              <w:right w:val="single" w:sz="4" w:space="0" w:color="auto"/>
            </w:tcBorders>
            <w:vAlign w:val="center"/>
            <w:hideMark/>
          </w:tcPr>
          <w:p w14:paraId="4441F12C"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11626</w:t>
            </w:r>
          </w:p>
        </w:tc>
        <w:tc>
          <w:tcPr>
            <w:tcW w:w="1891" w:type="dxa"/>
            <w:tcBorders>
              <w:top w:val="nil"/>
              <w:left w:val="nil"/>
              <w:bottom w:val="single" w:sz="4" w:space="0" w:color="auto"/>
              <w:right w:val="single" w:sz="4" w:space="0" w:color="auto"/>
            </w:tcBorders>
            <w:vAlign w:val="center"/>
            <w:hideMark/>
          </w:tcPr>
          <w:p w14:paraId="30CE1108" w14:textId="2AB965F2"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2140</w:t>
            </w:r>
          </w:p>
        </w:tc>
        <w:tc>
          <w:tcPr>
            <w:tcW w:w="1039" w:type="dxa"/>
            <w:tcBorders>
              <w:top w:val="nil"/>
              <w:left w:val="nil"/>
              <w:bottom w:val="single" w:sz="4" w:space="0" w:color="auto"/>
              <w:right w:val="single" w:sz="4" w:space="0" w:color="auto"/>
            </w:tcBorders>
            <w:vAlign w:val="center"/>
            <w:hideMark/>
          </w:tcPr>
          <w:p w14:paraId="6C7036E5"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4302</w:t>
            </w:r>
          </w:p>
        </w:tc>
        <w:tc>
          <w:tcPr>
            <w:tcW w:w="947" w:type="dxa"/>
            <w:tcBorders>
              <w:top w:val="nil"/>
              <w:left w:val="nil"/>
              <w:bottom w:val="single" w:sz="4" w:space="0" w:color="auto"/>
              <w:right w:val="single" w:sz="4" w:space="0" w:color="auto"/>
            </w:tcBorders>
            <w:vAlign w:val="center"/>
            <w:hideMark/>
          </w:tcPr>
          <w:p w14:paraId="27F6EAFA"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5470</w:t>
            </w:r>
          </w:p>
        </w:tc>
        <w:tc>
          <w:tcPr>
            <w:tcW w:w="931" w:type="dxa"/>
            <w:tcBorders>
              <w:top w:val="nil"/>
              <w:left w:val="nil"/>
              <w:bottom w:val="single" w:sz="4" w:space="0" w:color="auto"/>
              <w:right w:val="single" w:sz="4" w:space="0" w:color="auto"/>
            </w:tcBorders>
            <w:vAlign w:val="center"/>
            <w:hideMark/>
          </w:tcPr>
          <w:p w14:paraId="46A12EFE" w14:textId="77777777" w:rsidR="009D0FC7" w:rsidRPr="009D0FC7" w:rsidRDefault="009D0FC7" w:rsidP="009D0FC7">
            <w:pPr>
              <w:spacing w:after="0" w:line="240" w:lineRule="auto"/>
              <w:jc w:val="center"/>
              <w:rPr>
                <w:rFonts w:ascii="Times New Roman" w:eastAsia="Times New Roman" w:hAnsi="Times New Roman" w:cs="Times New Roman"/>
                <w:color w:val="000000"/>
                <w:kern w:val="0"/>
                <w:szCs w:val="24"/>
                <w:lang w:eastAsia="en-IN"/>
                <w14:ligatures w14:val="none"/>
              </w:rPr>
            </w:pPr>
            <w:r w:rsidRPr="009D0FC7">
              <w:rPr>
                <w:rFonts w:ascii="Times New Roman" w:eastAsia="Times New Roman" w:hAnsi="Times New Roman" w:cs="Times New Roman"/>
                <w:color w:val="000000"/>
                <w:kern w:val="0"/>
                <w:szCs w:val="24"/>
                <w:lang w:eastAsia="en-IN"/>
                <w14:ligatures w14:val="none"/>
              </w:rPr>
              <w:t>40178</w:t>
            </w:r>
          </w:p>
        </w:tc>
      </w:tr>
      <w:tr w:rsidR="009D0FC7" w:rsidRPr="009D0FC7" w14:paraId="398CFA79" w14:textId="77777777" w:rsidTr="009D0FC7">
        <w:trPr>
          <w:trHeight w:val="20"/>
          <w:jc w:val="center"/>
        </w:trPr>
        <w:tc>
          <w:tcPr>
            <w:tcW w:w="1586" w:type="dxa"/>
            <w:tcBorders>
              <w:top w:val="nil"/>
              <w:left w:val="single" w:sz="4" w:space="0" w:color="auto"/>
              <w:bottom w:val="single" w:sz="4" w:space="0" w:color="auto"/>
              <w:right w:val="single" w:sz="4" w:space="0" w:color="auto"/>
            </w:tcBorders>
            <w:vAlign w:val="center"/>
            <w:hideMark/>
          </w:tcPr>
          <w:p w14:paraId="52AF549C" w14:textId="02FCBC79"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p>
        </w:tc>
        <w:tc>
          <w:tcPr>
            <w:tcW w:w="1434" w:type="dxa"/>
            <w:tcBorders>
              <w:top w:val="nil"/>
              <w:left w:val="nil"/>
              <w:bottom w:val="single" w:sz="4" w:space="0" w:color="auto"/>
              <w:right w:val="single" w:sz="4" w:space="0" w:color="auto"/>
            </w:tcBorders>
            <w:vAlign w:val="center"/>
            <w:hideMark/>
          </w:tcPr>
          <w:p w14:paraId="2B4DC063"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8.8</w:t>
            </w:r>
          </w:p>
        </w:tc>
        <w:tc>
          <w:tcPr>
            <w:tcW w:w="1404" w:type="dxa"/>
            <w:tcBorders>
              <w:top w:val="nil"/>
              <w:left w:val="nil"/>
              <w:bottom w:val="single" w:sz="4" w:space="0" w:color="auto"/>
              <w:right w:val="single" w:sz="4" w:space="0" w:color="auto"/>
            </w:tcBorders>
            <w:vAlign w:val="center"/>
            <w:hideMark/>
          </w:tcPr>
          <w:p w14:paraId="60DA5607"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4.1</w:t>
            </w:r>
          </w:p>
        </w:tc>
        <w:tc>
          <w:tcPr>
            <w:tcW w:w="1206" w:type="dxa"/>
            <w:tcBorders>
              <w:top w:val="nil"/>
              <w:left w:val="nil"/>
              <w:bottom w:val="single" w:sz="4" w:space="0" w:color="auto"/>
              <w:right w:val="nil"/>
            </w:tcBorders>
            <w:vAlign w:val="center"/>
            <w:hideMark/>
          </w:tcPr>
          <w:p w14:paraId="33232FFF"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2.1</w:t>
            </w:r>
          </w:p>
        </w:tc>
        <w:tc>
          <w:tcPr>
            <w:tcW w:w="2013" w:type="dxa"/>
            <w:tcBorders>
              <w:top w:val="nil"/>
              <w:left w:val="single" w:sz="4" w:space="0" w:color="auto"/>
              <w:bottom w:val="single" w:sz="4" w:space="0" w:color="auto"/>
              <w:right w:val="single" w:sz="4" w:space="0" w:color="auto"/>
            </w:tcBorders>
            <w:vAlign w:val="center"/>
            <w:hideMark/>
          </w:tcPr>
          <w:p w14:paraId="67F5213A"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26.4</w:t>
            </w:r>
          </w:p>
        </w:tc>
        <w:tc>
          <w:tcPr>
            <w:tcW w:w="1206" w:type="dxa"/>
            <w:tcBorders>
              <w:top w:val="nil"/>
              <w:left w:val="nil"/>
              <w:bottom w:val="single" w:sz="4" w:space="0" w:color="auto"/>
              <w:right w:val="single" w:sz="4" w:space="0" w:color="auto"/>
            </w:tcBorders>
            <w:vAlign w:val="center"/>
            <w:hideMark/>
          </w:tcPr>
          <w:p w14:paraId="420894DF" w14:textId="5527418F"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29</w:t>
            </w:r>
            <w:r w:rsidR="00A62199">
              <w:rPr>
                <w:rFonts w:ascii="Times New Roman" w:eastAsia="Times New Roman" w:hAnsi="Times New Roman" w:cs="Times New Roman"/>
                <w:i/>
                <w:iCs/>
                <w:color w:val="000000"/>
                <w:kern w:val="0"/>
                <w:szCs w:val="24"/>
                <w:lang w:eastAsia="en-IN"/>
                <w14:ligatures w14:val="none"/>
              </w:rPr>
              <w:t>.0</w:t>
            </w:r>
          </w:p>
        </w:tc>
        <w:tc>
          <w:tcPr>
            <w:tcW w:w="1891" w:type="dxa"/>
            <w:tcBorders>
              <w:top w:val="nil"/>
              <w:left w:val="nil"/>
              <w:bottom w:val="single" w:sz="4" w:space="0" w:color="auto"/>
              <w:right w:val="single" w:sz="4" w:space="0" w:color="auto"/>
            </w:tcBorders>
            <w:vAlign w:val="center"/>
            <w:hideMark/>
          </w:tcPr>
          <w:p w14:paraId="5E4410F1"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5.3</w:t>
            </w:r>
          </w:p>
        </w:tc>
        <w:tc>
          <w:tcPr>
            <w:tcW w:w="1039" w:type="dxa"/>
            <w:tcBorders>
              <w:top w:val="nil"/>
              <w:left w:val="nil"/>
              <w:bottom w:val="single" w:sz="4" w:space="0" w:color="auto"/>
              <w:right w:val="single" w:sz="4" w:space="0" w:color="auto"/>
            </w:tcBorders>
            <w:vAlign w:val="center"/>
            <w:hideMark/>
          </w:tcPr>
          <w:p w14:paraId="744AD6E6"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10.7</w:t>
            </w:r>
          </w:p>
        </w:tc>
        <w:tc>
          <w:tcPr>
            <w:tcW w:w="947" w:type="dxa"/>
            <w:tcBorders>
              <w:top w:val="nil"/>
              <w:left w:val="nil"/>
              <w:bottom w:val="single" w:sz="4" w:space="0" w:color="auto"/>
              <w:right w:val="single" w:sz="4" w:space="0" w:color="auto"/>
            </w:tcBorders>
            <w:vAlign w:val="center"/>
            <w:hideMark/>
          </w:tcPr>
          <w:p w14:paraId="76231E3A" w14:textId="77777777"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9D0FC7">
              <w:rPr>
                <w:rFonts w:ascii="Times New Roman" w:eastAsia="Times New Roman" w:hAnsi="Times New Roman" w:cs="Times New Roman"/>
                <w:i/>
                <w:iCs/>
                <w:color w:val="000000"/>
                <w:kern w:val="0"/>
                <w:szCs w:val="24"/>
                <w:lang w:eastAsia="en-IN"/>
                <w14:ligatures w14:val="none"/>
              </w:rPr>
              <w:t>13.6</w:t>
            </w:r>
          </w:p>
        </w:tc>
        <w:tc>
          <w:tcPr>
            <w:tcW w:w="931" w:type="dxa"/>
            <w:tcBorders>
              <w:top w:val="nil"/>
              <w:left w:val="nil"/>
              <w:bottom w:val="single" w:sz="4" w:space="0" w:color="auto"/>
              <w:right w:val="single" w:sz="4" w:space="0" w:color="auto"/>
            </w:tcBorders>
            <w:vAlign w:val="center"/>
            <w:hideMark/>
          </w:tcPr>
          <w:p w14:paraId="3C4B8DD5" w14:textId="34D71525" w:rsidR="009D0FC7" w:rsidRPr="009D0FC7" w:rsidRDefault="009D0FC7" w:rsidP="009D0FC7">
            <w:pPr>
              <w:spacing w:after="0" w:line="240" w:lineRule="auto"/>
              <w:jc w:val="center"/>
              <w:rPr>
                <w:rFonts w:ascii="Times New Roman" w:eastAsia="Times New Roman" w:hAnsi="Times New Roman" w:cs="Times New Roman"/>
                <w:i/>
                <w:iCs/>
                <w:color w:val="000000"/>
                <w:kern w:val="0"/>
                <w:szCs w:val="24"/>
                <w:lang w:eastAsia="en-IN"/>
                <w14:ligatures w14:val="none"/>
              </w:rPr>
            </w:pPr>
          </w:p>
        </w:tc>
      </w:tr>
    </w:tbl>
    <w:p w14:paraId="4086BE5C" w14:textId="3C82ABCF" w:rsidR="009D0FC7" w:rsidRPr="005534D4" w:rsidRDefault="009D0FC7" w:rsidP="009D0FC7">
      <w:pPr>
        <w:pStyle w:val="Sources"/>
      </w:pPr>
      <w:r w:rsidRPr="005534D4">
        <w:t>(a) Includes Rs. 5 lakhs on account of transfer to Revenue Reserve Fund.</w:t>
      </w:r>
      <w:r w:rsidRPr="005534D4">
        <w:br/>
        <w:t>(b) Expenditure under 'Industries and Supplies' excludes working expenses of Government Industrial and Commercial undertakings.</w:t>
      </w:r>
    </w:p>
    <w:p w14:paraId="198BB1D0" w14:textId="0C41A90A" w:rsidR="009D0FC7" w:rsidRPr="005534D4" w:rsidRDefault="009D0FC7" w:rsidP="009D0FC7">
      <w:pPr>
        <w:rPr>
          <w:rFonts w:ascii="Times New Roman" w:hAnsi="Times New Roman" w:cs="Times New Roman"/>
        </w:rPr>
      </w:pPr>
    </w:p>
    <w:p w14:paraId="4B780AE4" w14:textId="77777777" w:rsidR="009D0FC7" w:rsidRDefault="009D0FC7" w:rsidP="00754CB8">
      <w:pPr>
        <w:rPr>
          <w:rFonts w:ascii="Times New Roman" w:hAnsi="Times New Roman" w:cs="Times New Roman"/>
        </w:rPr>
        <w:sectPr w:rsidR="009D0FC7" w:rsidSect="009D0FC7">
          <w:pgSz w:w="16838" w:h="11906" w:orient="landscape"/>
          <w:pgMar w:top="1134" w:right="1440" w:bottom="1440" w:left="1440" w:header="709" w:footer="709" w:gutter="0"/>
          <w:cols w:space="708"/>
          <w:docGrid w:linePitch="360"/>
        </w:sectPr>
      </w:pPr>
    </w:p>
    <w:p w14:paraId="146B2F10" w14:textId="77777777" w:rsidR="005474DF" w:rsidRPr="005474DF" w:rsidRDefault="005474DF" w:rsidP="0075507D">
      <w:pPr>
        <w:pStyle w:val="Heading3"/>
        <w:rPr>
          <w:rStyle w:val="Heading2Char"/>
          <w:b/>
          <w:bCs/>
        </w:rPr>
      </w:pPr>
      <w:bookmarkStart w:id="34" w:name="_Toc221007143"/>
      <w:r w:rsidRPr="005474DF">
        <w:rPr>
          <w:rStyle w:val="Heading2Char"/>
          <w:b/>
          <w:bCs/>
        </w:rPr>
        <w:lastRenderedPageBreak/>
        <w:t>7</w:t>
      </w:r>
      <w:r w:rsidR="00754CB8" w:rsidRPr="005474DF">
        <w:rPr>
          <w:rStyle w:val="Heading2Char"/>
          <w:b/>
          <w:bCs/>
        </w:rPr>
        <w:t>(c).—Composition of expenditure met from revenue</w:t>
      </w:r>
      <w:r w:rsidRPr="005474DF">
        <w:rPr>
          <w:rStyle w:val="Heading2Char"/>
          <w:b/>
          <w:bCs/>
        </w:rPr>
        <w:t xml:space="preserve"> of Part A and Part B States—1952-53 (Budget Estimates)</w:t>
      </w:r>
      <w:bookmarkEnd w:id="34"/>
    </w:p>
    <w:p w14:paraId="69C984BE" w14:textId="6B7253F4" w:rsidR="00754CB8" w:rsidRDefault="00754CB8" w:rsidP="005474DF">
      <w:pPr>
        <w:jc w:val="center"/>
        <w:rPr>
          <w:rFonts w:ascii="Times New Roman" w:hAnsi="Times New Roman" w:cs="Times New Roman"/>
        </w:rPr>
      </w:pPr>
      <w:r w:rsidRPr="005474DF">
        <w:rPr>
          <w:rFonts w:ascii="Times New Roman" w:hAnsi="Times New Roman" w:cs="Times New Roman"/>
        </w:rPr>
        <w:t>The percentage of the expenditure in each category</w:t>
      </w:r>
      <w:r w:rsidR="005474DF" w:rsidRPr="005474DF">
        <w:rPr>
          <w:rFonts w:ascii="Times New Roman" w:hAnsi="Times New Roman" w:cs="Times New Roman"/>
        </w:rPr>
        <w:t xml:space="preserve"> to the total expenditure is given in italics along-side the figures.</w:t>
      </w:r>
    </w:p>
    <w:tbl>
      <w:tblPr>
        <w:tblW w:w="14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1450"/>
        <w:gridCol w:w="1420"/>
        <w:gridCol w:w="1219"/>
        <w:gridCol w:w="2269"/>
        <w:gridCol w:w="1295"/>
        <w:gridCol w:w="1985"/>
        <w:gridCol w:w="1070"/>
        <w:gridCol w:w="1182"/>
        <w:gridCol w:w="1379"/>
      </w:tblGrid>
      <w:tr w:rsidR="006C2579" w:rsidRPr="00E02C8A" w14:paraId="3666FCD2" w14:textId="77777777" w:rsidTr="006C2579">
        <w:trPr>
          <w:trHeight w:val="20"/>
          <w:jc w:val="center"/>
        </w:trPr>
        <w:tc>
          <w:tcPr>
            <w:tcW w:w="1603" w:type="dxa"/>
            <w:vAlign w:val="center"/>
            <w:hideMark/>
          </w:tcPr>
          <w:p w14:paraId="3A23AA95" w14:textId="1E985EF9" w:rsidR="006C2579" w:rsidRPr="00E02C8A" w:rsidRDefault="006C2579" w:rsidP="006C2579">
            <w:pPr>
              <w:spacing w:after="0" w:line="240" w:lineRule="auto"/>
              <w:jc w:val="center"/>
              <w:rPr>
                <w:rFonts w:ascii="Times New Roman" w:eastAsia="Times New Roman" w:hAnsi="Times New Roman" w:cs="Times New Roman"/>
                <w:color w:val="000000"/>
                <w:kern w:val="0"/>
                <w:szCs w:val="24"/>
                <w:lang w:eastAsia="en-IN"/>
                <w14:ligatures w14:val="none"/>
              </w:rPr>
            </w:pPr>
          </w:p>
        </w:tc>
        <w:tc>
          <w:tcPr>
            <w:tcW w:w="1450" w:type="dxa"/>
            <w:vAlign w:val="center"/>
            <w:hideMark/>
          </w:tcPr>
          <w:p w14:paraId="0553E21C" w14:textId="77777777" w:rsidR="006C2579" w:rsidRPr="00E02C8A" w:rsidRDefault="006C2579" w:rsidP="006C2579">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E02C8A">
              <w:rPr>
                <w:rFonts w:ascii="Times New Roman" w:eastAsia="Times New Roman" w:hAnsi="Times New Roman" w:cs="Times New Roman"/>
                <w:b/>
                <w:bCs/>
                <w:color w:val="000000"/>
                <w:kern w:val="0"/>
                <w:szCs w:val="24"/>
                <w:lang w:eastAsia="en-IN"/>
                <w14:ligatures w14:val="none"/>
              </w:rPr>
              <w:t>Cost of Tax Collection</w:t>
            </w:r>
          </w:p>
        </w:tc>
        <w:tc>
          <w:tcPr>
            <w:tcW w:w="1420" w:type="dxa"/>
            <w:vAlign w:val="center"/>
            <w:hideMark/>
          </w:tcPr>
          <w:p w14:paraId="7E1606B0" w14:textId="77777777" w:rsidR="006C2579" w:rsidRPr="00E02C8A" w:rsidRDefault="006C2579" w:rsidP="006C2579">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E02C8A">
              <w:rPr>
                <w:rFonts w:ascii="Times New Roman" w:eastAsia="Times New Roman" w:hAnsi="Times New Roman" w:cs="Times New Roman"/>
                <w:b/>
                <w:bCs/>
                <w:color w:val="000000"/>
                <w:kern w:val="0"/>
                <w:szCs w:val="24"/>
                <w:lang w:eastAsia="en-IN"/>
                <w14:ligatures w14:val="none"/>
              </w:rPr>
              <w:t>Irrigation</w:t>
            </w:r>
          </w:p>
        </w:tc>
        <w:tc>
          <w:tcPr>
            <w:tcW w:w="1219" w:type="dxa"/>
            <w:vAlign w:val="center"/>
            <w:hideMark/>
          </w:tcPr>
          <w:p w14:paraId="2E0B88D2" w14:textId="77777777" w:rsidR="006C2579" w:rsidRPr="00E02C8A" w:rsidRDefault="006C2579" w:rsidP="006C2579">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E02C8A">
              <w:rPr>
                <w:rFonts w:ascii="Times New Roman" w:eastAsia="Times New Roman" w:hAnsi="Times New Roman" w:cs="Times New Roman"/>
                <w:b/>
                <w:bCs/>
                <w:color w:val="000000"/>
                <w:kern w:val="0"/>
                <w:szCs w:val="24"/>
                <w:lang w:eastAsia="en-IN"/>
                <w14:ligatures w14:val="none"/>
              </w:rPr>
              <w:t>Debt Services</w:t>
            </w:r>
          </w:p>
        </w:tc>
        <w:tc>
          <w:tcPr>
            <w:tcW w:w="2269" w:type="dxa"/>
            <w:shd w:val="clear" w:color="000000" w:fill="FFFFFF"/>
            <w:vAlign w:val="center"/>
            <w:hideMark/>
          </w:tcPr>
          <w:p w14:paraId="0B8CB5F0" w14:textId="77777777" w:rsidR="006C2579" w:rsidRPr="00E02C8A" w:rsidRDefault="006C2579" w:rsidP="006C2579">
            <w:pPr>
              <w:spacing w:after="0" w:line="240" w:lineRule="auto"/>
              <w:ind w:firstLineChars="100" w:firstLine="241"/>
              <w:jc w:val="center"/>
              <w:rPr>
                <w:rFonts w:ascii="Times New Roman" w:eastAsia="Times New Roman" w:hAnsi="Times New Roman" w:cs="Times New Roman"/>
                <w:b/>
                <w:bCs/>
                <w:color w:val="1A1C1E"/>
                <w:kern w:val="0"/>
                <w:szCs w:val="24"/>
                <w:lang w:eastAsia="en-IN"/>
                <w14:ligatures w14:val="none"/>
              </w:rPr>
            </w:pPr>
            <w:r w:rsidRPr="00E02C8A">
              <w:rPr>
                <w:rFonts w:ascii="Times New Roman" w:eastAsia="Times New Roman" w:hAnsi="Times New Roman" w:cs="Times New Roman"/>
                <w:b/>
                <w:bCs/>
                <w:color w:val="1A1C1E"/>
                <w:kern w:val="0"/>
                <w:szCs w:val="24"/>
                <w:lang w:eastAsia="en-IN"/>
                <w14:ligatures w14:val="none"/>
              </w:rPr>
              <w:t>Administrative Services</w:t>
            </w:r>
          </w:p>
        </w:tc>
        <w:tc>
          <w:tcPr>
            <w:tcW w:w="1295" w:type="dxa"/>
            <w:shd w:val="clear" w:color="000000" w:fill="FFFFFF"/>
            <w:vAlign w:val="center"/>
            <w:hideMark/>
          </w:tcPr>
          <w:p w14:paraId="302C5CE7" w14:textId="77777777" w:rsidR="006C2579" w:rsidRPr="00E02C8A" w:rsidRDefault="006C2579" w:rsidP="006C2579">
            <w:pPr>
              <w:spacing w:after="0" w:line="240" w:lineRule="auto"/>
              <w:ind w:firstLineChars="100" w:firstLine="241"/>
              <w:jc w:val="center"/>
              <w:rPr>
                <w:rFonts w:ascii="Times New Roman" w:eastAsia="Times New Roman" w:hAnsi="Times New Roman" w:cs="Times New Roman"/>
                <w:b/>
                <w:bCs/>
                <w:color w:val="1A1C1E"/>
                <w:kern w:val="0"/>
                <w:szCs w:val="24"/>
                <w:lang w:eastAsia="en-IN"/>
                <w14:ligatures w14:val="none"/>
              </w:rPr>
            </w:pPr>
            <w:r w:rsidRPr="00E02C8A">
              <w:rPr>
                <w:rFonts w:ascii="Times New Roman" w:eastAsia="Times New Roman" w:hAnsi="Times New Roman" w:cs="Times New Roman"/>
                <w:b/>
                <w:bCs/>
                <w:color w:val="1A1C1E"/>
                <w:kern w:val="0"/>
                <w:szCs w:val="24"/>
                <w:lang w:eastAsia="en-IN"/>
                <w14:ligatures w14:val="none"/>
              </w:rPr>
              <w:t>Social Services</w:t>
            </w:r>
          </w:p>
        </w:tc>
        <w:tc>
          <w:tcPr>
            <w:tcW w:w="1985" w:type="dxa"/>
            <w:shd w:val="clear" w:color="000000" w:fill="FFFFFF"/>
            <w:vAlign w:val="center"/>
            <w:hideMark/>
          </w:tcPr>
          <w:p w14:paraId="30F4E3E8" w14:textId="77777777" w:rsidR="006C2579" w:rsidRPr="00E02C8A" w:rsidRDefault="006C2579" w:rsidP="006C2579">
            <w:pPr>
              <w:spacing w:after="0" w:line="240" w:lineRule="auto"/>
              <w:ind w:firstLineChars="100" w:firstLine="241"/>
              <w:jc w:val="center"/>
              <w:rPr>
                <w:rFonts w:ascii="Times New Roman" w:eastAsia="Times New Roman" w:hAnsi="Times New Roman" w:cs="Times New Roman"/>
                <w:b/>
                <w:bCs/>
                <w:color w:val="1A1C1E"/>
                <w:kern w:val="0"/>
                <w:szCs w:val="24"/>
                <w:lang w:eastAsia="en-IN"/>
                <w14:ligatures w14:val="none"/>
              </w:rPr>
            </w:pPr>
            <w:r w:rsidRPr="00E02C8A">
              <w:rPr>
                <w:rFonts w:ascii="Times New Roman" w:eastAsia="Times New Roman" w:hAnsi="Times New Roman" w:cs="Times New Roman"/>
                <w:b/>
                <w:bCs/>
                <w:color w:val="1A1C1E"/>
                <w:kern w:val="0"/>
                <w:szCs w:val="24"/>
                <w:lang w:eastAsia="en-IN"/>
                <w14:ligatures w14:val="none"/>
              </w:rPr>
              <w:t>Industries and Miscellaneous Departments</w:t>
            </w:r>
          </w:p>
        </w:tc>
        <w:tc>
          <w:tcPr>
            <w:tcW w:w="1070" w:type="dxa"/>
            <w:shd w:val="clear" w:color="000000" w:fill="FFFFFF"/>
            <w:vAlign w:val="center"/>
            <w:hideMark/>
          </w:tcPr>
          <w:p w14:paraId="3DD81AE4" w14:textId="77777777" w:rsidR="006C2579" w:rsidRPr="00E02C8A" w:rsidRDefault="006C2579" w:rsidP="006C2579">
            <w:pPr>
              <w:spacing w:after="0" w:line="240" w:lineRule="auto"/>
              <w:ind w:firstLineChars="100" w:firstLine="241"/>
              <w:jc w:val="center"/>
              <w:rPr>
                <w:rFonts w:ascii="Times New Roman" w:eastAsia="Times New Roman" w:hAnsi="Times New Roman" w:cs="Times New Roman"/>
                <w:b/>
                <w:bCs/>
                <w:color w:val="1A1C1E"/>
                <w:kern w:val="0"/>
                <w:szCs w:val="24"/>
                <w:lang w:eastAsia="en-IN"/>
                <w14:ligatures w14:val="none"/>
              </w:rPr>
            </w:pPr>
            <w:r w:rsidRPr="00E02C8A">
              <w:rPr>
                <w:rFonts w:ascii="Times New Roman" w:eastAsia="Times New Roman" w:hAnsi="Times New Roman" w:cs="Times New Roman"/>
                <w:b/>
                <w:bCs/>
                <w:color w:val="1A1C1E"/>
                <w:kern w:val="0"/>
                <w:szCs w:val="24"/>
                <w:lang w:eastAsia="en-IN"/>
                <w14:ligatures w14:val="none"/>
              </w:rPr>
              <w:t>Civil Works</w:t>
            </w:r>
          </w:p>
        </w:tc>
        <w:tc>
          <w:tcPr>
            <w:tcW w:w="1182" w:type="dxa"/>
            <w:shd w:val="clear" w:color="000000" w:fill="FFFFFF"/>
            <w:vAlign w:val="center"/>
            <w:hideMark/>
          </w:tcPr>
          <w:p w14:paraId="268C6DFA" w14:textId="77777777" w:rsidR="006C2579" w:rsidRPr="00E02C8A" w:rsidRDefault="006C2579" w:rsidP="006C2579">
            <w:pPr>
              <w:spacing w:after="0" w:line="240" w:lineRule="auto"/>
              <w:ind w:firstLineChars="100" w:firstLine="241"/>
              <w:jc w:val="center"/>
              <w:rPr>
                <w:rFonts w:ascii="Times New Roman" w:eastAsia="Times New Roman" w:hAnsi="Times New Roman" w:cs="Times New Roman"/>
                <w:b/>
                <w:bCs/>
                <w:color w:val="1A1C1E"/>
                <w:kern w:val="0"/>
                <w:szCs w:val="24"/>
                <w:lang w:eastAsia="en-IN"/>
                <w14:ligatures w14:val="none"/>
              </w:rPr>
            </w:pPr>
            <w:r w:rsidRPr="00E02C8A">
              <w:rPr>
                <w:rFonts w:ascii="Times New Roman" w:eastAsia="Times New Roman" w:hAnsi="Times New Roman" w:cs="Times New Roman"/>
                <w:b/>
                <w:bCs/>
                <w:color w:val="1A1C1E"/>
                <w:kern w:val="0"/>
                <w:szCs w:val="24"/>
                <w:lang w:eastAsia="en-IN"/>
                <w14:ligatures w14:val="none"/>
              </w:rPr>
              <w:t>Other Items</w:t>
            </w:r>
          </w:p>
        </w:tc>
        <w:tc>
          <w:tcPr>
            <w:tcW w:w="1379" w:type="dxa"/>
            <w:shd w:val="clear" w:color="000000" w:fill="FFFFFF"/>
            <w:vAlign w:val="center"/>
            <w:hideMark/>
          </w:tcPr>
          <w:p w14:paraId="7463DECB" w14:textId="77777777" w:rsidR="006C2579" w:rsidRPr="00E02C8A" w:rsidRDefault="006C2579" w:rsidP="006C2579">
            <w:pPr>
              <w:spacing w:after="0" w:line="240" w:lineRule="auto"/>
              <w:ind w:firstLineChars="100" w:firstLine="241"/>
              <w:jc w:val="center"/>
              <w:rPr>
                <w:rFonts w:ascii="Times New Roman" w:eastAsia="Times New Roman" w:hAnsi="Times New Roman" w:cs="Times New Roman"/>
                <w:b/>
                <w:bCs/>
                <w:color w:val="1A1C1E"/>
                <w:kern w:val="0"/>
                <w:szCs w:val="24"/>
                <w:lang w:eastAsia="en-IN"/>
                <w14:ligatures w14:val="none"/>
              </w:rPr>
            </w:pPr>
            <w:r w:rsidRPr="00E02C8A">
              <w:rPr>
                <w:rFonts w:ascii="Times New Roman" w:eastAsia="Times New Roman" w:hAnsi="Times New Roman" w:cs="Times New Roman"/>
                <w:b/>
                <w:bCs/>
                <w:color w:val="1A1C1E"/>
                <w:kern w:val="0"/>
                <w:szCs w:val="24"/>
                <w:lang w:eastAsia="en-IN"/>
                <w14:ligatures w14:val="none"/>
              </w:rPr>
              <w:t>Total</w:t>
            </w:r>
          </w:p>
        </w:tc>
      </w:tr>
      <w:tr w:rsidR="006C2579" w:rsidRPr="00E02C8A" w14:paraId="39AD8A02" w14:textId="77777777" w:rsidTr="006C2579">
        <w:trPr>
          <w:trHeight w:val="20"/>
          <w:jc w:val="center"/>
        </w:trPr>
        <w:tc>
          <w:tcPr>
            <w:tcW w:w="1603" w:type="dxa"/>
            <w:vAlign w:val="center"/>
            <w:hideMark/>
          </w:tcPr>
          <w:p w14:paraId="27FDCD7F" w14:textId="77777777" w:rsidR="006C2579" w:rsidRPr="00E02C8A" w:rsidRDefault="006C2579" w:rsidP="006C2579">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Assam</w:t>
            </w:r>
          </w:p>
        </w:tc>
        <w:tc>
          <w:tcPr>
            <w:tcW w:w="1450" w:type="dxa"/>
            <w:vAlign w:val="center"/>
            <w:hideMark/>
          </w:tcPr>
          <w:p w14:paraId="4EC1465F" w14:textId="77777777" w:rsidR="006C2579" w:rsidRPr="00E02C8A" w:rsidRDefault="006C2579" w:rsidP="006C2579">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102</w:t>
            </w:r>
          </w:p>
        </w:tc>
        <w:tc>
          <w:tcPr>
            <w:tcW w:w="1420" w:type="dxa"/>
            <w:vAlign w:val="center"/>
            <w:hideMark/>
          </w:tcPr>
          <w:p w14:paraId="67B57E0E" w14:textId="77777777" w:rsidR="006C2579" w:rsidRPr="00E02C8A" w:rsidRDefault="006C2579" w:rsidP="006C2579">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16</w:t>
            </w:r>
          </w:p>
        </w:tc>
        <w:tc>
          <w:tcPr>
            <w:tcW w:w="1219" w:type="dxa"/>
            <w:vAlign w:val="center"/>
            <w:hideMark/>
          </w:tcPr>
          <w:p w14:paraId="38B1CD3B" w14:textId="77777777" w:rsidR="006C2579" w:rsidRPr="00E02C8A" w:rsidRDefault="006C2579" w:rsidP="006C2579">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10</w:t>
            </w:r>
          </w:p>
        </w:tc>
        <w:tc>
          <w:tcPr>
            <w:tcW w:w="2269" w:type="dxa"/>
            <w:shd w:val="clear" w:color="000000" w:fill="FFFFFF"/>
            <w:vAlign w:val="center"/>
            <w:hideMark/>
          </w:tcPr>
          <w:p w14:paraId="181B2ABA"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E02C8A">
              <w:rPr>
                <w:rFonts w:ascii="Times New Roman" w:eastAsia="Times New Roman" w:hAnsi="Times New Roman" w:cs="Times New Roman"/>
                <w:color w:val="1A1C1E"/>
                <w:kern w:val="0"/>
                <w:szCs w:val="24"/>
                <w:lang w:eastAsia="en-IN"/>
                <w14:ligatures w14:val="none"/>
              </w:rPr>
              <w:t>210</w:t>
            </w:r>
          </w:p>
        </w:tc>
        <w:tc>
          <w:tcPr>
            <w:tcW w:w="1295" w:type="dxa"/>
            <w:shd w:val="clear" w:color="000000" w:fill="FFFFFF"/>
            <w:vAlign w:val="center"/>
            <w:hideMark/>
          </w:tcPr>
          <w:p w14:paraId="6542D053"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E02C8A">
              <w:rPr>
                <w:rFonts w:ascii="Times New Roman" w:eastAsia="Times New Roman" w:hAnsi="Times New Roman" w:cs="Times New Roman"/>
                <w:color w:val="1A1C1E"/>
                <w:kern w:val="0"/>
                <w:szCs w:val="24"/>
                <w:lang w:eastAsia="en-IN"/>
                <w14:ligatures w14:val="none"/>
              </w:rPr>
              <w:t>356</w:t>
            </w:r>
          </w:p>
        </w:tc>
        <w:tc>
          <w:tcPr>
            <w:tcW w:w="1985" w:type="dxa"/>
            <w:shd w:val="clear" w:color="000000" w:fill="FFFFFF"/>
            <w:vAlign w:val="center"/>
            <w:hideMark/>
          </w:tcPr>
          <w:p w14:paraId="4F3EE72E"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E02C8A">
              <w:rPr>
                <w:rFonts w:ascii="Times New Roman" w:eastAsia="Times New Roman" w:hAnsi="Times New Roman" w:cs="Times New Roman"/>
                <w:color w:val="1A1C1E"/>
                <w:kern w:val="0"/>
                <w:szCs w:val="24"/>
                <w:lang w:eastAsia="en-IN"/>
                <w14:ligatures w14:val="none"/>
              </w:rPr>
              <w:t>16</w:t>
            </w:r>
          </w:p>
        </w:tc>
        <w:tc>
          <w:tcPr>
            <w:tcW w:w="1070" w:type="dxa"/>
            <w:shd w:val="clear" w:color="000000" w:fill="FFFFFF"/>
            <w:vAlign w:val="center"/>
            <w:hideMark/>
          </w:tcPr>
          <w:p w14:paraId="3B37A02F"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E02C8A">
              <w:rPr>
                <w:rFonts w:ascii="Times New Roman" w:eastAsia="Times New Roman" w:hAnsi="Times New Roman" w:cs="Times New Roman"/>
                <w:color w:val="1A1C1E"/>
                <w:kern w:val="0"/>
                <w:szCs w:val="24"/>
                <w:lang w:eastAsia="en-IN"/>
                <w14:ligatures w14:val="none"/>
              </w:rPr>
              <w:t>372</w:t>
            </w:r>
          </w:p>
        </w:tc>
        <w:tc>
          <w:tcPr>
            <w:tcW w:w="1182" w:type="dxa"/>
            <w:shd w:val="clear" w:color="000000" w:fill="FFFFFF"/>
            <w:vAlign w:val="center"/>
            <w:hideMark/>
          </w:tcPr>
          <w:p w14:paraId="6009080F"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E02C8A">
              <w:rPr>
                <w:rFonts w:ascii="Times New Roman" w:eastAsia="Times New Roman" w:hAnsi="Times New Roman" w:cs="Times New Roman"/>
                <w:color w:val="1A1C1E"/>
                <w:kern w:val="0"/>
                <w:szCs w:val="24"/>
                <w:lang w:eastAsia="en-IN"/>
                <w14:ligatures w14:val="none"/>
              </w:rPr>
              <w:t>178</w:t>
            </w:r>
          </w:p>
        </w:tc>
        <w:tc>
          <w:tcPr>
            <w:tcW w:w="1379" w:type="dxa"/>
            <w:shd w:val="clear" w:color="000000" w:fill="FFFFFF"/>
            <w:vAlign w:val="center"/>
            <w:hideMark/>
          </w:tcPr>
          <w:p w14:paraId="5587113F"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E02C8A">
              <w:rPr>
                <w:rFonts w:ascii="Times New Roman" w:eastAsia="Times New Roman" w:hAnsi="Times New Roman" w:cs="Times New Roman"/>
                <w:color w:val="1A1C1E"/>
                <w:kern w:val="0"/>
                <w:szCs w:val="24"/>
                <w:lang w:eastAsia="en-IN"/>
                <w14:ligatures w14:val="none"/>
              </w:rPr>
              <w:t>1260</w:t>
            </w:r>
          </w:p>
        </w:tc>
      </w:tr>
      <w:tr w:rsidR="006C2579" w:rsidRPr="00E02C8A" w14:paraId="3C7C9064" w14:textId="77777777" w:rsidTr="006C2579">
        <w:trPr>
          <w:trHeight w:val="20"/>
          <w:jc w:val="center"/>
        </w:trPr>
        <w:tc>
          <w:tcPr>
            <w:tcW w:w="1603" w:type="dxa"/>
            <w:vAlign w:val="center"/>
            <w:hideMark/>
          </w:tcPr>
          <w:p w14:paraId="51944CB0" w14:textId="5680491A" w:rsidR="006C2579" w:rsidRPr="00E02C8A" w:rsidRDefault="006C2579" w:rsidP="006C2579">
            <w:pPr>
              <w:spacing w:after="0" w:line="240" w:lineRule="auto"/>
              <w:jc w:val="center"/>
              <w:rPr>
                <w:rFonts w:ascii="Times New Roman" w:eastAsia="Times New Roman" w:hAnsi="Times New Roman" w:cs="Times New Roman"/>
                <w:i/>
                <w:iCs/>
                <w:color w:val="000000"/>
                <w:kern w:val="0"/>
                <w:szCs w:val="24"/>
                <w:lang w:eastAsia="en-IN"/>
                <w14:ligatures w14:val="none"/>
              </w:rPr>
            </w:pPr>
          </w:p>
        </w:tc>
        <w:tc>
          <w:tcPr>
            <w:tcW w:w="1450" w:type="dxa"/>
            <w:vAlign w:val="center"/>
            <w:hideMark/>
          </w:tcPr>
          <w:p w14:paraId="414ECD3C" w14:textId="77777777" w:rsidR="006C2579" w:rsidRPr="00E02C8A" w:rsidRDefault="006C2579" w:rsidP="006C2579">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E02C8A">
              <w:rPr>
                <w:rFonts w:ascii="Times New Roman" w:eastAsia="Times New Roman" w:hAnsi="Times New Roman" w:cs="Times New Roman"/>
                <w:i/>
                <w:iCs/>
                <w:color w:val="000000"/>
                <w:kern w:val="0"/>
                <w:szCs w:val="24"/>
                <w:lang w:eastAsia="en-IN"/>
                <w14:ligatures w14:val="none"/>
              </w:rPr>
              <w:t>8.1</w:t>
            </w:r>
          </w:p>
        </w:tc>
        <w:tc>
          <w:tcPr>
            <w:tcW w:w="1420" w:type="dxa"/>
            <w:vAlign w:val="center"/>
            <w:hideMark/>
          </w:tcPr>
          <w:p w14:paraId="072453B6" w14:textId="77777777" w:rsidR="006C2579" w:rsidRPr="00E02C8A" w:rsidRDefault="006C2579" w:rsidP="006C2579">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E02C8A">
              <w:rPr>
                <w:rFonts w:ascii="Times New Roman" w:eastAsia="Times New Roman" w:hAnsi="Times New Roman" w:cs="Times New Roman"/>
                <w:i/>
                <w:iCs/>
                <w:color w:val="000000"/>
                <w:kern w:val="0"/>
                <w:szCs w:val="24"/>
                <w:lang w:eastAsia="en-IN"/>
                <w14:ligatures w14:val="none"/>
              </w:rPr>
              <w:t>1.3</w:t>
            </w:r>
          </w:p>
        </w:tc>
        <w:tc>
          <w:tcPr>
            <w:tcW w:w="1219" w:type="dxa"/>
            <w:vAlign w:val="center"/>
            <w:hideMark/>
          </w:tcPr>
          <w:p w14:paraId="17AC2996" w14:textId="77777777" w:rsidR="006C2579" w:rsidRPr="00E02C8A" w:rsidRDefault="006C2579" w:rsidP="006C2579">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E02C8A">
              <w:rPr>
                <w:rFonts w:ascii="Times New Roman" w:eastAsia="Times New Roman" w:hAnsi="Times New Roman" w:cs="Times New Roman"/>
                <w:i/>
                <w:iCs/>
                <w:color w:val="000000"/>
                <w:kern w:val="0"/>
                <w:szCs w:val="24"/>
                <w:lang w:eastAsia="en-IN"/>
                <w14:ligatures w14:val="none"/>
              </w:rPr>
              <w:t>0.8</w:t>
            </w:r>
          </w:p>
        </w:tc>
        <w:tc>
          <w:tcPr>
            <w:tcW w:w="2269" w:type="dxa"/>
            <w:shd w:val="clear" w:color="000000" w:fill="FFFFFF"/>
            <w:vAlign w:val="center"/>
            <w:hideMark/>
          </w:tcPr>
          <w:p w14:paraId="42C4295F"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i/>
                <w:iCs/>
                <w:color w:val="1A1C1E"/>
                <w:kern w:val="0"/>
                <w:szCs w:val="24"/>
                <w:lang w:eastAsia="en-IN"/>
                <w14:ligatures w14:val="none"/>
              </w:rPr>
            </w:pPr>
            <w:r w:rsidRPr="00E02C8A">
              <w:rPr>
                <w:rFonts w:ascii="Times New Roman" w:eastAsia="Times New Roman" w:hAnsi="Times New Roman" w:cs="Times New Roman"/>
                <w:i/>
                <w:iCs/>
                <w:color w:val="1A1C1E"/>
                <w:kern w:val="0"/>
                <w:szCs w:val="24"/>
                <w:lang w:eastAsia="en-IN"/>
                <w14:ligatures w14:val="none"/>
              </w:rPr>
              <w:t>16.7</w:t>
            </w:r>
          </w:p>
        </w:tc>
        <w:tc>
          <w:tcPr>
            <w:tcW w:w="1295" w:type="dxa"/>
            <w:shd w:val="clear" w:color="000000" w:fill="FFFFFF"/>
            <w:vAlign w:val="center"/>
            <w:hideMark/>
          </w:tcPr>
          <w:p w14:paraId="7A73FF18"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i/>
                <w:iCs/>
                <w:color w:val="1A1C1E"/>
                <w:kern w:val="0"/>
                <w:szCs w:val="24"/>
                <w:lang w:eastAsia="en-IN"/>
                <w14:ligatures w14:val="none"/>
              </w:rPr>
            </w:pPr>
            <w:r w:rsidRPr="00E02C8A">
              <w:rPr>
                <w:rFonts w:ascii="Times New Roman" w:eastAsia="Times New Roman" w:hAnsi="Times New Roman" w:cs="Times New Roman"/>
                <w:i/>
                <w:iCs/>
                <w:color w:val="1A1C1E"/>
                <w:kern w:val="0"/>
                <w:szCs w:val="24"/>
                <w:lang w:eastAsia="en-IN"/>
                <w14:ligatures w14:val="none"/>
              </w:rPr>
              <w:t>28.3</w:t>
            </w:r>
          </w:p>
        </w:tc>
        <w:tc>
          <w:tcPr>
            <w:tcW w:w="1985" w:type="dxa"/>
            <w:shd w:val="clear" w:color="000000" w:fill="FFFFFF"/>
            <w:vAlign w:val="center"/>
            <w:hideMark/>
          </w:tcPr>
          <w:p w14:paraId="4F0E36E6"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i/>
                <w:iCs/>
                <w:color w:val="1A1C1E"/>
                <w:kern w:val="0"/>
                <w:szCs w:val="24"/>
                <w:lang w:eastAsia="en-IN"/>
                <w14:ligatures w14:val="none"/>
              </w:rPr>
            </w:pPr>
            <w:r w:rsidRPr="00E02C8A">
              <w:rPr>
                <w:rFonts w:ascii="Times New Roman" w:eastAsia="Times New Roman" w:hAnsi="Times New Roman" w:cs="Times New Roman"/>
                <w:i/>
                <w:iCs/>
                <w:color w:val="1A1C1E"/>
                <w:kern w:val="0"/>
                <w:szCs w:val="24"/>
                <w:lang w:eastAsia="en-IN"/>
                <w14:ligatures w14:val="none"/>
              </w:rPr>
              <w:t>1.3</w:t>
            </w:r>
          </w:p>
        </w:tc>
        <w:tc>
          <w:tcPr>
            <w:tcW w:w="1070" w:type="dxa"/>
            <w:shd w:val="clear" w:color="000000" w:fill="FFFFFF"/>
            <w:vAlign w:val="center"/>
            <w:hideMark/>
          </w:tcPr>
          <w:p w14:paraId="6F5D0712"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i/>
                <w:iCs/>
                <w:color w:val="1A1C1E"/>
                <w:kern w:val="0"/>
                <w:szCs w:val="24"/>
                <w:lang w:eastAsia="en-IN"/>
                <w14:ligatures w14:val="none"/>
              </w:rPr>
            </w:pPr>
            <w:r w:rsidRPr="00E02C8A">
              <w:rPr>
                <w:rFonts w:ascii="Times New Roman" w:eastAsia="Times New Roman" w:hAnsi="Times New Roman" w:cs="Times New Roman"/>
                <w:i/>
                <w:iCs/>
                <w:color w:val="1A1C1E"/>
                <w:kern w:val="0"/>
                <w:szCs w:val="24"/>
                <w:lang w:eastAsia="en-IN"/>
                <w14:ligatures w14:val="none"/>
              </w:rPr>
              <w:t>29.5</w:t>
            </w:r>
          </w:p>
        </w:tc>
        <w:tc>
          <w:tcPr>
            <w:tcW w:w="1182" w:type="dxa"/>
            <w:shd w:val="clear" w:color="000000" w:fill="FFFFFF"/>
            <w:vAlign w:val="center"/>
            <w:hideMark/>
          </w:tcPr>
          <w:p w14:paraId="5EE51E7F"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i/>
                <w:iCs/>
                <w:color w:val="1A1C1E"/>
                <w:kern w:val="0"/>
                <w:szCs w:val="24"/>
                <w:lang w:eastAsia="en-IN"/>
                <w14:ligatures w14:val="none"/>
              </w:rPr>
            </w:pPr>
            <w:r w:rsidRPr="00E02C8A">
              <w:rPr>
                <w:rFonts w:ascii="Times New Roman" w:eastAsia="Times New Roman" w:hAnsi="Times New Roman" w:cs="Times New Roman"/>
                <w:i/>
                <w:iCs/>
                <w:color w:val="1A1C1E"/>
                <w:kern w:val="0"/>
                <w:szCs w:val="24"/>
                <w:lang w:eastAsia="en-IN"/>
                <w14:ligatures w14:val="none"/>
              </w:rPr>
              <w:t>14.1</w:t>
            </w:r>
          </w:p>
        </w:tc>
        <w:tc>
          <w:tcPr>
            <w:tcW w:w="1379" w:type="dxa"/>
            <w:shd w:val="clear" w:color="000000" w:fill="FFFFFF"/>
            <w:vAlign w:val="center"/>
            <w:hideMark/>
          </w:tcPr>
          <w:p w14:paraId="16CFC9C7" w14:textId="128151B3" w:rsidR="006C2579" w:rsidRPr="00E02C8A" w:rsidRDefault="006C2579" w:rsidP="006C2579">
            <w:pPr>
              <w:spacing w:after="0" w:line="240" w:lineRule="auto"/>
              <w:ind w:firstLineChars="100" w:firstLine="240"/>
              <w:jc w:val="center"/>
              <w:rPr>
                <w:rFonts w:ascii="Times New Roman" w:eastAsia="Times New Roman" w:hAnsi="Times New Roman" w:cs="Times New Roman"/>
                <w:i/>
                <w:iCs/>
                <w:color w:val="1A1C1E"/>
                <w:kern w:val="0"/>
                <w:szCs w:val="24"/>
                <w:lang w:eastAsia="en-IN"/>
                <w14:ligatures w14:val="none"/>
              </w:rPr>
            </w:pPr>
          </w:p>
        </w:tc>
      </w:tr>
      <w:tr w:rsidR="006C2579" w:rsidRPr="00E02C8A" w14:paraId="2E0E708B" w14:textId="77777777" w:rsidTr="006C2579">
        <w:trPr>
          <w:trHeight w:val="20"/>
          <w:jc w:val="center"/>
        </w:trPr>
        <w:tc>
          <w:tcPr>
            <w:tcW w:w="1603" w:type="dxa"/>
            <w:vAlign w:val="center"/>
            <w:hideMark/>
          </w:tcPr>
          <w:p w14:paraId="11BC0F8B" w14:textId="77777777" w:rsidR="006C2579" w:rsidRPr="00E02C8A" w:rsidRDefault="006C2579" w:rsidP="006C2579">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Bihar</w:t>
            </w:r>
          </w:p>
        </w:tc>
        <w:tc>
          <w:tcPr>
            <w:tcW w:w="1450" w:type="dxa"/>
            <w:vAlign w:val="center"/>
            <w:hideMark/>
          </w:tcPr>
          <w:p w14:paraId="76ACF859" w14:textId="77777777" w:rsidR="006C2579" w:rsidRPr="00E02C8A" w:rsidRDefault="006C2579" w:rsidP="006C2579">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189</w:t>
            </w:r>
          </w:p>
        </w:tc>
        <w:tc>
          <w:tcPr>
            <w:tcW w:w="1420" w:type="dxa"/>
            <w:vAlign w:val="center"/>
            <w:hideMark/>
          </w:tcPr>
          <w:p w14:paraId="64C058A7" w14:textId="77777777" w:rsidR="006C2579" w:rsidRPr="00E02C8A" w:rsidRDefault="006C2579" w:rsidP="006C2579">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168</w:t>
            </w:r>
          </w:p>
        </w:tc>
        <w:tc>
          <w:tcPr>
            <w:tcW w:w="1219" w:type="dxa"/>
            <w:vAlign w:val="center"/>
            <w:hideMark/>
          </w:tcPr>
          <w:p w14:paraId="4215F548" w14:textId="77777777" w:rsidR="006C2579" w:rsidRPr="00E02C8A" w:rsidRDefault="006C2579" w:rsidP="006C2579">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-4</w:t>
            </w:r>
          </w:p>
        </w:tc>
        <w:tc>
          <w:tcPr>
            <w:tcW w:w="2269" w:type="dxa"/>
            <w:shd w:val="clear" w:color="000000" w:fill="FFFFFF"/>
            <w:vAlign w:val="center"/>
            <w:hideMark/>
          </w:tcPr>
          <w:p w14:paraId="5F6F933C"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E02C8A">
              <w:rPr>
                <w:rFonts w:ascii="Times New Roman" w:eastAsia="Times New Roman" w:hAnsi="Times New Roman" w:cs="Times New Roman"/>
                <w:color w:val="1A1C1E"/>
                <w:kern w:val="0"/>
                <w:szCs w:val="24"/>
                <w:lang w:eastAsia="en-IN"/>
                <w14:ligatures w14:val="none"/>
              </w:rPr>
              <w:t>757</w:t>
            </w:r>
          </w:p>
        </w:tc>
        <w:tc>
          <w:tcPr>
            <w:tcW w:w="1295" w:type="dxa"/>
            <w:shd w:val="clear" w:color="000000" w:fill="FFFFFF"/>
            <w:vAlign w:val="center"/>
            <w:hideMark/>
          </w:tcPr>
          <w:p w14:paraId="56705AF5"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E02C8A">
              <w:rPr>
                <w:rFonts w:ascii="Times New Roman" w:eastAsia="Times New Roman" w:hAnsi="Times New Roman" w:cs="Times New Roman"/>
                <w:color w:val="1A1C1E"/>
                <w:kern w:val="0"/>
                <w:szCs w:val="24"/>
                <w:lang w:eastAsia="en-IN"/>
                <w14:ligatures w14:val="none"/>
              </w:rPr>
              <w:t>841</w:t>
            </w:r>
          </w:p>
        </w:tc>
        <w:tc>
          <w:tcPr>
            <w:tcW w:w="1985" w:type="dxa"/>
            <w:shd w:val="clear" w:color="000000" w:fill="FFFFFF"/>
            <w:vAlign w:val="center"/>
            <w:hideMark/>
          </w:tcPr>
          <w:p w14:paraId="2F5E5401"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E02C8A">
              <w:rPr>
                <w:rFonts w:ascii="Times New Roman" w:eastAsia="Times New Roman" w:hAnsi="Times New Roman" w:cs="Times New Roman"/>
                <w:color w:val="1A1C1E"/>
                <w:kern w:val="0"/>
                <w:szCs w:val="24"/>
                <w:lang w:eastAsia="en-IN"/>
                <w14:ligatures w14:val="none"/>
              </w:rPr>
              <w:t>72</w:t>
            </w:r>
          </w:p>
        </w:tc>
        <w:tc>
          <w:tcPr>
            <w:tcW w:w="1070" w:type="dxa"/>
            <w:shd w:val="clear" w:color="000000" w:fill="FFFFFF"/>
            <w:vAlign w:val="center"/>
            <w:hideMark/>
          </w:tcPr>
          <w:p w14:paraId="50C96C86"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E02C8A">
              <w:rPr>
                <w:rFonts w:ascii="Times New Roman" w:eastAsia="Times New Roman" w:hAnsi="Times New Roman" w:cs="Times New Roman"/>
                <w:color w:val="1A1C1E"/>
                <w:kern w:val="0"/>
                <w:szCs w:val="24"/>
                <w:lang w:eastAsia="en-IN"/>
                <w14:ligatures w14:val="none"/>
              </w:rPr>
              <w:t>639</w:t>
            </w:r>
          </w:p>
        </w:tc>
        <w:tc>
          <w:tcPr>
            <w:tcW w:w="1182" w:type="dxa"/>
            <w:shd w:val="clear" w:color="000000" w:fill="FFFFFF"/>
            <w:vAlign w:val="center"/>
            <w:hideMark/>
          </w:tcPr>
          <w:p w14:paraId="5A55396E"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E02C8A">
              <w:rPr>
                <w:rFonts w:ascii="Times New Roman" w:eastAsia="Times New Roman" w:hAnsi="Times New Roman" w:cs="Times New Roman"/>
                <w:color w:val="1A1C1E"/>
                <w:kern w:val="0"/>
                <w:szCs w:val="24"/>
                <w:lang w:eastAsia="en-IN"/>
                <w14:ligatures w14:val="none"/>
              </w:rPr>
              <w:t>318</w:t>
            </w:r>
          </w:p>
        </w:tc>
        <w:tc>
          <w:tcPr>
            <w:tcW w:w="1379" w:type="dxa"/>
            <w:shd w:val="clear" w:color="000000" w:fill="FFFFFF"/>
            <w:vAlign w:val="center"/>
            <w:hideMark/>
          </w:tcPr>
          <w:p w14:paraId="12890841"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E02C8A">
              <w:rPr>
                <w:rFonts w:ascii="Times New Roman" w:eastAsia="Times New Roman" w:hAnsi="Times New Roman" w:cs="Times New Roman"/>
                <w:color w:val="1A1C1E"/>
                <w:kern w:val="0"/>
                <w:szCs w:val="24"/>
                <w:lang w:eastAsia="en-IN"/>
                <w14:ligatures w14:val="none"/>
              </w:rPr>
              <w:t>2980</w:t>
            </w:r>
          </w:p>
        </w:tc>
      </w:tr>
      <w:tr w:rsidR="006C2579" w:rsidRPr="00E02C8A" w14:paraId="5DA63E16" w14:textId="77777777" w:rsidTr="006C2579">
        <w:trPr>
          <w:trHeight w:val="20"/>
          <w:jc w:val="center"/>
        </w:trPr>
        <w:tc>
          <w:tcPr>
            <w:tcW w:w="1603" w:type="dxa"/>
            <w:vAlign w:val="center"/>
            <w:hideMark/>
          </w:tcPr>
          <w:p w14:paraId="7B00508C" w14:textId="0627FF0C" w:rsidR="006C2579" w:rsidRPr="00E02C8A" w:rsidRDefault="006C2579" w:rsidP="006C2579">
            <w:pPr>
              <w:spacing w:after="0" w:line="240" w:lineRule="auto"/>
              <w:jc w:val="center"/>
              <w:rPr>
                <w:rFonts w:ascii="Times New Roman" w:eastAsia="Times New Roman" w:hAnsi="Times New Roman" w:cs="Times New Roman"/>
                <w:i/>
                <w:iCs/>
                <w:color w:val="000000"/>
                <w:kern w:val="0"/>
                <w:szCs w:val="24"/>
                <w:lang w:eastAsia="en-IN"/>
                <w14:ligatures w14:val="none"/>
              </w:rPr>
            </w:pPr>
          </w:p>
        </w:tc>
        <w:tc>
          <w:tcPr>
            <w:tcW w:w="1450" w:type="dxa"/>
            <w:vAlign w:val="center"/>
            <w:hideMark/>
          </w:tcPr>
          <w:p w14:paraId="561EF2B5" w14:textId="77777777" w:rsidR="006C2579" w:rsidRPr="00E02C8A" w:rsidRDefault="006C2579" w:rsidP="006C2579">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E02C8A">
              <w:rPr>
                <w:rFonts w:ascii="Times New Roman" w:eastAsia="Times New Roman" w:hAnsi="Times New Roman" w:cs="Times New Roman"/>
                <w:i/>
                <w:iCs/>
                <w:color w:val="000000"/>
                <w:kern w:val="0"/>
                <w:szCs w:val="24"/>
                <w:lang w:eastAsia="en-IN"/>
                <w14:ligatures w14:val="none"/>
              </w:rPr>
              <w:t>6.3</w:t>
            </w:r>
          </w:p>
        </w:tc>
        <w:tc>
          <w:tcPr>
            <w:tcW w:w="1420" w:type="dxa"/>
            <w:vAlign w:val="center"/>
            <w:hideMark/>
          </w:tcPr>
          <w:p w14:paraId="7C5200A9" w14:textId="77777777" w:rsidR="006C2579" w:rsidRPr="00E02C8A" w:rsidRDefault="006C2579" w:rsidP="006C2579">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E02C8A">
              <w:rPr>
                <w:rFonts w:ascii="Times New Roman" w:eastAsia="Times New Roman" w:hAnsi="Times New Roman" w:cs="Times New Roman"/>
                <w:i/>
                <w:iCs/>
                <w:color w:val="000000"/>
                <w:kern w:val="0"/>
                <w:szCs w:val="24"/>
                <w:lang w:eastAsia="en-IN"/>
                <w14:ligatures w14:val="none"/>
              </w:rPr>
              <w:t>5.6</w:t>
            </w:r>
          </w:p>
        </w:tc>
        <w:tc>
          <w:tcPr>
            <w:tcW w:w="1219" w:type="dxa"/>
            <w:vAlign w:val="center"/>
            <w:hideMark/>
          </w:tcPr>
          <w:p w14:paraId="70F05DB6" w14:textId="77777777" w:rsidR="006C2579" w:rsidRPr="00E02C8A" w:rsidRDefault="006C2579" w:rsidP="006C2579">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E02C8A">
              <w:rPr>
                <w:rFonts w:ascii="Times New Roman" w:eastAsia="Times New Roman" w:hAnsi="Times New Roman" w:cs="Times New Roman"/>
                <w:i/>
                <w:iCs/>
                <w:color w:val="000000"/>
                <w:kern w:val="0"/>
                <w:szCs w:val="24"/>
                <w:lang w:eastAsia="en-IN"/>
                <w14:ligatures w14:val="none"/>
              </w:rPr>
              <w:t>(-)</w:t>
            </w:r>
          </w:p>
        </w:tc>
        <w:tc>
          <w:tcPr>
            <w:tcW w:w="2269" w:type="dxa"/>
            <w:shd w:val="clear" w:color="000000" w:fill="FFFFFF"/>
            <w:vAlign w:val="center"/>
            <w:hideMark/>
          </w:tcPr>
          <w:p w14:paraId="5047F4F2"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i/>
                <w:iCs/>
                <w:color w:val="1A1C1E"/>
                <w:kern w:val="0"/>
                <w:szCs w:val="24"/>
                <w:lang w:eastAsia="en-IN"/>
                <w14:ligatures w14:val="none"/>
              </w:rPr>
            </w:pPr>
            <w:r w:rsidRPr="00E02C8A">
              <w:rPr>
                <w:rFonts w:ascii="Times New Roman" w:eastAsia="Times New Roman" w:hAnsi="Times New Roman" w:cs="Times New Roman"/>
                <w:i/>
                <w:iCs/>
                <w:color w:val="1A1C1E"/>
                <w:kern w:val="0"/>
                <w:szCs w:val="24"/>
                <w:lang w:eastAsia="en-IN"/>
                <w14:ligatures w14:val="none"/>
              </w:rPr>
              <w:t>25.4</w:t>
            </w:r>
          </w:p>
        </w:tc>
        <w:tc>
          <w:tcPr>
            <w:tcW w:w="1295" w:type="dxa"/>
            <w:shd w:val="clear" w:color="000000" w:fill="FFFFFF"/>
            <w:vAlign w:val="center"/>
            <w:hideMark/>
          </w:tcPr>
          <w:p w14:paraId="738CBC0E"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i/>
                <w:iCs/>
                <w:color w:val="1A1C1E"/>
                <w:kern w:val="0"/>
                <w:szCs w:val="24"/>
                <w:lang w:eastAsia="en-IN"/>
                <w14:ligatures w14:val="none"/>
              </w:rPr>
            </w:pPr>
            <w:r w:rsidRPr="00E02C8A">
              <w:rPr>
                <w:rFonts w:ascii="Times New Roman" w:eastAsia="Times New Roman" w:hAnsi="Times New Roman" w:cs="Times New Roman"/>
                <w:i/>
                <w:iCs/>
                <w:color w:val="1A1C1E"/>
                <w:kern w:val="0"/>
                <w:szCs w:val="24"/>
                <w:lang w:eastAsia="en-IN"/>
                <w14:ligatures w14:val="none"/>
              </w:rPr>
              <w:t>28.2</w:t>
            </w:r>
          </w:p>
        </w:tc>
        <w:tc>
          <w:tcPr>
            <w:tcW w:w="1985" w:type="dxa"/>
            <w:shd w:val="clear" w:color="000000" w:fill="FFFFFF"/>
            <w:vAlign w:val="center"/>
            <w:hideMark/>
          </w:tcPr>
          <w:p w14:paraId="7917649C"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i/>
                <w:iCs/>
                <w:color w:val="1A1C1E"/>
                <w:kern w:val="0"/>
                <w:szCs w:val="24"/>
                <w:lang w:eastAsia="en-IN"/>
                <w14:ligatures w14:val="none"/>
              </w:rPr>
            </w:pPr>
            <w:r w:rsidRPr="00E02C8A">
              <w:rPr>
                <w:rFonts w:ascii="Times New Roman" w:eastAsia="Times New Roman" w:hAnsi="Times New Roman" w:cs="Times New Roman"/>
                <w:i/>
                <w:iCs/>
                <w:color w:val="1A1C1E"/>
                <w:kern w:val="0"/>
                <w:szCs w:val="24"/>
                <w:lang w:eastAsia="en-IN"/>
                <w14:ligatures w14:val="none"/>
              </w:rPr>
              <w:t>2.4</w:t>
            </w:r>
          </w:p>
        </w:tc>
        <w:tc>
          <w:tcPr>
            <w:tcW w:w="1070" w:type="dxa"/>
            <w:shd w:val="clear" w:color="000000" w:fill="FFFFFF"/>
            <w:vAlign w:val="center"/>
            <w:hideMark/>
          </w:tcPr>
          <w:p w14:paraId="117BBADF"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i/>
                <w:iCs/>
                <w:color w:val="1A1C1E"/>
                <w:kern w:val="0"/>
                <w:szCs w:val="24"/>
                <w:lang w:eastAsia="en-IN"/>
                <w14:ligatures w14:val="none"/>
              </w:rPr>
            </w:pPr>
            <w:r w:rsidRPr="00E02C8A">
              <w:rPr>
                <w:rFonts w:ascii="Times New Roman" w:eastAsia="Times New Roman" w:hAnsi="Times New Roman" w:cs="Times New Roman"/>
                <w:i/>
                <w:iCs/>
                <w:color w:val="1A1C1E"/>
                <w:kern w:val="0"/>
                <w:szCs w:val="24"/>
                <w:lang w:eastAsia="en-IN"/>
                <w14:ligatures w14:val="none"/>
              </w:rPr>
              <w:t>21.4</w:t>
            </w:r>
          </w:p>
        </w:tc>
        <w:tc>
          <w:tcPr>
            <w:tcW w:w="1182" w:type="dxa"/>
            <w:shd w:val="clear" w:color="000000" w:fill="FFFFFF"/>
            <w:vAlign w:val="center"/>
            <w:hideMark/>
          </w:tcPr>
          <w:p w14:paraId="52BCBCC6"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i/>
                <w:iCs/>
                <w:color w:val="1A1C1E"/>
                <w:kern w:val="0"/>
                <w:szCs w:val="24"/>
                <w:lang w:eastAsia="en-IN"/>
                <w14:ligatures w14:val="none"/>
              </w:rPr>
            </w:pPr>
            <w:r w:rsidRPr="00E02C8A">
              <w:rPr>
                <w:rFonts w:ascii="Times New Roman" w:eastAsia="Times New Roman" w:hAnsi="Times New Roman" w:cs="Times New Roman"/>
                <w:i/>
                <w:iCs/>
                <w:color w:val="1A1C1E"/>
                <w:kern w:val="0"/>
                <w:szCs w:val="24"/>
                <w:lang w:eastAsia="en-IN"/>
                <w14:ligatures w14:val="none"/>
              </w:rPr>
              <w:t>10.7</w:t>
            </w:r>
          </w:p>
        </w:tc>
        <w:tc>
          <w:tcPr>
            <w:tcW w:w="1379" w:type="dxa"/>
            <w:shd w:val="clear" w:color="000000" w:fill="FFFFFF"/>
            <w:vAlign w:val="center"/>
            <w:hideMark/>
          </w:tcPr>
          <w:p w14:paraId="2DA2E7E0" w14:textId="4770199E" w:rsidR="006C2579" w:rsidRPr="00E02C8A" w:rsidRDefault="006C2579" w:rsidP="006C2579">
            <w:pPr>
              <w:spacing w:after="0" w:line="240" w:lineRule="auto"/>
              <w:ind w:firstLineChars="100" w:firstLine="240"/>
              <w:jc w:val="center"/>
              <w:rPr>
                <w:rFonts w:ascii="Times New Roman" w:eastAsia="Times New Roman" w:hAnsi="Times New Roman" w:cs="Times New Roman"/>
                <w:i/>
                <w:iCs/>
                <w:color w:val="1A1C1E"/>
                <w:kern w:val="0"/>
                <w:szCs w:val="24"/>
                <w:lang w:eastAsia="en-IN"/>
                <w14:ligatures w14:val="none"/>
              </w:rPr>
            </w:pPr>
          </w:p>
        </w:tc>
      </w:tr>
      <w:tr w:rsidR="006C2579" w:rsidRPr="00E02C8A" w14:paraId="09152625" w14:textId="77777777" w:rsidTr="006C2579">
        <w:trPr>
          <w:trHeight w:val="20"/>
          <w:jc w:val="center"/>
        </w:trPr>
        <w:tc>
          <w:tcPr>
            <w:tcW w:w="1603" w:type="dxa"/>
            <w:vAlign w:val="center"/>
            <w:hideMark/>
          </w:tcPr>
          <w:p w14:paraId="4DA8B74B" w14:textId="77777777" w:rsidR="006C2579" w:rsidRPr="00E02C8A" w:rsidRDefault="006C2579" w:rsidP="006C2579">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Bombay</w:t>
            </w:r>
          </w:p>
        </w:tc>
        <w:tc>
          <w:tcPr>
            <w:tcW w:w="1450" w:type="dxa"/>
            <w:vAlign w:val="center"/>
            <w:hideMark/>
          </w:tcPr>
          <w:p w14:paraId="5C8CA843" w14:textId="77777777" w:rsidR="006C2579" w:rsidRPr="00E02C8A" w:rsidRDefault="006C2579" w:rsidP="006C2579">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701</w:t>
            </w:r>
          </w:p>
        </w:tc>
        <w:tc>
          <w:tcPr>
            <w:tcW w:w="1420" w:type="dxa"/>
            <w:vAlign w:val="center"/>
            <w:hideMark/>
          </w:tcPr>
          <w:p w14:paraId="1B200163" w14:textId="77777777" w:rsidR="006C2579" w:rsidRPr="00E02C8A" w:rsidRDefault="006C2579" w:rsidP="006C2579">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276</w:t>
            </w:r>
          </w:p>
        </w:tc>
        <w:tc>
          <w:tcPr>
            <w:tcW w:w="1219" w:type="dxa"/>
            <w:vAlign w:val="center"/>
            <w:hideMark/>
          </w:tcPr>
          <w:p w14:paraId="35E1EDC9" w14:textId="77777777" w:rsidR="006C2579" w:rsidRPr="00E02C8A" w:rsidRDefault="006C2579" w:rsidP="006C2579">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167</w:t>
            </w:r>
          </w:p>
        </w:tc>
        <w:tc>
          <w:tcPr>
            <w:tcW w:w="2269" w:type="dxa"/>
            <w:shd w:val="clear" w:color="000000" w:fill="FFFFFF"/>
            <w:vAlign w:val="center"/>
            <w:hideMark/>
          </w:tcPr>
          <w:p w14:paraId="376C020D"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E02C8A">
              <w:rPr>
                <w:rFonts w:ascii="Times New Roman" w:eastAsia="Times New Roman" w:hAnsi="Times New Roman" w:cs="Times New Roman"/>
                <w:color w:val="1A1C1E"/>
                <w:kern w:val="0"/>
                <w:szCs w:val="24"/>
                <w:lang w:eastAsia="en-IN"/>
                <w14:ligatures w14:val="none"/>
              </w:rPr>
              <w:t>1637</w:t>
            </w:r>
          </w:p>
        </w:tc>
        <w:tc>
          <w:tcPr>
            <w:tcW w:w="1295" w:type="dxa"/>
            <w:shd w:val="clear" w:color="000000" w:fill="FFFFFF"/>
            <w:vAlign w:val="center"/>
            <w:hideMark/>
          </w:tcPr>
          <w:p w14:paraId="459771E2"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E02C8A">
              <w:rPr>
                <w:rFonts w:ascii="Times New Roman" w:eastAsia="Times New Roman" w:hAnsi="Times New Roman" w:cs="Times New Roman"/>
                <w:color w:val="1A1C1E"/>
                <w:kern w:val="0"/>
                <w:szCs w:val="24"/>
                <w:lang w:eastAsia="en-IN"/>
                <w14:ligatures w14:val="none"/>
              </w:rPr>
              <w:t>2151</w:t>
            </w:r>
          </w:p>
        </w:tc>
        <w:tc>
          <w:tcPr>
            <w:tcW w:w="1985" w:type="dxa"/>
            <w:shd w:val="clear" w:color="000000" w:fill="FFFFFF"/>
            <w:vAlign w:val="center"/>
            <w:hideMark/>
          </w:tcPr>
          <w:p w14:paraId="5DF8B7AD"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E02C8A">
              <w:rPr>
                <w:rFonts w:ascii="Times New Roman" w:eastAsia="Times New Roman" w:hAnsi="Times New Roman" w:cs="Times New Roman"/>
                <w:color w:val="1A1C1E"/>
                <w:kern w:val="0"/>
                <w:szCs w:val="24"/>
                <w:lang w:eastAsia="en-IN"/>
                <w14:ligatures w14:val="none"/>
              </w:rPr>
              <w:t>412</w:t>
            </w:r>
          </w:p>
        </w:tc>
        <w:tc>
          <w:tcPr>
            <w:tcW w:w="1070" w:type="dxa"/>
            <w:shd w:val="clear" w:color="000000" w:fill="FFFFFF"/>
            <w:vAlign w:val="center"/>
            <w:hideMark/>
          </w:tcPr>
          <w:p w14:paraId="29AB5A1D"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E02C8A">
              <w:rPr>
                <w:rFonts w:ascii="Times New Roman" w:eastAsia="Times New Roman" w:hAnsi="Times New Roman" w:cs="Times New Roman"/>
                <w:color w:val="1A1C1E"/>
                <w:kern w:val="0"/>
                <w:szCs w:val="24"/>
                <w:lang w:eastAsia="en-IN"/>
                <w14:ligatures w14:val="none"/>
              </w:rPr>
              <w:t>749</w:t>
            </w:r>
          </w:p>
        </w:tc>
        <w:tc>
          <w:tcPr>
            <w:tcW w:w="1182" w:type="dxa"/>
            <w:shd w:val="clear" w:color="000000" w:fill="FFFFFF"/>
            <w:vAlign w:val="center"/>
            <w:hideMark/>
          </w:tcPr>
          <w:p w14:paraId="2DACE473"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E02C8A">
              <w:rPr>
                <w:rFonts w:ascii="Times New Roman" w:eastAsia="Times New Roman" w:hAnsi="Times New Roman" w:cs="Times New Roman"/>
                <w:color w:val="1A1C1E"/>
                <w:kern w:val="0"/>
                <w:szCs w:val="24"/>
                <w:lang w:eastAsia="en-IN"/>
                <w14:ligatures w14:val="none"/>
              </w:rPr>
              <w:t>658</w:t>
            </w:r>
          </w:p>
        </w:tc>
        <w:tc>
          <w:tcPr>
            <w:tcW w:w="1379" w:type="dxa"/>
            <w:shd w:val="clear" w:color="000000" w:fill="FFFFFF"/>
            <w:vAlign w:val="center"/>
            <w:hideMark/>
          </w:tcPr>
          <w:p w14:paraId="5CC4E86B"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E02C8A">
              <w:rPr>
                <w:rFonts w:ascii="Times New Roman" w:eastAsia="Times New Roman" w:hAnsi="Times New Roman" w:cs="Times New Roman"/>
                <w:color w:val="1A1C1E"/>
                <w:kern w:val="0"/>
                <w:szCs w:val="24"/>
                <w:lang w:eastAsia="en-IN"/>
                <w14:ligatures w14:val="none"/>
              </w:rPr>
              <w:t>6751(a)</w:t>
            </w:r>
          </w:p>
        </w:tc>
      </w:tr>
      <w:tr w:rsidR="006C2579" w:rsidRPr="00E02C8A" w14:paraId="1AF4019D" w14:textId="77777777" w:rsidTr="006C2579">
        <w:trPr>
          <w:trHeight w:val="20"/>
          <w:jc w:val="center"/>
        </w:trPr>
        <w:tc>
          <w:tcPr>
            <w:tcW w:w="1603" w:type="dxa"/>
            <w:vAlign w:val="center"/>
            <w:hideMark/>
          </w:tcPr>
          <w:p w14:paraId="0B6501AE" w14:textId="3293AD52" w:rsidR="006C2579" w:rsidRPr="00E02C8A" w:rsidRDefault="006C2579" w:rsidP="006C2579">
            <w:pPr>
              <w:spacing w:after="0" w:line="240" w:lineRule="auto"/>
              <w:jc w:val="center"/>
              <w:rPr>
                <w:rFonts w:ascii="Times New Roman" w:eastAsia="Times New Roman" w:hAnsi="Times New Roman" w:cs="Times New Roman"/>
                <w:i/>
                <w:iCs/>
                <w:color w:val="000000"/>
                <w:kern w:val="0"/>
                <w:szCs w:val="24"/>
                <w:lang w:eastAsia="en-IN"/>
                <w14:ligatures w14:val="none"/>
              </w:rPr>
            </w:pPr>
          </w:p>
        </w:tc>
        <w:tc>
          <w:tcPr>
            <w:tcW w:w="1450" w:type="dxa"/>
            <w:vAlign w:val="center"/>
            <w:hideMark/>
          </w:tcPr>
          <w:p w14:paraId="3CFE3871" w14:textId="77777777" w:rsidR="006C2579" w:rsidRPr="00E02C8A" w:rsidRDefault="006C2579" w:rsidP="006C2579">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E02C8A">
              <w:rPr>
                <w:rFonts w:ascii="Times New Roman" w:eastAsia="Times New Roman" w:hAnsi="Times New Roman" w:cs="Times New Roman"/>
                <w:i/>
                <w:iCs/>
                <w:color w:val="000000"/>
                <w:kern w:val="0"/>
                <w:szCs w:val="24"/>
                <w:lang w:eastAsia="en-IN"/>
                <w14:ligatures w14:val="none"/>
              </w:rPr>
              <w:t>10.4</w:t>
            </w:r>
          </w:p>
        </w:tc>
        <w:tc>
          <w:tcPr>
            <w:tcW w:w="1420" w:type="dxa"/>
            <w:vAlign w:val="center"/>
            <w:hideMark/>
          </w:tcPr>
          <w:p w14:paraId="7FC824C8" w14:textId="77777777" w:rsidR="006C2579" w:rsidRPr="00E02C8A" w:rsidRDefault="006C2579" w:rsidP="006C2579">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E02C8A">
              <w:rPr>
                <w:rFonts w:ascii="Times New Roman" w:eastAsia="Times New Roman" w:hAnsi="Times New Roman" w:cs="Times New Roman"/>
                <w:i/>
                <w:iCs/>
                <w:color w:val="000000"/>
                <w:kern w:val="0"/>
                <w:szCs w:val="24"/>
                <w:lang w:eastAsia="en-IN"/>
                <w14:ligatures w14:val="none"/>
              </w:rPr>
              <w:t>4.1</w:t>
            </w:r>
          </w:p>
        </w:tc>
        <w:tc>
          <w:tcPr>
            <w:tcW w:w="1219" w:type="dxa"/>
            <w:vAlign w:val="center"/>
            <w:hideMark/>
          </w:tcPr>
          <w:p w14:paraId="3C3815C7" w14:textId="77777777" w:rsidR="006C2579" w:rsidRPr="00E02C8A" w:rsidRDefault="006C2579" w:rsidP="006C2579">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E02C8A">
              <w:rPr>
                <w:rFonts w:ascii="Times New Roman" w:eastAsia="Times New Roman" w:hAnsi="Times New Roman" w:cs="Times New Roman"/>
                <w:i/>
                <w:iCs/>
                <w:color w:val="000000"/>
                <w:kern w:val="0"/>
                <w:szCs w:val="24"/>
                <w:lang w:eastAsia="en-IN"/>
                <w14:ligatures w14:val="none"/>
              </w:rPr>
              <w:t>2.5</w:t>
            </w:r>
          </w:p>
        </w:tc>
        <w:tc>
          <w:tcPr>
            <w:tcW w:w="2269" w:type="dxa"/>
            <w:shd w:val="clear" w:color="000000" w:fill="FFFFFF"/>
            <w:vAlign w:val="center"/>
            <w:hideMark/>
          </w:tcPr>
          <w:p w14:paraId="4EA8365A"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i/>
                <w:iCs/>
                <w:color w:val="1A1C1E"/>
                <w:kern w:val="0"/>
                <w:szCs w:val="24"/>
                <w:lang w:eastAsia="en-IN"/>
                <w14:ligatures w14:val="none"/>
              </w:rPr>
            </w:pPr>
            <w:r w:rsidRPr="00E02C8A">
              <w:rPr>
                <w:rFonts w:ascii="Times New Roman" w:eastAsia="Times New Roman" w:hAnsi="Times New Roman" w:cs="Times New Roman"/>
                <w:i/>
                <w:iCs/>
                <w:color w:val="1A1C1E"/>
                <w:kern w:val="0"/>
                <w:szCs w:val="24"/>
                <w:lang w:eastAsia="en-IN"/>
                <w14:ligatures w14:val="none"/>
              </w:rPr>
              <w:t>24.2</w:t>
            </w:r>
          </w:p>
        </w:tc>
        <w:tc>
          <w:tcPr>
            <w:tcW w:w="1295" w:type="dxa"/>
            <w:shd w:val="clear" w:color="000000" w:fill="FFFFFF"/>
            <w:vAlign w:val="center"/>
            <w:hideMark/>
          </w:tcPr>
          <w:p w14:paraId="263A0A57"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i/>
                <w:iCs/>
                <w:color w:val="1A1C1E"/>
                <w:kern w:val="0"/>
                <w:szCs w:val="24"/>
                <w:lang w:eastAsia="en-IN"/>
                <w14:ligatures w14:val="none"/>
              </w:rPr>
            </w:pPr>
            <w:r w:rsidRPr="00E02C8A">
              <w:rPr>
                <w:rFonts w:ascii="Times New Roman" w:eastAsia="Times New Roman" w:hAnsi="Times New Roman" w:cs="Times New Roman"/>
                <w:i/>
                <w:iCs/>
                <w:color w:val="1A1C1E"/>
                <w:kern w:val="0"/>
                <w:szCs w:val="24"/>
                <w:lang w:eastAsia="en-IN"/>
                <w14:ligatures w14:val="none"/>
              </w:rPr>
              <w:t>31.9</w:t>
            </w:r>
          </w:p>
        </w:tc>
        <w:tc>
          <w:tcPr>
            <w:tcW w:w="1985" w:type="dxa"/>
            <w:shd w:val="clear" w:color="000000" w:fill="FFFFFF"/>
            <w:vAlign w:val="center"/>
            <w:hideMark/>
          </w:tcPr>
          <w:p w14:paraId="1BAB77CF"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i/>
                <w:iCs/>
                <w:color w:val="1A1C1E"/>
                <w:kern w:val="0"/>
                <w:szCs w:val="24"/>
                <w:lang w:eastAsia="en-IN"/>
                <w14:ligatures w14:val="none"/>
              </w:rPr>
            </w:pPr>
            <w:r w:rsidRPr="00E02C8A">
              <w:rPr>
                <w:rFonts w:ascii="Times New Roman" w:eastAsia="Times New Roman" w:hAnsi="Times New Roman" w:cs="Times New Roman"/>
                <w:i/>
                <w:iCs/>
                <w:color w:val="1A1C1E"/>
                <w:kern w:val="0"/>
                <w:szCs w:val="24"/>
                <w:lang w:eastAsia="en-IN"/>
                <w14:ligatures w14:val="none"/>
              </w:rPr>
              <w:t>6.1</w:t>
            </w:r>
          </w:p>
        </w:tc>
        <w:tc>
          <w:tcPr>
            <w:tcW w:w="1070" w:type="dxa"/>
            <w:shd w:val="clear" w:color="000000" w:fill="FFFFFF"/>
            <w:vAlign w:val="center"/>
            <w:hideMark/>
          </w:tcPr>
          <w:p w14:paraId="1C200FA0"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i/>
                <w:iCs/>
                <w:color w:val="1A1C1E"/>
                <w:kern w:val="0"/>
                <w:szCs w:val="24"/>
                <w:lang w:eastAsia="en-IN"/>
                <w14:ligatures w14:val="none"/>
              </w:rPr>
            </w:pPr>
            <w:r w:rsidRPr="00E02C8A">
              <w:rPr>
                <w:rFonts w:ascii="Times New Roman" w:eastAsia="Times New Roman" w:hAnsi="Times New Roman" w:cs="Times New Roman"/>
                <w:i/>
                <w:iCs/>
                <w:color w:val="1A1C1E"/>
                <w:kern w:val="0"/>
                <w:szCs w:val="24"/>
                <w:lang w:eastAsia="en-IN"/>
                <w14:ligatures w14:val="none"/>
              </w:rPr>
              <w:t>11.1</w:t>
            </w:r>
          </w:p>
        </w:tc>
        <w:tc>
          <w:tcPr>
            <w:tcW w:w="1182" w:type="dxa"/>
            <w:shd w:val="clear" w:color="000000" w:fill="FFFFFF"/>
            <w:vAlign w:val="center"/>
            <w:hideMark/>
          </w:tcPr>
          <w:p w14:paraId="15043549"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i/>
                <w:iCs/>
                <w:color w:val="1A1C1E"/>
                <w:kern w:val="0"/>
                <w:szCs w:val="24"/>
                <w:lang w:eastAsia="en-IN"/>
                <w14:ligatures w14:val="none"/>
              </w:rPr>
            </w:pPr>
            <w:r w:rsidRPr="00E02C8A">
              <w:rPr>
                <w:rFonts w:ascii="Times New Roman" w:eastAsia="Times New Roman" w:hAnsi="Times New Roman" w:cs="Times New Roman"/>
                <w:i/>
                <w:iCs/>
                <w:color w:val="1A1C1E"/>
                <w:kern w:val="0"/>
                <w:szCs w:val="24"/>
                <w:lang w:eastAsia="en-IN"/>
                <w14:ligatures w14:val="none"/>
              </w:rPr>
              <w:t>9.7</w:t>
            </w:r>
          </w:p>
        </w:tc>
        <w:tc>
          <w:tcPr>
            <w:tcW w:w="1379" w:type="dxa"/>
            <w:shd w:val="clear" w:color="000000" w:fill="FFFFFF"/>
            <w:vAlign w:val="center"/>
            <w:hideMark/>
          </w:tcPr>
          <w:p w14:paraId="5D7CE1EC" w14:textId="666D0458" w:rsidR="006C2579" w:rsidRPr="00E02C8A" w:rsidRDefault="006C2579" w:rsidP="006C2579">
            <w:pPr>
              <w:spacing w:after="0" w:line="240" w:lineRule="auto"/>
              <w:ind w:firstLineChars="100" w:firstLine="240"/>
              <w:jc w:val="center"/>
              <w:rPr>
                <w:rFonts w:ascii="Times New Roman" w:eastAsia="Times New Roman" w:hAnsi="Times New Roman" w:cs="Times New Roman"/>
                <w:i/>
                <w:iCs/>
                <w:color w:val="1A1C1E"/>
                <w:kern w:val="0"/>
                <w:szCs w:val="24"/>
                <w:lang w:eastAsia="en-IN"/>
                <w14:ligatures w14:val="none"/>
              </w:rPr>
            </w:pPr>
          </w:p>
        </w:tc>
      </w:tr>
      <w:tr w:rsidR="006C2579" w:rsidRPr="00E02C8A" w14:paraId="7F69AACC" w14:textId="77777777" w:rsidTr="006C2579">
        <w:trPr>
          <w:trHeight w:val="20"/>
          <w:jc w:val="center"/>
        </w:trPr>
        <w:tc>
          <w:tcPr>
            <w:tcW w:w="1603" w:type="dxa"/>
            <w:vAlign w:val="center"/>
            <w:hideMark/>
          </w:tcPr>
          <w:p w14:paraId="1DEEA693" w14:textId="77777777" w:rsidR="006C2579" w:rsidRPr="00E02C8A" w:rsidRDefault="006C2579" w:rsidP="006C2579">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Madhya Pradesh</w:t>
            </w:r>
          </w:p>
        </w:tc>
        <w:tc>
          <w:tcPr>
            <w:tcW w:w="1450" w:type="dxa"/>
            <w:vAlign w:val="center"/>
            <w:hideMark/>
          </w:tcPr>
          <w:p w14:paraId="67791444" w14:textId="77777777" w:rsidR="006C2579" w:rsidRPr="00E02C8A" w:rsidRDefault="006C2579" w:rsidP="006C2579">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246</w:t>
            </w:r>
          </w:p>
        </w:tc>
        <w:tc>
          <w:tcPr>
            <w:tcW w:w="1420" w:type="dxa"/>
            <w:vAlign w:val="center"/>
            <w:hideMark/>
          </w:tcPr>
          <w:p w14:paraId="2B0B5DC1" w14:textId="77777777" w:rsidR="006C2579" w:rsidRPr="00E02C8A" w:rsidRDefault="006C2579" w:rsidP="006C2579">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78</w:t>
            </w:r>
          </w:p>
        </w:tc>
        <w:tc>
          <w:tcPr>
            <w:tcW w:w="1219" w:type="dxa"/>
            <w:vAlign w:val="center"/>
            <w:hideMark/>
          </w:tcPr>
          <w:p w14:paraId="6E1881EA" w14:textId="77777777" w:rsidR="006C2579" w:rsidRPr="00E02C8A" w:rsidRDefault="006C2579" w:rsidP="006C2579">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84</w:t>
            </w:r>
          </w:p>
        </w:tc>
        <w:tc>
          <w:tcPr>
            <w:tcW w:w="2269" w:type="dxa"/>
            <w:shd w:val="clear" w:color="000000" w:fill="FFFFFF"/>
            <w:vAlign w:val="center"/>
            <w:hideMark/>
          </w:tcPr>
          <w:p w14:paraId="3D3CCED1"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E02C8A">
              <w:rPr>
                <w:rFonts w:ascii="Times New Roman" w:eastAsia="Times New Roman" w:hAnsi="Times New Roman" w:cs="Times New Roman"/>
                <w:color w:val="1A1C1E"/>
                <w:kern w:val="0"/>
                <w:szCs w:val="24"/>
                <w:lang w:eastAsia="en-IN"/>
                <w14:ligatures w14:val="none"/>
              </w:rPr>
              <w:t>479</w:t>
            </w:r>
          </w:p>
        </w:tc>
        <w:tc>
          <w:tcPr>
            <w:tcW w:w="1295" w:type="dxa"/>
            <w:shd w:val="clear" w:color="000000" w:fill="FFFFFF"/>
            <w:vAlign w:val="center"/>
            <w:hideMark/>
          </w:tcPr>
          <w:p w14:paraId="60D6F57A"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E02C8A">
              <w:rPr>
                <w:rFonts w:ascii="Times New Roman" w:eastAsia="Times New Roman" w:hAnsi="Times New Roman" w:cs="Times New Roman"/>
                <w:color w:val="1A1C1E"/>
                <w:kern w:val="0"/>
                <w:szCs w:val="24"/>
                <w:lang w:eastAsia="en-IN"/>
                <w14:ligatures w14:val="none"/>
              </w:rPr>
              <w:t>623</w:t>
            </w:r>
          </w:p>
        </w:tc>
        <w:tc>
          <w:tcPr>
            <w:tcW w:w="1985" w:type="dxa"/>
            <w:shd w:val="clear" w:color="000000" w:fill="FFFFFF"/>
            <w:vAlign w:val="center"/>
            <w:hideMark/>
          </w:tcPr>
          <w:p w14:paraId="31942316"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E02C8A">
              <w:rPr>
                <w:rFonts w:ascii="Times New Roman" w:eastAsia="Times New Roman" w:hAnsi="Times New Roman" w:cs="Times New Roman"/>
                <w:color w:val="1A1C1E"/>
                <w:kern w:val="0"/>
                <w:szCs w:val="24"/>
                <w:lang w:eastAsia="en-IN"/>
                <w14:ligatures w14:val="none"/>
              </w:rPr>
              <w:t>15</w:t>
            </w:r>
          </w:p>
        </w:tc>
        <w:tc>
          <w:tcPr>
            <w:tcW w:w="1070" w:type="dxa"/>
            <w:shd w:val="clear" w:color="000000" w:fill="FFFFFF"/>
            <w:vAlign w:val="center"/>
            <w:hideMark/>
          </w:tcPr>
          <w:p w14:paraId="1B12CDB3"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E02C8A">
              <w:rPr>
                <w:rFonts w:ascii="Times New Roman" w:eastAsia="Times New Roman" w:hAnsi="Times New Roman" w:cs="Times New Roman"/>
                <w:color w:val="1A1C1E"/>
                <w:kern w:val="0"/>
                <w:szCs w:val="24"/>
                <w:lang w:eastAsia="en-IN"/>
                <w14:ligatures w14:val="none"/>
              </w:rPr>
              <w:t>314</w:t>
            </w:r>
          </w:p>
        </w:tc>
        <w:tc>
          <w:tcPr>
            <w:tcW w:w="1182" w:type="dxa"/>
            <w:shd w:val="clear" w:color="000000" w:fill="FFFFFF"/>
            <w:vAlign w:val="center"/>
            <w:hideMark/>
          </w:tcPr>
          <w:p w14:paraId="3B6A032D"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E02C8A">
              <w:rPr>
                <w:rFonts w:ascii="Times New Roman" w:eastAsia="Times New Roman" w:hAnsi="Times New Roman" w:cs="Times New Roman"/>
                <w:color w:val="1A1C1E"/>
                <w:kern w:val="0"/>
                <w:szCs w:val="24"/>
                <w:lang w:eastAsia="en-IN"/>
                <w14:ligatures w14:val="none"/>
              </w:rPr>
              <w:t>242</w:t>
            </w:r>
          </w:p>
        </w:tc>
        <w:tc>
          <w:tcPr>
            <w:tcW w:w="1379" w:type="dxa"/>
            <w:shd w:val="clear" w:color="000000" w:fill="FFFFFF"/>
            <w:vAlign w:val="center"/>
            <w:hideMark/>
          </w:tcPr>
          <w:p w14:paraId="6D08A332"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E02C8A">
              <w:rPr>
                <w:rFonts w:ascii="Times New Roman" w:eastAsia="Times New Roman" w:hAnsi="Times New Roman" w:cs="Times New Roman"/>
                <w:color w:val="1A1C1E"/>
                <w:kern w:val="0"/>
                <w:szCs w:val="24"/>
                <w:lang w:eastAsia="en-IN"/>
                <w14:ligatures w14:val="none"/>
              </w:rPr>
              <w:t>2082</w:t>
            </w:r>
          </w:p>
        </w:tc>
      </w:tr>
      <w:tr w:rsidR="006C2579" w:rsidRPr="00E02C8A" w14:paraId="09103919" w14:textId="77777777" w:rsidTr="006C2579">
        <w:trPr>
          <w:trHeight w:val="20"/>
          <w:jc w:val="center"/>
        </w:trPr>
        <w:tc>
          <w:tcPr>
            <w:tcW w:w="1603" w:type="dxa"/>
            <w:vAlign w:val="center"/>
            <w:hideMark/>
          </w:tcPr>
          <w:p w14:paraId="13CA5B35" w14:textId="7F4C90D6" w:rsidR="006C2579" w:rsidRPr="00E02C8A" w:rsidRDefault="006C2579" w:rsidP="006C2579">
            <w:pPr>
              <w:spacing w:after="0" w:line="240" w:lineRule="auto"/>
              <w:jc w:val="center"/>
              <w:rPr>
                <w:rFonts w:ascii="Times New Roman" w:eastAsia="Times New Roman" w:hAnsi="Times New Roman" w:cs="Times New Roman"/>
                <w:i/>
                <w:iCs/>
                <w:color w:val="000000"/>
                <w:kern w:val="0"/>
                <w:szCs w:val="24"/>
                <w:lang w:eastAsia="en-IN"/>
                <w14:ligatures w14:val="none"/>
              </w:rPr>
            </w:pPr>
          </w:p>
        </w:tc>
        <w:tc>
          <w:tcPr>
            <w:tcW w:w="1450" w:type="dxa"/>
            <w:vAlign w:val="center"/>
            <w:hideMark/>
          </w:tcPr>
          <w:p w14:paraId="5519C6E9" w14:textId="77777777" w:rsidR="006C2579" w:rsidRPr="00E02C8A" w:rsidRDefault="006C2579" w:rsidP="006C2579">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E02C8A">
              <w:rPr>
                <w:rFonts w:ascii="Times New Roman" w:eastAsia="Times New Roman" w:hAnsi="Times New Roman" w:cs="Times New Roman"/>
                <w:i/>
                <w:iCs/>
                <w:color w:val="000000"/>
                <w:kern w:val="0"/>
                <w:szCs w:val="24"/>
                <w:lang w:eastAsia="en-IN"/>
                <w14:ligatures w14:val="none"/>
              </w:rPr>
              <w:t>11.8</w:t>
            </w:r>
          </w:p>
        </w:tc>
        <w:tc>
          <w:tcPr>
            <w:tcW w:w="1420" w:type="dxa"/>
            <w:vAlign w:val="center"/>
            <w:hideMark/>
          </w:tcPr>
          <w:p w14:paraId="58F0BD7F" w14:textId="77777777" w:rsidR="006C2579" w:rsidRPr="00E02C8A" w:rsidRDefault="006C2579" w:rsidP="006C2579">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E02C8A">
              <w:rPr>
                <w:rFonts w:ascii="Times New Roman" w:eastAsia="Times New Roman" w:hAnsi="Times New Roman" w:cs="Times New Roman"/>
                <w:i/>
                <w:iCs/>
                <w:color w:val="000000"/>
                <w:kern w:val="0"/>
                <w:szCs w:val="24"/>
                <w:lang w:eastAsia="en-IN"/>
                <w14:ligatures w14:val="none"/>
              </w:rPr>
              <w:t>3.8</w:t>
            </w:r>
          </w:p>
        </w:tc>
        <w:tc>
          <w:tcPr>
            <w:tcW w:w="1219" w:type="dxa"/>
            <w:vAlign w:val="center"/>
            <w:hideMark/>
          </w:tcPr>
          <w:p w14:paraId="26A29DB6" w14:textId="77777777" w:rsidR="006C2579" w:rsidRPr="00E02C8A" w:rsidRDefault="006C2579" w:rsidP="006C2579">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E02C8A">
              <w:rPr>
                <w:rFonts w:ascii="Times New Roman" w:eastAsia="Times New Roman" w:hAnsi="Times New Roman" w:cs="Times New Roman"/>
                <w:i/>
                <w:iCs/>
                <w:color w:val="000000"/>
                <w:kern w:val="0"/>
                <w:szCs w:val="24"/>
                <w:lang w:eastAsia="en-IN"/>
                <w14:ligatures w14:val="none"/>
              </w:rPr>
              <w:t>4</w:t>
            </w:r>
          </w:p>
        </w:tc>
        <w:tc>
          <w:tcPr>
            <w:tcW w:w="2269" w:type="dxa"/>
            <w:shd w:val="clear" w:color="000000" w:fill="FFFFFF"/>
            <w:vAlign w:val="center"/>
            <w:hideMark/>
          </w:tcPr>
          <w:p w14:paraId="47890A29"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i/>
                <w:iCs/>
                <w:color w:val="1A1C1E"/>
                <w:kern w:val="0"/>
                <w:szCs w:val="24"/>
                <w:lang w:eastAsia="en-IN"/>
                <w14:ligatures w14:val="none"/>
              </w:rPr>
            </w:pPr>
            <w:r w:rsidRPr="00E02C8A">
              <w:rPr>
                <w:rFonts w:ascii="Times New Roman" w:eastAsia="Times New Roman" w:hAnsi="Times New Roman" w:cs="Times New Roman"/>
                <w:i/>
                <w:iCs/>
                <w:color w:val="1A1C1E"/>
                <w:kern w:val="0"/>
                <w:szCs w:val="24"/>
                <w:lang w:eastAsia="en-IN"/>
                <w14:ligatures w14:val="none"/>
              </w:rPr>
              <w:t>23.1</w:t>
            </w:r>
          </w:p>
        </w:tc>
        <w:tc>
          <w:tcPr>
            <w:tcW w:w="1295" w:type="dxa"/>
            <w:shd w:val="clear" w:color="000000" w:fill="FFFFFF"/>
            <w:vAlign w:val="center"/>
            <w:hideMark/>
          </w:tcPr>
          <w:p w14:paraId="6F57A5D3"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i/>
                <w:iCs/>
                <w:color w:val="1A1C1E"/>
                <w:kern w:val="0"/>
                <w:szCs w:val="24"/>
                <w:lang w:eastAsia="en-IN"/>
                <w14:ligatures w14:val="none"/>
              </w:rPr>
            </w:pPr>
            <w:r w:rsidRPr="00E02C8A">
              <w:rPr>
                <w:rFonts w:ascii="Times New Roman" w:eastAsia="Times New Roman" w:hAnsi="Times New Roman" w:cs="Times New Roman"/>
                <w:i/>
                <w:iCs/>
                <w:color w:val="1A1C1E"/>
                <w:kern w:val="0"/>
                <w:szCs w:val="24"/>
                <w:lang w:eastAsia="en-IN"/>
                <w14:ligatures w14:val="none"/>
              </w:rPr>
              <w:t>29.9</w:t>
            </w:r>
          </w:p>
        </w:tc>
        <w:tc>
          <w:tcPr>
            <w:tcW w:w="1985" w:type="dxa"/>
            <w:shd w:val="clear" w:color="000000" w:fill="FFFFFF"/>
            <w:vAlign w:val="center"/>
            <w:hideMark/>
          </w:tcPr>
          <w:p w14:paraId="1081952E"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i/>
                <w:iCs/>
                <w:color w:val="1A1C1E"/>
                <w:kern w:val="0"/>
                <w:szCs w:val="24"/>
                <w:lang w:eastAsia="en-IN"/>
                <w14:ligatures w14:val="none"/>
              </w:rPr>
            </w:pPr>
            <w:r w:rsidRPr="00E02C8A">
              <w:rPr>
                <w:rFonts w:ascii="Times New Roman" w:eastAsia="Times New Roman" w:hAnsi="Times New Roman" w:cs="Times New Roman"/>
                <w:i/>
                <w:iCs/>
                <w:color w:val="1A1C1E"/>
                <w:kern w:val="0"/>
                <w:szCs w:val="24"/>
                <w:lang w:eastAsia="en-IN"/>
                <w14:ligatures w14:val="none"/>
              </w:rPr>
              <w:t>0.7</w:t>
            </w:r>
          </w:p>
        </w:tc>
        <w:tc>
          <w:tcPr>
            <w:tcW w:w="1070" w:type="dxa"/>
            <w:shd w:val="clear" w:color="000000" w:fill="FFFFFF"/>
            <w:vAlign w:val="center"/>
            <w:hideMark/>
          </w:tcPr>
          <w:p w14:paraId="5644AD32"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i/>
                <w:iCs/>
                <w:color w:val="1A1C1E"/>
                <w:kern w:val="0"/>
                <w:szCs w:val="24"/>
                <w:lang w:eastAsia="en-IN"/>
                <w14:ligatures w14:val="none"/>
              </w:rPr>
            </w:pPr>
            <w:r w:rsidRPr="00E02C8A">
              <w:rPr>
                <w:rFonts w:ascii="Times New Roman" w:eastAsia="Times New Roman" w:hAnsi="Times New Roman" w:cs="Times New Roman"/>
                <w:i/>
                <w:iCs/>
                <w:color w:val="1A1C1E"/>
                <w:kern w:val="0"/>
                <w:szCs w:val="24"/>
                <w:lang w:eastAsia="en-IN"/>
                <w14:ligatures w14:val="none"/>
              </w:rPr>
              <w:t>15.1</w:t>
            </w:r>
          </w:p>
        </w:tc>
        <w:tc>
          <w:tcPr>
            <w:tcW w:w="1182" w:type="dxa"/>
            <w:shd w:val="clear" w:color="000000" w:fill="FFFFFF"/>
            <w:vAlign w:val="center"/>
            <w:hideMark/>
          </w:tcPr>
          <w:p w14:paraId="23B54CCE"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i/>
                <w:iCs/>
                <w:color w:val="1A1C1E"/>
                <w:kern w:val="0"/>
                <w:szCs w:val="24"/>
                <w:lang w:eastAsia="en-IN"/>
                <w14:ligatures w14:val="none"/>
              </w:rPr>
            </w:pPr>
            <w:r w:rsidRPr="00E02C8A">
              <w:rPr>
                <w:rFonts w:ascii="Times New Roman" w:eastAsia="Times New Roman" w:hAnsi="Times New Roman" w:cs="Times New Roman"/>
                <w:i/>
                <w:iCs/>
                <w:color w:val="1A1C1E"/>
                <w:kern w:val="0"/>
                <w:szCs w:val="24"/>
                <w:lang w:eastAsia="en-IN"/>
                <w14:ligatures w14:val="none"/>
              </w:rPr>
              <w:t>11.7</w:t>
            </w:r>
          </w:p>
        </w:tc>
        <w:tc>
          <w:tcPr>
            <w:tcW w:w="1379" w:type="dxa"/>
            <w:shd w:val="clear" w:color="000000" w:fill="FFFFFF"/>
            <w:vAlign w:val="center"/>
            <w:hideMark/>
          </w:tcPr>
          <w:p w14:paraId="7D50350D" w14:textId="375D5F06" w:rsidR="006C2579" w:rsidRPr="00E02C8A" w:rsidRDefault="006C2579" w:rsidP="006C2579">
            <w:pPr>
              <w:spacing w:after="0" w:line="240" w:lineRule="auto"/>
              <w:ind w:firstLineChars="100" w:firstLine="240"/>
              <w:jc w:val="center"/>
              <w:rPr>
                <w:rFonts w:ascii="Times New Roman" w:eastAsia="Times New Roman" w:hAnsi="Times New Roman" w:cs="Times New Roman"/>
                <w:i/>
                <w:iCs/>
                <w:color w:val="1A1C1E"/>
                <w:kern w:val="0"/>
                <w:szCs w:val="24"/>
                <w:lang w:eastAsia="en-IN"/>
                <w14:ligatures w14:val="none"/>
              </w:rPr>
            </w:pPr>
          </w:p>
        </w:tc>
      </w:tr>
      <w:tr w:rsidR="006C2579" w:rsidRPr="00E02C8A" w14:paraId="5FFEC176" w14:textId="77777777" w:rsidTr="006C2579">
        <w:trPr>
          <w:trHeight w:val="20"/>
          <w:jc w:val="center"/>
        </w:trPr>
        <w:tc>
          <w:tcPr>
            <w:tcW w:w="1603" w:type="dxa"/>
            <w:vAlign w:val="center"/>
            <w:hideMark/>
          </w:tcPr>
          <w:p w14:paraId="4E6B33D8" w14:textId="77777777" w:rsidR="006C2579" w:rsidRPr="00E02C8A" w:rsidRDefault="006C2579" w:rsidP="006C2579">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Madras</w:t>
            </w:r>
          </w:p>
        </w:tc>
        <w:tc>
          <w:tcPr>
            <w:tcW w:w="1450" w:type="dxa"/>
            <w:vAlign w:val="center"/>
            <w:hideMark/>
          </w:tcPr>
          <w:p w14:paraId="01B0D56A" w14:textId="77777777" w:rsidR="006C2579" w:rsidRPr="00E02C8A" w:rsidRDefault="006C2579" w:rsidP="006C2579">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586</w:t>
            </w:r>
          </w:p>
        </w:tc>
        <w:tc>
          <w:tcPr>
            <w:tcW w:w="1420" w:type="dxa"/>
            <w:vAlign w:val="center"/>
            <w:hideMark/>
          </w:tcPr>
          <w:p w14:paraId="77F80538" w14:textId="77777777" w:rsidR="006C2579" w:rsidRPr="00E02C8A" w:rsidRDefault="006C2579" w:rsidP="006C2579">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345</w:t>
            </w:r>
          </w:p>
        </w:tc>
        <w:tc>
          <w:tcPr>
            <w:tcW w:w="1219" w:type="dxa"/>
            <w:vAlign w:val="center"/>
            <w:hideMark/>
          </w:tcPr>
          <w:p w14:paraId="00ED1AA7" w14:textId="77777777" w:rsidR="006C2579" w:rsidRPr="00E02C8A" w:rsidRDefault="006C2579" w:rsidP="006C2579">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-166</w:t>
            </w:r>
          </w:p>
        </w:tc>
        <w:tc>
          <w:tcPr>
            <w:tcW w:w="2269" w:type="dxa"/>
            <w:shd w:val="clear" w:color="000000" w:fill="FFFFFF"/>
            <w:vAlign w:val="center"/>
            <w:hideMark/>
          </w:tcPr>
          <w:p w14:paraId="2324330A"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E02C8A">
              <w:rPr>
                <w:rFonts w:ascii="Times New Roman" w:eastAsia="Times New Roman" w:hAnsi="Times New Roman" w:cs="Times New Roman"/>
                <w:color w:val="1A1C1E"/>
                <w:kern w:val="0"/>
                <w:szCs w:val="24"/>
                <w:lang w:eastAsia="en-IN"/>
                <w14:ligatures w14:val="none"/>
              </w:rPr>
              <w:t>1675</w:t>
            </w:r>
          </w:p>
        </w:tc>
        <w:tc>
          <w:tcPr>
            <w:tcW w:w="1295" w:type="dxa"/>
            <w:shd w:val="clear" w:color="000000" w:fill="FFFFFF"/>
            <w:vAlign w:val="center"/>
            <w:hideMark/>
          </w:tcPr>
          <w:p w14:paraId="3EC6CD38"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E02C8A">
              <w:rPr>
                <w:rFonts w:ascii="Times New Roman" w:eastAsia="Times New Roman" w:hAnsi="Times New Roman" w:cs="Times New Roman"/>
                <w:color w:val="1A1C1E"/>
                <w:kern w:val="0"/>
                <w:szCs w:val="24"/>
                <w:lang w:eastAsia="en-IN"/>
                <w14:ligatures w14:val="none"/>
              </w:rPr>
              <w:t>2193</w:t>
            </w:r>
          </w:p>
        </w:tc>
        <w:tc>
          <w:tcPr>
            <w:tcW w:w="1985" w:type="dxa"/>
            <w:shd w:val="clear" w:color="000000" w:fill="FFFFFF"/>
            <w:vAlign w:val="center"/>
            <w:hideMark/>
          </w:tcPr>
          <w:p w14:paraId="6BBBA05D"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E02C8A">
              <w:rPr>
                <w:rFonts w:ascii="Times New Roman" w:eastAsia="Times New Roman" w:hAnsi="Times New Roman" w:cs="Times New Roman"/>
                <w:color w:val="1A1C1E"/>
                <w:kern w:val="0"/>
                <w:szCs w:val="24"/>
                <w:lang w:eastAsia="en-IN"/>
                <w14:ligatures w14:val="none"/>
              </w:rPr>
              <w:t>470</w:t>
            </w:r>
          </w:p>
        </w:tc>
        <w:tc>
          <w:tcPr>
            <w:tcW w:w="1070" w:type="dxa"/>
            <w:shd w:val="clear" w:color="000000" w:fill="FFFFFF"/>
            <w:vAlign w:val="center"/>
            <w:hideMark/>
          </w:tcPr>
          <w:p w14:paraId="18040F2A"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E02C8A">
              <w:rPr>
                <w:rFonts w:ascii="Times New Roman" w:eastAsia="Times New Roman" w:hAnsi="Times New Roman" w:cs="Times New Roman"/>
                <w:color w:val="1A1C1E"/>
                <w:kern w:val="0"/>
                <w:szCs w:val="24"/>
                <w:lang w:eastAsia="en-IN"/>
                <w14:ligatures w14:val="none"/>
              </w:rPr>
              <w:t>1033</w:t>
            </w:r>
          </w:p>
        </w:tc>
        <w:tc>
          <w:tcPr>
            <w:tcW w:w="1182" w:type="dxa"/>
            <w:shd w:val="clear" w:color="000000" w:fill="FFFFFF"/>
            <w:vAlign w:val="center"/>
            <w:hideMark/>
          </w:tcPr>
          <w:p w14:paraId="6EC69001"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E02C8A">
              <w:rPr>
                <w:rFonts w:ascii="Times New Roman" w:eastAsia="Times New Roman" w:hAnsi="Times New Roman" w:cs="Times New Roman"/>
                <w:color w:val="1A1C1E"/>
                <w:kern w:val="0"/>
                <w:szCs w:val="24"/>
                <w:lang w:eastAsia="en-IN"/>
                <w14:ligatures w14:val="none"/>
              </w:rPr>
              <w:t>398</w:t>
            </w:r>
          </w:p>
        </w:tc>
        <w:tc>
          <w:tcPr>
            <w:tcW w:w="1379" w:type="dxa"/>
            <w:shd w:val="clear" w:color="000000" w:fill="FFFFFF"/>
            <w:vAlign w:val="center"/>
            <w:hideMark/>
          </w:tcPr>
          <w:p w14:paraId="528F56B8"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E02C8A">
              <w:rPr>
                <w:rFonts w:ascii="Times New Roman" w:eastAsia="Times New Roman" w:hAnsi="Times New Roman" w:cs="Times New Roman"/>
                <w:color w:val="1A1C1E"/>
                <w:kern w:val="0"/>
                <w:szCs w:val="24"/>
                <w:lang w:eastAsia="en-IN"/>
                <w14:ligatures w14:val="none"/>
              </w:rPr>
              <w:t>6534</w:t>
            </w:r>
          </w:p>
        </w:tc>
      </w:tr>
      <w:tr w:rsidR="006C2579" w:rsidRPr="00E02C8A" w14:paraId="0528DC40" w14:textId="77777777" w:rsidTr="006C2579">
        <w:trPr>
          <w:trHeight w:val="20"/>
          <w:jc w:val="center"/>
        </w:trPr>
        <w:tc>
          <w:tcPr>
            <w:tcW w:w="1603" w:type="dxa"/>
            <w:vAlign w:val="center"/>
            <w:hideMark/>
          </w:tcPr>
          <w:p w14:paraId="4B50A5EE" w14:textId="141337A2" w:rsidR="006C2579" w:rsidRPr="00E02C8A" w:rsidRDefault="006C2579" w:rsidP="006C2579">
            <w:pPr>
              <w:spacing w:after="0" w:line="240" w:lineRule="auto"/>
              <w:jc w:val="center"/>
              <w:rPr>
                <w:rFonts w:ascii="Times New Roman" w:eastAsia="Times New Roman" w:hAnsi="Times New Roman" w:cs="Times New Roman"/>
                <w:i/>
                <w:iCs/>
                <w:color w:val="000000"/>
                <w:kern w:val="0"/>
                <w:szCs w:val="24"/>
                <w:lang w:eastAsia="en-IN"/>
                <w14:ligatures w14:val="none"/>
              </w:rPr>
            </w:pPr>
          </w:p>
        </w:tc>
        <w:tc>
          <w:tcPr>
            <w:tcW w:w="1450" w:type="dxa"/>
            <w:vAlign w:val="center"/>
            <w:hideMark/>
          </w:tcPr>
          <w:p w14:paraId="6FFA8209" w14:textId="5C313AC6" w:rsidR="006C2579" w:rsidRPr="00E02C8A" w:rsidRDefault="006C2579" w:rsidP="006C2579">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E02C8A">
              <w:rPr>
                <w:rFonts w:ascii="Times New Roman" w:eastAsia="Times New Roman" w:hAnsi="Times New Roman" w:cs="Times New Roman"/>
                <w:i/>
                <w:iCs/>
                <w:color w:val="000000"/>
                <w:kern w:val="0"/>
                <w:szCs w:val="24"/>
                <w:lang w:eastAsia="en-IN"/>
                <w14:ligatures w14:val="none"/>
              </w:rPr>
              <w:t>9</w:t>
            </w:r>
            <w:r w:rsidR="005B4807" w:rsidRPr="00E02C8A">
              <w:rPr>
                <w:rFonts w:ascii="Times New Roman" w:eastAsia="Times New Roman" w:hAnsi="Times New Roman" w:cs="Times New Roman"/>
                <w:i/>
                <w:iCs/>
                <w:color w:val="000000"/>
                <w:kern w:val="0"/>
                <w:szCs w:val="24"/>
                <w:lang w:eastAsia="en-IN"/>
                <w14:ligatures w14:val="none"/>
              </w:rPr>
              <w:t>.0</w:t>
            </w:r>
          </w:p>
        </w:tc>
        <w:tc>
          <w:tcPr>
            <w:tcW w:w="1420" w:type="dxa"/>
            <w:vAlign w:val="center"/>
            <w:hideMark/>
          </w:tcPr>
          <w:p w14:paraId="785B86A8" w14:textId="77777777" w:rsidR="006C2579" w:rsidRPr="00E02C8A" w:rsidRDefault="006C2579" w:rsidP="006C2579">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E02C8A">
              <w:rPr>
                <w:rFonts w:ascii="Times New Roman" w:eastAsia="Times New Roman" w:hAnsi="Times New Roman" w:cs="Times New Roman"/>
                <w:i/>
                <w:iCs/>
                <w:color w:val="000000"/>
                <w:kern w:val="0"/>
                <w:szCs w:val="24"/>
                <w:lang w:eastAsia="en-IN"/>
                <w14:ligatures w14:val="none"/>
              </w:rPr>
              <w:t>5.3</w:t>
            </w:r>
          </w:p>
        </w:tc>
        <w:tc>
          <w:tcPr>
            <w:tcW w:w="1219" w:type="dxa"/>
            <w:vAlign w:val="center"/>
            <w:hideMark/>
          </w:tcPr>
          <w:p w14:paraId="6A49D0BE" w14:textId="77777777" w:rsidR="006C2579" w:rsidRPr="00E02C8A" w:rsidRDefault="006C2579" w:rsidP="006C2579">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E02C8A">
              <w:rPr>
                <w:rFonts w:ascii="Times New Roman" w:eastAsia="Times New Roman" w:hAnsi="Times New Roman" w:cs="Times New Roman"/>
                <w:i/>
                <w:iCs/>
                <w:color w:val="000000"/>
                <w:kern w:val="0"/>
                <w:szCs w:val="24"/>
                <w:lang w:eastAsia="en-IN"/>
                <w14:ligatures w14:val="none"/>
              </w:rPr>
              <w:t>(-)</w:t>
            </w:r>
          </w:p>
        </w:tc>
        <w:tc>
          <w:tcPr>
            <w:tcW w:w="2269" w:type="dxa"/>
            <w:shd w:val="clear" w:color="000000" w:fill="FFFFFF"/>
            <w:vAlign w:val="center"/>
            <w:hideMark/>
          </w:tcPr>
          <w:p w14:paraId="2CD9F0A7"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i/>
                <w:iCs/>
                <w:color w:val="1A1C1E"/>
                <w:kern w:val="0"/>
                <w:szCs w:val="24"/>
                <w:lang w:eastAsia="en-IN"/>
                <w14:ligatures w14:val="none"/>
              </w:rPr>
            </w:pPr>
            <w:r w:rsidRPr="00E02C8A">
              <w:rPr>
                <w:rFonts w:ascii="Times New Roman" w:eastAsia="Times New Roman" w:hAnsi="Times New Roman" w:cs="Times New Roman"/>
                <w:i/>
                <w:iCs/>
                <w:color w:val="1A1C1E"/>
                <w:kern w:val="0"/>
                <w:szCs w:val="24"/>
                <w:lang w:eastAsia="en-IN"/>
                <w14:ligatures w14:val="none"/>
              </w:rPr>
              <w:t>25.6</w:t>
            </w:r>
          </w:p>
        </w:tc>
        <w:tc>
          <w:tcPr>
            <w:tcW w:w="1295" w:type="dxa"/>
            <w:shd w:val="clear" w:color="000000" w:fill="FFFFFF"/>
            <w:vAlign w:val="center"/>
            <w:hideMark/>
          </w:tcPr>
          <w:p w14:paraId="3FF1F229"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i/>
                <w:iCs/>
                <w:color w:val="1A1C1E"/>
                <w:kern w:val="0"/>
                <w:szCs w:val="24"/>
                <w:lang w:eastAsia="en-IN"/>
                <w14:ligatures w14:val="none"/>
              </w:rPr>
            </w:pPr>
            <w:r w:rsidRPr="00E02C8A">
              <w:rPr>
                <w:rFonts w:ascii="Times New Roman" w:eastAsia="Times New Roman" w:hAnsi="Times New Roman" w:cs="Times New Roman"/>
                <w:i/>
                <w:iCs/>
                <w:color w:val="1A1C1E"/>
                <w:kern w:val="0"/>
                <w:szCs w:val="24"/>
                <w:lang w:eastAsia="en-IN"/>
                <w14:ligatures w14:val="none"/>
              </w:rPr>
              <w:t>33.6</w:t>
            </w:r>
          </w:p>
        </w:tc>
        <w:tc>
          <w:tcPr>
            <w:tcW w:w="1985" w:type="dxa"/>
            <w:shd w:val="clear" w:color="000000" w:fill="FFFFFF"/>
            <w:vAlign w:val="center"/>
            <w:hideMark/>
          </w:tcPr>
          <w:p w14:paraId="3FE3F147"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i/>
                <w:iCs/>
                <w:color w:val="1A1C1E"/>
                <w:kern w:val="0"/>
                <w:szCs w:val="24"/>
                <w:lang w:eastAsia="en-IN"/>
                <w14:ligatures w14:val="none"/>
              </w:rPr>
            </w:pPr>
            <w:r w:rsidRPr="00E02C8A">
              <w:rPr>
                <w:rFonts w:ascii="Times New Roman" w:eastAsia="Times New Roman" w:hAnsi="Times New Roman" w:cs="Times New Roman"/>
                <w:i/>
                <w:iCs/>
                <w:color w:val="1A1C1E"/>
                <w:kern w:val="0"/>
                <w:szCs w:val="24"/>
                <w:lang w:eastAsia="en-IN"/>
                <w14:ligatures w14:val="none"/>
              </w:rPr>
              <w:t>7.2</w:t>
            </w:r>
          </w:p>
        </w:tc>
        <w:tc>
          <w:tcPr>
            <w:tcW w:w="1070" w:type="dxa"/>
            <w:shd w:val="clear" w:color="000000" w:fill="FFFFFF"/>
            <w:vAlign w:val="center"/>
            <w:hideMark/>
          </w:tcPr>
          <w:p w14:paraId="26ABF73A"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i/>
                <w:iCs/>
                <w:color w:val="1A1C1E"/>
                <w:kern w:val="0"/>
                <w:szCs w:val="24"/>
                <w:lang w:eastAsia="en-IN"/>
                <w14:ligatures w14:val="none"/>
              </w:rPr>
            </w:pPr>
            <w:r w:rsidRPr="00E02C8A">
              <w:rPr>
                <w:rFonts w:ascii="Times New Roman" w:eastAsia="Times New Roman" w:hAnsi="Times New Roman" w:cs="Times New Roman"/>
                <w:i/>
                <w:iCs/>
                <w:color w:val="1A1C1E"/>
                <w:kern w:val="0"/>
                <w:szCs w:val="24"/>
                <w:lang w:eastAsia="en-IN"/>
                <w14:ligatures w14:val="none"/>
              </w:rPr>
              <w:t>15.8</w:t>
            </w:r>
          </w:p>
        </w:tc>
        <w:tc>
          <w:tcPr>
            <w:tcW w:w="1182" w:type="dxa"/>
            <w:shd w:val="clear" w:color="000000" w:fill="FFFFFF"/>
            <w:vAlign w:val="center"/>
            <w:hideMark/>
          </w:tcPr>
          <w:p w14:paraId="2E383C05"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i/>
                <w:iCs/>
                <w:color w:val="1A1C1E"/>
                <w:kern w:val="0"/>
                <w:szCs w:val="24"/>
                <w:lang w:eastAsia="en-IN"/>
                <w14:ligatures w14:val="none"/>
              </w:rPr>
            </w:pPr>
            <w:r w:rsidRPr="00E02C8A">
              <w:rPr>
                <w:rFonts w:ascii="Times New Roman" w:eastAsia="Times New Roman" w:hAnsi="Times New Roman" w:cs="Times New Roman"/>
                <w:i/>
                <w:iCs/>
                <w:color w:val="1A1C1E"/>
                <w:kern w:val="0"/>
                <w:szCs w:val="24"/>
                <w:lang w:eastAsia="en-IN"/>
                <w14:ligatures w14:val="none"/>
              </w:rPr>
              <w:t>6.1</w:t>
            </w:r>
          </w:p>
        </w:tc>
        <w:tc>
          <w:tcPr>
            <w:tcW w:w="1379" w:type="dxa"/>
            <w:shd w:val="clear" w:color="000000" w:fill="FFFFFF"/>
            <w:vAlign w:val="center"/>
            <w:hideMark/>
          </w:tcPr>
          <w:p w14:paraId="3E635E63" w14:textId="4049FC25" w:rsidR="006C2579" w:rsidRPr="00E02C8A" w:rsidRDefault="006C2579" w:rsidP="006C2579">
            <w:pPr>
              <w:spacing w:after="0" w:line="240" w:lineRule="auto"/>
              <w:ind w:firstLineChars="100" w:firstLine="240"/>
              <w:jc w:val="center"/>
              <w:rPr>
                <w:rFonts w:ascii="Times New Roman" w:eastAsia="Times New Roman" w:hAnsi="Times New Roman" w:cs="Times New Roman"/>
                <w:i/>
                <w:iCs/>
                <w:color w:val="1A1C1E"/>
                <w:kern w:val="0"/>
                <w:szCs w:val="24"/>
                <w:lang w:eastAsia="en-IN"/>
                <w14:ligatures w14:val="none"/>
              </w:rPr>
            </w:pPr>
          </w:p>
        </w:tc>
      </w:tr>
      <w:tr w:rsidR="006C2579" w:rsidRPr="00E02C8A" w14:paraId="1D6CFFB5" w14:textId="77777777" w:rsidTr="006C2579">
        <w:trPr>
          <w:trHeight w:val="20"/>
          <w:jc w:val="center"/>
        </w:trPr>
        <w:tc>
          <w:tcPr>
            <w:tcW w:w="1603" w:type="dxa"/>
            <w:vAlign w:val="center"/>
            <w:hideMark/>
          </w:tcPr>
          <w:p w14:paraId="0B964664" w14:textId="77777777" w:rsidR="006C2579" w:rsidRPr="00E02C8A" w:rsidRDefault="006C2579" w:rsidP="006C2579">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Orissa</w:t>
            </w:r>
          </w:p>
        </w:tc>
        <w:tc>
          <w:tcPr>
            <w:tcW w:w="1450" w:type="dxa"/>
            <w:vAlign w:val="center"/>
            <w:hideMark/>
          </w:tcPr>
          <w:p w14:paraId="1F171437" w14:textId="77777777" w:rsidR="006C2579" w:rsidRPr="00E02C8A" w:rsidRDefault="006C2579" w:rsidP="006C2579">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110</w:t>
            </w:r>
          </w:p>
        </w:tc>
        <w:tc>
          <w:tcPr>
            <w:tcW w:w="1420" w:type="dxa"/>
            <w:vAlign w:val="center"/>
            <w:hideMark/>
          </w:tcPr>
          <w:p w14:paraId="536F4A10" w14:textId="77777777" w:rsidR="006C2579" w:rsidRPr="00E02C8A" w:rsidRDefault="006C2579" w:rsidP="006C2579">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96</w:t>
            </w:r>
          </w:p>
        </w:tc>
        <w:tc>
          <w:tcPr>
            <w:tcW w:w="1219" w:type="dxa"/>
            <w:vAlign w:val="center"/>
            <w:hideMark/>
          </w:tcPr>
          <w:p w14:paraId="6F79179C" w14:textId="77777777" w:rsidR="006C2579" w:rsidRPr="00E02C8A" w:rsidRDefault="006C2579" w:rsidP="006C2579">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28</w:t>
            </w:r>
          </w:p>
        </w:tc>
        <w:tc>
          <w:tcPr>
            <w:tcW w:w="2269" w:type="dxa"/>
            <w:shd w:val="clear" w:color="000000" w:fill="FFFFFF"/>
            <w:vAlign w:val="center"/>
            <w:hideMark/>
          </w:tcPr>
          <w:p w14:paraId="138BA6AC"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E02C8A">
              <w:rPr>
                <w:rFonts w:ascii="Times New Roman" w:eastAsia="Times New Roman" w:hAnsi="Times New Roman" w:cs="Times New Roman"/>
                <w:color w:val="1A1C1E"/>
                <w:kern w:val="0"/>
                <w:szCs w:val="24"/>
                <w:lang w:eastAsia="en-IN"/>
                <w14:ligatures w14:val="none"/>
              </w:rPr>
              <w:t>307</w:t>
            </w:r>
          </w:p>
        </w:tc>
        <w:tc>
          <w:tcPr>
            <w:tcW w:w="1295" w:type="dxa"/>
            <w:shd w:val="clear" w:color="000000" w:fill="FFFFFF"/>
            <w:vAlign w:val="center"/>
            <w:hideMark/>
          </w:tcPr>
          <w:p w14:paraId="6F85D6A5"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E02C8A">
              <w:rPr>
                <w:rFonts w:ascii="Times New Roman" w:eastAsia="Times New Roman" w:hAnsi="Times New Roman" w:cs="Times New Roman"/>
                <w:color w:val="1A1C1E"/>
                <w:kern w:val="0"/>
                <w:szCs w:val="24"/>
                <w:lang w:eastAsia="en-IN"/>
                <w14:ligatures w14:val="none"/>
              </w:rPr>
              <w:t>299</w:t>
            </w:r>
          </w:p>
        </w:tc>
        <w:tc>
          <w:tcPr>
            <w:tcW w:w="1985" w:type="dxa"/>
            <w:shd w:val="clear" w:color="000000" w:fill="FFFFFF"/>
            <w:vAlign w:val="center"/>
            <w:hideMark/>
          </w:tcPr>
          <w:p w14:paraId="7C8860B0"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E02C8A">
              <w:rPr>
                <w:rFonts w:ascii="Times New Roman" w:eastAsia="Times New Roman" w:hAnsi="Times New Roman" w:cs="Times New Roman"/>
                <w:color w:val="1A1C1E"/>
                <w:kern w:val="0"/>
                <w:szCs w:val="24"/>
                <w:lang w:eastAsia="en-IN"/>
                <w14:ligatures w14:val="none"/>
              </w:rPr>
              <w:t>62</w:t>
            </w:r>
          </w:p>
        </w:tc>
        <w:tc>
          <w:tcPr>
            <w:tcW w:w="1070" w:type="dxa"/>
            <w:shd w:val="clear" w:color="000000" w:fill="FFFFFF"/>
            <w:vAlign w:val="center"/>
            <w:hideMark/>
          </w:tcPr>
          <w:p w14:paraId="16F23DBF"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E02C8A">
              <w:rPr>
                <w:rFonts w:ascii="Times New Roman" w:eastAsia="Times New Roman" w:hAnsi="Times New Roman" w:cs="Times New Roman"/>
                <w:color w:val="1A1C1E"/>
                <w:kern w:val="0"/>
                <w:szCs w:val="24"/>
                <w:lang w:eastAsia="en-IN"/>
                <w14:ligatures w14:val="none"/>
              </w:rPr>
              <w:t>181</w:t>
            </w:r>
          </w:p>
        </w:tc>
        <w:tc>
          <w:tcPr>
            <w:tcW w:w="1182" w:type="dxa"/>
            <w:shd w:val="clear" w:color="000000" w:fill="FFFFFF"/>
            <w:vAlign w:val="center"/>
            <w:hideMark/>
          </w:tcPr>
          <w:p w14:paraId="66377AF6"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E02C8A">
              <w:rPr>
                <w:rFonts w:ascii="Times New Roman" w:eastAsia="Times New Roman" w:hAnsi="Times New Roman" w:cs="Times New Roman"/>
                <w:color w:val="1A1C1E"/>
                <w:kern w:val="0"/>
                <w:szCs w:val="24"/>
                <w:lang w:eastAsia="en-IN"/>
                <w14:ligatures w14:val="none"/>
              </w:rPr>
              <w:t>83</w:t>
            </w:r>
          </w:p>
        </w:tc>
        <w:tc>
          <w:tcPr>
            <w:tcW w:w="1379" w:type="dxa"/>
            <w:shd w:val="clear" w:color="000000" w:fill="FFFFFF"/>
            <w:vAlign w:val="center"/>
            <w:hideMark/>
          </w:tcPr>
          <w:p w14:paraId="79752081"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E02C8A">
              <w:rPr>
                <w:rFonts w:ascii="Times New Roman" w:eastAsia="Times New Roman" w:hAnsi="Times New Roman" w:cs="Times New Roman"/>
                <w:color w:val="1A1C1E"/>
                <w:kern w:val="0"/>
                <w:szCs w:val="24"/>
                <w:lang w:eastAsia="en-IN"/>
                <w14:ligatures w14:val="none"/>
              </w:rPr>
              <w:t>1168</w:t>
            </w:r>
          </w:p>
        </w:tc>
      </w:tr>
      <w:tr w:rsidR="006C2579" w:rsidRPr="00E02C8A" w14:paraId="256BA8C6" w14:textId="77777777" w:rsidTr="006C2579">
        <w:trPr>
          <w:trHeight w:val="20"/>
          <w:jc w:val="center"/>
        </w:trPr>
        <w:tc>
          <w:tcPr>
            <w:tcW w:w="1603" w:type="dxa"/>
            <w:vAlign w:val="center"/>
            <w:hideMark/>
          </w:tcPr>
          <w:p w14:paraId="799A8C8E" w14:textId="715AFD6B" w:rsidR="006C2579" w:rsidRPr="00E02C8A" w:rsidRDefault="006C2579" w:rsidP="006C2579">
            <w:pPr>
              <w:spacing w:after="0" w:line="240" w:lineRule="auto"/>
              <w:jc w:val="center"/>
              <w:rPr>
                <w:rFonts w:ascii="Times New Roman" w:eastAsia="Times New Roman" w:hAnsi="Times New Roman" w:cs="Times New Roman"/>
                <w:i/>
                <w:iCs/>
                <w:color w:val="000000"/>
                <w:kern w:val="0"/>
                <w:szCs w:val="24"/>
                <w:lang w:eastAsia="en-IN"/>
                <w14:ligatures w14:val="none"/>
              </w:rPr>
            </w:pPr>
          </w:p>
        </w:tc>
        <w:tc>
          <w:tcPr>
            <w:tcW w:w="1450" w:type="dxa"/>
            <w:vAlign w:val="center"/>
            <w:hideMark/>
          </w:tcPr>
          <w:p w14:paraId="390F2091" w14:textId="77777777" w:rsidR="006C2579" w:rsidRPr="00E02C8A" w:rsidRDefault="006C2579" w:rsidP="006C2579">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E02C8A">
              <w:rPr>
                <w:rFonts w:ascii="Times New Roman" w:eastAsia="Times New Roman" w:hAnsi="Times New Roman" w:cs="Times New Roman"/>
                <w:i/>
                <w:iCs/>
                <w:color w:val="000000"/>
                <w:kern w:val="0"/>
                <w:szCs w:val="24"/>
                <w:lang w:eastAsia="en-IN"/>
                <w14:ligatures w14:val="none"/>
              </w:rPr>
              <w:t>9.4</w:t>
            </w:r>
          </w:p>
        </w:tc>
        <w:tc>
          <w:tcPr>
            <w:tcW w:w="1420" w:type="dxa"/>
            <w:vAlign w:val="center"/>
            <w:hideMark/>
          </w:tcPr>
          <w:p w14:paraId="1461339E" w14:textId="77777777" w:rsidR="006C2579" w:rsidRPr="00E02C8A" w:rsidRDefault="006C2579" w:rsidP="006C2579">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E02C8A">
              <w:rPr>
                <w:rFonts w:ascii="Times New Roman" w:eastAsia="Times New Roman" w:hAnsi="Times New Roman" w:cs="Times New Roman"/>
                <w:i/>
                <w:iCs/>
                <w:color w:val="000000"/>
                <w:kern w:val="0"/>
                <w:szCs w:val="24"/>
                <w:lang w:eastAsia="en-IN"/>
                <w14:ligatures w14:val="none"/>
              </w:rPr>
              <w:t>8.2</w:t>
            </w:r>
          </w:p>
        </w:tc>
        <w:tc>
          <w:tcPr>
            <w:tcW w:w="1219" w:type="dxa"/>
            <w:vAlign w:val="center"/>
            <w:hideMark/>
          </w:tcPr>
          <w:p w14:paraId="7005FF2D" w14:textId="77777777" w:rsidR="006C2579" w:rsidRPr="00E02C8A" w:rsidRDefault="006C2579" w:rsidP="006C2579">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E02C8A">
              <w:rPr>
                <w:rFonts w:ascii="Times New Roman" w:eastAsia="Times New Roman" w:hAnsi="Times New Roman" w:cs="Times New Roman"/>
                <w:i/>
                <w:iCs/>
                <w:color w:val="000000"/>
                <w:kern w:val="0"/>
                <w:szCs w:val="24"/>
                <w:lang w:eastAsia="en-IN"/>
                <w14:ligatures w14:val="none"/>
              </w:rPr>
              <w:t>2.4</w:t>
            </w:r>
          </w:p>
        </w:tc>
        <w:tc>
          <w:tcPr>
            <w:tcW w:w="2269" w:type="dxa"/>
            <w:shd w:val="clear" w:color="000000" w:fill="FFFFFF"/>
            <w:vAlign w:val="center"/>
            <w:hideMark/>
          </w:tcPr>
          <w:p w14:paraId="311B45D4"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i/>
                <w:iCs/>
                <w:color w:val="1A1C1E"/>
                <w:kern w:val="0"/>
                <w:szCs w:val="24"/>
                <w:lang w:eastAsia="en-IN"/>
                <w14:ligatures w14:val="none"/>
              </w:rPr>
            </w:pPr>
            <w:r w:rsidRPr="00E02C8A">
              <w:rPr>
                <w:rFonts w:ascii="Times New Roman" w:eastAsia="Times New Roman" w:hAnsi="Times New Roman" w:cs="Times New Roman"/>
                <w:i/>
                <w:iCs/>
                <w:color w:val="1A1C1E"/>
                <w:kern w:val="0"/>
                <w:szCs w:val="24"/>
                <w:lang w:eastAsia="en-IN"/>
                <w14:ligatures w14:val="none"/>
              </w:rPr>
              <w:t>26.3</w:t>
            </w:r>
          </w:p>
        </w:tc>
        <w:tc>
          <w:tcPr>
            <w:tcW w:w="1295" w:type="dxa"/>
            <w:shd w:val="clear" w:color="000000" w:fill="FFFFFF"/>
            <w:vAlign w:val="center"/>
            <w:hideMark/>
          </w:tcPr>
          <w:p w14:paraId="7E529FD1"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i/>
                <w:iCs/>
                <w:color w:val="1A1C1E"/>
                <w:kern w:val="0"/>
                <w:szCs w:val="24"/>
                <w:lang w:eastAsia="en-IN"/>
                <w14:ligatures w14:val="none"/>
              </w:rPr>
            </w:pPr>
            <w:r w:rsidRPr="00E02C8A">
              <w:rPr>
                <w:rFonts w:ascii="Times New Roman" w:eastAsia="Times New Roman" w:hAnsi="Times New Roman" w:cs="Times New Roman"/>
                <w:i/>
                <w:iCs/>
                <w:color w:val="1A1C1E"/>
                <w:kern w:val="0"/>
                <w:szCs w:val="24"/>
                <w:lang w:eastAsia="en-IN"/>
                <w14:ligatures w14:val="none"/>
              </w:rPr>
              <w:t>25.6</w:t>
            </w:r>
          </w:p>
        </w:tc>
        <w:tc>
          <w:tcPr>
            <w:tcW w:w="1985" w:type="dxa"/>
            <w:shd w:val="clear" w:color="000000" w:fill="FFFFFF"/>
            <w:vAlign w:val="center"/>
            <w:hideMark/>
          </w:tcPr>
          <w:p w14:paraId="42CA11E8"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i/>
                <w:iCs/>
                <w:color w:val="1A1C1E"/>
                <w:kern w:val="0"/>
                <w:szCs w:val="24"/>
                <w:lang w:eastAsia="en-IN"/>
                <w14:ligatures w14:val="none"/>
              </w:rPr>
            </w:pPr>
            <w:r w:rsidRPr="00E02C8A">
              <w:rPr>
                <w:rFonts w:ascii="Times New Roman" w:eastAsia="Times New Roman" w:hAnsi="Times New Roman" w:cs="Times New Roman"/>
                <w:i/>
                <w:iCs/>
                <w:color w:val="1A1C1E"/>
                <w:kern w:val="0"/>
                <w:szCs w:val="24"/>
                <w:lang w:eastAsia="en-IN"/>
                <w14:ligatures w14:val="none"/>
              </w:rPr>
              <w:t>5.3</w:t>
            </w:r>
          </w:p>
        </w:tc>
        <w:tc>
          <w:tcPr>
            <w:tcW w:w="1070" w:type="dxa"/>
            <w:shd w:val="clear" w:color="000000" w:fill="FFFFFF"/>
            <w:vAlign w:val="center"/>
            <w:hideMark/>
          </w:tcPr>
          <w:p w14:paraId="5D1DCA38"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i/>
                <w:iCs/>
                <w:color w:val="1A1C1E"/>
                <w:kern w:val="0"/>
                <w:szCs w:val="24"/>
                <w:lang w:eastAsia="en-IN"/>
                <w14:ligatures w14:val="none"/>
              </w:rPr>
            </w:pPr>
            <w:r w:rsidRPr="00E02C8A">
              <w:rPr>
                <w:rFonts w:ascii="Times New Roman" w:eastAsia="Times New Roman" w:hAnsi="Times New Roman" w:cs="Times New Roman"/>
                <w:i/>
                <w:iCs/>
                <w:color w:val="1A1C1E"/>
                <w:kern w:val="0"/>
                <w:szCs w:val="24"/>
                <w:lang w:eastAsia="en-IN"/>
                <w14:ligatures w14:val="none"/>
              </w:rPr>
              <w:t>15.5</w:t>
            </w:r>
          </w:p>
        </w:tc>
        <w:tc>
          <w:tcPr>
            <w:tcW w:w="1182" w:type="dxa"/>
            <w:shd w:val="clear" w:color="000000" w:fill="FFFFFF"/>
            <w:vAlign w:val="center"/>
            <w:hideMark/>
          </w:tcPr>
          <w:p w14:paraId="5AE3B77C"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i/>
                <w:iCs/>
                <w:color w:val="1A1C1E"/>
                <w:kern w:val="0"/>
                <w:szCs w:val="24"/>
                <w:lang w:eastAsia="en-IN"/>
                <w14:ligatures w14:val="none"/>
              </w:rPr>
            </w:pPr>
            <w:r w:rsidRPr="00E02C8A">
              <w:rPr>
                <w:rFonts w:ascii="Times New Roman" w:eastAsia="Times New Roman" w:hAnsi="Times New Roman" w:cs="Times New Roman"/>
                <w:i/>
                <w:iCs/>
                <w:color w:val="1A1C1E"/>
                <w:kern w:val="0"/>
                <w:szCs w:val="24"/>
                <w:lang w:eastAsia="en-IN"/>
                <w14:ligatures w14:val="none"/>
              </w:rPr>
              <w:t>7.1</w:t>
            </w:r>
          </w:p>
        </w:tc>
        <w:tc>
          <w:tcPr>
            <w:tcW w:w="1379" w:type="dxa"/>
            <w:shd w:val="clear" w:color="000000" w:fill="FFFFFF"/>
            <w:vAlign w:val="center"/>
            <w:hideMark/>
          </w:tcPr>
          <w:p w14:paraId="6D02F486" w14:textId="4AB8D3E1" w:rsidR="006C2579" w:rsidRPr="00E02C8A" w:rsidRDefault="006C2579" w:rsidP="006C2579">
            <w:pPr>
              <w:spacing w:after="0" w:line="240" w:lineRule="auto"/>
              <w:ind w:firstLineChars="100" w:firstLine="240"/>
              <w:jc w:val="center"/>
              <w:rPr>
                <w:rFonts w:ascii="Times New Roman" w:eastAsia="Times New Roman" w:hAnsi="Times New Roman" w:cs="Times New Roman"/>
                <w:i/>
                <w:iCs/>
                <w:color w:val="1A1C1E"/>
                <w:kern w:val="0"/>
                <w:szCs w:val="24"/>
                <w:lang w:eastAsia="en-IN"/>
                <w14:ligatures w14:val="none"/>
              </w:rPr>
            </w:pPr>
          </w:p>
        </w:tc>
      </w:tr>
      <w:tr w:rsidR="006C2579" w:rsidRPr="00E02C8A" w14:paraId="0C6A93E2" w14:textId="77777777" w:rsidTr="006C2579">
        <w:trPr>
          <w:trHeight w:val="20"/>
          <w:jc w:val="center"/>
        </w:trPr>
        <w:tc>
          <w:tcPr>
            <w:tcW w:w="1603" w:type="dxa"/>
            <w:vAlign w:val="center"/>
            <w:hideMark/>
          </w:tcPr>
          <w:p w14:paraId="2E368394" w14:textId="77777777" w:rsidR="006C2579" w:rsidRPr="00E02C8A" w:rsidRDefault="006C2579" w:rsidP="006C2579">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Punjab</w:t>
            </w:r>
          </w:p>
        </w:tc>
        <w:tc>
          <w:tcPr>
            <w:tcW w:w="1450" w:type="dxa"/>
            <w:vAlign w:val="center"/>
            <w:hideMark/>
          </w:tcPr>
          <w:p w14:paraId="7C62A1D3" w14:textId="77777777" w:rsidR="006C2579" w:rsidRPr="00E02C8A" w:rsidRDefault="006C2579" w:rsidP="006C2579">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170</w:t>
            </w:r>
          </w:p>
        </w:tc>
        <w:tc>
          <w:tcPr>
            <w:tcW w:w="1420" w:type="dxa"/>
            <w:vAlign w:val="center"/>
            <w:hideMark/>
          </w:tcPr>
          <w:p w14:paraId="6EE70C6B" w14:textId="77777777" w:rsidR="006C2579" w:rsidRPr="00E02C8A" w:rsidRDefault="006C2579" w:rsidP="006C2579">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74</w:t>
            </w:r>
          </w:p>
        </w:tc>
        <w:tc>
          <w:tcPr>
            <w:tcW w:w="1219" w:type="dxa"/>
            <w:vAlign w:val="center"/>
            <w:hideMark/>
          </w:tcPr>
          <w:p w14:paraId="30D44CF3" w14:textId="77777777" w:rsidR="006C2579" w:rsidRPr="00E02C8A" w:rsidRDefault="006C2579" w:rsidP="006C2579">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-4</w:t>
            </w:r>
          </w:p>
        </w:tc>
        <w:tc>
          <w:tcPr>
            <w:tcW w:w="2269" w:type="dxa"/>
            <w:shd w:val="clear" w:color="000000" w:fill="FFFFFF"/>
            <w:vAlign w:val="center"/>
            <w:hideMark/>
          </w:tcPr>
          <w:p w14:paraId="5B98C54A"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E02C8A">
              <w:rPr>
                <w:rFonts w:ascii="Times New Roman" w:eastAsia="Times New Roman" w:hAnsi="Times New Roman" w:cs="Times New Roman"/>
                <w:color w:val="1A1C1E"/>
                <w:kern w:val="0"/>
                <w:szCs w:val="24"/>
                <w:lang w:eastAsia="en-IN"/>
                <w14:ligatures w14:val="none"/>
              </w:rPr>
              <w:t>523</w:t>
            </w:r>
          </w:p>
        </w:tc>
        <w:tc>
          <w:tcPr>
            <w:tcW w:w="1295" w:type="dxa"/>
            <w:shd w:val="clear" w:color="000000" w:fill="FFFFFF"/>
            <w:vAlign w:val="center"/>
            <w:hideMark/>
          </w:tcPr>
          <w:p w14:paraId="0ED59EDF"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E02C8A">
              <w:rPr>
                <w:rFonts w:ascii="Times New Roman" w:eastAsia="Times New Roman" w:hAnsi="Times New Roman" w:cs="Times New Roman"/>
                <w:color w:val="1A1C1E"/>
                <w:kern w:val="0"/>
                <w:szCs w:val="24"/>
                <w:lang w:eastAsia="en-IN"/>
                <w14:ligatures w14:val="none"/>
              </w:rPr>
              <w:t>400</w:t>
            </w:r>
          </w:p>
        </w:tc>
        <w:tc>
          <w:tcPr>
            <w:tcW w:w="1985" w:type="dxa"/>
            <w:shd w:val="clear" w:color="000000" w:fill="FFFFFF"/>
            <w:vAlign w:val="center"/>
            <w:hideMark/>
          </w:tcPr>
          <w:p w14:paraId="343C9592"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E02C8A">
              <w:rPr>
                <w:rFonts w:ascii="Times New Roman" w:eastAsia="Times New Roman" w:hAnsi="Times New Roman" w:cs="Times New Roman"/>
                <w:color w:val="1A1C1E"/>
                <w:kern w:val="0"/>
                <w:szCs w:val="24"/>
                <w:lang w:eastAsia="en-IN"/>
                <w14:ligatures w14:val="none"/>
              </w:rPr>
              <w:t>38</w:t>
            </w:r>
          </w:p>
        </w:tc>
        <w:tc>
          <w:tcPr>
            <w:tcW w:w="1070" w:type="dxa"/>
            <w:shd w:val="clear" w:color="000000" w:fill="FFFFFF"/>
            <w:vAlign w:val="center"/>
            <w:hideMark/>
          </w:tcPr>
          <w:p w14:paraId="1342E399"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E02C8A">
              <w:rPr>
                <w:rFonts w:ascii="Times New Roman" w:eastAsia="Times New Roman" w:hAnsi="Times New Roman" w:cs="Times New Roman"/>
                <w:color w:val="1A1C1E"/>
                <w:kern w:val="0"/>
                <w:szCs w:val="24"/>
                <w:lang w:eastAsia="en-IN"/>
                <w14:ligatures w14:val="none"/>
              </w:rPr>
              <w:t>218</w:t>
            </w:r>
          </w:p>
        </w:tc>
        <w:tc>
          <w:tcPr>
            <w:tcW w:w="1182" w:type="dxa"/>
            <w:shd w:val="clear" w:color="000000" w:fill="FFFFFF"/>
            <w:vAlign w:val="center"/>
            <w:hideMark/>
          </w:tcPr>
          <w:p w14:paraId="08222B18"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E02C8A">
              <w:rPr>
                <w:rFonts w:ascii="Times New Roman" w:eastAsia="Times New Roman" w:hAnsi="Times New Roman" w:cs="Times New Roman"/>
                <w:color w:val="1A1C1E"/>
                <w:kern w:val="0"/>
                <w:szCs w:val="24"/>
                <w:lang w:eastAsia="en-IN"/>
                <w14:ligatures w14:val="none"/>
              </w:rPr>
              <w:t>330</w:t>
            </w:r>
          </w:p>
        </w:tc>
        <w:tc>
          <w:tcPr>
            <w:tcW w:w="1379" w:type="dxa"/>
            <w:shd w:val="clear" w:color="000000" w:fill="FFFFFF"/>
            <w:vAlign w:val="center"/>
            <w:hideMark/>
          </w:tcPr>
          <w:p w14:paraId="21DBE846"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E02C8A">
              <w:rPr>
                <w:rFonts w:ascii="Times New Roman" w:eastAsia="Times New Roman" w:hAnsi="Times New Roman" w:cs="Times New Roman"/>
                <w:color w:val="1A1C1E"/>
                <w:kern w:val="0"/>
                <w:szCs w:val="24"/>
                <w:lang w:eastAsia="en-IN"/>
                <w14:ligatures w14:val="none"/>
              </w:rPr>
              <w:t>1748</w:t>
            </w:r>
          </w:p>
        </w:tc>
      </w:tr>
      <w:tr w:rsidR="006C2579" w:rsidRPr="00E02C8A" w14:paraId="4605DCAF" w14:textId="77777777" w:rsidTr="006C2579">
        <w:trPr>
          <w:trHeight w:val="20"/>
          <w:jc w:val="center"/>
        </w:trPr>
        <w:tc>
          <w:tcPr>
            <w:tcW w:w="1603" w:type="dxa"/>
            <w:vAlign w:val="center"/>
            <w:hideMark/>
          </w:tcPr>
          <w:p w14:paraId="6FB7FF65" w14:textId="2FA528B2" w:rsidR="006C2579" w:rsidRPr="00E02C8A" w:rsidRDefault="006C2579" w:rsidP="006C2579">
            <w:pPr>
              <w:spacing w:after="0" w:line="240" w:lineRule="auto"/>
              <w:jc w:val="center"/>
              <w:rPr>
                <w:rFonts w:ascii="Times New Roman" w:eastAsia="Times New Roman" w:hAnsi="Times New Roman" w:cs="Times New Roman"/>
                <w:i/>
                <w:iCs/>
                <w:color w:val="000000"/>
                <w:kern w:val="0"/>
                <w:szCs w:val="24"/>
                <w:lang w:eastAsia="en-IN"/>
                <w14:ligatures w14:val="none"/>
              </w:rPr>
            </w:pPr>
          </w:p>
        </w:tc>
        <w:tc>
          <w:tcPr>
            <w:tcW w:w="1450" w:type="dxa"/>
            <w:vAlign w:val="center"/>
            <w:hideMark/>
          </w:tcPr>
          <w:p w14:paraId="00CDABAC" w14:textId="77777777" w:rsidR="006C2579" w:rsidRPr="00E02C8A" w:rsidRDefault="006C2579" w:rsidP="006C2579">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E02C8A">
              <w:rPr>
                <w:rFonts w:ascii="Times New Roman" w:eastAsia="Times New Roman" w:hAnsi="Times New Roman" w:cs="Times New Roman"/>
                <w:i/>
                <w:iCs/>
                <w:color w:val="000000"/>
                <w:kern w:val="0"/>
                <w:szCs w:val="24"/>
                <w:lang w:eastAsia="en-IN"/>
                <w14:ligatures w14:val="none"/>
              </w:rPr>
              <w:t>9.7</w:t>
            </w:r>
          </w:p>
        </w:tc>
        <w:tc>
          <w:tcPr>
            <w:tcW w:w="1420" w:type="dxa"/>
            <w:vAlign w:val="center"/>
            <w:hideMark/>
          </w:tcPr>
          <w:p w14:paraId="6D3FA133" w14:textId="77777777" w:rsidR="006C2579" w:rsidRPr="00E02C8A" w:rsidRDefault="006C2579" w:rsidP="006C2579">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E02C8A">
              <w:rPr>
                <w:rFonts w:ascii="Times New Roman" w:eastAsia="Times New Roman" w:hAnsi="Times New Roman" w:cs="Times New Roman"/>
                <w:i/>
                <w:iCs/>
                <w:color w:val="000000"/>
                <w:kern w:val="0"/>
                <w:szCs w:val="24"/>
                <w:lang w:eastAsia="en-IN"/>
                <w14:ligatures w14:val="none"/>
              </w:rPr>
              <w:t>4.2</w:t>
            </w:r>
          </w:p>
        </w:tc>
        <w:tc>
          <w:tcPr>
            <w:tcW w:w="1219" w:type="dxa"/>
            <w:vAlign w:val="center"/>
            <w:hideMark/>
          </w:tcPr>
          <w:p w14:paraId="3D1818D1" w14:textId="77777777" w:rsidR="006C2579" w:rsidRPr="00E02C8A" w:rsidRDefault="006C2579" w:rsidP="006C2579">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E02C8A">
              <w:rPr>
                <w:rFonts w:ascii="Times New Roman" w:eastAsia="Times New Roman" w:hAnsi="Times New Roman" w:cs="Times New Roman"/>
                <w:i/>
                <w:iCs/>
                <w:color w:val="000000"/>
                <w:kern w:val="0"/>
                <w:szCs w:val="24"/>
                <w:lang w:eastAsia="en-IN"/>
                <w14:ligatures w14:val="none"/>
              </w:rPr>
              <w:t>(-)</w:t>
            </w:r>
          </w:p>
        </w:tc>
        <w:tc>
          <w:tcPr>
            <w:tcW w:w="2269" w:type="dxa"/>
            <w:shd w:val="clear" w:color="000000" w:fill="FFFFFF"/>
            <w:vAlign w:val="center"/>
            <w:hideMark/>
          </w:tcPr>
          <w:p w14:paraId="607CCF88"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i/>
                <w:iCs/>
                <w:color w:val="1A1C1E"/>
                <w:kern w:val="0"/>
                <w:szCs w:val="24"/>
                <w:lang w:eastAsia="en-IN"/>
                <w14:ligatures w14:val="none"/>
              </w:rPr>
            </w:pPr>
            <w:r w:rsidRPr="00E02C8A">
              <w:rPr>
                <w:rFonts w:ascii="Times New Roman" w:eastAsia="Times New Roman" w:hAnsi="Times New Roman" w:cs="Times New Roman"/>
                <w:i/>
                <w:iCs/>
                <w:color w:val="1A1C1E"/>
                <w:kern w:val="0"/>
                <w:szCs w:val="24"/>
                <w:lang w:eastAsia="en-IN"/>
                <w14:ligatures w14:val="none"/>
              </w:rPr>
              <w:t>29.9</w:t>
            </w:r>
          </w:p>
        </w:tc>
        <w:tc>
          <w:tcPr>
            <w:tcW w:w="1295" w:type="dxa"/>
            <w:shd w:val="clear" w:color="000000" w:fill="FFFFFF"/>
            <w:vAlign w:val="center"/>
            <w:hideMark/>
          </w:tcPr>
          <w:p w14:paraId="2F328ACB"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i/>
                <w:iCs/>
                <w:color w:val="1A1C1E"/>
                <w:kern w:val="0"/>
                <w:szCs w:val="24"/>
                <w:lang w:eastAsia="en-IN"/>
                <w14:ligatures w14:val="none"/>
              </w:rPr>
            </w:pPr>
            <w:r w:rsidRPr="00E02C8A">
              <w:rPr>
                <w:rFonts w:ascii="Times New Roman" w:eastAsia="Times New Roman" w:hAnsi="Times New Roman" w:cs="Times New Roman"/>
                <w:i/>
                <w:iCs/>
                <w:color w:val="1A1C1E"/>
                <w:kern w:val="0"/>
                <w:szCs w:val="24"/>
                <w:lang w:eastAsia="en-IN"/>
                <w14:ligatures w14:val="none"/>
              </w:rPr>
              <w:t>22.9</w:t>
            </w:r>
          </w:p>
        </w:tc>
        <w:tc>
          <w:tcPr>
            <w:tcW w:w="1985" w:type="dxa"/>
            <w:shd w:val="clear" w:color="000000" w:fill="FFFFFF"/>
            <w:vAlign w:val="center"/>
            <w:hideMark/>
          </w:tcPr>
          <w:p w14:paraId="41036749"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i/>
                <w:iCs/>
                <w:color w:val="1A1C1E"/>
                <w:kern w:val="0"/>
                <w:szCs w:val="24"/>
                <w:lang w:eastAsia="en-IN"/>
                <w14:ligatures w14:val="none"/>
              </w:rPr>
            </w:pPr>
            <w:r w:rsidRPr="00E02C8A">
              <w:rPr>
                <w:rFonts w:ascii="Times New Roman" w:eastAsia="Times New Roman" w:hAnsi="Times New Roman" w:cs="Times New Roman"/>
                <w:i/>
                <w:iCs/>
                <w:color w:val="1A1C1E"/>
                <w:kern w:val="0"/>
                <w:szCs w:val="24"/>
                <w:lang w:eastAsia="en-IN"/>
                <w14:ligatures w14:val="none"/>
              </w:rPr>
              <w:t>2.2</w:t>
            </w:r>
          </w:p>
        </w:tc>
        <w:tc>
          <w:tcPr>
            <w:tcW w:w="1070" w:type="dxa"/>
            <w:shd w:val="clear" w:color="000000" w:fill="FFFFFF"/>
            <w:vAlign w:val="center"/>
            <w:hideMark/>
          </w:tcPr>
          <w:p w14:paraId="3A9E37AF"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i/>
                <w:iCs/>
                <w:color w:val="1A1C1E"/>
                <w:kern w:val="0"/>
                <w:szCs w:val="24"/>
                <w:lang w:eastAsia="en-IN"/>
                <w14:ligatures w14:val="none"/>
              </w:rPr>
            </w:pPr>
            <w:r w:rsidRPr="00E02C8A">
              <w:rPr>
                <w:rFonts w:ascii="Times New Roman" w:eastAsia="Times New Roman" w:hAnsi="Times New Roman" w:cs="Times New Roman"/>
                <w:i/>
                <w:iCs/>
                <w:color w:val="1A1C1E"/>
                <w:kern w:val="0"/>
                <w:szCs w:val="24"/>
                <w:lang w:eastAsia="en-IN"/>
                <w14:ligatures w14:val="none"/>
              </w:rPr>
              <w:t>12.5</w:t>
            </w:r>
          </w:p>
        </w:tc>
        <w:tc>
          <w:tcPr>
            <w:tcW w:w="1182" w:type="dxa"/>
            <w:shd w:val="clear" w:color="000000" w:fill="FFFFFF"/>
            <w:vAlign w:val="center"/>
            <w:hideMark/>
          </w:tcPr>
          <w:p w14:paraId="62CAF815"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i/>
                <w:iCs/>
                <w:color w:val="1A1C1E"/>
                <w:kern w:val="0"/>
                <w:szCs w:val="24"/>
                <w:lang w:eastAsia="en-IN"/>
                <w14:ligatures w14:val="none"/>
              </w:rPr>
            </w:pPr>
            <w:r w:rsidRPr="00E02C8A">
              <w:rPr>
                <w:rFonts w:ascii="Times New Roman" w:eastAsia="Times New Roman" w:hAnsi="Times New Roman" w:cs="Times New Roman"/>
                <w:i/>
                <w:iCs/>
                <w:color w:val="1A1C1E"/>
                <w:kern w:val="0"/>
                <w:szCs w:val="24"/>
                <w:lang w:eastAsia="en-IN"/>
                <w14:ligatures w14:val="none"/>
              </w:rPr>
              <w:t>18.9</w:t>
            </w:r>
          </w:p>
        </w:tc>
        <w:tc>
          <w:tcPr>
            <w:tcW w:w="1379" w:type="dxa"/>
            <w:shd w:val="clear" w:color="000000" w:fill="FFFFFF"/>
            <w:vAlign w:val="center"/>
            <w:hideMark/>
          </w:tcPr>
          <w:p w14:paraId="1F9C30B9" w14:textId="6E16F2DA" w:rsidR="006C2579" w:rsidRPr="00E02C8A" w:rsidRDefault="006C2579" w:rsidP="006C2579">
            <w:pPr>
              <w:spacing w:after="0" w:line="240" w:lineRule="auto"/>
              <w:ind w:firstLineChars="100" w:firstLine="240"/>
              <w:jc w:val="center"/>
              <w:rPr>
                <w:rFonts w:ascii="Times New Roman" w:eastAsia="Times New Roman" w:hAnsi="Times New Roman" w:cs="Times New Roman"/>
                <w:i/>
                <w:iCs/>
                <w:color w:val="1A1C1E"/>
                <w:kern w:val="0"/>
                <w:szCs w:val="24"/>
                <w:lang w:eastAsia="en-IN"/>
                <w14:ligatures w14:val="none"/>
              </w:rPr>
            </w:pPr>
          </w:p>
        </w:tc>
      </w:tr>
      <w:tr w:rsidR="006C2579" w:rsidRPr="00E02C8A" w14:paraId="730522D3" w14:textId="77777777" w:rsidTr="006C2579">
        <w:trPr>
          <w:trHeight w:val="20"/>
          <w:jc w:val="center"/>
        </w:trPr>
        <w:tc>
          <w:tcPr>
            <w:tcW w:w="1603" w:type="dxa"/>
            <w:vAlign w:val="center"/>
            <w:hideMark/>
          </w:tcPr>
          <w:p w14:paraId="69EFF73E" w14:textId="77777777" w:rsidR="006C2579" w:rsidRPr="00E02C8A" w:rsidRDefault="006C2579" w:rsidP="006C2579">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Uttar Pradesh</w:t>
            </w:r>
          </w:p>
        </w:tc>
        <w:tc>
          <w:tcPr>
            <w:tcW w:w="1450" w:type="dxa"/>
            <w:vAlign w:val="center"/>
            <w:hideMark/>
          </w:tcPr>
          <w:p w14:paraId="35ED0547" w14:textId="77777777" w:rsidR="006C2579" w:rsidRPr="00E02C8A" w:rsidRDefault="006C2579" w:rsidP="006C2579">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543</w:t>
            </w:r>
          </w:p>
        </w:tc>
        <w:tc>
          <w:tcPr>
            <w:tcW w:w="1420" w:type="dxa"/>
            <w:vAlign w:val="center"/>
            <w:hideMark/>
          </w:tcPr>
          <w:p w14:paraId="60F04304" w14:textId="77777777" w:rsidR="006C2579" w:rsidRPr="00E02C8A" w:rsidRDefault="006C2579" w:rsidP="006C2579">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295</w:t>
            </w:r>
          </w:p>
        </w:tc>
        <w:tc>
          <w:tcPr>
            <w:tcW w:w="1219" w:type="dxa"/>
            <w:vAlign w:val="center"/>
            <w:hideMark/>
          </w:tcPr>
          <w:p w14:paraId="7C47E291" w14:textId="77777777" w:rsidR="006C2579" w:rsidRPr="00E02C8A" w:rsidRDefault="006C2579" w:rsidP="006C2579">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194</w:t>
            </w:r>
          </w:p>
        </w:tc>
        <w:tc>
          <w:tcPr>
            <w:tcW w:w="2269" w:type="dxa"/>
            <w:shd w:val="clear" w:color="000000" w:fill="FFFFFF"/>
            <w:vAlign w:val="center"/>
            <w:hideMark/>
          </w:tcPr>
          <w:p w14:paraId="6CCBC704"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E02C8A">
              <w:rPr>
                <w:rFonts w:ascii="Times New Roman" w:eastAsia="Times New Roman" w:hAnsi="Times New Roman" w:cs="Times New Roman"/>
                <w:color w:val="1A1C1E"/>
                <w:kern w:val="0"/>
                <w:szCs w:val="24"/>
                <w:lang w:eastAsia="en-IN"/>
                <w14:ligatures w14:val="none"/>
              </w:rPr>
              <w:t>1605</w:t>
            </w:r>
          </w:p>
        </w:tc>
        <w:tc>
          <w:tcPr>
            <w:tcW w:w="1295" w:type="dxa"/>
            <w:shd w:val="clear" w:color="000000" w:fill="FFFFFF"/>
            <w:vAlign w:val="center"/>
            <w:hideMark/>
          </w:tcPr>
          <w:p w14:paraId="609EC57C"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E02C8A">
              <w:rPr>
                <w:rFonts w:ascii="Times New Roman" w:eastAsia="Times New Roman" w:hAnsi="Times New Roman" w:cs="Times New Roman"/>
                <w:color w:val="1A1C1E"/>
                <w:kern w:val="0"/>
                <w:szCs w:val="24"/>
                <w:lang w:eastAsia="en-IN"/>
                <w14:ligatures w14:val="none"/>
              </w:rPr>
              <w:t>1705</w:t>
            </w:r>
          </w:p>
        </w:tc>
        <w:tc>
          <w:tcPr>
            <w:tcW w:w="1985" w:type="dxa"/>
            <w:shd w:val="clear" w:color="000000" w:fill="FFFFFF"/>
            <w:vAlign w:val="center"/>
            <w:hideMark/>
          </w:tcPr>
          <w:p w14:paraId="460B0894"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E02C8A">
              <w:rPr>
                <w:rFonts w:ascii="Times New Roman" w:eastAsia="Times New Roman" w:hAnsi="Times New Roman" w:cs="Times New Roman"/>
                <w:color w:val="1A1C1E"/>
                <w:kern w:val="0"/>
                <w:szCs w:val="24"/>
                <w:lang w:eastAsia="en-IN"/>
                <w14:ligatures w14:val="none"/>
              </w:rPr>
              <w:t>461</w:t>
            </w:r>
          </w:p>
        </w:tc>
        <w:tc>
          <w:tcPr>
            <w:tcW w:w="1070" w:type="dxa"/>
            <w:shd w:val="clear" w:color="000000" w:fill="FFFFFF"/>
            <w:vAlign w:val="center"/>
            <w:hideMark/>
          </w:tcPr>
          <w:p w14:paraId="3054EA23"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E02C8A">
              <w:rPr>
                <w:rFonts w:ascii="Times New Roman" w:eastAsia="Times New Roman" w:hAnsi="Times New Roman" w:cs="Times New Roman"/>
                <w:color w:val="1A1C1E"/>
                <w:kern w:val="0"/>
                <w:szCs w:val="24"/>
                <w:lang w:eastAsia="en-IN"/>
                <w14:ligatures w14:val="none"/>
              </w:rPr>
              <w:t>412</w:t>
            </w:r>
          </w:p>
        </w:tc>
        <w:tc>
          <w:tcPr>
            <w:tcW w:w="1182" w:type="dxa"/>
            <w:shd w:val="clear" w:color="000000" w:fill="FFFFFF"/>
            <w:vAlign w:val="center"/>
            <w:hideMark/>
          </w:tcPr>
          <w:p w14:paraId="44A7086C"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E02C8A">
              <w:rPr>
                <w:rFonts w:ascii="Times New Roman" w:eastAsia="Times New Roman" w:hAnsi="Times New Roman" w:cs="Times New Roman"/>
                <w:color w:val="1A1C1E"/>
                <w:kern w:val="0"/>
                <w:szCs w:val="24"/>
                <w:lang w:eastAsia="en-IN"/>
                <w14:ligatures w14:val="none"/>
              </w:rPr>
              <w:t>1308</w:t>
            </w:r>
          </w:p>
        </w:tc>
        <w:tc>
          <w:tcPr>
            <w:tcW w:w="1379" w:type="dxa"/>
            <w:shd w:val="clear" w:color="000000" w:fill="FFFFFF"/>
            <w:vAlign w:val="center"/>
            <w:hideMark/>
          </w:tcPr>
          <w:p w14:paraId="56FAEA8E"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E02C8A">
              <w:rPr>
                <w:rFonts w:ascii="Times New Roman" w:eastAsia="Times New Roman" w:hAnsi="Times New Roman" w:cs="Times New Roman"/>
                <w:color w:val="1A1C1E"/>
                <w:kern w:val="0"/>
                <w:szCs w:val="24"/>
                <w:lang w:eastAsia="en-IN"/>
                <w14:ligatures w14:val="none"/>
              </w:rPr>
              <w:t>6524</w:t>
            </w:r>
          </w:p>
        </w:tc>
      </w:tr>
      <w:tr w:rsidR="006C2579" w:rsidRPr="00E02C8A" w14:paraId="1F384785" w14:textId="77777777" w:rsidTr="006C2579">
        <w:trPr>
          <w:trHeight w:val="20"/>
          <w:jc w:val="center"/>
        </w:trPr>
        <w:tc>
          <w:tcPr>
            <w:tcW w:w="1603" w:type="dxa"/>
            <w:vAlign w:val="center"/>
            <w:hideMark/>
          </w:tcPr>
          <w:p w14:paraId="2715DF4E" w14:textId="016F8C43" w:rsidR="006C2579" w:rsidRPr="00E02C8A" w:rsidRDefault="006C2579" w:rsidP="006C2579">
            <w:pPr>
              <w:spacing w:after="0" w:line="240" w:lineRule="auto"/>
              <w:jc w:val="center"/>
              <w:rPr>
                <w:rFonts w:ascii="Times New Roman" w:eastAsia="Times New Roman" w:hAnsi="Times New Roman" w:cs="Times New Roman"/>
                <w:i/>
                <w:iCs/>
                <w:color w:val="000000"/>
                <w:kern w:val="0"/>
                <w:szCs w:val="24"/>
                <w:lang w:eastAsia="en-IN"/>
                <w14:ligatures w14:val="none"/>
              </w:rPr>
            </w:pPr>
          </w:p>
        </w:tc>
        <w:tc>
          <w:tcPr>
            <w:tcW w:w="1450" w:type="dxa"/>
            <w:vAlign w:val="center"/>
            <w:hideMark/>
          </w:tcPr>
          <w:p w14:paraId="0D24877C" w14:textId="77777777" w:rsidR="006C2579" w:rsidRPr="00E02C8A" w:rsidRDefault="006C2579" w:rsidP="006C2579">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E02C8A">
              <w:rPr>
                <w:rFonts w:ascii="Times New Roman" w:eastAsia="Times New Roman" w:hAnsi="Times New Roman" w:cs="Times New Roman"/>
                <w:i/>
                <w:iCs/>
                <w:color w:val="000000"/>
                <w:kern w:val="0"/>
                <w:szCs w:val="24"/>
                <w:lang w:eastAsia="en-IN"/>
                <w14:ligatures w14:val="none"/>
              </w:rPr>
              <w:t>8.3</w:t>
            </w:r>
          </w:p>
        </w:tc>
        <w:tc>
          <w:tcPr>
            <w:tcW w:w="1420" w:type="dxa"/>
            <w:vAlign w:val="center"/>
            <w:hideMark/>
          </w:tcPr>
          <w:p w14:paraId="4D6E52D9" w14:textId="3F293C75" w:rsidR="006C2579" w:rsidRPr="00E02C8A" w:rsidRDefault="006C2579" w:rsidP="006C2579">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E02C8A">
              <w:rPr>
                <w:rFonts w:ascii="Times New Roman" w:eastAsia="Times New Roman" w:hAnsi="Times New Roman" w:cs="Times New Roman"/>
                <w:i/>
                <w:iCs/>
                <w:color w:val="000000"/>
                <w:kern w:val="0"/>
                <w:szCs w:val="24"/>
                <w:lang w:eastAsia="en-IN"/>
                <w14:ligatures w14:val="none"/>
              </w:rPr>
              <w:t>4.</w:t>
            </w:r>
            <w:r w:rsidR="005B4807" w:rsidRPr="00E02C8A">
              <w:rPr>
                <w:rFonts w:ascii="Times New Roman" w:eastAsia="Times New Roman" w:hAnsi="Times New Roman" w:cs="Times New Roman"/>
                <w:i/>
                <w:iCs/>
                <w:color w:val="000000"/>
                <w:kern w:val="0"/>
                <w:szCs w:val="24"/>
                <w:lang w:eastAsia="en-IN"/>
                <w14:ligatures w14:val="none"/>
              </w:rPr>
              <w:t>5</w:t>
            </w:r>
          </w:p>
        </w:tc>
        <w:tc>
          <w:tcPr>
            <w:tcW w:w="1219" w:type="dxa"/>
            <w:vAlign w:val="center"/>
            <w:hideMark/>
          </w:tcPr>
          <w:p w14:paraId="1C6D2E85" w14:textId="77777777" w:rsidR="006C2579" w:rsidRPr="00E02C8A" w:rsidRDefault="006C2579" w:rsidP="006C2579">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E02C8A">
              <w:rPr>
                <w:rFonts w:ascii="Times New Roman" w:eastAsia="Times New Roman" w:hAnsi="Times New Roman" w:cs="Times New Roman"/>
                <w:i/>
                <w:iCs/>
                <w:color w:val="000000"/>
                <w:kern w:val="0"/>
                <w:szCs w:val="24"/>
                <w:lang w:eastAsia="en-IN"/>
                <w14:ligatures w14:val="none"/>
              </w:rPr>
              <w:t>3</w:t>
            </w:r>
          </w:p>
        </w:tc>
        <w:tc>
          <w:tcPr>
            <w:tcW w:w="2269" w:type="dxa"/>
            <w:shd w:val="clear" w:color="000000" w:fill="FFFFFF"/>
            <w:vAlign w:val="center"/>
            <w:hideMark/>
          </w:tcPr>
          <w:p w14:paraId="239E5612"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i/>
                <w:iCs/>
                <w:color w:val="1A1C1E"/>
                <w:kern w:val="0"/>
                <w:szCs w:val="24"/>
                <w:lang w:eastAsia="en-IN"/>
                <w14:ligatures w14:val="none"/>
              </w:rPr>
            </w:pPr>
            <w:r w:rsidRPr="00E02C8A">
              <w:rPr>
                <w:rFonts w:ascii="Times New Roman" w:eastAsia="Times New Roman" w:hAnsi="Times New Roman" w:cs="Times New Roman"/>
                <w:i/>
                <w:iCs/>
                <w:color w:val="1A1C1E"/>
                <w:kern w:val="0"/>
                <w:szCs w:val="24"/>
                <w:lang w:eastAsia="en-IN"/>
                <w14:ligatures w14:val="none"/>
              </w:rPr>
              <w:t>24.6</w:t>
            </w:r>
          </w:p>
        </w:tc>
        <w:tc>
          <w:tcPr>
            <w:tcW w:w="1295" w:type="dxa"/>
            <w:shd w:val="clear" w:color="000000" w:fill="FFFFFF"/>
            <w:vAlign w:val="center"/>
            <w:hideMark/>
          </w:tcPr>
          <w:p w14:paraId="0C58BB65"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i/>
                <w:iCs/>
                <w:color w:val="1A1C1E"/>
                <w:kern w:val="0"/>
                <w:szCs w:val="24"/>
                <w:lang w:eastAsia="en-IN"/>
                <w14:ligatures w14:val="none"/>
              </w:rPr>
            </w:pPr>
            <w:r w:rsidRPr="00E02C8A">
              <w:rPr>
                <w:rFonts w:ascii="Times New Roman" w:eastAsia="Times New Roman" w:hAnsi="Times New Roman" w:cs="Times New Roman"/>
                <w:i/>
                <w:iCs/>
                <w:color w:val="1A1C1E"/>
                <w:kern w:val="0"/>
                <w:szCs w:val="24"/>
                <w:lang w:eastAsia="en-IN"/>
                <w14:ligatures w14:val="none"/>
              </w:rPr>
              <w:t>26.1</w:t>
            </w:r>
          </w:p>
        </w:tc>
        <w:tc>
          <w:tcPr>
            <w:tcW w:w="1985" w:type="dxa"/>
            <w:shd w:val="clear" w:color="000000" w:fill="FFFFFF"/>
            <w:vAlign w:val="center"/>
            <w:hideMark/>
          </w:tcPr>
          <w:p w14:paraId="4319D6C7"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i/>
                <w:iCs/>
                <w:color w:val="1A1C1E"/>
                <w:kern w:val="0"/>
                <w:szCs w:val="24"/>
                <w:lang w:eastAsia="en-IN"/>
                <w14:ligatures w14:val="none"/>
              </w:rPr>
            </w:pPr>
            <w:r w:rsidRPr="00E02C8A">
              <w:rPr>
                <w:rFonts w:ascii="Times New Roman" w:eastAsia="Times New Roman" w:hAnsi="Times New Roman" w:cs="Times New Roman"/>
                <w:i/>
                <w:iCs/>
                <w:color w:val="1A1C1E"/>
                <w:kern w:val="0"/>
                <w:szCs w:val="24"/>
                <w:lang w:eastAsia="en-IN"/>
                <w14:ligatures w14:val="none"/>
              </w:rPr>
              <w:t>7.1</w:t>
            </w:r>
          </w:p>
        </w:tc>
        <w:tc>
          <w:tcPr>
            <w:tcW w:w="1070" w:type="dxa"/>
            <w:shd w:val="clear" w:color="000000" w:fill="FFFFFF"/>
            <w:vAlign w:val="center"/>
            <w:hideMark/>
          </w:tcPr>
          <w:p w14:paraId="515155E7"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i/>
                <w:iCs/>
                <w:color w:val="1A1C1E"/>
                <w:kern w:val="0"/>
                <w:szCs w:val="24"/>
                <w:lang w:eastAsia="en-IN"/>
                <w14:ligatures w14:val="none"/>
              </w:rPr>
            </w:pPr>
            <w:r w:rsidRPr="00E02C8A">
              <w:rPr>
                <w:rFonts w:ascii="Times New Roman" w:eastAsia="Times New Roman" w:hAnsi="Times New Roman" w:cs="Times New Roman"/>
                <w:i/>
                <w:iCs/>
                <w:color w:val="1A1C1E"/>
                <w:kern w:val="0"/>
                <w:szCs w:val="24"/>
                <w:lang w:eastAsia="en-IN"/>
                <w14:ligatures w14:val="none"/>
              </w:rPr>
              <w:t>6.3</w:t>
            </w:r>
          </w:p>
        </w:tc>
        <w:tc>
          <w:tcPr>
            <w:tcW w:w="1182" w:type="dxa"/>
            <w:shd w:val="clear" w:color="000000" w:fill="FFFFFF"/>
            <w:vAlign w:val="center"/>
            <w:hideMark/>
          </w:tcPr>
          <w:p w14:paraId="38594EF1"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i/>
                <w:iCs/>
                <w:color w:val="1A1C1E"/>
                <w:kern w:val="0"/>
                <w:szCs w:val="24"/>
                <w:lang w:eastAsia="en-IN"/>
                <w14:ligatures w14:val="none"/>
              </w:rPr>
            </w:pPr>
            <w:r w:rsidRPr="00E02C8A">
              <w:rPr>
                <w:rFonts w:ascii="Times New Roman" w:eastAsia="Times New Roman" w:hAnsi="Times New Roman" w:cs="Times New Roman"/>
                <w:i/>
                <w:iCs/>
                <w:color w:val="1A1C1E"/>
                <w:kern w:val="0"/>
                <w:szCs w:val="24"/>
                <w:lang w:eastAsia="en-IN"/>
                <w14:ligatures w14:val="none"/>
              </w:rPr>
              <w:t>20.1</w:t>
            </w:r>
          </w:p>
        </w:tc>
        <w:tc>
          <w:tcPr>
            <w:tcW w:w="1379" w:type="dxa"/>
            <w:shd w:val="clear" w:color="000000" w:fill="FFFFFF"/>
            <w:vAlign w:val="center"/>
            <w:hideMark/>
          </w:tcPr>
          <w:p w14:paraId="55364D17" w14:textId="2F648B95" w:rsidR="006C2579" w:rsidRPr="00E02C8A" w:rsidRDefault="006C2579" w:rsidP="006C2579">
            <w:pPr>
              <w:spacing w:after="0" w:line="240" w:lineRule="auto"/>
              <w:ind w:firstLineChars="100" w:firstLine="240"/>
              <w:jc w:val="center"/>
              <w:rPr>
                <w:rFonts w:ascii="Times New Roman" w:eastAsia="Times New Roman" w:hAnsi="Times New Roman" w:cs="Times New Roman"/>
                <w:i/>
                <w:iCs/>
                <w:color w:val="1A1C1E"/>
                <w:kern w:val="0"/>
                <w:szCs w:val="24"/>
                <w:lang w:eastAsia="en-IN"/>
                <w14:ligatures w14:val="none"/>
              </w:rPr>
            </w:pPr>
          </w:p>
        </w:tc>
      </w:tr>
      <w:tr w:rsidR="006C2579" w:rsidRPr="00E02C8A" w14:paraId="29B1AF36" w14:textId="77777777" w:rsidTr="006C2579">
        <w:trPr>
          <w:trHeight w:val="20"/>
          <w:jc w:val="center"/>
        </w:trPr>
        <w:tc>
          <w:tcPr>
            <w:tcW w:w="1603" w:type="dxa"/>
            <w:vAlign w:val="center"/>
            <w:hideMark/>
          </w:tcPr>
          <w:p w14:paraId="4D1C7CD4" w14:textId="77777777" w:rsidR="006C2579" w:rsidRPr="00E02C8A" w:rsidRDefault="006C2579" w:rsidP="006C2579">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West Bengal</w:t>
            </w:r>
          </w:p>
        </w:tc>
        <w:tc>
          <w:tcPr>
            <w:tcW w:w="1450" w:type="dxa"/>
            <w:vAlign w:val="center"/>
            <w:hideMark/>
          </w:tcPr>
          <w:p w14:paraId="58ED9DBE" w14:textId="77777777" w:rsidR="006C2579" w:rsidRPr="00E02C8A" w:rsidRDefault="006C2579" w:rsidP="006C2579">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191</w:t>
            </w:r>
          </w:p>
        </w:tc>
        <w:tc>
          <w:tcPr>
            <w:tcW w:w="1420" w:type="dxa"/>
            <w:vAlign w:val="center"/>
            <w:hideMark/>
          </w:tcPr>
          <w:p w14:paraId="2EC95BDD" w14:textId="77777777" w:rsidR="006C2579" w:rsidRPr="00E02C8A" w:rsidRDefault="006C2579" w:rsidP="006C2579">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146</w:t>
            </w:r>
          </w:p>
        </w:tc>
        <w:tc>
          <w:tcPr>
            <w:tcW w:w="1219" w:type="dxa"/>
            <w:vAlign w:val="center"/>
            <w:hideMark/>
          </w:tcPr>
          <w:p w14:paraId="7DD5FEF4" w14:textId="77777777" w:rsidR="006C2579" w:rsidRPr="00E02C8A" w:rsidRDefault="006C2579" w:rsidP="006C2579">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30</w:t>
            </w:r>
          </w:p>
        </w:tc>
        <w:tc>
          <w:tcPr>
            <w:tcW w:w="2269" w:type="dxa"/>
            <w:shd w:val="clear" w:color="000000" w:fill="FFFFFF"/>
            <w:vAlign w:val="center"/>
            <w:hideMark/>
          </w:tcPr>
          <w:p w14:paraId="15A2D665"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E02C8A">
              <w:rPr>
                <w:rFonts w:ascii="Times New Roman" w:eastAsia="Times New Roman" w:hAnsi="Times New Roman" w:cs="Times New Roman"/>
                <w:color w:val="1A1C1E"/>
                <w:kern w:val="0"/>
                <w:szCs w:val="24"/>
                <w:lang w:eastAsia="en-IN"/>
                <w14:ligatures w14:val="none"/>
              </w:rPr>
              <w:t>1073</w:t>
            </w:r>
          </w:p>
        </w:tc>
        <w:tc>
          <w:tcPr>
            <w:tcW w:w="1295" w:type="dxa"/>
            <w:shd w:val="clear" w:color="000000" w:fill="FFFFFF"/>
            <w:vAlign w:val="center"/>
            <w:hideMark/>
          </w:tcPr>
          <w:p w14:paraId="2307AEFE"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E02C8A">
              <w:rPr>
                <w:rFonts w:ascii="Times New Roman" w:eastAsia="Times New Roman" w:hAnsi="Times New Roman" w:cs="Times New Roman"/>
                <w:color w:val="1A1C1E"/>
                <w:kern w:val="0"/>
                <w:szCs w:val="24"/>
                <w:lang w:eastAsia="en-IN"/>
                <w14:ligatures w14:val="none"/>
              </w:rPr>
              <w:t>1156</w:t>
            </w:r>
          </w:p>
        </w:tc>
        <w:tc>
          <w:tcPr>
            <w:tcW w:w="1985" w:type="dxa"/>
            <w:shd w:val="clear" w:color="000000" w:fill="FFFFFF"/>
            <w:vAlign w:val="center"/>
            <w:hideMark/>
          </w:tcPr>
          <w:p w14:paraId="78D118FE"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E02C8A">
              <w:rPr>
                <w:rFonts w:ascii="Times New Roman" w:eastAsia="Times New Roman" w:hAnsi="Times New Roman" w:cs="Times New Roman"/>
                <w:color w:val="1A1C1E"/>
                <w:kern w:val="0"/>
                <w:szCs w:val="24"/>
                <w:lang w:eastAsia="en-IN"/>
                <w14:ligatures w14:val="none"/>
              </w:rPr>
              <w:t>157</w:t>
            </w:r>
          </w:p>
        </w:tc>
        <w:tc>
          <w:tcPr>
            <w:tcW w:w="1070" w:type="dxa"/>
            <w:shd w:val="clear" w:color="000000" w:fill="FFFFFF"/>
            <w:vAlign w:val="center"/>
            <w:hideMark/>
          </w:tcPr>
          <w:p w14:paraId="08B8B67F"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E02C8A">
              <w:rPr>
                <w:rFonts w:ascii="Times New Roman" w:eastAsia="Times New Roman" w:hAnsi="Times New Roman" w:cs="Times New Roman"/>
                <w:color w:val="1A1C1E"/>
                <w:kern w:val="0"/>
                <w:szCs w:val="24"/>
                <w:lang w:eastAsia="en-IN"/>
                <w14:ligatures w14:val="none"/>
              </w:rPr>
              <w:t>480</w:t>
            </w:r>
          </w:p>
        </w:tc>
        <w:tc>
          <w:tcPr>
            <w:tcW w:w="1182" w:type="dxa"/>
            <w:shd w:val="clear" w:color="000000" w:fill="FFFFFF"/>
            <w:vAlign w:val="center"/>
            <w:hideMark/>
          </w:tcPr>
          <w:p w14:paraId="313DE11B"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E02C8A">
              <w:rPr>
                <w:rFonts w:ascii="Times New Roman" w:eastAsia="Times New Roman" w:hAnsi="Times New Roman" w:cs="Times New Roman"/>
                <w:color w:val="1A1C1E"/>
                <w:kern w:val="0"/>
                <w:szCs w:val="24"/>
                <w:lang w:eastAsia="en-IN"/>
                <w14:ligatures w14:val="none"/>
              </w:rPr>
              <w:t>971</w:t>
            </w:r>
          </w:p>
        </w:tc>
        <w:tc>
          <w:tcPr>
            <w:tcW w:w="1379" w:type="dxa"/>
            <w:shd w:val="clear" w:color="000000" w:fill="FFFFFF"/>
            <w:vAlign w:val="center"/>
            <w:hideMark/>
          </w:tcPr>
          <w:p w14:paraId="2DF1A0C7"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E02C8A">
              <w:rPr>
                <w:rFonts w:ascii="Times New Roman" w:eastAsia="Times New Roman" w:hAnsi="Times New Roman" w:cs="Times New Roman"/>
                <w:color w:val="1A1C1E"/>
                <w:kern w:val="0"/>
                <w:szCs w:val="24"/>
                <w:lang w:eastAsia="en-IN"/>
                <w14:ligatures w14:val="none"/>
              </w:rPr>
              <w:t>4204</w:t>
            </w:r>
          </w:p>
        </w:tc>
      </w:tr>
      <w:tr w:rsidR="006C2579" w:rsidRPr="00E02C8A" w14:paraId="54A1609A" w14:textId="77777777" w:rsidTr="006C2579">
        <w:trPr>
          <w:trHeight w:val="20"/>
          <w:jc w:val="center"/>
        </w:trPr>
        <w:tc>
          <w:tcPr>
            <w:tcW w:w="1603" w:type="dxa"/>
            <w:vAlign w:val="center"/>
            <w:hideMark/>
          </w:tcPr>
          <w:p w14:paraId="209B77F2" w14:textId="3F4B912C" w:rsidR="006C2579" w:rsidRPr="00E02C8A" w:rsidRDefault="006C2579" w:rsidP="006C2579">
            <w:pPr>
              <w:spacing w:after="0" w:line="240" w:lineRule="auto"/>
              <w:jc w:val="center"/>
              <w:rPr>
                <w:rFonts w:ascii="Times New Roman" w:eastAsia="Times New Roman" w:hAnsi="Times New Roman" w:cs="Times New Roman"/>
                <w:i/>
                <w:iCs/>
                <w:color w:val="000000"/>
                <w:kern w:val="0"/>
                <w:szCs w:val="24"/>
                <w:lang w:eastAsia="en-IN"/>
                <w14:ligatures w14:val="none"/>
              </w:rPr>
            </w:pPr>
          </w:p>
        </w:tc>
        <w:tc>
          <w:tcPr>
            <w:tcW w:w="1450" w:type="dxa"/>
            <w:vAlign w:val="center"/>
            <w:hideMark/>
          </w:tcPr>
          <w:p w14:paraId="075543C7" w14:textId="77777777" w:rsidR="006C2579" w:rsidRPr="00E02C8A" w:rsidRDefault="006C2579" w:rsidP="006C2579">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E02C8A">
              <w:rPr>
                <w:rFonts w:ascii="Times New Roman" w:eastAsia="Times New Roman" w:hAnsi="Times New Roman" w:cs="Times New Roman"/>
                <w:i/>
                <w:iCs/>
                <w:color w:val="000000"/>
                <w:kern w:val="0"/>
                <w:szCs w:val="24"/>
                <w:lang w:eastAsia="en-IN"/>
                <w14:ligatures w14:val="none"/>
              </w:rPr>
              <w:t>4.5</w:t>
            </w:r>
          </w:p>
        </w:tc>
        <w:tc>
          <w:tcPr>
            <w:tcW w:w="1420" w:type="dxa"/>
            <w:vAlign w:val="center"/>
            <w:hideMark/>
          </w:tcPr>
          <w:p w14:paraId="6D15D9FE" w14:textId="77777777" w:rsidR="006C2579" w:rsidRPr="00E02C8A" w:rsidRDefault="006C2579" w:rsidP="006C2579">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E02C8A">
              <w:rPr>
                <w:rFonts w:ascii="Times New Roman" w:eastAsia="Times New Roman" w:hAnsi="Times New Roman" w:cs="Times New Roman"/>
                <w:i/>
                <w:iCs/>
                <w:color w:val="000000"/>
                <w:kern w:val="0"/>
                <w:szCs w:val="24"/>
                <w:lang w:eastAsia="en-IN"/>
                <w14:ligatures w14:val="none"/>
              </w:rPr>
              <w:t>3.5</w:t>
            </w:r>
          </w:p>
        </w:tc>
        <w:tc>
          <w:tcPr>
            <w:tcW w:w="1219" w:type="dxa"/>
            <w:vAlign w:val="center"/>
            <w:hideMark/>
          </w:tcPr>
          <w:p w14:paraId="7A58E805" w14:textId="77777777" w:rsidR="006C2579" w:rsidRPr="00E02C8A" w:rsidRDefault="006C2579" w:rsidP="006C2579">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E02C8A">
              <w:rPr>
                <w:rFonts w:ascii="Times New Roman" w:eastAsia="Times New Roman" w:hAnsi="Times New Roman" w:cs="Times New Roman"/>
                <w:i/>
                <w:iCs/>
                <w:color w:val="000000"/>
                <w:kern w:val="0"/>
                <w:szCs w:val="24"/>
                <w:lang w:eastAsia="en-IN"/>
                <w14:ligatures w14:val="none"/>
              </w:rPr>
              <w:t>0.7</w:t>
            </w:r>
          </w:p>
        </w:tc>
        <w:tc>
          <w:tcPr>
            <w:tcW w:w="2269" w:type="dxa"/>
            <w:shd w:val="clear" w:color="000000" w:fill="FFFFFF"/>
            <w:vAlign w:val="center"/>
            <w:hideMark/>
          </w:tcPr>
          <w:p w14:paraId="3FCA06AC"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i/>
                <w:iCs/>
                <w:color w:val="1A1C1E"/>
                <w:kern w:val="0"/>
                <w:szCs w:val="24"/>
                <w:lang w:eastAsia="en-IN"/>
                <w14:ligatures w14:val="none"/>
              </w:rPr>
            </w:pPr>
            <w:r w:rsidRPr="00E02C8A">
              <w:rPr>
                <w:rFonts w:ascii="Times New Roman" w:eastAsia="Times New Roman" w:hAnsi="Times New Roman" w:cs="Times New Roman"/>
                <w:i/>
                <w:iCs/>
                <w:color w:val="1A1C1E"/>
                <w:kern w:val="0"/>
                <w:szCs w:val="24"/>
                <w:lang w:eastAsia="en-IN"/>
                <w14:ligatures w14:val="none"/>
              </w:rPr>
              <w:t>25.5</w:t>
            </w:r>
          </w:p>
        </w:tc>
        <w:tc>
          <w:tcPr>
            <w:tcW w:w="1295" w:type="dxa"/>
            <w:shd w:val="clear" w:color="000000" w:fill="FFFFFF"/>
            <w:vAlign w:val="center"/>
            <w:hideMark/>
          </w:tcPr>
          <w:p w14:paraId="446EBBE4"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i/>
                <w:iCs/>
                <w:color w:val="1A1C1E"/>
                <w:kern w:val="0"/>
                <w:szCs w:val="24"/>
                <w:lang w:eastAsia="en-IN"/>
                <w14:ligatures w14:val="none"/>
              </w:rPr>
            </w:pPr>
            <w:r w:rsidRPr="00E02C8A">
              <w:rPr>
                <w:rFonts w:ascii="Times New Roman" w:eastAsia="Times New Roman" w:hAnsi="Times New Roman" w:cs="Times New Roman"/>
                <w:i/>
                <w:iCs/>
                <w:color w:val="1A1C1E"/>
                <w:kern w:val="0"/>
                <w:szCs w:val="24"/>
                <w:lang w:eastAsia="en-IN"/>
                <w14:ligatures w14:val="none"/>
              </w:rPr>
              <w:t>27.5</w:t>
            </w:r>
          </w:p>
        </w:tc>
        <w:tc>
          <w:tcPr>
            <w:tcW w:w="1985" w:type="dxa"/>
            <w:shd w:val="clear" w:color="000000" w:fill="FFFFFF"/>
            <w:vAlign w:val="center"/>
            <w:hideMark/>
          </w:tcPr>
          <w:p w14:paraId="672AF7A3"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i/>
                <w:iCs/>
                <w:color w:val="1A1C1E"/>
                <w:kern w:val="0"/>
                <w:szCs w:val="24"/>
                <w:lang w:eastAsia="en-IN"/>
                <w14:ligatures w14:val="none"/>
              </w:rPr>
            </w:pPr>
            <w:r w:rsidRPr="00E02C8A">
              <w:rPr>
                <w:rFonts w:ascii="Times New Roman" w:eastAsia="Times New Roman" w:hAnsi="Times New Roman" w:cs="Times New Roman"/>
                <w:i/>
                <w:iCs/>
                <w:color w:val="1A1C1E"/>
                <w:kern w:val="0"/>
                <w:szCs w:val="24"/>
                <w:lang w:eastAsia="en-IN"/>
                <w14:ligatures w14:val="none"/>
              </w:rPr>
              <w:t>3.7</w:t>
            </w:r>
          </w:p>
        </w:tc>
        <w:tc>
          <w:tcPr>
            <w:tcW w:w="1070" w:type="dxa"/>
            <w:shd w:val="clear" w:color="000000" w:fill="FFFFFF"/>
            <w:vAlign w:val="center"/>
            <w:hideMark/>
          </w:tcPr>
          <w:p w14:paraId="766B11F0"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i/>
                <w:iCs/>
                <w:color w:val="1A1C1E"/>
                <w:kern w:val="0"/>
                <w:szCs w:val="24"/>
                <w:lang w:eastAsia="en-IN"/>
                <w14:ligatures w14:val="none"/>
              </w:rPr>
            </w:pPr>
            <w:r w:rsidRPr="00E02C8A">
              <w:rPr>
                <w:rFonts w:ascii="Times New Roman" w:eastAsia="Times New Roman" w:hAnsi="Times New Roman" w:cs="Times New Roman"/>
                <w:i/>
                <w:iCs/>
                <w:color w:val="1A1C1E"/>
                <w:kern w:val="0"/>
                <w:szCs w:val="24"/>
                <w:lang w:eastAsia="en-IN"/>
                <w14:ligatures w14:val="none"/>
              </w:rPr>
              <w:t>11.4</w:t>
            </w:r>
          </w:p>
        </w:tc>
        <w:tc>
          <w:tcPr>
            <w:tcW w:w="1182" w:type="dxa"/>
            <w:shd w:val="clear" w:color="000000" w:fill="FFFFFF"/>
            <w:vAlign w:val="center"/>
            <w:hideMark/>
          </w:tcPr>
          <w:p w14:paraId="049C0958"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i/>
                <w:iCs/>
                <w:color w:val="1A1C1E"/>
                <w:kern w:val="0"/>
                <w:szCs w:val="24"/>
                <w:lang w:eastAsia="en-IN"/>
                <w14:ligatures w14:val="none"/>
              </w:rPr>
            </w:pPr>
            <w:r w:rsidRPr="00E02C8A">
              <w:rPr>
                <w:rFonts w:ascii="Times New Roman" w:eastAsia="Times New Roman" w:hAnsi="Times New Roman" w:cs="Times New Roman"/>
                <w:i/>
                <w:iCs/>
                <w:color w:val="1A1C1E"/>
                <w:kern w:val="0"/>
                <w:szCs w:val="24"/>
                <w:lang w:eastAsia="en-IN"/>
                <w14:ligatures w14:val="none"/>
              </w:rPr>
              <w:t>23.1</w:t>
            </w:r>
          </w:p>
        </w:tc>
        <w:tc>
          <w:tcPr>
            <w:tcW w:w="1379" w:type="dxa"/>
            <w:shd w:val="clear" w:color="000000" w:fill="FFFFFF"/>
            <w:vAlign w:val="center"/>
            <w:hideMark/>
          </w:tcPr>
          <w:p w14:paraId="711F30D5" w14:textId="510D133F" w:rsidR="006C2579" w:rsidRPr="00E02C8A" w:rsidRDefault="006C2579" w:rsidP="006C2579">
            <w:pPr>
              <w:spacing w:after="0" w:line="240" w:lineRule="auto"/>
              <w:ind w:firstLineChars="100" w:firstLine="240"/>
              <w:jc w:val="center"/>
              <w:rPr>
                <w:rFonts w:ascii="Times New Roman" w:eastAsia="Times New Roman" w:hAnsi="Times New Roman" w:cs="Times New Roman"/>
                <w:i/>
                <w:iCs/>
                <w:color w:val="1A1C1E"/>
                <w:kern w:val="0"/>
                <w:szCs w:val="24"/>
                <w:lang w:eastAsia="en-IN"/>
                <w14:ligatures w14:val="none"/>
              </w:rPr>
            </w:pPr>
          </w:p>
        </w:tc>
      </w:tr>
      <w:tr w:rsidR="006C2579" w:rsidRPr="00E02C8A" w14:paraId="60BFF892" w14:textId="77777777" w:rsidTr="006C2579">
        <w:trPr>
          <w:trHeight w:val="20"/>
          <w:jc w:val="center"/>
        </w:trPr>
        <w:tc>
          <w:tcPr>
            <w:tcW w:w="1603" w:type="dxa"/>
            <w:vAlign w:val="center"/>
            <w:hideMark/>
          </w:tcPr>
          <w:p w14:paraId="4E03CC49" w14:textId="77777777" w:rsidR="006C2579" w:rsidRPr="00E02C8A" w:rsidRDefault="006C2579" w:rsidP="006C2579">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Hyderabad</w:t>
            </w:r>
          </w:p>
        </w:tc>
        <w:tc>
          <w:tcPr>
            <w:tcW w:w="1450" w:type="dxa"/>
            <w:vAlign w:val="center"/>
            <w:hideMark/>
          </w:tcPr>
          <w:p w14:paraId="02C0EC48" w14:textId="77777777" w:rsidR="006C2579" w:rsidRPr="00E02C8A" w:rsidRDefault="006C2579" w:rsidP="006C2579">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334</w:t>
            </w:r>
          </w:p>
        </w:tc>
        <w:tc>
          <w:tcPr>
            <w:tcW w:w="1420" w:type="dxa"/>
            <w:vAlign w:val="center"/>
            <w:hideMark/>
          </w:tcPr>
          <w:p w14:paraId="3E353EE1" w14:textId="77777777" w:rsidR="006C2579" w:rsidRPr="00E02C8A" w:rsidRDefault="006C2579" w:rsidP="006C2579">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82</w:t>
            </w:r>
          </w:p>
        </w:tc>
        <w:tc>
          <w:tcPr>
            <w:tcW w:w="1219" w:type="dxa"/>
            <w:vAlign w:val="center"/>
            <w:hideMark/>
          </w:tcPr>
          <w:p w14:paraId="1BBA047A" w14:textId="77777777" w:rsidR="006C2579" w:rsidRPr="00E02C8A" w:rsidRDefault="006C2579" w:rsidP="006C2579">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263</w:t>
            </w:r>
          </w:p>
        </w:tc>
        <w:tc>
          <w:tcPr>
            <w:tcW w:w="2269" w:type="dxa"/>
            <w:shd w:val="clear" w:color="000000" w:fill="FFFFFF"/>
            <w:vAlign w:val="center"/>
            <w:hideMark/>
          </w:tcPr>
          <w:p w14:paraId="4A4A726B"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E02C8A">
              <w:rPr>
                <w:rFonts w:ascii="Times New Roman" w:eastAsia="Times New Roman" w:hAnsi="Times New Roman" w:cs="Times New Roman"/>
                <w:color w:val="1A1C1E"/>
                <w:kern w:val="0"/>
                <w:szCs w:val="24"/>
                <w:lang w:eastAsia="en-IN"/>
                <w14:ligatures w14:val="none"/>
              </w:rPr>
              <w:t>547</w:t>
            </w:r>
          </w:p>
        </w:tc>
        <w:tc>
          <w:tcPr>
            <w:tcW w:w="1295" w:type="dxa"/>
            <w:shd w:val="clear" w:color="000000" w:fill="FFFFFF"/>
            <w:vAlign w:val="center"/>
            <w:hideMark/>
          </w:tcPr>
          <w:p w14:paraId="25145242"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E02C8A">
              <w:rPr>
                <w:rFonts w:ascii="Times New Roman" w:eastAsia="Times New Roman" w:hAnsi="Times New Roman" w:cs="Times New Roman"/>
                <w:color w:val="1A1C1E"/>
                <w:kern w:val="0"/>
                <w:szCs w:val="24"/>
                <w:lang w:eastAsia="en-IN"/>
                <w14:ligatures w14:val="none"/>
              </w:rPr>
              <w:t>728</w:t>
            </w:r>
          </w:p>
        </w:tc>
        <w:tc>
          <w:tcPr>
            <w:tcW w:w="1985" w:type="dxa"/>
            <w:shd w:val="clear" w:color="000000" w:fill="FFFFFF"/>
            <w:vAlign w:val="center"/>
            <w:hideMark/>
          </w:tcPr>
          <w:p w14:paraId="17A46A39"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E02C8A">
              <w:rPr>
                <w:rFonts w:ascii="Times New Roman" w:eastAsia="Times New Roman" w:hAnsi="Times New Roman" w:cs="Times New Roman"/>
                <w:color w:val="1A1C1E"/>
                <w:kern w:val="0"/>
                <w:szCs w:val="24"/>
                <w:lang w:eastAsia="en-IN"/>
                <w14:ligatures w14:val="none"/>
              </w:rPr>
              <w:t>70</w:t>
            </w:r>
          </w:p>
        </w:tc>
        <w:tc>
          <w:tcPr>
            <w:tcW w:w="1070" w:type="dxa"/>
            <w:shd w:val="clear" w:color="000000" w:fill="FFFFFF"/>
            <w:vAlign w:val="center"/>
            <w:hideMark/>
          </w:tcPr>
          <w:p w14:paraId="198BC1AF"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E02C8A">
              <w:rPr>
                <w:rFonts w:ascii="Times New Roman" w:eastAsia="Times New Roman" w:hAnsi="Times New Roman" w:cs="Times New Roman"/>
                <w:color w:val="1A1C1E"/>
                <w:kern w:val="0"/>
                <w:szCs w:val="24"/>
                <w:lang w:eastAsia="en-IN"/>
                <w14:ligatures w14:val="none"/>
              </w:rPr>
              <w:t>197</w:t>
            </w:r>
          </w:p>
        </w:tc>
        <w:tc>
          <w:tcPr>
            <w:tcW w:w="1182" w:type="dxa"/>
            <w:shd w:val="clear" w:color="000000" w:fill="FFFFFF"/>
            <w:vAlign w:val="center"/>
            <w:hideMark/>
          </w:tcPr>
          <w:p w14:paraId="21921A29"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E02C8A">
              <w:rPr>
                <w:rFonts w:ascii="Times New Roman" w:eastAsia="Times New Roman" w:hAnsi="Times New Roman" w:cs="Times New Roman"/>
                <w:color w:val="1A1C1E"/>
                <w:kern w:val="0"/>
                <w:szCs w:val="24"/>
                <w:lang w:eastAsia="en-IN"/>
                <w14:ligatures w14:val="none"/>
              </w:rPr>
              <w:t>516</w:t>
            </w:r>
          </w:p>
        </w:tc>
        <w:tc>
          <w:tcPr>
            <w:tcW w:w="1379" w:type="dxa"/>
            <w:shd w:val="clear" w:color="000000" w:fill="FFFFFF"/>
            <w:vAlign w:val="center"/>
            <w:hideMark/>
          </w:tcPr>
          <w:p w14:paraId="7D026A96"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E02C8A">
              <w:rPr>
                <w:rFonts w:ascii="Times New Roman" w:eastAsia="Times New Roman" w:hAnsi="Times New Roman" w:cs="Times New Roman"/>
                <w:color w:val="1A1C1E"/>
                <w:kern w:val="0"/>
                <w:szCs w:val="24"/>
                <w:lang w:eastAsia="en-IN"/>
                <w14:ligatures w14:val="none"/>
              </w:rPr>
              <w:t>2736</w:t>
            </w:r>
          </w:p>
        </w:tc>
      </w:tr>
      <w:tr w:rsidR="006C2579" w:rsidRPr="00E02C8A" w14:paraId="675D167F" w14:textId="77777777" w:rsidTr="006C2579">
        <w:trPr>
          <w:trHeight w:val="20"/>
          <w:jc w:val="center"/>
        </w:trPr>
        <w:tc>
          <w:tcPr>
            <w:tcW w:w="1603" w:type="dxa"/>
            <w:vAlign w:val="center"/>
            <w:hideMark/>
          </w:tcPr>
          <w:p w14:paraId="3FAFF173" w14:textId="7DA83A57" w:rsidR="006C2579" w:rsidRPr="00E02C8A" w:rsidRDefault="006C2579" w:rsidP="006C2579">
            <w:pPr>
              <w:spacing w:after="0" w:line="240" w:lineRule="auto"/>
              <w:jc w:val="center"/>
              <w:rPr>
                <w:rFonts w:ascii="Times New Roman" w:eastAsia="Times New Roman" w:hAnsi="Times New Roman" w:cs="Times New Roman"/>
                <w:i/>
                <w:iCs/>
                <w:color w:val="000000"/>
                <w:kern w:val="0"/>
                <w:szCs w:val="24"/>
                <w:lang w:eastAsia="en-IN"/>
                <w14:ligatures w14:val="none"/>
              </w:rPr>
            </w:pPr>
          </w:p>
        </w:tc>
        <w:tc>
          <w:tcPr>
            <w:tcW w:w="1450" w:type="dxa"/>
            <w:vAlign w:val="center"/>
            <w:hideMark/>
          </w:tcPr>
          <w:p w14:paraId="5BCE9EA5" w14:textId="77777777" w:rsidR="006C2579" w:rsidRPr="00E02C8A" w:rsidRDefault="006C2579" w:rsidP="006C2579">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E02C8A">
              <w:rPr>
                <w:rFonts w:ascii="Times New Roman" w:eastAsia="Times New Roman" w:hAnsi="Times New Roman" w:cs="Times New Roman"/>
                <w:i/>
                <w:iCs/>
                <w:color w:val="000000"/>
                <w:kern w:val="0"/>
                <w:szCs w:val="24"/>
                <w:lang w:eastAsia="en-IN"/>
                <w14:ligatures w14:val="none"/>
              </w:rPr>
              <w:t>12.2</w:t>
            </w:r>
          </w:p>
        </w:tc>
        <w:tc>
          <w:tcPr>
            <w:tcW w:w="1420" w:type="dxa"/>
            <w:vAlign w:val="center"/>
            <w:hideMark/>
          </w:tcPr>
          <w:p w14:paraId="20A8FFED" w14:textId="44D47235" w:rsidR="006C2579" w:rsidRPr="00E02C8A" w:rsidRDefault="006C2579" w:rsidP="006C2579">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E02C8A">
              <w:rPr>
                <w:rFonts w:ascii="Times New Roman" w:eastAsia="Times New Roman" w:hAnsi="Times New Roman" w:cs="Times New Roman"/>
                <w:i/>
                <w:iCs/>
                <w:color w:val="000000"/>
                <w:kern w:val="0"/>
                <w:szCs w:val="24"/>
                <w:lang w:eastAsia="en-IN"/>
                <w14:ligatures w14:val="none"/>
              </w:rPr>
              <w:t>3</w:t>
            </w:r>
            <w:r w:rsidR="005B4807" w:rsidRPr="00E02C8A">
              <w:rPr>
                <w:rFonts w:ascii="Times New Roman" w:eastAsia="Times New Roman" w:hAnsi="Times New Roman" w:cs="Times New Roman"/>
                <w:i/>
                <w:iCs/>
                <w:color w:val="000000"/>
                <w:kern w:val="0"/>
                <w:szCs w:val="24"/>
                <w:lang w:eastAsia="en-IN"/>
                <w14:ligatures w14:val="none"/>
              </w:rPr>
              <w:t>.0</w:t>
            </w:r>
          </w:p>
        </w:tc>
        <w:tc>
          <w:tcPr>
            <w:tcW w:w="1219" w:type="dxa"/>
            <w:vAlign w:val="center"/>
            <w:hideMark/>
          </w:tcPr>
          <w:p w14:paraId="0E6EF4BA" w14:textId="77777777" w:rsidR="006C2579" w:rsidRPr="00E02C8A" w:rsidRDefault="006C2579" w:rsidP="006C2579">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E02C8A">
              <w:rPr>
                <w:rFonts w:ascii="Times New Roman" w:eastAsia="Times New Roman" w:hAnsi="Times New Roman" w:cs="Times New Roman"/>
                <w:i/>
                <w:iCs/>
                <w:color w:val="000000"/>
                <w:kern w:val="0"/>
                <w:szCs w:val="24"/>
                <w:lang w:eastAsia="en-IN"/>
                <w14:ligatures w14:val="none"/>
              </w:rPr>
              <w:t>9.6</w:t>
            </w:r>
          </w:p>
        </w:tc>
        <w:tc>
          <w:tcPr>
            <w:tcW w:w="2269" w:type="dxa"/>
            <w:shd w:val="clear" w:color="000000" w:fill="FFFFFF"/>
            <w:vAlign w:val="center"/>
            <w:hideMark/>
          </w:tcPr>
          <w:p w14:paraId="51AF3DF0" w14:textId="7B750BD5" w:rsidR="006C2579" w:rsidRPr="00E02C8A" w:rsidRDefault="006C2579" w:rsidP="006C2579">
            <w:pPr>
              <w:spacing w:after="0" w:line="240" w:lineRule="auto"/>
              <w:ind w:firstLineChars="100" w:firstLine="240"/>
              <w:jc w:val="center"/>
              <w:rPr>
                <w:rFonts w:ascii="Times New Roman" w:eastAsia="Times New Roman" w:hAnsi="Times New Roman" w:cs="Times New Roman"/>
                <w:i/>
                <w:iCs/>
                <w:color w:val="1A1C1E"/>
                <w:kern w:val="0"/>
                <w:szCs w:val="24"/>
                <w:lang w:eastAsia="en-IN"/>
                <w14:ligatures w14:val="none"/>
              </w:rPr>
            </w:pPr>
            <w:r w:rsidRPr="00E02C8A">
              <w:rPr>
                <w:rFonts w:ascii="Times New Roman" w:eastAsia="Times New Roman" w:hAnsi="Times New Roman" w:cs="Times New Roman"/>
                <w:i/>
                <w:iCs/>
                <w:color w:val="1A1C1E"/>
                <w:kern w:val="0"/>
                <w:szCs w:val="24"/>
                <w:lang w:eastAsia="en-IN"/>
                <w14:ligatures w14:val="none"/>
              </w:rPr>
              <w:t>20</w:t>
            </w:r>
            <w:r w:rsidR="005B4807" w:rsidRPr="00E02C8A">
              <w:rPr>
                <w:rFonts w:ascii="Times New Roman" w:eastAsia="Times New Roman" w:hAnsi="Times New Roman" w:cs="Times New Roman"/>
                <w:i/>
                <w:iCs/>
                <w:color w:val="1A1C1E"/>
                <w:kern w:val="0"/>
                <w:szCs w:val="24"/>
                <w:lang w:eastAsia="en-IN"/>
                <w14:ligatures w14:val="none"/>
              </w:rPr>
              <w:t>.0</w:t>
            </w:r>
          </w:p>
        </w:tc>
        <w:tc>
          <w:tcPr>
            <w:tcW w:w="1295" w:type="dxa"/>
            <w:shd w:val="clear" w:color="000000" w:fill="FFFFFF"/>
            <w:vAlign w:val="center"/>
            <w:hideMark/>
          </w:tcPr>
          <w:p w14:paraId="4AE80D22"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i/>
                <w:iCs/>
                <w:color w:val="1A1C1E"/>
                <w:kern w:val="0"/>
                <w:szCs w:val="24"/>
                <w:lang w:eastAsia="en-IN"/>
                <w14:ligatures w14:val="none"/>
              </w:rPr>
            </w:pPr>
            <w:r w:rsidRPr="00E02C8A">
              <w:rPr>
                <w:rFonts w:ascii="Times New Roman" w:eastAsia="Times New Roman" w:hAnsi="Times New Roman" w:cs="Times New Roman"/>
                <w:i/>
                <w:iCs/>
                <w:color w:val="1A1C1E"/>
                <w:kern w:val="0"/>
                <w:szCs w:val="24"/>
                <w:lang w:eastAsia="en-IN"/>
                <w14:ligatures w14:val="none"/>
              </w:rPr>
              <w:t>26.5</w:t>
            </w:r>
          </w:p>
        </w:tc>
        <w:tc>
          <w:tcPr>
            <w:tcW w:w="1985" w:type="dxa"/>
            <w:shd w:val="clear" w:color="000000" w:fill="FFFFFF"/>
            <w:vAlign w:val="center"/>
            <w:hideMark/>
          </w:tcPr>
          <w:p w14:paraId="434CAF3D"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i/>
                <w:iCs/>
                <w:color w:val="1A1C1E"/>
                <w:kern w:val="0"/>
                <w:szCs w:val="24"/>
                <w:lang w:eastAsia="en-IN"/>
                <w14:ligatures w14:val="none"/>
              </w:rPr>
            </w:pPr>
            <w:r w:rsidRPr="00E02C8A">
              <w:rPr>
                <w:rFonts w:ascii="Times New Roman" w:eastAsia="Times New Roman" w:hAnsi="Times New Roman" w:cs="Times New Roman"/>
                <w:i/>
                <w:iCs/>
                <w:color w:val="1A1C1E"/>
                <w:kern w:val="0"/>
                <w:szCs w:val="24"/>
                <w:lang w:eastAsia="en-IN"/>
                <w14:ligatures w14:val="none"/>
              </w:rPr>
              <w:t>2.6</w:t>
            </w:r>
          </w:p>
        </w:tc>
        <w:tc>
          <w:tcPr>
            <w:tcW w:w="1070" w:type="dxa"/>
            <w:shd w:val="clear" w:color="000000" w:fill="FFFFFF"/>
            <w:vAlign w:val="center"/>
            <w:hideMark/>
          </w:tcPr>
          <w:p w14:paraId="6FEB817D"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i/>
                <w:iCs/>
                <w:color w:val="1A1C1E"/>
                <w:kern w:val="0"/>
                <w:szCs w:val="24"/>
                <w:lang w:eastAsia="en-IN"/>
                <w14:ligatures w14:val="none"/>
              </w:rPr>
            </w:pPr>
            <w:r w:rsidRPr="00E02C8A">
              <w:rPr>
                <w:rFonts w:ascii="Times New Roman" w:eastAsia="Times New Roman" w:hAnsi="Times New Roman" w:cs="Times New Roman"/>
                <w:i/>
                <w:iCs/>
                <w:color w:val="1A1C1E"/>
                <w:kern w:val="0"/>
                <w:szCs w:val="24"/>
                <w:lang w:eastAsia="en-IN"/>
                <w14:ligatures w14:val="none"/>
              </w:rPr>
              <w:t>7.2</w:t>
            </w:r>
          </w:p>
        </w:tc>
        <w:tc>
          <w:tcPr>
            <w:tcW w:w="1182" w:type="dxa"/>
            <w:shd w:val="clear" w:color="000000" w:fill="FFFFFF"/>
            <w:vAlign w:val="center"/>
            <w:hideMark/>
          </w:tcPr>
          <w:p w14:paraId="38D37971"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i/>
                <w:iCs/>
                <w:color w:val="1A1C1E"/>
                <w:kern w:val="0"/>
                <w:szCs w:val="24"/>
                <w:lang w:eastAsia="en-IN"/>
                <w14:ligatures w14:val="none"/>
              </w:rPr>
            </w:pPr>
            <w:r w:rsidRPr="00E02C8A">
              <w:rPr>
                <w:rFonts w:ascii="Times New Roman" w:eastAsia="Times New Roman" w:hAnsi="Times New Roman" w:cs="Times New Roman"/>
                <w:i/>
                <w:iCs/>
                <w:color w:val="1A1C1E"/>
                <w:kern w:val="0"/>
                <w:szCs w:val="24"/>
                <w:lang w:eastAsia="en-IN"/>
                <w14:ligatures w14:val="none"/>
              </w:rPr>
              <w:t>18.8</w:t>
            </w:r>
          </w:p>
        </w:tc>
        <w:tc>
          <w:tcPr>
            <w:tcW w:w="1379" w:type="dxa"/>
            <w:shd w:val="clear" w:color="000000" w:fill="FFFFFF"/>
            <w:vAlign w:val="center"/>
            <w:hideMark/>
          </w:tcPr>
          <w:p w14:paraId="23E6C695" w14:textId="39D30F5F" w:rsidR="006C2579" w:rsidRPr="00E02C8A" w:rsidRDefault="006C2579" w:rsidP="006C2579">
            <w:pPr>
              <w:spacing w:after="0" w:line="240" w:lineRule="auto"/>
              <w:ind w:firstLineChars="100" w:firstLine="240"/>
              <w:jc w:val="center"/>
              <w:rPr>
                <w:rFonts w:ascii="Times New Roman" w:eastAsia="Times New Roman" w:hAnsi="Times New Roman" w:cs="Times New Roman"/>
                <w:i/>
                <w:iCs/>
                <w:color w:val="1A1C1E"/>
                <w:kern w:val="0"/>
                <w:szCs w:val="24"/>
                <w:lang w:eastAsia="en-IN"/>
                <w14:ligatures w14:val="none"/>
              </w:rPr>
            </w:pPr>
          </w:p>
        </w:tc>
      </w:tr>
      <w:tr w:rsidR="006C2579" w:rsidRPr="00E02C8A" w14:paraId="199502F6" w14:textId="77777777" w:rsidTr="006C2579">
        <w:trPr>
          <w:trHeight w:val="20"/>
          <w:jc w:val="center"/>
        </w:trPr>
        <w:tc>
          <w:tcPr>
            <w:tcW w:w="1603" w:type="dxa"/>
            <w:vAlign w:val="center"/>
            <w:hideMark/>
          </w:tcPr>
          <w:p w14:paraId="7934F434" w14:textId="77777777" w:rsidR="006C2579" w:rsidRPr="00E02C8A" w:rsidRDefault="006C2579" w:rsidP="006C2579">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Madhya Bharat</w:t>
            </w:r>
          </w:p>
        </w:tc>
        <w:tc>
          <w:tcPr>
            <w:tcW w:w="1450" w:type="dxa"/>
            <w:vAlign w:val="center"/>
            <w:hideMark/>
          </w:tcPr>
          <w:p w14:paraId="7F896892" w14:textId="77777777" w:rsidR="006C2579" w:rsidRPr="00E02C8A" w:rsidRDefault="006C2579" w:rsidP="006C2579">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112</w:t>
            </w:r>
          </w:p>
        </w:tc>
        <w:tc>
          <w:tcPr>
            <w:tcW w:w="1420" w:type="dxa"/>
            <w:vAlign w:val="center"/>
            <w:hideMark/>
          </w:tcPr>
          <w:p w14:paraId="557DA8A4" w14:textId="77777777" w:rsidR="006C2579" w:rsidRPr="00E02C8A" w:rsidRDefault="006C2579" w:rsidP="006C2579">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48</w:t>
            </w:r>
          </w:p>
        </w:tc>
        <w:tc>
          <w:tcPr>
            <w:tcW w:w="1219" w:type="dxa"/>
            <w:vAlign w:val="center"/>
            <w:hideMark/>
          </w:tcPr>
          <w:p w14:paraId="50BB824E" w14:textId="77777777" w:rsidR="006C2579" w:rsidRPr="00E02C8A" w:rsidRDefault="006C2579" w:rsidP="006C2579">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3</w:t>
            </w:r>
          </w:p>
        </w:tc>
        <w:tc>
          <w:tcPr>
            <w:tcW w:w="2269" w:type="dxa"/>
            <w:shd w:val="clear" w:color="000000" w:fill="FFFFFF"/>
            <w:vAlign w:val="center"/>
            <w:hideMark/>
          </w:tcPr>
          <w:p w14:paraId="4482C54D"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E02C8A">
              <w:rPr>
                <w:rFonts w:ascii="Times New Roman" w:eastAsia="Times New Roman" w:hAnsi="Times New Roman" w:cs="Times New Roman"/>
                <w:color w:val="1A1C1E"/>
                <w:kern w:val="0"/>
                <w:szCs w:val="24"/>
                <w:lang w:eastAsia="en-IN"/>
                <w14:ligatures w14:val="none"/>
              </w:rPr>
              <w:t>304</w:t>
            </w:r>
          </w:p>
        </w:tc>
        <w:tc>
          <w:tcPr>
            <w:tcW w:w="1295" w:type="dxa"/>
            <w:shd w:val="clear" w:color="000000" w:fill="FFFFFF"/>
            <w:vAlign w:val="center"/>
            <w:hideMark/>
          </w:tcPr>
          <w:p w14:paraId="67D7E214"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E02C8A">
              <w:rPr>
                <w:rFonts w:ascii="Times New Roman" w:eastAsia="Times New Roman" w:hAnsi="Times New Roman" w:cs="Times New Roman"/>
                <w:color w:val="1A1C1E"/>
                <w:kern w:val="0"/>
                <w:szCs w:val="24"/>
                <w:lang w:eastAsia="en-IN"/>
                <w14:ligatures w14:val="none"/>
              </w:rPr>
              <w:t>422</w:t>
            </w:r>
          </w:p>
        </w:tc>
        <w:tc>
          <w:tcPr>
            <w:tcW w:w="1985" w:type="dxa"/>
            <w:shd w:val="clear" w:color="000000" w:fill="FFFFFF"/>
            <w:vAlign w:val="center"/>
            <w:hideMark/>
          </w:tcPr>
          <w:p w14:paraId="60090190"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E02C8A">
              <w:rPr>
                <w:rFonts w:ascii="Times New Roman" w:eastAsia="Times New Roman" w:hAnsi="Times New Roman" w:cs="Times New Roman"/>
                <w:color w:val="1A1C1E"/>
                <w:kern w:val="0"/>
                <w:szCs w:val="24"/>
                <w:lang w:eastAsia="en-IN"/>
                <w14:ligatures w14:val="none"/>
              </w:rPr>
              <w:t>33</w:t>
            </w:r>
          </w:p>
        </w:tc>
        <w:tc>
          <w:tcPr>
            <w:tcW w:w="1070" w:type="dxa"/>
            <w:shd w:val="clear" w:color="000000" w:fill="FFFFFF"/>
            <w:vAlign w:val="center"/>
            <w:hideMark/>
          </w:tcPr>
          <w:p w14:paraId="548DEB85"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E02C8A">
              <w:rPr>
                <w:rFonts w:ascii="Times New Roman" w:eastAsia="Times New Roman" w:hAnsi="Times New Roman" w:cs="Times New Roman"/>
                <w:color w:val="1A1C1E"/>
                <w:kern w:val="0"/>
                <w:szCs w:val="24"/>
                <w:lang w:eastAsia="en-IN"/>
                <w14:ligatures w14:val="none"/>
              </w:rPr>
              <w:t>147</w:t>
            </w:r>
          </w:p>
        </w:tc>
        <w:tc>
          <w:tcPr>
            <w:tcW w:w="1182" w:type="dxa"/>
            <w:shd w:val="clear" w:color="000000" w:fill="FFFFFF"/>
            <w:vAlign w:val="center"/>
            <w:hideMark/>
          </w:tcPr>
          <w:p w14:paraId="639130F8"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E02C8A">
              <w:rPr>
                <w:rFonts w:ascii="Times New Roman" w:eastAsia="Times New Roman" w:hAnsi="Times New Roman" w:cs="Times New Roman"/>
                <w:color w:val="1A1C1E"/>
                <w:kern w:val="0"/>
                <w:szCs w:val="24"/>
                <w:lang w:eastAsia="en-IN"/>
                <w14:ligatures w14:val="none"/>
              </w:rPr>
              <w:t>250</w:t>
            </w:r>
          </w:p>
        </w:tc>
        <w:tc>
          <w:tcPr>
            <w:tcW w:w="1379" w:type="dxa"/>
            <w:shd w:val="clear" w:color="000000" w:fill="FFFFFF"/>
            <w:vAlign w:val="center"/>
            <w:hideMark/>
          </w:tcPr>
          <w:p w14:paraId="54108A43"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E02C8A">
              <w:rPr>
                <w:rFonts w:ascii="Times New Roman" w:eastAsia="Times New Roman" w:hAnsi="Times New Roman" w:cs="Times New Roman"/>
                <w:color w:val="1A1C1E"/>
                <w:kern w:val="0"/>
                <w:szCs w:val="24"/>
                <w:lang w:eastAsia="en-IN"/>
                <w14:ligatures w14:val="none"/>
              </w:rPr>
              <w:t>1318</w:t>
            </w:r>
          </w:p>
        </w:tc>
      </w:tr>
      <w:tr w:rsidR="006C2579" w:rsidRPr="00E02C8A" w14:paraId="3E03264E" w14:textId="77777777" w:rsidTr="006C2579">
        <w:trPr>
          <w:trHeight w:val="20"/>
          <w:jc w:val="center"/>
        </w:trPr>
        <w:tc>
          <w:tcPr>
            <w:tcW w:w="1603" w:type="dxa"/>
            <w:vAlign w:val="center"/>
            <w:hideMark/>
          </w:tcPr>
          <w:p w14:paraId="049F49F3" w14:textId="71017B69" w:rsidR="006C2579" w:rsidRPr="00E02C8A" w:rsidRDefault="006C2579" w:rsidP="006C2579">
            <w:pPr>
              <w:spacing w:after="0" w:line="240" w:lineRule="auto"/>
              <w:jc w:val="center"/>
              <w:rPr>
                <w:rFonts w:ascii="Times New Roman" w:eastAsia="Times New Roman" w:hAnsi="Times New Roman" w:cs="Times New Roman"/>
                <w:i/>
                <w:iCs/>
                <w:color w:val="000000"/>
                <w:kern w:val="0"/>
                <w:szCs w:val="24"/>
                <w:lang w:eastAsia="en-IN"/>
                <w14:ligatures w14:val="none"/>
              </w:rPr>
            </w:pPr>
          </w:p>
        </w:tc>
        <w:tc>
          <w:tcPr>
            <w:tcW w:w="1450" w:type="dxa"/>
            <w:vAlign w:val="center"/>
            <w:hideMark/>
          </w:tcPr>
          <w:p w14:paraId="6DE493B1" w14:textId="77777777" w:rsidR="006C2579" w:rsidRPr="00E02C8A" w:rsidRDefault="006C2579" w:rsidP="006C2579">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E02C8A">
              <w:rPr>
                <w:rFonts w:ascii="Times New Roman" w:eastAsia="Times New Roman" w:hAnsi="Times New Roman" w:cs="Times New Roman"/>
                <w:i/>
                <w:iCs/>
                <w:color w:val="000000"/>
                <w:kern w:val="0"/>
                <w:szCs w:val="24"/>
                <w:lang w:eastAsia="en-IN"/>
                <w14:ligatures w14:val="none"/>
              </w:rPr>
              <w:t>8.5</w:t>
            </w:r>
          </w:p>
        </w:tc>
        <w:tc>
          <w:tcPr>
            <w:tcW w:w="1420" w:type="dxa"/>
            <w:vAlign w:val="center"/>
            <w:hideMark/>
          </w:tcPr>
          <w:p w14:paraId="7502D1C7" w14:textId="77777777" w:rsidR="006C2579" w:rsidRPr="00E02C8A" w:rsidRDefault="006C2579" w:rsidP="006C2579">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E02C8A">
              <w:rPr>
                <w:rFonts w:ascii="Times New Roman" w:eastAsia="Times New Roman" w:hAnsi="Times New Roman" w:cs="Times New Roman"/>
                <w:i/>
                <w:iCs/>
                <w:color w:val="000000"/>
                <w:kern w:val="0"/>
                <w:szCs w:val="24"/>
                <w:lang w:eastAsia="en-IN"/>
                <w14:ligatures w14:val="none"/>
              </w:rPr>
              <w:t>3.6</w:t>
            </w:r>
          </w:p>
        </w:tc>
        <w:tc>
          <w:tcPr>
            <w:tcW w:w="1219" w:type="dxa"/>
            <w:vAlign w:val="center"/>
            <w:hideMark/>
          </w:tcPr>
          <w:p w14:paraId="0836AF77" w14:textId="77777777" w:rsidR="006C2579" w:rsidRPr="00E02C8A" w:rsidRDefault="006C2579" w:rsidP="006C2579">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E02C8A">
              <w:rPr>
                <w:rFonts w:ascii="Times New Roman" w:eastAsia="Times New Roman" w:hAnsi="Times New Roman" w:cs="Times New Roman"/>
                <w:i/>
                <w:iCs/>
                <w:color w:val="000000"/>
                <w:kern w:val="0"/>
                <w:szCs w:val="24"/>
                <w:lang w:eastAsia="en-IN"/>
                <w14:ligatures w14:val="none"/>
              </w:rPr>
              <w:t>0.2</w:t>
            </w:r>
          </w:p>
        </w:tc>
        <w:tc>
          <w:tcPr>
            <w:tcW w:w="2269" w:type="dxa"/>
            <w:shd w:val="clear" w:color="000000" w:fill="FFFFFF"/>
            <w:vAlign w:val="center"/>
            <w:hideMark/>
          </w:tcPr>
          <w:p w14:paraId="34F6188F"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i/>
                <w:iCs/>
                <w:color w:val="1A1C1E"/>
                <w:kern w:val="0"/>
                <w:szCs w:val="24"/>
                <w:lang w:eastAsia="en-IN"/>
                <w14:ligatures w14:val="none"/>
              </w:rPr>
            </w:pPr>
            <w:r w:rsidRPr="00E02C8A">
              <w:rPr>
                <w:rFonts w:ascii="Times New Roman" w:eastAsia="Times New Roman" w:hAnsi="Times New Roman" w:cs="Times New Roman"/>
                <w:i/>
                <w:iCs/>
                <w:color w:val="1A1C1E"/>
                <w:kern w:val="0"/>
                <w:szCs w:val="24"/>
                <w:lang w:eastAsia="en-IN"/>
                <w14:ligatures w14:val="none"/>
              </w:rPr>
              <w:t>23.1</w:t>
            </w:r>
          </w:p>
        </w:tc>
        <w:tc>
          <w:tcPr>
            <w:tcW w:w="1295" w:type="dxa"/>
            <w:shd w:val="clear" w:color="000000" w:fill="FFFFFF"/>
            <w:vAlign w:val="center"/>
            <w:hideMark/>
          </w:tcPr>
          <w:p w14:paraId="601905DB" w14:textId="1EAE98FC" w:rsidR="006C2579" w:rsidRPr="00E02C8A" w:rsidRDefault="006C2579" w:rsidP="006C2579">
            <w:pPr>
              <w:spacing w:after="0" w:line="240" w:lineRule="auto"/>
              <w:ind w:firstLineChars="100" w:firstLine="240"/>
              <w:jc w:val="center"/>
              <w:rPr>
                <w:rFonts w:ascii="Times New Roman" w:eastAsia="Times New Roman" w:hAnsi="Times New Roman" w:cs="Times New Roman"/>
                <w:i/>
                <w:iCs/>
                <w:color w:val="1A1C1E"/>
                <w:kern w:val="0"/>
                <w:szCs w:val="24"/>
                <w:lang w:eastAsia="en-IN"/>
                <w14:ligatures w14:val="none"/>
              </w:rPr>
            </w:pPr>
            <w:r w:rsidRPr="00E02C8A">
              <w:rPr>
                <w:rFonts w:ascii="Times New Roman" w:eastAsia="Times New Roman" w:hAnsi="Times New Roman" w:cs="Times New Roman"/>
                <w:i/>
                <w:iCs/>
                <w:color w:val="1A1C1E"/>
                <w:kern w:val="0"/>
                <w:szCs w:val="24"/>
                <w:lang w:eastAsia="en-IN"/>
                <w14:ligatures w14:val="none"/>
              </w:rPr>
              <w:t>32</w:t>
            </w:r>
            <w:r w:rsidR="005B4807" w:rsidRPr="00E02C8A">
              <w:rPr>
                <w:rFonts w:ascii="Times New Roman" w:eastAsia="Times New Roman" w:hAnsi="Times New Roman" w:cs="Times New Roman"/>
                <w:i/>
                <w:iCs/>
                <w:color w:val="1A1C1E"/>
                <w:kern w:val="0"/>
                <w:szCs w:val="24"/>
                <w:lang w:eastAsia="en-IN"/>
                <w14:ligatures w14:val="none"/>
              </w:rPr>
              <w:t>.0</w:t>
            </w:r>
          </w:p>
        </w:tc>
        <w:tc>
          <w:tcPr>
            <w:tcW w:w="1985" w:type="dxa"/>
            <w:shd w:val="clear" w:color="000000" w:fill="FFFFFF"/>
            <w:vAlign w:val="center"/>
            <w:hideMark/>
          </w:tcPr>
          <w:p w14:paraId="3B028F94"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i/>
                <w:iCs/>
                <w:color w:val="1A1C1E"/>
                <w:kern w:val="0"/>
                <w:szCs w:val="24"/>
                <w:lang w:eastAsia="en-IN"/>
                <w14:ligatures w14:val="none"/>
              </w:rPr>
            </w:pPr>
            <w:r w:rsidRPr="00E02C8A">
              <w:rPr>
                <w:rFonts w:ascii="Times New Roman" w:eastAsia="Times New Roman" w:hAnsi="Times New Roman" w:cs="Times New Roman"/>
                <w:i/>
                <w:iCs/>
                <w:color w:val="1A1C1E"/>
                <w:kern w:val="0"/>
                <w:szCs w:val="24"/>
                <w:lang w:eastAsia="en-IN"/>
                <w14:ligatures w14:val="none"/>
              </w:rPr>
              <w:t>2.5</w:t>
            </w:r>
          </w:p>
        </w:tc>
        <w:tc>
          <w:tcPr>
            <w:tcW w:w="1070" w:type="dxa"/>
            <w:shd w:val="clear" w:color="000000" w:fill="FFFFFF"/>
            <w:vAlign w:val="center"/>
            <w:hideMark/>
          </w:tcPr>
          <w:p w14:paraId="6C4B059E"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i/>
                <w:iCs/>
                <w:color w:val="1A1C1E"/>
                <w:kern w:val="0"/>
                <w:szCs w:val="24"/>
                <w:lang w:eastAsia="en-IN"/>
                <w14:ligatures w14:val="none"/>
              </w:rPr>
            </w:pPr>
            <w:r w:rsidRPr="00E02C8A">
              <w:rPr>
                <w:rFonts w:ascii="Times New Roman" w:eastAsia="Times New Roman" w:hAnsi="Times New Roman" w:cs="Times New Roman"/>
                <w:i/>
                <w:iCs/>
                <w:color w:val="1A1C1E"/>
                <w:kern w:val="0"/>
                <w:szCs w:val="24"/>
                <w:lang w:eastAsia="en-IN"/>
                <w14:ligatures w14:val="none"/>
              </w:rPr>
              <w:t>11.2</w:t>
            </w:r>
          </w:p>
        </w:tc>
        <w:tc>
          <w:tcPr>
            <w:tcW w:w="1182" w:type="dxa"/>
            <w:shd w:val="clear" w:color="000000" w:fill="FFFFFF"/>
            <w:vAlign w:val="center"/>
            <w:hideMark/>
          </w:tcPr>
          <w:p w14:paraId="15236AF9" w14:textId="7BD0F9A0" w:rsidR="006C2579" w:rsidRPr="00E02C8A" w:rsidRDefault="006C2579" w:rsidP="006C2579">
            <w:pPr>
              <w:spacing w:after="0" w:line="240" w:lineRule="auto"/>
              <w:ind w:firstLineChars="100" w:firstLine="240"/>
              <w:jc w:val="center"/>
              <w:rPr>
                <w:rFonts w:ascii="Times New Roman" w:eastAsia="Times New Roman" w:hAnsi="Times New Roman" w:cs="Times New Roman"/>
                <w:i/>
                <w:iCs/>
                <w:color w:val="1A1C1E"/>
                <w:kern w:val="0"/>
                <w:szCs w:val="24"/>
                <w:lang w:eastAsia="en-IN"/>
                <w14:ligatures w14:val="none"/>
              </w:rPr>
            </w:pPr>
            <w:r w:rsidRPr="00E02C8A">
              <w:rPr>
                <w:rFonts w:ascii="Times New Roman" w:eastAsia="Times New Roman" w:hAnsi="Times New Roman" w:cs="Times New Roman"/>
                <w:i/>
                <w:iCs/>
                <w:color w:val="1A1C1E"/>
                <w:kern w:val="0"/>
                <w:szCs w:val="24"/>
                <w:lang w:eastAsia="en-IN"/>
                <w14:ligatures w14:val="none"/>
              </w:rPr>
              <w:t>19</w:t>
            </w:r>
            <w:r w:rsidR="006E3831" w:rsidRPr="00E02C8A">
              <w:rPr>
                <w:rFonts w:ascii="Times New Roman" w:eastAsia="Times New Roman" w:hAnsi="Times New Roman" w:cs="Times New Roman"/>
                <w:i/>
                <w:iCs/>
                <w:color w:val="1A1C1E"/>
                <w:kern w:val="0"/>
                <w:szCs w:val="24"/>
                <w:lang w:eastAsia="en-IN"/>
                <w14:ligatures w14:val="none"/>
              </w:rPr>
              <w:t>.0</w:t>
            </w:r>
          </w:p>
        </w:tc>
        <w:tc>
          <w:tcPr>
            <w:tcW w:w="1379" w:type="dxa"/>
            <w:shd w:val="clear" w:color="000000" w:fill="FFFFFF"/>
            <w:vAlign w:val="center"/>
            <w:hideMark/>
          </w:tcPr>
          <w:p w14:paraId="0ACB8D94" w14:textId="60E86B6C" w:rsidR="006C2579" w:rsidRPr="00E02C8A" w:rsidRDefault="006C2579" w:rsidP="006C2579">
            <w:pPr>
              <w:spacing w:after="0" w:line="240" w:lineRule="auto"/>
              <w:ind w:firstLineChars="100" w:firstLine="240"/>
              <w:jc w:val="center"/>
              <w:rPr>
                <w:rFonts w:ascii="Times New Roman" w:eastAsia="Times New Roman" w:hAnsi="Times New Roman" w:cs="Times New Roman"/>
                <w:i/>
                <w:iCs/>
                <w:color w:val="1A1C1E"/>
                <w:kern w:val="0"/>
                <w:szCs w:val="24"/>
                <w:lang w:eastAsia="en-IN"/>
                <w14:ligatures w14:val="none"/>
              </w:rPr>
            </w:pPr>
          </w:p>
        </w:tc>
      </w:tr>
      <w:tr w:rsidR="006C2579" w:rsidRPr="00E02C8A" w14:paraId="24C06951" w14:textId="77777777" w:rsidTr="006C2579">
        <w:trPr>
          <w:trHeight w:val="20"/>
          <w:jc w:val="center"/>
        </w:trPr>
        <w:tc>
          <w:tcPr>
            <w:tcW w:w="1603" w:type="dxa"/>
            <w:vAlign w:val="center"/>
            <w:hideMark/>
          </w:tcPr>
          <w:p w14:paraId="19E15960" w14:textId="77777777" w:rsidR="006C2579" w:rsidRPr="00E02C8A" w:rsidRDefault="006C2579" w:rsidP="006C2579">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Mysore</w:t>
            </w:r>
          </w:p>
        </w:tc>
        <w:tc>
          <w:tcPr>
            <w:tcW w:w="1450" w:type="dxa"/>
            <w:vAlign w:val="center"/>
            <w:hideMark/>
          </w:tcPr>
          <w:p w14:paraId="752E85F3" w14:textId="77777777" w:rsidR="006C2579" w:rsidRPr="00E02C8A" w:rsidRDefault="006C2579" w:rsidP="006C2579">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94</w:t>
            </w:r>
          </w:p>
        </w:tc>
        <w:tc>
          <w:tcPr>
            <w:tcW w:w="1420" w:type="dxa"/>
            <w:vAlign w:val="center"/>
            <w:hideMark/>
          </w:tcPr>
          <w:p w14:paraId="14D59F76" w14:textId="77777777" w:rsidR="006C2579" w:rsidRPr="00E02C8A" w:rsidRDefault="006C2579" w:rsidP="006C2579">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87</w:t>
            </w:r>
          </w:p>
        </w:tc>
        <w:tc>
          <w:tcPr>
            <w:tcW w:w="1219" w:type="dxa"/>
            <w:vAlign w:val="center"/>
            <w:hideMark/>
          </w:tcPr>
          <w:p w14:paraId="62531FCC" w14:textId="77777777" w:rsidR="006C2579" w:rsidRPr="00E02C8A" w:rsidRDefault="006C2579" w:rsidP="006C2579">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120</w:t>
            </w:r>
          </w:p>
        </w:tc>
        <w:tc>
          <w:tcPr>
            <w:tcW w:w="2269" w:type="dxa"/>
            <w:shd w:val="clear" w:color="000000" w:fill="FFFFFF"/>
            <w:vAlign w:val="center"/>
            <w:hideMark/>
          </w:tcPr>
          <w:p w14:paraId="29F7BC36"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E02C8A">
              <w:rPr>
                <w:rFonts w:ascii="Times New Roman" w:eastAsia="Times New Roman" w:hAnsi="Times New Roman" w:cs="Times New Roman"/>
                <w:color w:val="1A1C1E"/>
                <w:kern w:val="0"/>
                <w:szCs w:val="24"/>
                <w:lang w:eastAsia="en-IN"/>
                <w14:ligatures w14:val="none"/>
              </w:rPr>
              <w:t>222</w:t>
            </w:r>
          </w:p>
        </w:tc>
        <w:tc>
          <w:tcPr>
            <w:tcW w:w="1295" w:type="dxa"/>
            <w:shd w:val="clear" w:color="000000" w:fill="FFFFFF"/>
            <w:vAlign w:val="center"/>
            <w:hideMark/>
          </w:tcPr>
          <w:p w14:paraId="1FFC3B10"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E02C8A">
              <w:rPr>
                <w:rFonts w:ascii="Times New Roman" w:eastAsia="Times New Roman" w:hAnsi="Times New Roman" w:cs="Times New Roman"/>
                <w:color w:val="1A1C1E"/>
                <w:kern w:val="0"/>
                <w:szCs w:val="24"/>
                <w:lang w:eastAsia="en-IN"/>
                <w14:ligatures w14:val="none"/>
              </w:rPr>
              <w:t>618</w:t>
            </w:r>
          </w:p>
        </w:tc>
        <w:tc>
          <w:tcPr>
            <w:tcW w:w="1985" w:type="dxa"/>
            <w:shd w:val="clear" w:color="000000" w:fill="FFFFFF"/>
            <w:vAlign w:val="center"/>
            <w:hideMark/>
          </w:tcPr>
          <w:p w14:paraId="2A728751"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E02C8A">
              <w:rPr>
                <w:rFonts w:ascii="Times New Roman" w:eastAsia="Times New Roman" w:hAnsi="Times New Roman" w:cs="Times New Roman"/>
                <w:color w:val="1A1C1E"/>
                <w:kern w:val="0"/>
                <w:szCs w:val="24"/>
                <w:lang w:eastAsia="en-IN"/>
                <w14:ligatures w14:val="none"/>
              </w:rPr>
              <w:t>56(b)</w:t>
            </w:r>
          </w:p>
        </w:tc>
        <w:tc>
          <w:tcPr>
            <w:tcW w:w="1070" w:type="dxa"/>
            <w:shd w:val="clear" w:color="000000" w:fill="FFFFFF"/>
            <w:vAlign w:val="center"/>
            <w:hideMark/>
          </w:tcPr>
          <w:p w14:paraId="06BDF23D"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E02C8A">
              <w:rPr>
                <w:rFonts w:ascii="Times New Roman" w:eastAsia="Times New Roman" w:hAnsi="Times New Roman" w:cs="Times New Roman"/>
                <w:color w:val="1A1C1E"/>
                <w:kern w:val="0"/>
                <w:szCs w:val="24"/>
                <w:lang w:eastAsia="en-IN"/>
                <w14:ligatures w14:val="none"/>
              </w:rPr>
              <w:t>264</w:t>
            </w:r>
          </w:p>
        </w:tc>
        <w:tc>
          <w:tcPr>
            <w:tcW w:w="1182" w:type="dxa"/>
            <w:shd w:val="clear" w:color="000000" w:fill="FFFFFF"/>
            <w:vAlign w:val="center"/>
            <w:hideMark/>
          </w:tcPr>
          <w:p w14:paraId="4002D066"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E02C8A">
              <w:rPr>
                <w:rFonts w:ascii="Times New Roman" w:eastAsia="Times New Roman" w:hAnsi="Times New Roman" w:cs="Times New Roman"/>
                <w:color w:val="1A1C1E"/>
                <w:kern w:val="0"/>
                <w:szCs w:val="24"/>
                <w:lang w:eastAsia="en-IN"/>
                <w14:ligatures w14:val="none"/>
              </w:rPr>
              <w:t>140</w:t>
            </w:r>
          </w:p>
        </w:tc>
        <w:tc>
          <w:tcPr>
            <w:tcW w:w="1379" w:type="dxa"/>
            <w:shd w:val="clear" w:color="000000" w:fill="FFFFFF"/>
            <w:vAlign w:val="center"/>
            <w:hideMark/>
          </w:tcPr>
          <w:p w14:paraId="4701A269"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E02C8A">
              <w:rPr>
                <w:rFonts w:ascii="Times New Roman" w:eastAsia="Times New Roman" w:hAnsi="Times New Roman" w:cs="Times New Roman"/>
                <w:color w:val="1A1C1E"/>
                <w:kern w:val="0"/>
                <w:szCs w:val="24"/>
                <w:lang w:eastAsia="en-IN"/>
                <w14:ligatures w14:val="none"/>
              </w:rPr>
              <w:t>1601(b)</w:t>
            </w:r>
          </w:p>
        </w:tc>
      </w:tr>
      <w:tr w:rsidR="006C2579" w:rsidRPr="00E02C8A" w14:paraId="103DE9D6" w14:textId="77777777" w:rsidTr="006C2579">
        <w:trPr>
          <w:trHeight w:val="20"/>
          <w:jc w:val="center"/>
        </w:trPr>
        <w:tc>
          <w:tcPr>
            <w:tcW w:w="1603" w:type="dxa"/>
            <w:vAlign w:val="center"/>
            <w:hideMark/>
          </w:tcPr>
          <w:p w14:paraId="049513BC" w14:textId="4F6DE6E0" w:rsidR="006C2579" w:rsidRPr="00E02C8A" w:rsidRDefault="006C2579" w:rsidP="006C2579">
            <w:pPr>
              <w:spacing w:after="0" w:line="240" w:lineRule="auto"/>
              <w:jc w:val="center"/>
              <w:rPr>
                <w:rFonts w:ascii="Times New Roman" w:eastAsia="Times New Roman" w:hAnsi="Times New Roman" w:cs="Times New Roman"/>
                <w:i/>
                <w:iCs/>
                <w:color w:val="000000"/>
                <w:kern w:val="0"/>
                <w:szCs w:val="24"/>
                <w:lang w:eastAsia="en-IN"/>
                <w14:ligatures w14:val="none"/>
              </w:rPr>
            </w:pPr>
          </w:p>
        </w:tc>
        <w:tc>
          <w:tcPr>
            <w:tcW w:w="1450" w:type="dxa"/>
            <w:vAlign w:val="center"/>
            <w:hideMark/>
          </w:tcPr>
          <w:p w14:paraId="6622B576" w14:textId="77777777" w:rsidR="006C2579" w:rsidRPr="00E02C8A" w:rsidRDefault="006C2579" w:rsidP="006C2579">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E02C8A">
              <w:rPr>
                <w:rFonts w:ascii="Times New Roman" w:eastAsia="Times New Roman" w:hAnsi="Times New Roman" w:cs="Times New Roman"/>
                <w:i/>
                <w:iCs/>
                <w:color w:val="000000"/>
                <w:kern w:val="0"/>
                <w:szCs w:val="24"/>
                <w:lang w:eastAsia="en-IN"/>
                <w14:ligatures w14:val="none"/>
              </w:rPr>
              <w:t>5.9</w:t>
            </w:r>
          </w:p>
        </w:tc>
        <w:tc>
          <w:tcPr>
            <w:tcW w:w="1420" w:type="dxa"/>
            <w:vAlign w:val="center"/>
            <w:hideMark/>
          </w:tcPr>
          <w:p w14:paraId="5C986979" w14:textId="77777777" w:rsidR="006C2579" w:rsidRPr="00E02C8A" w:rsidRDefault="006C2579" w:rsidP="006C2579">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E02C8A">
              <w:rPr>
                <w:rFonts w:ascii="Times New Roman" w:eastAsia="Times New Roman" w:hAnsi="Times New Roman" w:cs="Times New Roman"/>
                <w:i/>
                <w:iCs/>
                <w:color w:val="000000"/>
                <w:kern w:val="0"/>
                <w:szCs w:val="24"/>
                <w:lang w:eastAsia="en-IN"/>
                <w14:ligatures w14:val="none"/>
              </w:rPr>
              <w:t>5.4</w:t>
            </w:r>
          </w:p>
        </w:tc>
        <w:tc>
          <w:tcPr>
            <w:tcW w:w="1219" w:type="dxa"/>
            <w:vAlign w:val="center"/>
            <w:hideMark/>
          </w:tcPr>
          <w:p w14:paraId="5E133F97" w14:textId="77777777" w:rsidR="006C2579" w:rsidRPr="00E02C8A" w:rsidRDefault="006C2579" w:rsidP="006C2579">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E02C8A">
              <w:rPr>
                <w:rFonts w:ascii="Times New Roman" w:eastAsia="Times New Roman" w:hAnsi="Times New Roman" w:cs="Times New Roman"/>
                <w:i/>
                <w:iCs/>
                <w:color w:val="000000"/>
                <w:kern w:val="0"/>
                <w:szCs w:val="24"/>
                <w:lang w:eastAsia="en-IN"/>
                <w14:ligatures w14:val="none"/>
              </w:rPr>
              <w:t>7.5</w:t>
            </w:r>
          </w:p>
        </w:tc>
        <w:tc>
          <w:tcPr>
            <w:tcW w:w="2269" w:type="dxa"/>
            <w:shd w:val="clear" w:color="000000" w:fill="FFFFFF"/>
            <w:vAlign w:val="center"/>
            <w:hideMark/>
          </w:tcPr>
          <w:p w14:paraId="237B6EA1"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i/>
                <w:iCs/>
                <w:color w:val="1A1C1E"/>
                <w:kern w:val="0"/>
                <w:szCs w:val="24"/>
                <w:lang w:eastAsia="en-IN"/>
                <w14:ligatures w14:val="none"/>
              </w:rPr>
            </w:pPr>
            <w:r w:rsidRPr="00E02C8A">
              <w:rPr>
                <w:rFonts w:ascii="Times New Roman" w:eastAsia="Times New Roman" w:hAnsi="Times New Roman" w:cs="Times New Roman"/>
                <w:i/>
                <w:iCs/>
                <w:color w:val="1A1C1E"/>
                <w:kern w:val="0"/>
                <w:szCs w:val="24"/>
                <w:lang w:eastAsia="en-IN"/>
                <w14:ligatures w14:val="none"/>
              </w:rPr>
              <w:t>13.1</w:t>
            </w:r>
          </w:p>
        </w:tc>
        <w:tc>
          <w:tcPr>
            <w:tcW w:w="1295" w:type="dxa"/>
            <w:shd w:val="clear" w:color="000000" w:fill="FFFFFF"/>
            <w:vAlign w:val="center"/>
            <w:hideMark/>
          </w:tcPr>
          <w:p w14:paraId="514FEA1C"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i/>
                <w:iCs/>
                <w:color w:val="1A1C1E"/>
                <w:kern w:val="0"/>
                <w:szCs w:val="24"/>
                <w:lang w:eastAsia="en-IN"/>
                <w14:ligatures w14:val="none"/>
              </w:rPr>
            </w:pPr>
            <w:r w:rsidRPr="00E02C8A">
              <w:rPr>
                <w:rFonts w:ascii="Times New Roman" w:eastAsia="Times New Roman" w:hAnsi="Times New Roman" w:cs="Times New Roman"/>
                <w:i/>
                <w:iCs/>
                <w:color w:val="1A1C1E"/>
                <w:kern w:val="0"/>
                <w:szCs w:val="24"/>
                <w:lang w:eastAsia="en-IN"/>
                <w14:ligatures w14:val="none"/>
              </w:rPr>
              <w:t>38.6</w:t>
            </w:r>
          </w:p>
        </w:tc>
        <w:tc>
          <w:tcPr>
            <w:tcW w:w="1985" w:type="dxa"/>
            <w:shd w:val="clear" w:color="000000" w:fill="FFFFFF"/>
            <w:vAlign w:val="center"/>
            <w:hideMark/>
          </w:tcPr>
          <w:p w14:paraId="01D502ED"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i/>
                <w:iCs/>
                <w:color w:val="1A1C1E"/>
                <w:kern w:val="0"/>
                <w:szCs w:val="24"/>
                <w:lang w:eastAsia="en-IN"/>
                <w14:ligatures w14:val="none"/>
              </w:rPr>
            </w:pPr>
            <w:r w:rsidRPr="00E02C8A">
              <w:rPr>
                <w:rFonts w:ascii="Times New Roman" w:eastAsia="Times New Roman" w:hAnsi="Times New Roman" w:cs="Times New Roman"/>
                <w:i/>
                <w:iCs/>
                <w:color w:val="1A1C1E"/>
                <w:kern w:val="0"/>
                <w:szCs w:val="24"/>
                <w:lang w:eastAsia="en-IN"/>
                <w14:ligatures w14:val="none"/>
              </w:rPr>
              <w:t>3.5</w:t>
            </w:r>
          </w:p>
        </w:tc>
        <w:tc>
          <w:tcPr>
            <w:tcW w:w="1070" w:type="dxa"/>
            <w:shd w:val="clear" w:color="000000" w:fill="FFFFFF"/>
            <w:vAlign w:val="center"/>
            <w:hideMark/>
          </w:tcPr>
          <w:p w14:paraId="63DDEDE6"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i/>
                <w:iCs/>
                <w:color w:val="1A1C1E"/>
                <w:kern w:val="0"/>
                <w:szCs w:val="24"/>
                <w:lang w:eastAsia="en-IN"/>
                <w14:ligatures w14:val="none"/>
              </w:rPr>
            </w:pPr>
            <w:r w:rsidRPr="00E02C8A">
              <w:rPr>
                <w:rFonts w:ascii="Times New Roman" w:eastAsia="Times New Roman" w:hAnsi="Times New Roman" w:cs="Times New Roman"/>
                <w:i/>
                <w:iCs/>
                <w:color w:val="1A1C1E"/>
                <w:kern w:val="0"/>
                <w:szCs w:val="24"/>
                <w:lang w:eastAsia="en-IN"/>
                <w14:ligatures w14:val="none"/>
              </w:rPr>
              <w:t>16.5</w:t>
            </w:r>
          </w:p>
        </w:tc>
        <w:tc>
          <w:tcPr>
            <w:tcW w:w="1182" w:type="dxa"/>
            <w:shd w:val="clear" w:color="000000" w:fill="FFFFFF"/>
            <w:vAlign w:val="center"/>
            <w:hideMark/>
          </w:tcPr>
          <w:p w14:paraId="53FC8C6A"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i/>
                <w:iCs/>
                <w:color w:val="1A1C1E"/>
                <w:kern w:val="0"/>
                <w:szCs w:val="24"/>
                <w:lang w:eastAsia="en-IN"/>
                <w14:ligatures w14:val="none"/>
              </w:rPr>
            </w:pPr>
            <w:r w:rsidRPr="00E02C8A">
              <w:rPr>
                <w:rFonts w:ascii="Times New Roman" w:eastAsia="Times New Roman" w:hAnsi="Times New Roman" w:cs="Times New Roman"/>
                <w:i/>
                <w:iCs/>
                <w:color w:val="1A1C1E"/>
                <w:kern w:val="0"/>
                <w:szCs w:val="24"/>
                <w:lang w:eastAsia="en-IN"/>
                <w14:ligatures w14:val="none"/>
              </w:rPr>
              <w:t>8.7</w:t>
            </w:r>
          </w:p>
        </w:tc>
        <w:tc>
          <w:tcPr>
            <w:tcW w:w="1379" w:type="dxa"/>
            <w:shd w:val="clear" w:color="000000" w:fill="FFFFFF"/>
            <w:vAlign w:val="center"/>
            <w:hideMark/>
          </w:tcPr>
          <w:p w14:paraId="1AA392A8" w14:textId="463EF4A5" w:rsidR="006C2579" w:rsidRPr="00E02C8A" w:rsidRDefault="006C2579" w:rsidP="006C2579">
            <w:pPr>
              <w:spacing w:after="0" w:line="240" w:lineRule="auto"/>
              <w:ind w:firstLineChars="100" w:firstLine="240"/>
              <w:jc w:val="center"/>
              <w:rPr>
                <w:rFonts w:ascii="Times New Roman" w:eastAsia="Times New Roman" w:hAnsi="Times New Roman" w:cs="Times New Roman"/>
                <w:i/>
                <w:iCs/>
                <w:color w:val="1A1C1E"/>
                <w:kern w:val="0"/>
                <w:szCs w:val="24"/>
                <w:lang w:eastAsia="en-IN"/>
                <w14:ligatures w14:val="none"/>
              </w:rPr>
            </w:pPr>
          </w:p>
        </w:tc>
      </w:tr>
      <w:tr w:rsidR="006C2579" w:rsidRPr="00E02C8A" w14:paraId="73D6CF34" w14:textId="77777777" w:rsidTr="006C2579">
        <w:trPr>
          <w:trHeight w:val="20"/>
          <w:jc w:val="center"/>
        </w:trPr>
        <w:tc>
          <w:tcPr>
            <w:tcW w:w="1603" w:type="dxa"/>
            <w:vAlign w:val="center"/>
            <w:hideMark/>
          </w:tcPr>
          <w:p w14:paraId="32407010" w14:textId="77777777" w:rsidR="006C2579" w:rsidRPr="00E02C8A" w:rsidRDefault="006C2579" w:rsidP="006C2579">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Patiala &amp; East Punjab States Union</w:t>
            </w:r>
          </w:p>
        </w:tc>
        <w:tc>
          <w:tcPr>
            <w:tcW w:w="1450" w:type="dxa"/>
            <w:vAlign w:val="center"/>
            <w:hideMark/>
          </w:tcPr>
          <w:p w14:paraId="6D17EDED" w14:textId="77777777" w:rsidR="006C2579" w:rsidRPr="00E02C8A" w:rsidRDefault="006C2579" w:rsidP="006C2579">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72</w:t>
            </w:r>
          </w:p>
        </w:tc>
        <w:tc>
          <w:tcPr>
            <w:tcW w:w="1420" w:type="dxa"/>
            <w:vAlign w:val="center"/>
            <w:hideMark/>
          </w:tcPr>
          <w:p w14:paraId="4A0F8E50" w14:textId="77777777" w:rsidR="006C2579" w:rsidRPr="00E02C8A" w:rsidRDefault="006C2579" w:rsidP="006C2579">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w:t>
            </w:r>
          </w:p>
        </w:tc>
        <w:tc>
          <w:tcPr>
            <w:tcW w:w="1219" w:type="dxa"/>
            <w:vAlign w:val="center"/>
            <w:hideMark/>
          </w:tcPr>
          <w:p w14:paraId="51D37E95" w14:textId="77777777" w:rsidR="006C2579" w:rsidRPr="00E02C8A" w:rsidRDefault="006C2579" w:rsidP="006C2579">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1</w:t>
            </w:r>
          </w:p>
        </w:tc>
        <w:tc>
          <w:tcPr>
            <w:tcW w:w="2269" w:type="dxa"/>
            <w:shd w:val="clear" w:color="000000" w:fill="FFFFFF"/>
            <w:vAlign w:val="center"/>
            <w:hideMark/>
          </w:tcPr>
          <w:p w14:paraId="39AC0D12"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E02C8A">
              <w:rPr>
                <w:rFonts w:ascii="Times New Roman" w:eastAsia="Times New Roman" w:hAnsi="Times New Roman" w:cs="Times New Roman"/>
                <w:color w:val="1A1C1E"/>
                <w:kern w:val="0"/>
                <w:szCs w:val="24"/>
                <w:lang w:eastAsia="en-IN"/>
                <w14:ligatures w14:val="none"/>
              </w:rPr>
              <w:t>164</w:t>
            </w:r>
          </w:p>
        </w:tc>
        <w:tc>
          <w:tcPr>
            <w:tcW w:w="1295" w:type="dxa"/>
            <w:shd w:val="clear" w:color="000000" w:fill="FFFFFF"/>
            <w:vAlign w:val="center"/>
            <w:hideMark/>
          </w:tcPr>
          <w:p w14:paraId="187E3772"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E02C8A">
              <w:rPr>
                <w:rFonts w:ascii="Times New Roman" w:eastAsia="Times New Roman" w:hAnsi="Times New Roman" w:cs="Times New Roman"/>
                <w:color w:val="1A1C1E"/>
                <w:kern w:val="0"/>
                <w:szCs w:val="24"/>
                <w:lang w:eastAsia="en-IN"/>
                <w14:ligatures w14:val="none"/>
              </w:rPr>
              <w:t>177</w:t>
            </w:r>
          </w:p>
        </w:tc>
        <w:tc>
          <w:tcPr>
            <w:tcW w:w="1985" w:type="dxa"/>
            <w:shd w:val="clear" w:color="000000" w:fill="FFFFFF"/>
            <w:vAlign w:val="center"/>
            <w:hideMark/>
          </w:tcPr>
          <w:p w14:paraId="3D21C3F7"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E02C8A">
              <w:rPr>
                <w:rFonts w:ascii="Times New Roman" w:eastAsia="Times New Roman" w:hAnsi="Times New Roman" w:cs="Times New Roman"/>
                <w:color w:val="1A1C1E"/>
                <w:kern w:val="0"/>
                <w:szCs w:val="24"/>
                <w:lang w:eastAsia="en-IN"/>
                <w14:ligatures w14:val="none"/>
              </w:rPr>
              <w:t>20</w:t>
            </w:r>
          </w:p>
        </w:tc>
        <w:tc>
          <w:tcPr>
            <w:tcW w:w="1070" w:type="dxa"/>
            <w:shd w:val="clear" w:color="000000" w:fill="FFFFFF"/>
            <w:vAlign w:val="center"/>
            <w:hideMark/>
          </w:tcPr>
          <w:p w14:paraId="5367B35F"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E02C8A">
              <w:rPr>
                <w:rFonts w:ascii="Times New Roman" w:eastAsia="Times New Roman" w:hAnsi="Times New Roman" w:cs="Times New Roman"/>
                <w:color w:val="1A1C1E"/>
                <w:kern w:val="0"/>
                <w:szCs w:val="24"/>
                <w:lang w:eastAsia="en-IN"/>
                <w14:ligatures w14:val="none"/>
              </w:rPr>
              <w:t>79</w:t>
            </w:r>
          </w:p>
        </w:tc>
        <w:tc>
          <w:tcPr>
            <w:tcW w:w="1182" w:type="dxa"/>
            <w:shd w:val="clear" w:color="000000" w:fill="FFFFFF"/>
            <w:vAlign w:val="center"/>
            <w:hideMark/>
          </w:tcPr>
          <w:p w14:paraId="4C5918C8"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E02C8A">
              <w:rPr>
                <w:rFonts w:ascii="Times New Roman" w:eastAsia="Times New Roman" w:hAnsi="Times New Roman" w:cs="Times New Roman"/>
                <w:color w:val="1A1C1E"/>
                <w:kern w:val="0"/>
                <w:szCs w:val="24"/>
                <w:lang w:eastAsia="en-IN"/>
                <w14:ligatures w14:val="none"/>
              </w:rPr>
              <w:t>72</w:t>
            </w:r>
          </w:p>
        </w:tc>
        <w:tc>
          <w:tcPr>
            <w:tcW w:w="1379" w:type="dxa"/>
            <w:shd w:val="clear" w:color="000000" w:fill="FFFFFF"/>
            <w:vAlign w:val="center"/>
            <w:hideMark/>
          </w:tcPr>
          <w:p w14:paraId="11187F42"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E02C8A">
              <w:rPr>
                <w:rFonts w:ascii="Times New Roman" w:eastAsia="Times New Roman" w:hAnsi="Times New Roman" w:cs="Times New Roman"/>
                <w:color w:val="1A1C1E"/>
                <w:kern w:val="0"/>
                <w:szCs w:val="24"/>
                <w:lang w:eastAsia="en-IN"/>
                <w14:ligatures w14:val="none"/>
              </w:rPr>
              <w:t>585</w:t>
            </w:r>
          </w:p>
        </w:tc>
      </w:tr>
      <w:tr w:rsidR="006C2579" w:rsidRPr="00E02C8A" w14:paraId="32D435C6" w14:textId="77777777" w:rsidTr="006C2579">
        <w:trPr>
          <w:trHeight w:val="20"/>
          <w:jc w:val="center"/>
        </w:trPr>
        <w:tc>
          <w:tcPr>
            <w:tcW w:w="1603" w:type="dxa"/>
            <w:vAlign w:val="center"/>
            <w:hideMark/>
          </w:tcPr>
          <w:p w14:paraId="12D801FE" w14:textId="783C2C8A" w:rsidR="006C2579" w:rsidRPr="00E02C8A" w:rsidRDefault="006C2579" w:rsidP="006C2579">
            <w:pPr>
              <w:spacing w:after="0" w:line="240" w:lineRule="auto"/>
              <w:jc w:val="center"/>
              <w:rPr>
                <w:rFonts w:ascii="Times New Roman" w:eastAsia="Times New Roman" w:hAnsi="Times New Roman" w:cs="Times New Roman"/>
                <w:i/>
                <w:iCs/>
                <w:color w:val="000000"/>
                <w:kern w:val="0"/>
                <w:szCs w:val="24"/>
                <w:lang w:eastAsia="en-IN"/>
                <w14:ligatures w14:val="none"/>
              </w:rPr>
            </w:pPr>
          </w:p>
        </w:tc>
        <w:tc>
          <w:tcPr>
            <w:tcW w:w="1450" w:type="dxa"/>
            <w:vAlign w:val="center"/>
            <w:hideMark/>
          </w:tcPr>
          <w:p w14:paraId="03D129BF" w14:textId="77777777" w:rsidR="006C2579" w:rsidRPr="00E02C8A" w:rsidRDefault="006C2579" w:rsidP="006C2579">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E02C8A">
              <w:rPr>
                <w:rFonts w:ascii="Times New Roman" w:eastAsia="Times New Roman" w:hAnsi="Times New Roman" w:cs="Times New Roman"/>
                <w:i/>
                <w:iCs/>
                <w:color w:val="000000"/>
                <w:kern w:val="0"/>
                <w:szCs w:val="24"/>
                <w:lang w:eastAsia="en-IN"/>
                <w14:ligatures w14:val="none"/>
              </w:rPr>
              <w:t>12.3</w:t>
            </w:r>
          </w:p>
        </w:tc>
        <w:tc>
          <w:tcPr>
            <w:tcW w:w="1420" w:type="dxa"/>
            <w:vAlign w:val="center"/>
            <w:hideMark/>
          </w:tcPr>
          <w:p w14:paraId="0A3B27E8" w14:textId="77777777" w:rsidR="006C2579" w:rsidRPr="00E02C8A" w:rsidRDefault="006C2579" w:rsidP="006C2579">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E02C8A">
              <w:rPr>
                <w:rFonts w:ascii="Times New Roman" w:eastAsia="Times New Roman" w:hAnsi="Times New Roman" w:cs="Times New Roman"/>
                <w:i/>
                <w:iCs/>
                <w:color w:val="000000"/>
                <w:kern w:val="0"/>
                <w:szCs w:val="24"/>
                <w:lang w:eastAsia="en-IN"/>
                <w14:ligatures w14:val="none"/>
              </w:rPr>
              <w:t>—</w:t>
            </w:r>
          </w:p>
        </w:tc>
        <w:tc>
          <w:tcPr>
            <w:tcW w:w="1219" w:type="dxa"/>
            <w:vAlign w:val="center"/>
            <w:hideMark/>
          </w:tcPr>
          <w:p w14:paraId="1A76A682" w14:textId="77777777" w:rsidR="006C2579" w:rsidRPr="00E02C8A" w:rsidRDefault="006C2579" w:rsidP="006C2579">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E02C8A">
              <w:rPr>
                <w:rFonts w:ascii="Times New Roman" w:eastAsia="Times New Roman" w:hAnsi="Times New Roman" w:cs="Times New Roman"/>
                <w:i/>
                <w:iCs/>
                <w:color w:val="000000"/>
                <w:kern w:val="0"/>
                <w:szCs w:val="24"/>
                <w:lang w:eastAsia="en-IN"/>
                <w14:ligatures w14:val="none"/>
              </w:rPr>
              <w:t>0.2</w:t>
            </w:r>
          </w:p>
        </w:tc>
        <w:tc>
          <w:tcPr>
            <w:tcW w:w="2269" w:type="dxa"/>
            <w:shd w:val="clear" w:color="000000" w:fill="FFFFFF"/>
            <w:vAlign w:val="center"/>
            <w:hideMark/>
          </w:tcPr>
          <w:p w14:paraId="54DE77AE" w14:textId="3113769F" w:rsidR="006C2579" w:rsidRPr="00E02C8A" w:rsidRDefault="006C2579" w:rsidP="006C2579">
            <w:pPr>
              <w:spacing w:after="0" w:line="240" w:lineRule="auto"/>
              <w:ind w:firstLineChars="100" w:firstLine="240"/>
              <w:jc w:val="center"/>
              <w:rPr>
                <w:rFonts w:ascii="Times New Roman" w:eastAsia="Times New Roman" w:hAnsi="Times New Roman" w:cs="Times New Roman"/>
                <w:i/>
                <w:iCs/>
                <w:color w:val="1A1C1E"/>
                <w:kern w:val="0"/>
                <w:szCs w:val="24"/>
                <w:lang w:eastAsia="en-IN"/>
                <w14:ligatures w14:val="none"/>
              </w:rPr>
            </w:pPr>
            <w:r w:rsidRPr="00E02C8A">
              <w:rPr>
                <w:rFonts w:ascii="Times New Roman" w:eastAsia="Times New Roman" w:hAnsi="Times New Roman" w:cs="Times New Roman"/>
                <w:i/>
                <w:iCs/>
                <w:color w:val="1A1C1E"/>
                <w:kern w:val="0"/>
                <w:szCs w:val="24"/>
                <w:lang w:eastAsia="en-IN"/>
                <w14:ligatures w14:val="none"/>
              </w:rPr>
              <w:t>28</w:t>
            </w:r>
            <w:r w:rsidR="005B4807" w:rsidRPr="00E02C8A">
              <w:rPr>
                <w:rFonts w:ascii="Times New Roman" w:eastAsia="Times New Roman" w:hAnsi="Times New Roman" w:cs="Times New Roman"/>
                <w:i/>
                <w:iCs/>
                <w:color w:val="1A1C1E"/>
                <w:kern w:val="0"/>
                <w:szCs w:val="24"/>
                <w:lang w:eastAsia="en-IN"/>
                <w14:ligatures w14:val="none"/>
              </w:rPr>
              <w:t>.0</w:t>
            </w:r>
          </w:p>
        </w:tc>
        <w:tc>
          <w:tcPr>
            <w:tcW w:w="1295" w:type="dxa"/>
            <w:shd w:val="clear" w:color="000000" w:fill="FFFFFF"/>
            <w:vAlign w:val="center"/>
            <w:hideMark/>
          </w:tcPr>
          <w:p w14:paraId="75A23FB9"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i/>
                <w:iCs/>
                <w:color w:val="1A1C1E"/>
                <w:kern w:val="0"/>
                <w:szCs w:val="24"/>
                <w:lang w:eastAsia="en-IN"/>
                <w14:ligatures w14:val="none"/>
              </w:rPr>
            </w:pPr>
            <w:r w:rsidRPr="00E02C8A">
              <w:rPr>
                <w:rFonts w:ascii="Times New Roman" w:eastAsia="Times New Roman" w:hAnsi="Times New Roman" w:cs="Times New Roman"/>
                <w:i/>
                <w:iCs/>
                <w:color w:val="1A1C1E"/>
                <w:kern w:val="0"/>
                <w:szCs w:val="24"/>
                <w:lang w:eastAsia="en-IN"/>
                <w14:ligatures w14:val="none"/>
              </w:rPr>
              <w:t>30.3</w:t>
            </w:r>
          </w:p>
        </w:tc>
        <w:tc>
          <w:tcPr>
            <w:tcW w:w="1985" w:type="dxa"/>
            <w:shd w:val="clear" w:color="000000" w:fill="FFFFFF"/>
            <w:vAlign w:val="center"/>
            <w:hideMark/>
          </w:tcPr>
          <w:p w14:paraId="6C73A386"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i/>
                <w:iCs/>
                <w:color w:val="1A1C1E"/>
                <w:kern w:val="0"/>
                <w:szCs w:val="24"/>
                <w:lang w:eastAsia="en-IN"/>
                <w14:ligatures w14:val="none"/>
              </w:rPr>
            </w:pPr>
            <w:r w:rsidRPr="00E02C8A">
              <w:rPr>
                <w:rFonts w:ascii="Times New Roman" w:eastAsia="Times New Roman" w:hAnsi="Times New Roman" w:cs="Times New Roman"/>
                <w:i/>
                <w:iCs/>
                <w:color w:val="1A1C1E"/>
                <w:kern w:val="0"/>
                <w:szCs w:val="24"/>
                <w:lang w:eastAsia="en-IN"/>
                <w14:ligatures w14:val="none"/>
              </w:rPr>
              <w:t>3.4</w:t>
            </w:r>
          </w:p>
        </w:tc>
        <w:tc>
          <w:tcPr>
            <w:tcW w:w="1070" w:type="dxa"/>
            <w:shd w:val="clear" w:color="000000" w:fill="FFFFFF"/>
            <w:vAlign w:val="center"/>
            <w:hideMark/>
          </w:tcPr>
          <w:p w14:paraId="2B554DAF"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i/>
                <w:iCs/>
                <w:color w:val="1A1C1E"/>
                <w:kern w:val="0"/>
                <w:szCs w:val="24"/>
                <w:lang w:eastAsia="en-IN"/>
                <w14:ligatures w14:val="none"/>
              </w:rPr>
            </w:pPr>
            <w:r w:rsidRPr="00E02C8A">
              <w:rPr>
                <w:rFonts w:ascii="Times New Roman" w:eastAsia="Times New Roman" w:hAnsi="Times New Roman" w:cs="Times New Roman"/>
                <w:i/>
                <w:iCs/>
                <w:color w:val="1A1C1E"/>
                <w:kern w:val="0"/>
                <w:szCs w:val="24"/>
                <w:lang w:eastAsia="en-IN"/>
                <w14:ligatures w14:val="none"/>
              </w:rPr>
              <w:t>13.5</w:t>
            </w:r>
          </w:p>
        </w:tc>
        <w:tc>
          <w:tcPr>
            <w:tcW w:w="1182" w:type="dxa"/>
            <w:shd w:val="clear" w:color="000000" w:fill="FFFFFF"/>
            <w:vAlign w:val="center"/>
            <w:hideMark/>
          </w:tcPr>
          <w:p w14:paraId="0291EBC0"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i/>
                <w:iCs/>
                <w:color w:val="1A1C1E"/>
                <w:kern w:val="0"/>
                <w:szCs w:val="24"/>
                <w:lang w:eastAsia="en-IN"/>
                <w14:ligatures w14:val="none"/>
              </w:rPr>
            </w:pPr>
            <w:r w:rsidRPr="00E02C8A">
              <w:rPr>
                <w:rFonts w:ascii="Times New Roman" w:eastAsia="Times New Roman" w:hAnsi="Times New Roman" w:cs="Times New Roman"/>
                <w:i/>
                <w:iCs/>
                <w:color w:val="1A1C1E"/>
                <w:kern w:val="0"/>
                <w:szCs w:val="24"/>
                <w:lang w:eastAsia="en-IN"/>
                <w14:ligatures w14:val="none"/>
              </w:rPr>
              <w:t>12.3</w:t>
            </w:r>
          </w:p>
        </w:tc>
        <w:tc>
          <w:tcPr>
            <w:tcW w:w="1379" w:type="dxa"/>
            <w:shd w:val="clear" w:color="000000" w:fill="FFFFFF"/>
            <w:vAlign w:val="center"/>
            <w:hideMark/>
          </w:tcPr>
          <w:p w14:paraId="330DC891" w14:textId="378598BA" w:rsidR="006C2579" w:rsidRPr="00E02C8A" w:rsidRDefault="006C2579" w:rsidP="006C2579">
            <w:pPr>
              <w:spacing w:after="0" w:line="240" w:lineRule="auto"/>
              <w:ind w:firstLineChars="100" w:firstLine="240"/>
              <w:jc w:val="center"/>
              <w:rPr>
                <w:rFonts w:ascii="Times New Roman" w:eastAsia="Times New Roman" w:hAnsi="Times New Roman" w:cs="Times New Roman"/>
                <w:i/>
                <w:iCs/>
                <w:color w:val="1A1C1E"/>
                <w:kern w:val="0"/>
                <w:szCs w:val="24"/>
                <w:lang w:eastAsia="en-IN"/>
                <w14:ligatures w14:val="none"/>
              </w:rPr>
            </w:pPr>
          </w:p>
        </w:tc>
      </w:tr>
      <w:tr w:rsidR="006C2579" w:rsidRPr="00E02C8A" w14:paraId="6A98535E" w14:textId="77777777" w:rsidTr="006C2579">
        <w:trPr>
          <w:trHeight w:val="20"/>
          <w:jc w:val="center"/>
        </w:trPr>
        <w:tc>
          <w:tcPr>
            <w:tcW w:w="1603" w:type="dxa"/>
            <w:vAlign w:val="center"/>
            <w:hideMark/>
          </w:tcPr>
          <w:p w14:paraId="121FC845" w14:textId="77777777" w:rsidR="006C2579" w:rsidRPr="00E02C8A" w:rsidRDefault="006C2579" w:rsidP="006C2579">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Rajasthan</w:t>
            </w:r>
          </w:p>
        </w:tc>
        <w:tc>
          <w:tcPr>
            <w:tcW w:w="1450" w:type="dxa"/>
            <w:vAlign w:val="center"/>
            <w:hideMark/>
          </w:tcPr>
          <w:p w14:paraId="6852C2A6" w14:textId="77777777" w:rsidR="006C2579" w:rsidRPr="00E02C8A" w:rsidRDefault="006C2579" w:rsidP="006C2579">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242</w:t>
            </w:r>
          </w:p>
        </w:tc>
        <w:tc>
          <w:tcPr>
            <w:tcW w:w="1420" w:type="dxa"/>
            <w:vAlign w:val="center"/>
            <w:hideMark/>
          </w:tcPr>
          <w:p w14:paraId="4A02545D" w14:textId="77777777" w:rsidR="006C2579" w:rsidRPr="00E02C8A" w:rsidRDefault="006C2579" w:rsidP="006C2579">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91</w:t>
            </w:r>
          </w:p>
        </w:tc>
        <w:tc>
          <w:tcPr>
            <w:tcW w:w="1219" w:type="dxa"/>
            <w:vAlign w:val="center"/>
            <w:hideMark/>
          </w:tcPr>
          <w:p w14:paraId="566B4981" w14:textId="77777777" w:rsidR="006C2579" w:rsidRPr="00E02C8A" w:rsidRDefault="006C2579" w:rsidP="006C2579">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29</w:t>
            </w:r>
          </w:p>
        </w:tc>
        <w:tc>
          <w:tcPr>
            <w:tcW w:w="2269" w:type="dxa"/>
            <w:shd w:val="clear" w:color="000000" w:fill="FFFFFF"/>
            <w:vAlign w:val="center"/>
            <w:hideMark/>
          </w:tcPr>
          <w:p w14:paraId="6CEFABE8"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E02C8A">
              <w:rPr>
                <w:rFonts w:ascii="Times New Roman" w:eastAsia="Times New Roman" w:hAnsi="Times New Roman" w:cs="Times New Roman"/>
                <w:color w:val="1A1C1E"/>
                <w:kern w:val="0"/>
                <w:szCs w:val="24"/>
                <w:lang w:eastAsia="en-IN"/>
                <w14:ligatures w14:val="none"/>
              </w:rPr>
              <w:t>492</w:t>
            </w:r>
          </w:p>
        </w:tc>
        <w:tc>
          <w:tcPr>
            <w:tcW w:w="1295" w:type="dxa"/>
            <w:shd w:val="clear" w:color="000000" w:fill="FFFFFF"/>
            <w:vAlign w:val="center"/>
            <w:hideMark/>
          </w:tcPr>
          <w:p w14:paraId="41A2DF83"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E02C8A">
              <w:rPr>
                <w:rFonts w:ascii="Times New Roman" w:eastAsia="Times New Roman" w:hAnsi="Times New Roman" w:cs="Times New Roman"/>
                <w:color w:val="1A1C1E"/>
                <w:kern w:val="0"/>
                <w:szCs w:val="24"/>
                <w:lang w:eastAsia="en-IN"/>
                <w14:ligatures w14:val="none"/>
              </w:rPr>
              <w:t>463</w:t>
            </w:r>
          </w:p>
        </w:tc>
        <w:tc>
          <w:tcPr>
            <w:tcW w:w="1985" w:type="dxa"/>
            <w:shd w:val="clear" w:color="000000" w:fill="FFFFFF"/>
            <w:vAlign w:val="center"/>
            <w:hideMark/>
          </w:tcPr>
          <w:p w14:paraId="206584BA"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E02C8A">
              <w:rPr>
                <w:rFonts w:ascii="Times New Roman" w:eastAsia="Times New Roman" w:hAnsi="Times New Roman" w:cs="Times New Roman"/>
                <w:color w:val="1A1C1E"/>
                <w:kern w:val="0"/>
                <w:szCs w:val="24"/>
                <w:lang w:eastAsia="en-IN"/>
                <w14:ligatures w14:val="none"/>
              </w:rPr>
              <w:t>57</w:t>
            </w:r>
          </w:p>
        </w:tc>
        <w:tc>
          <w:tcPr>
            <w:tcW w:w="1070" w:type="dxa"/>
            <w:shd w:val="clear" w:color="000000" w:fill="FFFFFF"/>
            <w:vAlign w:val="center"/>
            <w:hideMark/>
          </w:tcPr>
          <w:p w14:paraId="71A188C4"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E02C8A">
              <w:rPr>
                <w:rFonts w:ascii="Times New Roman" w:eastAsia="Times New Roman" w:hAnsi="Times New Roman" w:cs="Times New Roman"/>
                <w:color w:val="1A1C1E"/>
                <w:kern w:val="0"/>
                <w:szCs w:val="24"/>
                <w:lang w:eastAsia="en-IN"/>
                <w14:ligatures w14:val="none"/>
              </w:rPr>
              <w:t>169</w:t>
            </w:r>
          </w:p>
        </w:tc>
        <w:tc>
          <w:tcPr>
            <w:tcW w:w="1182" w:type="dxa"/>
            <w:shd w:val="clear" w:color="000000" w:fill="FFFFFF"/>
            <w:vAlign w:val="center"/>
            <w:hideMark/>
          </w:tcPr>
          <w:p w14:paraId="5D08C60E"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E02C8A">
              <w:rPr>
                <w:rFonts w:ascii="Times New Roman" w:eastAsia="Times New Roman" w:hAnsi="Times New Roman" w:cs="Times New Roman"/>
                <w:color w:val="1A1C1E"/>
                <w:kern w:val="0"/>
                <w:szCs w:val="24"/>
                <w:lang w:eastAsia="en-IN"/>
                <w14:ligatures w14:val="none"/>
              </w:rPr>
              <w:t>182</w:t>
            </w:r>
          </w:p>
        </w:tc>
        <w:tc>
          <w:tcPr>
            <w:tcW w:w="1379" w:type="dxa"/>
            <w:shd w:val="clear" w:color="000000" w:fill="FFFFFF"/>
            <w:vAlign w:val="center"/>
            <w:hideMark/>
          </w:tcPr>
          <w:p w14:paraId="34A2F4DB"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E02C8A">
              <w:rPr>
                <w:rFonts w:ascii="Times New Roman" w:eastAsia="Times New Roman" w:hAnsi="Times New Roman" w:cs="Times New Roman"/>
                <w:color w:val="1A1C1E"/>
                <w:kern w:val="0"/>
                <w:szCs w:val="24"/>
                <w:lang w:eastAsia="en-IN"/>
                <w14:ligatures w14:val="none"/>
              </w:rPr>
              <w:t>1726</w:t>
            </w:r>
          </w:p>
        </w:tc>
      </w:tr>
      <w:tr w:rsidR="006C2579" w:rsidRPr="00E02C8A" w14:paraId="3C5D6327" w14:textId="77777777" w:rsidTr="006C2579">
        <w:trPr>
          <w:trHeight w:val="20"/>
          <w:jc w:val="center"/>
        </w:trPr>
        <w:tc>
          <w:tcPr>
            <w:tcW w:w="1603" w:type="dxa"/>
            <w:vAlign w:val="center"/>
            <w:hideMark/>
          </w:tcPr>
          <w:p w14:paraId="70C326DF" w14:textId="1B40F54F" w:rsidR="006C2579" w:rsidRPr="00E02C8A" w:rsidRDefault="006C2579" w:rsidP="006C2579">
            <w:pPr>
              <w:spacing w:after="0" w:line="240" w:lineRule="auto"/>
              <w:jc w:val="center"/>
              <w:rPr>
                <w:rFonts w:ascii="Times New Roman" w:eastAsia="Times New Roman" w:hAnsi="Times New Roman" w:cs="Times New Roman"/>
                <w:i/>
                <w:iCs/>
                <w:color w:val="000000"/>
                <w:kern w:val="0"/>
                <w:szCs w:val="24"/>
                <w:lang w:eastAsia="en-IN"/>
                <w14:ligatures w14:val="none"/>
              </w:rPr>
            </w:pPr>
          </w:p>
        </w:tc>
        <w:tc>
          <w:tcPr>
            <w:tcW w:w="1450" w:type="dxa"/>
            <w:vAlign w:val="center"/>
            <w:hideMark/>
          </w:tcPr>
          <w:p w14:paraId="09B71E2B" w14:textId="498E3558" w:rsidR="006C2579" w:rsidRPr="00E02C8A" w:rsidRDefault="006C2579" w:rsidP="006C2579">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E02C8A">
              <w:rPr>
                <w:rFonts w:ascii="Times New Roman" w:eastAsia="Times New Roman" w:hAnsi="Times New Roman" w:cs="Times New Roman"/>
                <w:i/>
                <w:iCs/>
                <w:color w:val="000000"/>
                <w:kern w:val="0"/>
                <w:szCs w:val="24"/>
                <w:lang w:eastAsia="en-IN"/>
                <w14:ligatures w14:val="none"/>
              </w:rPr>
              <w:t>14</w:t>
            </w:r>
            <w:r w:rsidR="005B4807" w:rsidRPr="00E02C8A">
              <w:rPr>
                <w:rFonts w:ascii="Times New Roman" w:eastAsia="Times New Roman" w:hAnsi="Times New Roman" w:cs="Times New Roman"/>
                <w:i/>
                <w:iCs/>
                <w:color w:val="000000"/>
                <w:kern w:val="0"/>
                <w:szCs w:val="24"/>
                <w:lang w:eastAsia="en-IN"/>
                <w14:ligatures w14:val="none"/>
              </w:rPr>
              <w:t>.0</w:t>
            </w:r>
          </w:p>
        </w:tc>
        <w:tc>
          <w:tcPr>
            <w:tcW w:w="1420" w:type="dxa"/>
            <w:vAlign w:val="center"/>
            <w:hideMark/>
          </w:tcPr>
          <w:p w14:paraId="510D137D" w14:textId="77777777" w:rsidR="006C2579" w:rsidRPr="00E02C8A" w:rsidRDefault="006C2579" w:rsidP="006C2579">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E02C8A">
              <w:rPr>
                <w:rFonts w:ascii="Times New Roman" w:eastAsia="Times New Roman" w:hAnsi="Times New Roman" w:cs="Times New Roman"/>
                <w:i/>
                <w:iCs/>
                <w:color w:val="000000"/>
                <w:kern w:val="0"/>
                <w:szCs w:val="24"/>
                <w:lang w:eastAsia="en-IN"/>
                <w14:ligatures w14:val="none"/>
              </w:rPr>
              <w:t>5.3</w:t>
            </w:r>
          </w:p>
        </w:tc>
        <w:tc>
          <w:tcPr>
            <w:tcW w:w="1219" w:type="dxa"/>
            <w:vAlign w:val="center"/>
            <w:hideMark/>
          </w:tcPr>
          <w:p w14:paraId="7DB18144" w14:textId="77777777" w:rsidR="006C2579" w:rsidRPr="00E02C8A" w:rsidRDefault="006C2579" w:rsidP="006C2579">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E02C8A">
              <w:rPr>
                <w:rFonts w:ascii="Times New Roman" w:eastAsia="Times New Roman" w:hAnsi="Times New Roman" w:cs="Times New Roman"/>
                <w:i/>
                <w:iCs/>
                <w:color w:val="000000"/>
                <w:kern w:val="0"/>
                <w:szCs w:val="24"/>
                <w:lang w:eastAsia="en-IN"/>
                <w14:ligatures w14:val="none"/>
              </w:rPr>
              <w:t>1.7</w:t>
            </w:r>
          </w:p>
        </w:tc>
        <w:tc>
          <w:tcPr>
            <w:tcW w:w="2269" w:type="dxa"/>
            <w:shd w:val="clear" w:color="000000" w:fill="FFFFFF"/>
            <w:vAlign w:val="center"/>
            <w:hideMark/>
          </w:tcPr>
          <w:p w14:paraId="1DB90C42"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i/>
                <w:iCs/>
                <w:color w:val="1A1C1E"/>
                <w:kern w:val="0"/>
                <w:szCs w:val="24"/>
                <w:lang w:eastAsia="en-IN"/>
                <w14:ligatures w14:val="none"/>
              </w:rPr>
            </w:pPr>
            <w:r w:rsidRPr="00E02C8A">
              <w:rPr>
                <w:rFonts w:ascii="Times New Roman" w:eastAsia="Times New Roman" w:hAnsi="Times New Roman" w:cs="Times New Roman"/>
                <w:i/>
                <w:iCs/>
                <w:color w:val="1A1C1E"/>
                <w:kern w:val="0"/>
                <w:szCs w:val="24"/>
                <w:lang w:eastAsia="en-IN"/>
                <w14:ligatures w14:val="none"/>
              </w:rPr>
              <w:t>28.5</w:t>
            </w:r>
          </w:p>
        </w:tc>
        <w:tc>
          <w:tcPr>
            <w:tcW w:w="1295" w:type="dxa"/>
            <w:shd w:val="clear" w:color="000000" w:fill="FFFFFF"/>
            <w:vAlign w:val="center"/>
            <w:hideMark/>
          </w:tcPr>
          <w:p w14:paraId="5F1811DF"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i/>
                <w:iCs/>
                <w:color w:val="1A1C1E"/>
                <w:kern w:val="0"/>
                <w:szCs w:val="24"/>
                <w:lang w:eastAsia="en-IN"/>
                <w14:ligatures w14:val="none"/>
              </w:rPr>
            </w:pPr>
            <w:r w:rsidRPr="00E02C8A">
              <w:rPr>
                <w:rFonts w:ascii="Times New Roman" w:eastAsia="Times New Roman" w:hAnsi="Times New Roman" w:cs="Times New Roman"/>
                <w:i/>
                <w:iCs/>
                <w:color w:val="1A1C1E"/>
                <w:kern w:val="0"/>
                <w:szCs w:val="24"/>
                <w:lang w:eastAsia="en-IN"/>
                <w14:ligatures w14:val="none"/>
              </w:rPr>
              <w:t>26.8</w:t>
            </w:r>
          </w:p>
        </w:tc>
        <w:tc>
          <w:tcPr>
            <w:tcW w:w="1985" w:type="dxa"/>
            <w:shd w:val="clear" w:color="000000" w:fill="FFFFFF"/>
            <w:vAlign w:val="center"/>
            <w:hideMark/>
          </w:tcPr>
          <w:p w14:paraId="3972864F"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i/>
                <w:iCs/>
                <w:color w:val="1A1C1E"/>
                <w:kern w:val="0"/>
                <w:szCs w:val="24"/>
                <w:lang w:eastAsia="en-IN"/>
                <w14:ligatures w14:val="none"/>
              </w:rPr>
            </w:pPr>
            <w:r w:rsidRPr="00E02C8A">
              <w:rPr>
                <w:rFonts w:ascii="Times New Roman" w:eastAsia="Times New Roman" w:hAnsi="Times New Roman" w:cs="Times New Roman"/>
                <w:i/>
                <w:iCs/>
                <w:color w:val="1A1C1E"/>
                <w:kern w:val="0"/>
                <w:szCs w:val="24"/>
                <w:lang w:eastAsia="en-IN"/>
                <w14:ligatures w14:val="none"/>
              </w:rPr>
              <w:t>3.3</w:t>
            </w:r>
          </w:p>
        </w:tc>
        <w:tc>
          <w:tcPr>
            <w:tcW w:w="1070" w:type="dxa"/>
            <w:shd w:val="clear" w:color="000000" w:fill="FFFFFF"/>
            <w:vAlign w:val="center"/>
            <w:hideMark/>
          </w:tcPr>
          <w:p w14:paraId="7997468F" w14:textId="79B8F284" w:rsidR="006C2579" w:rsidRPr="00E02C8A" w:rsidRDefault="006C2579" w:rsidP="006C2579">
            <w:pPr>
              <w:spacing w:after="0" w:line="240" w:lineRule="auto"/>
              <w:ind w:firstLineChars="100" w:firstLine="240"/>
              <w:jc w:val="center"/>
              <w:rPr>
                <w:rFonts w:ascii="Times New Roman" w:eastAsia="Times New Roman" w:hAnsi="Times New Roman" w:cs="Times New Roman"/>
                <w:i/>
                <w:iCs/>
                <w:color w:val="1A1C1E"/>
                <w:kern w:val="0"/>
                <w:szCs w:val="24"/>
                <w:lang w:eastAsia="en-IN"/>
                <w14:ligatures w14:val="none"/>
              </w:rPr>
            </w:pPr>
            <w:r w:rsidRPr="00E02C8A">
              <w:rPr>
                <w:rFonts w:ascii="Times New Roman" w:eastAsia="Times New Roman" w:hAnsi="Times New Roman" w:cs="Times New Roman"/>
                <w:i/>
                <w:iCs/>
                <w:color w:val="1A1C1E"/>
                <w:kern w:val="0"/>
                <w:szCs w:val="24"/>
                <w:lang w:eastAsia="en-IN"/>
                <w14:ligatures w14:val="none"/>
              </w:rPr>
              <w:t>9</w:t>
            </w:r>
            <w:r w:rsidR="006E3831" w:rsidRPr="00E02C8A">
              <w:rPr>
                <w:rFonts w:ascii="Times New Roman" w:eastAsia="Times New Roman" w:hAnsi="Times New Roman" w:cs="Times New Roman"/>
                <w:i/>
                <w:iCs/>
                <w:color w:val="1A1C1E"/>
                <w:kern w:val="0"/>
                <w:szCs w:val="24"/>
                <w:lang w:eastAsia="en-IN"/>
                <w14:ligatures w14:val="none"/>
              </w:rPr>
              <w:t>.0</w:t>
            </w:r>
          </w:p>
        </w:tc>
        <w:tc>
          <w:tcPr>
            <w:tcW w:w="1182" w:type="dxa"/>
            <w:shd w:val="clear" w:color="000000" w:fill="FFFFFF"/>
            <w:vAlign w:val="center"/>
            <w:hideMark/>
          </w:tcPr>
          <w:p w14:paraId="3B7ACF31"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i/>
                <w:iCs/>
                <w:color w:val="1A1C1E"/>
                <w:kern w:val="0"/>
                <w:szCs w:val="24"/>
                <w:lang w:eastAsia="en-IN"/>
                <w14:ligatures w14:val="none"/>
              </w:rPr>
            </w:pPr>
            <w:r w:rsidRPr="00E02C8A">
              <w:rPr>
                <w:rFonts w:ascii="Times New Roman" w:eastAsia="Times New Roman" w:hAnsi="Times New Roman" w:cs="Times New Roman"/>
                <w:i/>
                <w:iCs/>
                <w:color w:val="1A1C1E"/>
                <w:kern w:val="0"/>
                <w:szCs w:val="24"/>
                <w:lang w:eastAsia="en-IN"/>
                <w14:ligatures w14:val="none"/>
              </w:rPr>
              <w:t>10.5</w:t>
            </w:r>
          </w:p>
        </w:tc>
        <w:tc>
          <w:tcPr>
            <w:tcW w:w="1379" w:type="dxa"/>
            <w:shd w:val="clear" w:color="000000" w:fill="FFFFFF"/>
            <w:vAlign w:val="center"/>
            <w:hideMark/>
          </w:tcPr>
          <w:p w14:paraId="716B4C5C" w14:textId="260F9418" w:rsidR="006C2579" w:rsidRPr="00E02C8A" w:rsidRDefault="006C2579" w:rsidP="006C2579">
            <w:pPr>
              <w:spacing w:after="0" w:line="240" w:lineRule="auto"/>
              <w:ind w:firstLineChars="100" w:firstLine="240"/>
              <w:jc w:val="center"/>
              <w:rPr>
                <w:rFonts w:ascii="Times New Roman" w:eastAsia="Times New Roman" w:hAnsi="Times New Roman" w:cs="Times New Roman"/>
                <w:i/>
                <w:iCs/>
                <w:color w:val="1A1C1E"/>
                <w:kern w:val="0"/>
                <w:szCs w:val="24"/>
                <w:lang w:eastAsia="en-IN"/>
                <w14:ligatures w14:val="none"/>
              </w:rPr>
            </w:pPr>
          </w:p>
        </w:tc>
      </w:tr>
      <w:tr w:rsidR="006C2579" w:rsidRPr="00E02C8A" w14:paraId="138EAA39" w14:textId="77777777" w:rsidTr="006C2579">
        <w:trPr>
          <w:trHeight w:val="20"/>
          <w:jc w:val="center"/>
        </w:trPr>
        <w:tc>
          <w:tcPr>
            <w:tcW w:w="1603" w:type="dxa"/>
            <w:vAlign w:val="center"/>
            <w:hideMark/>
          </w:tcPr>
          <w:p w14:paraId="65B1A136" w14:textId="77777777" w:rsidR="006C2579" w:rsidRPr="00E02C8A" w:rsidRDefault="006C2579" w:rsidP="006C2579">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Saurashtra</w:t>
            </w:r>
          </w:p>
        </w:tc>
        <w:tc>
          <w:tcPr>
            <w:tcW w:w="1450" w:type="dxa"/>
            <w:vAlign w:val="center"/>
            <w:hideMark/>
          </w:tcPr>
          <w:p w14:paraId="6A8290D9" w14:textId="77777777" w:rsidR="006C2579" w:rsidRPr="00E02C8A" w:rsidRDefault="006C2579" w:rsidP="006C2579">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97</w:t>
            </w:r>
          </w:p>
        </w:tc>
        <w:tc>
          <w:tcPr>
            <w:tcW w:w="1420" w:type="dxa"/>
            <w:vAlign w:val="center"/>
            <w:hideMark/>
          </w:tcPr>
          <w:p w14:paraId="2DFBB4D1" w14:textId="77777777" w:rsidR="006C2579" w:rsidRPr="00E02C8A" w:rsidRDefault="006C2579" w:rsidP="006C2579">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36</w:t>
            </w:r>
          </w:p>
        </w:tc>
        <w:tc>
          <w:tcPr>
            <w:tcW w:w="1219" w:type="dxa"/>
            <w:vAlign w:val="center"/>
            <w:hideMark/>
          </w:tcPr>
          <w:p w14:paraId="2C54838E" w14:textId="77777777" w:rsidR="006C2579" w:rsidRPr="00E02C8A" w:rsidRDefault="006C2579" w:rsidP="006C2579">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7</w:t>
            </w:r>
          </w:p>
        </w:tc>
        <w:tc>
          <w:tcPr>
            <w:tcW w:w="2269" w:type="dxa"/>
            <w:shd w:val="clear" w:color="000000" w:fill="FFFFFF"/>
            <w:vAlign w:val="center"/>
            <w:hideMark/>
          </w:tcPr>
          <w:p w14:paraId="414798F5"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E02C8A">
              <w:rPr>
                <w:rFonts w:ascii="Times New Roman" w:eastAsia="Times New Roman" w:hAnsi="Times New Roman" w:cs="Times New Roman"/>
                <w:color w:val="1A1C1E"/>
                <w:kern w:val="0"/>
                <w:szCs w:val="24"/>
                <w:lang w:eastAsia="en-IN"/>
                <w14:ligatures w14:val="none"/>
              </w:rPr>
              <w:t>270</w:t>
            </w:r>
          </w:p>
        </w:tc>
        <w:tc>
          <w:tcPr>
            <w:tcW w:w="1295" w:type="dxa"/>
            <w:shd w:val="clear" w:color="000000" w:fill="FFFFFF"/>
            <w:vAlign w:val="center"/>
            <w:hideMark/>
          </w:tcPr>
          <w:p w14:paraId="72C3B595"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E02C8A">
              <w:rPr>
                <w:rFonts w:ascii="Times New Roman" w:eastAsia="Times New Roman" w:hAnsi="Times New Roman" w:cs="Times New Roman"/>
                <w:color w:val="1A1C1E"/>
                <w:kern w:val="0"/>
                <w:szCs w:val="24"/>
                <w:lang w:eastAsia="en-IN"/>
                <w14:ligatures w14:val="none"/>
              </w:rPr>
              <w:t>238</w:t>
            </w:r>
          </w:p>
        </w:tc>
        <w:tc>
          <w:tcPr>
            <w:tcW w:w="1985" w:type="dxa"/>
            <w:shd w:val="clear" w:color="000000" w:fill="FFFFFF"/>
            <w:vAlign w:val="center"/>
            <w:hideMark/>
          </w:tcPr>
          <w:p w14:paraId="591A1960"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E02C8A">
              <w:rPr>
                <w:rFonts w:ascii="Times New Roman" w:eastAsia="Times New Roman" w:hAnsi="Times New Roman" w:cs="Times New Roman"/>
                <w:color w:val="1A1C1E"/>
                <w:kern w:val="0"/>
                <w:szCs w:val="24"/>
                <w:lang w:eastAsia="en-IN"/>
                <w14:ligatures w14:val="none"/>
              </w:rPr>
              <w:t>33</w:t>
            </w:r>
          </w:p>
        </w:tc>
        <w:tc>
          <w:tcPr>
            <w:tcW w:w="1070" w:type="dxa"/>
            <w:shd w:val="clear" w:color="000000" w:fill="FFFFFF"/>
            <w:vAlign w:val="center"/>
            <w:hideMark/>
          </w:tcPr>
          <w:p w14:paraId="594C68A4"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E02C8A">
              <w:rPr>
                <w:rFonts w:ascii="Times New Roman" w:eastAsia="Times New Roman" w:hAnsi="Times New Roman" w:cs="Times New Roman"/>
                <w:color w:val="1A1C1E"/>
                <w:kern w:val="0"/>
                <w:szCs w:val="24"/>
                <w:lang w:eastAsia="en-IN"/>
                <w14:ligatures w14:val="none"/>
              </w:rPr>
              <w:t>92</w:t>
            </w:r>
          </w:p>
        </w:tc>
        <w:tc>
          <w:tcPr>
            <w:tcW w:w="1182" w:type="dxa"/>
            <w:shd w:val="clear" w:color="000000" w:fill="FFFFFF"/>
            <w:vAlign w:val="center"/>
            <w:hideMark/>
          </w:tcPr>
          <w:p w14:paraId="63574394"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E02C8A">
              <w:rPr>
                <w:rFonts w:ascii="Times New Roman" w:eastAsia="Times New Roman" w:hAnsi="Times New Roman" w:cs="Times New Roman"/>
                <w:color w:val="1A1C1E"/>
                <w:kern w:val="0"/>
                <w:szCs w:val="24"/>
                <w:lang w:eastAsia="en-IN"/>
                <w14:ligatures w14:val="none"/>
              </w:rPr>
              <w:t>98</w:t>
            </w:r>
          </w:p>
        </w:tc>
        <w:tc>
          <w:tcPr>
            <w:tcW w:w="1379" w:type="dxa"/>
            <w:shd w:val="clear" w:color="000000" w:fill="FFFFFF"/>
            <w:vAlign w:val="center"/>
            <w:hideMark/>
          </w:tcPr>
          <w:p w14:paraId="25C8631A"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E02C8A">
              <w:rPr>
                <w:rFonts w:ascii="Times New Roman" w:eastAsia="Times New Roman" w:hAnsi="Times New Roman" w:cs="Times New Roman"/>
                <w:color w:val="1A1C1E"/>
                <w:kern w:val="0"/>
                <w:szCs w:val="24"/>
                <w:lang w:eastAsia="en-IN"/>
                <w14:ligatures w14:val="none"/>
              </w:rPr>
              <w:t>872</w:t>
            </w:r>
          </w:p>
        </w:tc>
      </w:tr>
      <w:tr w:rsidR="006C2579" w:rsidRPr="00E02C8A" w14:paraId="0BE02101" w14:textId="77777777" w:rsidTr="006C2579">
        <w:trPr>
          <w:trHeight w:val="20"/>
          <w:jc w:val="center"/>
        </w:trPr>
        <w:tc>
          <w:tcPr>
            <w:tcW w:w="1603" w:type="dxa"/>
            <w:vAlign w:val="center"/>
            <w:hideMark/>
          </w:tcPr>
          <w:p w14:paraId="63251503" w14:textId="3EB11FA1" w:rsidR="006C2579" w:rsidRPr="00E02C8A" w:rsidRDefault="006C2579" w:rsidP="006C2579">
            <w:pPr>
              <w:spacing w:after="0" w:line="240" w:lineRule="auto"/>
              <w:jc w:val="center"/>
              <w:rPr>
                <w:rFonts w:ascii="Times New Roman" w:eastAsia="Times New Roman" w:hAnsi="Times New Roman" w:cs="Times New Roman"/>
                <w:i/>
                <w:iCs/>
                <w:color w:val="000000"/>
                <w:kern w:val="0"/>
                <w:szCs w:val="24"/>
                <w:lang w:eastAsia="en-IN"/>
                <w14:ligatures w14:val="none"/>
              </w:rPr>
            </w:pPr>
          </w:p>
        </w:tc>
        <w:tc>
          <w:tcPr>
            <w:tcW w:w="1450" w:type="dxa"/>
            <w:vAlign w:val="center"/>
            <w:hideMark/>
          </w:tcPr>
          <w:p w14:paraId="20A3F8CC" w14:textId="77777777" w:rsidR="006C2579" w:rsidRPr="00E02C8A" w:rsidRDefault="006C2579" w:rsidP="006C2579">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E02C8A">
              <w:rPr>
                <w:rFonts w:ascii="Times New Roman" w:eastAsia="Times New Roman" w:hAnsi="Times New Roman" w:cs="Times New Roman"/>
                <w:i/>
                <w:iCs/>
                <w:color w:val="000000"/>
                <w:kern w:val="0"/>
                <w:szCs w:val="24"/>
                <w:lang w:eastAsia="en-IN"/>
                <w14:ligatures w14:val="none"/>
              </w:rPr>
              <w:t>11.1</w:t>
            </w:r>
          </w:p>
        </w:tc>
        <w:tc>
          <w:tcPr>
            <w:tcW w:w="1420" w:type="dxa"/>
            <w:vAlign w:val="center"/>
            <w:hideMark/>
          </w:tcPr>
          <w:p w14:paraId="4D8C6261" w14:textId="77777777" w:rsidR="006C2579" w:rsidRPr="00E02C8A" w:rsidRDefault="006C2579" w:rsidP="006C2579">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E02C8A">
              <w:rPr>
                <w:rFonts w:ascii="Times New Roman" w:eastAsia="Times New Roman" w:hAnsi="Times New Roman" w:cs="Times New Roman"/>
                <w:i/>
                <w:iCs/>
                <w:color w:val="000000"/>
                <w:kern w:val="0"/>
                <w:szCs w:val="24"/>
                <w:lang w:eastAsia="en-IN"/>
                <w14:ligatures w14:val="none"/>
              </w:rPr>
              <w:t>4.1</w:t>
            </w:r>
          </w:p>
        </w:tc>
        <w:tc>
          <w:tcPr>
            <w:tcW w:w="1219" w:type="dxa"/>
            <w:vAlign w:val="center"/>
            <w:hideMark/>
          </w:tcPr>
          <w:p w14:paraId="1DA70CE4" w14:textId="77777777" w:rsidR="006C2579" w:rsidRPr="00E02C8A" w:rsidRDefault="006C2579" w:rsidP="006C2579">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E02C8A">
              <w:rPr>
                <w:rFonts w:ascii="Times New Roman" w:eastAsia="Times New Roman" w:hAnsi="Times New Roman" w:cs="Times New Roman"/>
                <w:i/>
                <w:iCs/>
                <w:color w:val="000000"/>
                <w:kern w:val="0"/>
                <w:szCs w:val="24"/>
                <w:lang w:eastAsia="en-IN"/>
                <w14:ligatures w14:val="none"/>
              </w:rPr>
              <w:t>0.8</w:t>
            </w:r>
          </w:p>
        </w:tc>
        <w:tc>
          <w:tcPr>
            <w:tcW w:w="2269" w:type="dxa"/>
            <w:shd w:val="clear" w:color="000000" w:fill="FFFFFF"/>
            <w:vAlign w:val="center"/>
            <w:hideMark/>
          </w:tcPr>
          <w:p w14:paraId="2CA63EA7" w14:textId="562EEB49" w:rsidR="006C2579" w:rsidRPr="00E02C8A" w:rsidRDefault="006C2579" w:rsidP="006C2579">
            <w:pPr>
              <w:spacing w:after="0" w:line="240" w:lineRule="auto"/>
              <w:ind w:firstLineChars="100" w:firstLine="240"/>
              <w:jc w:val="center"/>
              <w:rPr>
                <w:rFonts w:ascii="Times New Roman" w:eastAsia="Times New Roman" w:hAnsi="Times New Roman" w:cs="Times New Roman"/>
                <w:i/>
                <w:iCs/>
                <w:color w:val="1A1C1E"/>
                <w:kern w:val="0"/>
                <w:szCs w:val="24"/>
                <w:lang w:eastAsia="en-IN"/>
                <w14:ligatures w14:val="none"/>
              </w:rPr>
            </w:pPr>
            <w:r w:rsidRPr="00E02C8A">
              <w:rPr>
                <w:rFonts w:ascii="Times New Roman" w:eastAsia="Times New Roman" w:hAnsi="Times New Roman" w:cs="Times New Roman"/>
                <w:i/>
                <w:iCs/>
                <w:color w:val="1A1C1E"/>
                <w:kern w:val="0"/>
                <w:szCs w:val="24"/>
                <w:lang w:eastAsia="en-IN"/>
                <w14:ligatures w14:val="none"/>
              </w:rPr>
              <w:t>31</w:t>
            </w:r>
            <w:r w:rsidR="005B4807" w:rsidRPr="00E02C8A">
              <w:rPr>
                <w:rFonts w:ascii="Times New Roman" w:eastAsia="Times New Roman" w:hAnsi="Times New Roman" w:cs="Times New Roman"/>
                <w:i/>
                <w:iCs/>
                <w:color w:val="1A1C1E"/>
                <w:kern w:val="0"/>
                <w:szCs w:val="24"/>
                <w:lang w:eastAsia="en-IN"/>
                <w14:ligatures w14:val="none"/>
              </w:rPr>
              <w:t>.0</w:t>
            </w:r>
          </w:p>
        </w:tc>
        <w:tc>
          <w:tcPr>
            <w:tcW w:w="1295" w:type="dxa"/>
            <w:shd w:val="clear" w:color="000000" w:fill="FFFFFF"/>
            <w:vAlign w:val="center"/>
            <w:hideMark/>
          </w:tcPr>
          <w:p w14:paraId="00BE4C83"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i/>
                <w:iCs/>
                <w:color w:val="1A1C1E"/>
                <w:kern w:val="0"/>
                <w:szCs w:val="24"/>
                <w:lang w:eastAsia="en-IN"/>
                <w14:ligatures w14:val="none"/>
              </w:rPr>
            </w:pPr>
            <w:r w:rsidRPr="00E02C8A">
              <w:rPr>
                <w:rFonts w:ascii="Times New Roman" w:eastAsia="Times New Roman" w:hAnsi="Times New Roman" w:cs="Times New Roman"/>
                <w:i/>
                <w:iCs/>
                <w:color w:val="1A1C1E"/>
                <w:kern w:val="0"/>
                <w:szCs w:val="24"/>
                <w:lang w:eastAsia="en-IN"/>
                <w14:ligatures w14:val="none"/>
              </w:rPr>
              <w:t>27.3</w:t>
            </w:r>
          </w:p>
        </w:tc>
        <w:tc>
          <w:tcPr>
            <w:tcW w:w="1985" w:type="dxa"/>
            <w:shd w:val="clear" w:color="000000" w:fill="FFFFFF"/>
            <w:vAlign w:val="center"/>
            <w:hideMark/>
          </w:tcPr>
          <w:p w14:paraId="1F89E7C7"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i/>
                <w:iCs/>
                <w:color w:val="1A1C1E"/>
                <w:kern w:val="0"/>
                <w:szCs w:val="24"/>
                <w:lang w:eastAsia="en-IN"/>
                <w14:ligatures w14:val="none"/>
              </w:rPr>
            </w:pPr>
            <w:r w:rsidRPr="00E02C8A">
              <w:rPr>
                <w:rFonts w:ascii="Times New Roman" w:eastAsia="Times New Roman" w:hAnsi="Times New Roman" w:cs="Times New Roman"/>
                <w:i/>
                <w:iCs/>
                <w:color w:val="1A1C1E"/>
                <w:kern w:val="0"/>
                <w:szCs w:val="24"/>
                <w:lang w:eastAsia="en-IN"/>
                <w14:ligatures w14:val="none"/>
              </w:rPr>
              <w:t>3.8</w:t>
            </w:r>
          </w:p>
        </w:tc>
        <w:tc>
          <w:tcPr>
            <w:tcW w:w="1070" w:type="dxa"/>
            <w:shd w:val="clear" w:color="000000" w:fill="FFFFFF"/>
            <w:vAlign w:val="center"/>
            <w:hideMark/>
          </w:tcPr>
          <w:p w14:paraId="088D7AE4"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i/>
                <w:iCs/>
                <w:color w:val="1A1C1E"/>
                <w:kern w:val="0"/>
                <w:szCs w:val="24"/>
                <w:lang w:eastAsia="en-IN"/>
                <w14:ligatures w14:val="none"/>
              </w:rPr>
            </w:pPr>
            <w:r w:rsidRPr="00E02C8A">
              <w:rPr>
                <w:rFonts w:ascii="Times New Roman" w:eastAsia="Times New Roman" w:hAnsi="Times New Roman" w:cs="Times New Roman"/>
                <w:i/>
                <w:iCs/>
                <w:color w:val="1A1C1E"/>
                <w:kern w:val="0"/>
                <w:szCs w:val="24"/>
                <w:lang w:eastAsia="en-IN"/>
                <w14:ligatures w14:val="none"/>
              </w:rPr>
              <w:t>10.6</w:t>
            </w:r>
          </w:p>
        </w:tc>
        <w:tc>
          <w:tcPr>
            <w:tcW w:w="1182" w:type="dxa"/>
            <w:shd w:val="clear" w:color="000000" w:fill="FFFFFF"/>
            <w:vAlign w:val="center"/>
            <w:hideMark/>
          </w:tcPr>
          <w:p w14:paraId="36B02148"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i/>
                <w:iCs/>
                <w:color w:val="1A1C1E"/>
                <w:kern w:val="0"/>
                <w:szCs w:val="24"/>
                <w:lang w:eastAsia="en-IN"/>
                <w14:ligatures w14:val="none"/>
              </w:rPr>
            </w:pPr>
            <w:r w:rsidRPr="00E02C8A">
              <w:rPr>
                <w:rFonts w:ascii="Times New Roman" w:eastAsia="Times New Roman" w:hAnsi="Times New Roman" w:cs="Times New Roman"/>
                <w:i/>
                <w:iCs/>
                <w:color w:val="1A1C1E"/>
                <w:kern w:val="0"/>
                <w:szCs w:val="24"/>
                <w:lang w:eastAsia="en-IN"/>
                <w14:ligatures w14:val="none"/>
              </w:rPr>
              <w:t>11.2</w:t>
            </w:r>
          </w:p>
        </w:tc>
        <w:tc>
          <w:tcPr>
            <w:tcW w:w="1379" w:type="dxa"/>
            <w:shd w:val="clear" w:color="000000" w:fill="FFFFFF"/>
            <w:vAlign w:val="center"/>
            <w:hideMark/>
          </w:tcPr>
          <w:p w14:paraId="1DF99BF1" w14:textId="2C174532" w:rsidR="006C2579" w:rsidRPr="00E02C8A" w:rsidRDefault="006C2579" w:rsidP="006C2579">
            <w:pPr>
              <w:spacing w:after="0" w:line="240" w:lineRule="auto"/>
              <w:ind w:firstLineChars="100" w:firstLine="240"/>
              <w:jc w:val="center"/>
              <w:rPr>
                <w:rFonts w:ascii="Times New Roman" w:eastAsia="Times New Roman" w:hAnsi="Times New Roman" w:cs="Times New Roman"/>
                <w:i/>
                <w:iCs/>
                <w:color w:val="1A1C1E"/>
                <w:kern w:val="0"/>
                <w:szCs w:val="24"/>
                <w:lang w:eastAsia="en-IN"/>
                <w14:ligatures w14:val="none"/>
              </w:rPr>
            </w:pPr>
          </w:p>
        </w:tc>
      </w:tr>
      <w:tr w:rsidR="006C2579" w:rsidRPr="00E02C8A" w14:paraId="7E869AA8" w14:textId="77777777" w:rsidTr="006C2579">
        <w:trPr>
          <w:trHeight w:val="20"/>
          <w:jc w:val="center"/>
        </w:trPr>
        <w:tc>
          <w:tcPr>
            <w:tcW w:w="1603" w:type="dxa"/>
            <w:vAlign w:val="center"/>
            <w:hideMark/>
          </w:tcPr>
          <w:p w14:paraId="305EDC89" w14:textId="77777777" w:rsidR="006C2579" w:rsidRPr="00E02C8A" w:rsidRDefault="006C2579" w:rsidP="006C2579">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Travancore-Cochin</w:t>
            </w:r>
          </w:p>
        </w:tc>
        <w:tc>
          <w:tcPr>
            <w:tcW w:w="1450" w:type="dxa"/>
            <w:vAlign w:val="center"/>
            <w:hideMark/>
          </w:tcPr>
          <w:p w14:paraId="423F3DF3" w14:textId="77777777" w:rsidR="006C2579" w:rsidRPr="00E02C8A" w:rsidRDefault="006C2579" w:rsidP="006C2579">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142</w:t>
            </w:r>
          </w:p>
        </w:tc>
        <w:tc>
          <w:tcPr>
            <w:tcW w:w="1420" w:type="dxa"/>
            <w:vAlign w:val="center"/>
            <w:hideMark/>
          </w:tcPr>
          <w:p w14:paraId="0F386660" w14:textId="77777777" w:rsidR="006C2579" w:rsidRPr="00E02C8A" w:rsidRDefault="006C2579" w:rsidP="006C2579">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70</w:t>
            </w:r>
          </w:p>
        </w:tc>
        <w:tc>
          <w:tcPr>
            <w:tcW w:w="1219" w:type="dxa"/>
            <w:vAlign w:val="center"/>
            <w:hideMark/>
          </w:tcPr>
          <w:p w14:paraId="01BC3537" w14:textId="77777777" w:rsidR="006C2579" w:rsidRPr="00E02C8A" w:rsidRDefault="006C2579" w:rsidP="006C2579">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49</w:t>
            </w:r>
          </w:p>
        </w:tc>
        <w:tc>
          <w:tcPr>
            <w:tcW w:w="2269" w:type="dxa"/>
            <w:shd w:val="clear" w:color="000000" w:fill="FFFFFF"/>
            <w:vAlign w:val="center"/>
            <w:hideMark/>
          </w:tcPr>
          <w:p w14:paraId="2C522545"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E02C8A">
              <w:rPr>
                <w:rFonts w:ascii="Times New Roman" w:eastAsia="Times New Roman" w:hAnsi="Times New Roman" w:cs="Times New Roman"/>
                <w:color w:val="1A1C1E"/>
                <w:kern w:val="0"/>
                <w:szCs w:val="24"/>
                <w:lang w:eastAsia="en-IN"/>
                <w14:ligatures w14:val="none"/>
              </w:rPr>
              <w:t>193</w:t>
            </w:r>
          </w:p>
        </w:tc>
        <w:tc>
          <w:tcPr>
            <w:tcW w:w="1295" w:type="dxa"/>
            <w:shd w:val="clear" w:color="000000" w:fill="FFFFFF"/>
            <w:vAlign w:val="center"/>
            <w:hideMark/>
          </w:tcPr>
          <w:p w14:paraId="666C9AF0"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E02C8A">
              <w:rPr>
                <w:rFonts w:ascii="Times New Roman" w:eastAsia="Times New Roman" w:hAnsi="Times New Roman" w:cs="Times New Roman"/>
                <w:color w:val="1A1C1E"/>
                <w:kern w:val="0"/>
                <w:szCs w:val="24"/>
                <w:lang w:eastAsia="en-IN"/>
                <w14:ligatures w14:val="none"/>
              </w:rPr>
              <w:t>520</w:t>
            </w:r>
          </w:p>
        </w:tc>
        <w:tc>
          <w:tcPr>
            <w:tcW w:w="1985" w:type="dxa"/>
            <w:shd w:val="clear" w:color="000000" w:fill="FFFFFF"/>
            <w:vAlign w:val="center"/>
            <w:hideMark/>
          </w:tcPr>
          <w:p w14:paraId="6F80D5FB"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E02C8A">
              <w:rPr>
                <w:rFonts w:ascii="Times New Roman" w:eastAsia="Times New Roman" w:hAnsi="Times New Roman" w:cs="Times New Roman"/>
                <w:color w:val="1A1C1E"/>
                <w:kern w:val="0"/>
                <w:szCs w:val="24"/>
                <w:lang w:eastAsia="en-IN"/>
                <w14:ligatures w14:val="none"/>
              </w:rPr>
              <w:t>23</w:t>
            </w:r>
          </w:p>
        </w:tc>
        <w:tc>
          <w:tcPr>
            <w:tcW w:w="1070" w:type="dxa"/>
            <w:shd w:val="clear" w:color="000000" w:fill="FFFFFF"/>
            <w:vAlign w:val="center"/>
            <w:hideMark/>
          </w:tcPr>
          <w:p w14:paraId="3C9DF47F"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E02C8A">
              <w:rPr>
                <w:rFonts w:ascii="Times New Roman" w:eastAsia="Times New Roman" w:hAnsi="Times New Roman" w:cs="Times New Roman"/>
                <w:color w:val="1A1C1E"/>
                <w:kern w:val="0"/>
                <w:szCs w:val="24"/>
                <w:lang w:eastAsia="en-IN"/>
                <w14:ligatures w14:val="none"/>
              </w:rPr>
              <w:t>283</w:t>
            </w:r>
          </w:p>
        </w:tc>
        <w:tc>
          <w:tcPr>
            <w:tcW w:w="1182" w:type="dxa"/>
            <w:shd w:val="clear" w:color="000000" w:fill="FFFFFF"/>
            <w:vAlign w:val="center"/>
            <w:hideMark/>
          </w:tcPr>
          <w:p w14:paraId="12B97EC9"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E02C8A">
              <w:rPr>
                <w:rFonts w:ascii="Times New Roman" w:eastAsia="Times New Roman" w:hAnsi="Times New Roman" w:cs="Times New Roman"/>
                <w:color w:val="1A1C1E"/>
                <w:kern w:val="0"/>
                <w:szCs w:val="24"/>
                <w:lang w:eastAsia="en-IN"/>
                <w14:ligatures w14:val="none"/>
              </w:rPr>
              <w:t>411</w:t>
            </w:r>
          </w:p>
        </w:tc>
        <w:tc>
          <w:tcPr>
            <w:tcW w:w="1379" w:type="dxa"/>
            <w:shd w:val="clear" w:color="000000" w:fill="FFFFFF"/>
            <w:vAlign w:val="center"/>
            <w:hideMark/>
          </w:tcPr>
          <w:p w14:paraId="7141A5E8"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E02C8A">
              <w:rPr>
                <w:rFonts w:ascii="Times New Roman" w:eastAsia="Times New Roman" w:hAnsi="Times New Roman" w:cs="Times New Roman"/>
                <w:color w:val="1A1C1E"/>
                <w:kern w:val="0"/>
                <w:szCs w:val="24"/>
                <w:lang w:eastAsia="en-IN"/>
                <w14:ligatures w14:val="none"/>
              </w:rPr>
              <w:t>1691</w:t>
            </w:r>
          </w:p>
        </w:tc>
      </w:tr>
      <w:tr w:rsidR="006C2579" w:rsidRPr="00E02C8A" w14:paraId="62872FE9" w14:textId="77777777" w:rsidTr="006C2579">
        <w:trPr>
          <w:trHeight w:val="20"/>
          <w:jc w:val="center"/>
        </w:trPr>
        <w:tc>
          <w:tcPr>
            <w:tcW w:w="1603" w:type="dxa"/>
            <w:vAlign w:val="center"/>
            <w:hideMark/>
          </w:tcPr>
          <w:p w14:paraId="0CE81619" w14:textId="13C6639C" w:rsidR="006C2579" w:rsidRPr="00E02C8A" w:rsidRDefault="006C2579" w:rsidP="006C2579">
            <w:pPr>
              <w:spacing w:after="0" w:line="240" w:lineRule="auto"/>
              <w:jc w:val="center"/>
              <w:rPr>
                <w:rFonts w:ascii="Times New Roman" w:eastAsia="Times New Roman" w:hAnsi="Times New Roman" w:cs="Times New Roman"/>
                <w:i/>
                <w:iCs/>
                <w:color w:val="000000"/>
                <w:kern w:val="0"/>
                <w:szCs w:val="24"/>
                <w:lang w:eastAsia="en-IN"/>
                <w14:ligatures w14:val="none"/>
              </w:rPr>
            </w:pPr>
          </w:p>
        </w:tc>
        <w:tc>
          <w:tcPr>
            <w:tcW w:w="1450" w:type="dxa"/>
            <w:vAlign w:val="center"/>
            <w:hideMark/>
          </w:tcPr>
          <w:p w14:paraId="3EA46252" w14:textId="77777777" w:rsidR="006C2579" w:rsidRPr="00E02C8A" w:rsidRDefault="006C2579" w:rsidP="006C2579">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E02C8A">
              <w:rPr>
                <w:rFonts w:ascii="Times New Roman" w:eastAsia="Times New Roman" w:hAnsi="Times New Roman" w:cs="Times New Roman"/>
                <w:i/>
                <w:iCs/>
                <w:color w:val="000000"/>
                <w:kern w:val="0"/>
                <w:szCs w:val="24"/>
                <w:lang w:eastAsia="en-IN"/>
                <w14:ligatures w14:val="none"/>
              </w:rPr>
              <w:t>8.4</w:t>
            </w:r>
          </w:p>
        </w:tc>
        <w:tc>
          <w:tcPr>
            <w:tcW w:w="1420" w:type="dxa"/>
            <w:vAlign w:val="center"/>
            <w:hideMark/>
          </w:tcPr>
          <w:p w14:paraId="435CC831" w14:textId="77777777" w:rsidR="006C2579" w:rsidRPr="00E02C8A" w:rsidRDefault="006C2579" w:rsidP="006C2579">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E02C8A">
              <w:rPr>
                <w:rFonts w:ascii="Times New Roman" w:eastAsia="Times New Roman" w:hAnsi="Times New Roman" w:cs="Times New Roman"/>
                <w:i/>
                <w:iCs/>
                <w:color w:val="000000"/>
                <w:kern w:val="0"/>
                <w:szCs w:val="24"/>
                <w:lang w:eastAsia="en-IN"/>
                <w14:ligatures w14:val="none"/>
              </w:rPr>
              <w:t>4.1</w:t>
            </w:r>
          </w:p>
        </w:tc>
        <w:tc>
          <w:tcPr>
            <w:tcW w:w="1219" w:type="dxa"/>
            <w:vAlign w:val="center"/>
            <w:hideMark/>
          </w:tcPr>
          <w:p w14:paraId="5978E8ED" w14:textId="77777777" w:rsidR="006C2579" w:rsidRPr="00E02C8A" w:rsidRDefault="006C2579" w:rsidP="006C2579">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E02C8A">
              <w:rPr>
                <w:rFonts w:ascii="Times New Roman" w:eastAsia="Times New Roman" w:hAnsi="Times New Roman" w:cs="Times New Roman"/>
                <w:i/>
                <w:iCs/>
                <w:color w:val="000000"/>
                <w:kern w:val="0"/>
                <w:szCs w:val="24"/>
                <w:lang w:eastAsia="en-IN"/>
                <w14:ligatures w14:val="none"/>
              </w:rPr>
              <w:t>2.9</w:t>
            </w:r>
          </w:p>
        </w:tc>
        <w:tc>
          <w:tcPr>
            <w:tcW w:w="2269" w:type="dxa"/>
            <w:shd w:val="clear" w:color="000000" w:fill="FFFFFF"/>
            <w:vAlign w:val="center"/>
            <w:hideMark/>
          </w:tcPr>
          <w:p w14:paraId="0E8C9FDF"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i/>
                <w:iCs/>
                <w:color w:val="1A1C1E"/>
                <w:kern w:val="0"/>
                <w:szCs w:val="24"/>
                <w:lang w:eastAsia="en-IN"/>
                <w14:ligatures w14:val="none"/>
              </w:rPr>
            </w:pPr>
            <w:r w:rsidRPr="00E02C8A">
              <w:rPr>
                <w:rFonts w:ascii="Times New Roman" w:eastAsia="Times New Roman" w:hAnsi="Times New Roman" w:cs="Times New Roman"/>
                <w:i/>
                <w:iCs/>
                <w:color w:val="1A1C1E"/>
                <w:kern w:val="0"/>
                <w:szCs w:val="24"/>
                <w:lang w:eastAsia="en-IN"/>
                <w14:ligatures w14:val="none"/>
              </w:rPr>
              <w:t>11.4</w:t>
            </w:r>
          </w:p>
        </w:tc>
        <w:tc>
          <w:tcPr>
            <w:tcW w:w="1295" w:type="dxa"/>
            <w:shd w:val="clear" w:color="000000" w:fill="FFFFFF"/>
            <w:vAlign w:val="center"/>
            <w:hideMark/>
          </w:tcPr>
          <w:p w14:paraId="43DDE456"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i/>
                <w:iCs/>
                <w:color w:val="1A1C1E"/>
                <w:kern w:val="0"/>
                <w:szCs w:val="24"/>
                <w:lang w:eastAsia="en-IN"/>
                <w14:ligatures w14:val="none"/>
              </w:rPr>
            </w:pPr>
            <w:r w:rsidRPr="00E02C8A">
              <w:rPr>
                <w:rFonts w:ascii="Times New Roman" w:eastAsia="Times New Roman" w:hAnsi="Times New Roman" w:cs="Times New Roman"/>
                <w:i/>
                <w:iCs/>
                <w:color w:val="1A1C1E"/>
                <w:kern w:val="0"/>
                <w:szCs w:val="24"/>
                <w:lang w:eastAsia="en-IN"/>
                <w14:ligatures w14:val="none"/>
              </w:rPr>
              <w:t>30.8</w:t>
            </w:r>
          </w:p>
        </w:tc>
        <w:tc>
          <w:tcPr>
            <w:tcW w:w="1985" w:type="dxa"/>
            <w:shd w:val="clear" w:color="000000" w:fill="FFFFFF"/>
            <w:vAlign w:val="center"/>
            <w:hideMark/>
          </w:tcPr>
          <w:p w14:paraId="328D852B"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i/>
                <w:iCs/>
                <w:color w:val="1A1C1E"/>
                <w:kern w:val="0"/>
                <w:szCs w:val="24"/>
                <w:lang w:eastAsia="en-IN"/>
                <w14:ligatures w14:val="none"/>
              </w:rPr>
            </w:pPr>
            <w:r w:rsidRPr="00E02C8A">
              <w:rPr>
                <w:rFonts w:ascii="Times New Roman" w:eastAsia="Times New Roman" w:hAnsi="Times New Roman" w:cs="Times New Roman"/>
                <w:i/>
                <w:iCs/>
                <w:color w:val="1A1C1E"/>
                <w:kern w:val="0"/>
                <w:szCs w:val="24"/>
                <w:lang w:eastAsia="en-IN"/>
                <w14:ligatures w14:val="none"/>
              </w:rPr>
              <w:t>1.4</w:t>
            </w:r>
          </w:p>
        </w:tc>
        <w:tc>
          <w:tcPr>
            <w:tcW w:w="1070" w:type="dxa"/>
            <w:shd w:val="clear" w:color="000000" w:fill="FFFFFF"/>
            <w:vAlign w:val="center"/>
            <w:hideMark/>
          </w:tcPr>
          <w:p w14:paraId="7A3A98DC"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i/>
                <w:iCs/>
                <w:color w:val="1A1C1E"/>
                <w:kern w:val="0"/>
                <w:szCs w:val="24"/>
                <w:lang w:eastAsia="en-IN"/>
                <w14:ligatures w14:val="none"/>
              </w:rPr>
            </w:pPr>
            <w:r w:rsidRPr="00E02C8A">
              <w:rPr>
                <w:rFonts w:ascii="Times New Roman" w:eastAsia="Times New Roman" w:hAnsi="Times New Roman" w:cs="Times New Roman"/>
                <w:i/>
                <w:iCs/>
                <w:color w:val="1A1C1E"/>
                <w:kern w:val="0"/>
                <w:szCs w:val="24"/>
                <w:lang w:eastAsia="en-IN"/>
                <w14:ligatures w14:val="none"/>
              </w:rPr>
              <w:t>16.7</w:t>
            </w:r>
          </w:p>
        </w:tc>
        <w:tc>
          <w:tcPr>
            <w:tcW w:w="1182" w:type="dxa"/>
            <w:shd w:val="clear" w:color="000000" w:fill="FFFFFF"/>
            <w:vAlign w:val="center"/>
            <w:hideMark/>
          </w:tcPr>
          <w:p w14:paraId="350732BF"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i/>
                <w:iCs/>
                <w:color w:val="1A1C1E"/>
                <w:kern w:val="0"/>
                <w:szCs w:val="24"/>
                <w:lang w:eastAsia="en-IN"/>
                <w14:ligatures w14:val="none"/>
              </w:rPr>
            </w:pPr>
            <w:r w:rsidRPr="00E02C8A">
              <w:rPr>
                <w:rFonts w:ascii="Times New Roman" w:eastAsia="Times New Roman" w:hAnsi="Times New Roman" w:cs="Times New Roman"/>
                <w:i/>
                <w:iCs/>
                <w:color w:val="1A1C1E"/>
                <w:kern w:val="0"/>
                <w:szCs w:val="24"/>
                <w:lang w:eastAsia="en-IN"/>
                <w14:ligatures w14:val="none"/>
              </w:rPr>
              <w:t>24.3</w:t>
            </w:r>
          </w:p>
        </w:tc>
        <w:tc>
          <w:tcPr>
            <w:tcW w:w="1379" w:type="dxa"/>
            <w:shd w:val="clear" w:color="000000" w:fill="FFFFFF"/>
            <w:vAlign w:val="center"/>
            <w:hideMark/>
          </w:tcPr>
          <w:p w14:paraId="7032A8EB" w14:textId="3CE82659" w:rsidR="006C2579" w:rsidRPr="00E02C8A" w:rsidRDefault="006C2579" w:rsidP="006C2579">
            <w:pPr>
              <w:spacing w:after="0" w:line="240" w:lineRule="auto"/>
              <w:ind w:firstLineChars="100" w:firstLine="240"/>
              <w:jc w:val="center"/>
              <w:rPr>
                <w:rFonts w:ascii="Times New Roman" w:eastAsia="Times New Roman" w:hAnsi="Times New Roman" w:cs="Times New Roman"/>
                <w:i/>
                <w:iCs/>
                <w:color w:val="1A1C1E"/>
                <w:kern w:val="0"/>
                <w:szCs w:val="24"/>
                <w:lang w:eastAsia="en-IN"/>
                <w14:ligatures w14:val="none"/>
              </w:rPr>
            </w:pPr>
          </w:p>
        </w:tc>
      </w:tr>
      <w:tr w:rsidR="006C2579" w:rsidRPr="00E02C8A" w14:paraId="4A84E719" w14:textId="77777777" w:rsidTr="006C2579">
        <w:trPr>
          <w:trHeight w:val="20"/>
          <w:jc w:val="center"/>
        </w:trPr>
        <w:tc>
          <w:tcPr>
            <w:tcW w:w="1603" w:type="dxa"/>
            <w:vAlign w:val="center"/>
            <w:hideMark/>
          </w:tcPr>
          <w:p w14:paraId="7745F740" w14:textId="77777777" w:rsidR="006C2579" w:rsidRPr="00E02C8A" w:rsidRDefault="006C2579" w:rsidP="006C2579">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E02C8A">
              <w:rPr>
                <w:rFonts w:ascii="Times New Roman" w:eastAsia="Times New Roman" w:hAnsi="Times New Roman" w:cs="Times New Roman"/>
                <w:b/>
                <w:bCs/>
                <w:color w:val="000000"/>
                <w:kern w:val="0"/>
                <w:szCs w:val="24"/>
                <w:lang w:eastAsia="en-IN"/>
                <w14:ligatures w14:val="none"/>
              </w:rPr>
              <w:t>TOTAL</w:t>
            </w:r>
          </w:p>
        </w:tc>
        <w:tc>
          <w:tcPr>
            <w:tcW w:w="1450" w:type="dxa"/>
            <w:vAlign w:val="center"/>
            <w:hideMark/>
          </w:tcPr>
          <w:p w14:paraId="522B4AE2" w14:textId="17419596" w:rsidR="006C2579" w:rsidRPr="00E02C8A" w:rsidRDefault="005B4807" w:rsidP="006C2579">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E02C8A">
              <w:rPr>
                <w:rFonts w:ascii="Times New Roman" w:eastAsia="Times New Roman" w:hAnsi="Times New Roman" w:cs="Times New Roman"/>
                <w:b/>
                <w:bCs/>
                <w:color w:val="000000"/>
                <w:kern w:val="0"/>
                <w:szCs w:val="24"/>
                <w:lang w:eastAsia="en-IN"/>
                <w14:ligatures w14:val="none"/>
              </w:rPr>
              <w:t>2</w:t>
            </w:r>
            <w:r w:rsidR="006C2579" w:rsidRPr="00E02C8A">
              <w:rPr>
                <w:rFonts w:ascii="Times New Roman" w:eastAsia="Times New Roman" w:hAnsi="Times New Roman" w:cs="Times New Roman"/>
                <w:b/>
                <w:bCs/>
                <w:color w:val="000000"/>
                <w:kern w:val="0"/>
                <w:szCs w:val="24"/>
                <w:lang w:eastAsia="en-IN"/>
                <w14:ligatures w14:val="none"/>
              </w:rPr>
              <w:t>931</w:t>
            </w:r>
          </w:p>
        </w:tc>
        <w:tc>
          <w:tcPr>
            <w:tcW w:w="1420" w:type="dxa"/>
            <w:vAlign w:val="center"/>
            <w:hideMark/>
          </w:tcPr>
          <w:p w14:paraId="61E4AB06" w14:textId="77777777" w:rsidR="006C2579" w:rsidRPr="00E02C8A" w:rsidRDefault="006C2579" w:rsidP="006C2579">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E02C8A">
              <w:rPr>
                <w:rFonts w:ascii="Times New Roman" w:eastAsia="Times New Roman" w:hAnsi="Times New Roman" w:cs="Times New Roman"/>
                <w:b/>
                <w:bCs/>
                <w:color w:val="000000"/>
                <w:kern w:val="0"/>
                <w:szCs w:val="24"/>
                <w:lang w:eastAsia="en-IN"/>
                <w14:ligatures w14:val="none"/>
              </w:rPr>
              <w:t>1908</w:t>
            </w:r>
          </w:p>
        </w:tc>
        <w:tc>
          <w:tcPr>
            <w:tcW w:w="1219" w:type="dxa"/>
            <w:vAlign w:val="center"/>
            <w:hideMark/>
          </w:tcPr>
          <w:p w14:paraId="1C81E6BD" w14:textId="77777777" w:rsidR="006C2579" w:rsidRPr="00E02C8A" w:rsidRDefault="006C2579" w:rsidP="006C2579">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E02C8A">
              <w:rPr>
                <w:rFonts w:ascii="Times New Roman" w:eastAsia="Times New Roman" w:hAnsi="Times New Roman" w:cs="Times New Roman"/>
                <w:b/>
                <w:bCs/>
                <w:color w:val="000000"/>
                <w:kern w:val="0"/>
                <w:szCs w:val="24"/>
                <w:lang w:eastAsia="en-IN"/>
                <w14:ligatures w14:val="none"/>
              </w:rPr>
              <w:t>811</w:t>
            </w:r>
          </w:p>
        </w:tc>
        <w:tc>
          <w:tcPr>
            <w:tcW w:w="2269" w:type="dxa"/>
            <w:shd w:val="clear" w:color="000000" w:fill="FFFFFF"/>
            <w:vAlign w:val="center"/>
            <w:hideMark/>
          </w:tcPr>
          <w:p w14:paraId="3E7DA72B" w14:textId="77777777" w:rsidR="006C2579" w:rsidRPr="00E02C8A" w:rsidRDefault="006C2579" w:rsidP="006C2579">
            <w:pPr>
              <w:spacing w:after="0" w:line="240" w:lineRule="auto"/>
              <w:ind w:firstLineChars="100" w:firstLine="241"/>
              <w:jc w:val="center"/>
              <w:rPr>
                <w:rFonts w:ascii="Times New Roman" w:eastAsia="Times New Roman" w:hAnsi="Times New Roman" w:cs="Times New Roman"/>
                <w:b/>
                <w:bCs/>
                <w:color w:val="1A1C1E"/>
                <w:kern w:val="0"/>
                <w:szCs w:val="24"/>
                <w:lang w:eastAsia="en-IN"/>
                <w14:ligatures w14:val="none"/>
              </w:rPr>
            </w:pPr>
            <w:r w:rsidRPr="00E02C8A">
              <w:rPr>
                <w:rFonts w:ascii="Times New Roman" w:eastAsia="Times New Roman" w:hAnsi="Times New Roman" w:cs="Times New Roman"/>
                <w:b/>
                <w:bCs/>
                <w:color w:val="1A1C1E"/>
                <w:kern w:val="0"/>
                <w:szCs w:val="24"/>
                <w:lang w:eastAsia="en-IN"/>
                <w14:ligatures w14:val="none"/>
              </w:rPr>
              <w:t>10458</w:t>
            </w:r>
          </w:p>
        </w:tc>
        <w:tc>
          <w:tcPr>
            <w:tcW w:w="1295" w:type="dxa"/>
            <w:shd w:val="clear" w:color="000000" w:fill="FFFFFF"/>
            <w:vAlign w:val="center"/>
            <w:hideMark/>
          </w:tcPr>
          <w:p w14:paraId="7582F389" w14:textId="77777777" w:rsidR="006C2579" w:rsidRPr="00E02C8A" w:rsidRDefault="006C2579" w:rsidP="006C2579">
            <w:pPr>
              <w:spacing w:after="0" w:line="240" w:lineRule="auto"/>
              <w:ind w:firstLineChars="100" w:firstLine="241"/>
              <w:jc w:val="center"/>
              <w:rPr>
                <w:rFonts w:ascii="Times New Roman" w:eastAsia="Times New Roman" w:hAnsi="Times New Roman" w:cs="Times New Roman"/>
                <w:b/>
                <w:bCs/>
                <w:color w:val="1A1C1E"/>
                <w:kern w:val="0"/>
                <w:szCs w:val="24"/>
                <w:lang w:eastAsia="en-IN"/>
                <w14:ligatures w14:val="none"/>
              </w:rPr>
            </w:pPr>
            <w:r w:rsidRPr="00E02C8A">
              <w:rPr>
                <w:rFonts w:ascii="Times New Roman" w:eastAsia="Times New Roman" w:hAnsi="Times New Roman" w:cs="Times New Roman"/>
                <w:b/>
                <w:bCs/>
                <w:color w:val="1A1C1E"/>
                <w:kern w:val="0"/>
                <w:szCs w:val="24"/>
                <w:lang w:eastAsia="en-IN"/>
                <w14:ligatures w14:val="none"/>
              </w:rPr>
              <w:t>12892</w:t>
            </w:r>
          </w:p>
        </w:tc>
        <w:tc>
          <w:tcPr>
            <w:tcW w:w="1985" w:type="dxa"/>
            <w:shd w:val="clear" w:color="000000" w:fill="FFFFFF"/>
            <w:vAlign w:val="center"/>
            <w:hideMark/>
          </w:tcPr>
          <w:p w14:paraId="3BC5C395" w14:textId="77777777" w:rsidR="006C2579" w:rsidRPr="00E02C8A" w:rsidRDefault="006C2579" w:rsidP="006C2579">
            <w:pPr>
              <w:spacing w:after="0" w:line="240" w:lineRule="auto"/>
              <w:ind w:firstLineChars="100" w:firstLine="241"/>
              <w:jc w:val="center"/>
              <w:rPr>
                <w:rFonts w:ascii="Times New Roman" w:eastAsia="Times New Roman" w:hAnsi="Times New Roman" w:cs="Times New Roman"/>
                <w:b/>
                <w:bCs/>
                <w:color w:val="1A1C1E"/>
                <w:kern w:val="0"/>
                <w:szCs w:val="24"/>
                <w:lang w:eastAsia="en-IN"/>
                <w14:ligatures w14:val="none"/>
              </w:rPr>
            </w:pPr>
            <w:r w:rsidRPr="00E02C8A">
              <w:rPr>
                <w:rFonts w:ascii="Times New Roman" w:eastAsia="Times New Roman" w:hAnsi="Times New Roman" w:cs="Times New Roman"/>
                <w:b/>
                <w:bCs/>
                <w:color w:val="1A1C1E"/>
                <w:kern w:val="0"/>
                <w:szCs w:val="24"/>
                <w:lang w:eastAsia="en-IN"/>
                <w14:ligatures w14:val="none"/>
              </w:rPr>
              <w:t>1995</w:t>
            </w:r>
          </w:p>
        </w:tc>
        <w:tc>
          <w:tcPr>
            <w:tcW w:w="1070" w:type="dxa"/>
            <w:shd w:val="clear" w:color="000000" w:fill="FFFFFF"/>
            <w:vAlign w:val="center"/>
            <w:hideMark/>
          </w:tcPr>
          <w:p w14:paraId="2CED0BDD" w14:textId="77777777" w:rsidR="006C2579" w:rsidRPr="00E02C8A" w:rsidRDefault="006C2579" w:rsidP="006C2579">
            <w:pPr>
              <w:spacing w:after="0" w:line="240" w:lineRule="auto"/>
              <w:ind w:firstLineChars="100" w:firstLine="241"/>
              <w:jc w:val="center"/>
              <w:rPr>
                <w:rFonts w:ascii="Times New Roman" w:eastAsia="Times New Roman" w:hAnsi="Times New Roman" w:cs="Times New Roman"/>
                <w:b/>
                <w:bCs/>
                <w:color w:val="1A1C1E"/>
                <w:kern w:val="0"/>
                <w:szCs w:val="24"/>
                <w:lang w:eastAsia="en-IN"/>
                <w14:ligatures w14:val="none"/>
              </w:rPr>
            </w:pPr>
            <w:r w:rsidRPr="00E02C8A">
              <w:rPr>
                <w:rFonts w:ascii="Times New Roman" w:eastAsia="Times New Roman" w:hAnsi="Times New Roman" w:cs="Times New Roman"/>
                <w:b/>
                <w:bCs/>
                <w:color w:val="1A1C1E"/>
                <w:kern w:val="0"/>
                <w:szCs w:val="24"/>
                <w:lang w:eastAsia="en-IN"/>
                <w14:ligatures w14:val="none"/>
              </w:rPr>
              <w:t>5629</w:t>
            </w:r>
          </w:p>
        </w:tc>
        <w:tc>
          <w:tcPr>
            <w:tcW w:w="1182" w:type="dxa"/>
            <w:shd w:val="clear" w:color="000000" w:fill="FFFFFF"/>
            <w:vAlign w:val="center"/>
            <w:hideMark/>
          </w:tcPr>
          <w:p w14:paraId="1CECE3DF" w14:textId="77777777" w:rsidR="006C2579" w:rsidRPr="00E02C8A" w:rsidRDefault="006C2579" w:rsidP="006C2579">
            <w:pPr>
              <w:spacing w:after="0" w:line="240" w:lineRule="auto"/>
              <w:ind w:firstLineChars="100" w:firstLine="241"/>
              <w:jc w:val="center"/>
              <w:rPr>
                <w:rFonts w:ascii="Times New Roman" w:eastAsia="Times New Roman" w:hAnsi="Times New Roman" w:cs="Times New Roman"/>
                <w:b/>
                <w:bCs/>
                <w:color w:val="1A1C1E"/>
                <w:kern w:val="0"/>
                <w:szCs w:val="24"/>
                <w:lang w:eastAsia="en-IN"/>
                <w14:ligatures w14:val="none"/>
              </w:rPr>
            </w:pPr>
            <w:r w:rsidRPr="00E02C8A">
              <w:rPr>
                <w:rFonts w:ascii="Times New Roman" w:eastAsia="Times New Roman" w:hAnsi="Times New Roman" w:cs="Times New Roman"/>
                <w:b/>
                <w:bCs/>
                <w:color w:val="1A1C1E"/>
                <w:kern w:val="0"/>
                <w:szCs w:val="24"/>
                <w:lang w:eastAsia="en-IN"/>
                <w14:ligatures w14:val="none"/>
              </w:rPr>
              <w:t>6155</w:t>
            </w:r>
          </w:p>
        </w:tc>
        <w:tc>
          <w:tcPr>
            <w:tcW w:w="1379" w:type="dxa"/>
            <w:shd w:val="clear" w:color="000000" w:fill="FFFFFF"/>
            <w:vAlign w:val="center"/>
            <w:hideMark/>
          </w:tcPr>
          <w:p w14:paraId="46EE9989" w14:textId="77777777" w:rsidR="006C2579" w:rsidRPr="00E02C8A" w:rsidRDefault="006C2579" w:rsidP="006C2579">
            <w:pPr>
              <w:spacing w:after="0" w:line="240" w:lineRule="auto"/>
              <w:ind w:firstLineChars="100" w:firstLine="241"/>
              <w:jc w:val="center"/>
              <w:rPr>
                <w:rFonts w:ascii="Times New Roman" w:eastAsia="Times New Roman" w:hAnsi="Times New Roman" w:cs="Times New Roman"/>
                <w:b/>
                <w:bCs/>
                <w:color w:val="1A1C1E"/>
                <w:kern w:val="0"/>
                <w:szCs w:val="24"/>
                <w:lang w:eastAsia="en-IN"/>
                <w14:ligatures w14:val="none"/>
              </w:rPr>
            </w:pPr>
            <w:r w:rsidRPr="00E02C8A">
              <w:rPr>
                <w:rFonts w:ascii="Times New Roman" w:eastAsia="Times New Roman" w:hAnsi="Times New Roman" w:cs="Times New Roman"/>
                <w:b/>
                <w:bCs/>
                <w:color w:val="1A1C1E"/>
                <w:kern w:val="0"/>
                <w:szCs w:val="24"/>
                <w:lang w:eastAsia="en-IN"/>
                <w14:ligatures w14:val="none"/>
              </w:rPr>
              <w:t>43780</w:t>
            </w:r>
          </w:p>
        </w:tc>
      </w:tr>
      <w:tr w:rsidR="006C2579" w:rsidRPr="00E02C8A" w14:paraId="5CE5CB39" w14:textId="77777777" w:rsidTr="006C2579">
        <w:trPr>
          <w:trHeight w:val="20"/>
          <w:jc w:val="center"/>
        </w:trPr>
        <w:tc>
          <w:tcPr>
            <w:tcW w:w="1603" w:type="dxa"/>
            <w:vAlign w:val="center"/>
            <w:hideMark/>
          </w:tcPr>
          <w:p w14:paraId="67A28B1D" w14:textId="3113F388" w:rsidR="006C2579" w:rsidRPr="00E02C8A" w:rsidRDefault="006C2579" w:rsidP="006C2579">
            <w:pPr>
              <w:spacing w:after="0" w:line="240" w:lineRule="auto"/>
              <w:jc w:val="center"/>
              <w:rPr>
                <w:rFonts w:ascii="Times New Roman" w:eastAsia="Times New Roman" w:hAnsi="Times New Roman" w:cs="Times New Roman"/>
                <w:i/>
                <w:iCs/>
                <w:color w:val="000000"/>
                <w:kern w:val="0"/>
                <w:szCs w:val="24"/>
                <w:lang w:eastAsia="en-IN"/>
                <w14:ligatures w14:val="none"/>
              </w:rPr>
            </w:pPr>
          </w:p>
        </w:tc>
        <w:tc>
          <w:tcPr>
            <w:tcW w:w="1450" w:type="dxa"/>
            <w:vAlign w:val="center"/>
            <w:hideMark/>
          </w:tcPr>
          <w:p w14:paraId="61BFB9FD" w14:textId="0734DCA2" w:rsidR="006C2579" w:rsidRPr="00E02C8A" w:rsidRDefault="006C2579" w:rsidP="006C2579">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E02C8A">
              <w:rPr>
                <w:rFonts w:ascii="Times New Roman" w:eastAsia="Times New Roman" w:hAnsi="Times New Roman" w:cs="Times New Roman"/>
                <w:i/>
                <w:iCs/>
                <w:color w:val="000000"/>
                <w:kern w:val="0"/>
                <w:szCs w:val="24"/>
                <w:lang w:eastAsia="en-IN"/>
                <w14:ligatures w14:val="none"/>
              </w:rPr>
              <w:t>9</w:t>
            </w:r>
            <w:r w:rsidR="005B4807" w:rsidRPr="00E02C8A">
              <w:rPr>
                <w:rFonts w:ascii="Times New Roman" w:eastAsia="Times New Roman" w:hAnsi="Times New Roman" w:cs="Times New Roman"/>
                <w:i/>
                <w:iCs/>
                <w:color w:val="000000"/>
                <w:kern w:val="0"/>
                <w:szCs w:val="24"/>
                <w:lang w:eastAsia="en-IN"/>
                <w14:ligatures w14:val="none"/>
              </w:rPr>
              <w:t>.0</w:t>
            </w:r>
          </w:p>
        </w:tc>
        <w:tc>
          <w:tcPr>
            <w:tcW w:w="1420" w:type="dxa"/>
            <w:vAlign w:val="center"/>
            <w:hideMark/>
          </w:tcPr>
          <w:p w14:paraId="134F12AD" w14:textId="77777777" w:rsidR="006C2579" w:rsidRPr="00E02C8A" w:rsidRDefault="006C2579" w:rsidP="006C2579">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E02C8A">
              <w:rPr>
                <w:rFonts w:ascii="Times New Roman" w:eastAsia="Times New Roman" w:hAnsi="Times New Roman" w:cs="Times New Roman"/>
                <w:i/>
                <w:iCs/>
                <w:color w:val="000000"/>
                <w:kern w:val="0"/>
                <w:szCs w:val="24"/>
                <w:lang w:eastAsia="en-IN"/>
                <w14:ligatures w14:val="none"/>
              </w:rPr>
              <w:t>4.4</w:t>
            </w:r>
          </w:p>
        </w:tc>
        <w:tc>
          <w:tcPr>
            <w:tcW w:w="1219" w:type="dxa"/>
            <w:vAlign w:val="center"/>
            <w:hideMark/>
          </w:tcPr>
          <w:p w14:paraId="5B8C42AC" w14:textId="77777777" w:rsidR="006C2579" w:rsidRPr="00E02C8A" w:rsidRDefault="006C2579" w:rsidP="006C2579">
            <w:pPr>
              <w:spacing w:after="0" w:line="240" w:lineRule="auto"/>
              <w:jc w:val="center"/>
              <w:rPr>
                <w:rFonts w:ascii="Times New Roman" w:eastAsia="Times New Roman" w:hAnsi="Times New Roman" w:cs="Times New Roman"/>
                <w:i/>
                <w:iCs/>
                <w:color w:val="000000"/>
                <w:kern w:val="0"/>
                <w:szCs w:val="24"/>
                <w:lang w:eastAsia="en-IN"/>
                <w14:ligatures w14:val="none"/>
              </w:rPr>
            </w:pPr>
            <w:r w:rsidRPr="00E02C8A">
              <w:rPr>
                <w:rFonts w:ascii="Times New Roman" w:eastAsia="Times New Roman" w:hAnsi="Times New Roman" w:cs="Times New Roman"/>
                <w:i/>
                <w:iCs/>
                <w:color w:val="000000"/>
                <w:kern w:val="0"/>
                <w:szCs w:val="24"/>
                <w:lang w:eastAsia="en-IN"/>
                <w14:ligatures w14:val="none"/>
              </w:rPr>
              <w:t>1.9</w:t>
            </w:r>
          </w:p>
        </w:tc>
        <w:tc>
          <w:tcPr>
            <w:tcW w:w="2269" w:type="dxa"/>
            <w:shd w:val="clear" w:color="000000" w:fill="FFFFFF"/>
            <w:vAlign w:val="center"/>
            <w:hideMark/>
          </w:tcPr>
          <w:p w14:paraId="2EE6B9CB"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i/>
                <w:iCs/>
                <w:color w:val="1A1C1E"/>
                <w:kern w:val="0"/>
                <w:szCs w:val="24"/>
                <w:lang w:eastAsia="en-IN"/>
                <w14:ligatures w14:val="none"/>
              </w:rPr>
            </w:pPr>
            <w:r w:rsidRPr="00E02C8A">
              <w:rPr>
                <w:rFonts w:ascii="Times New Roman" w:eastAsia="Times New Roman" w:hAnsi="Times New Roman" w:cs="Times New Roman"/>
                <w:i/>
                <w:iCs/>
                <w:color w:val="1A1C1E"/>
                <w:kern w:val="0"/>
                <w:szCs w:val="24"/>
                <w:lang w:eastAsia="en-IN"/>
                <w14:ligatures w14:val="none"/>
              </w:rPr>
              <w:t>23.9</w:t>
            </w:r>
          </w:p>
        </w:tc>
        <w:tc>
          <w:tcPr>
            <w:tcW w:w="1295" w:type="dxa"/>
            <w:shd w:val="clear" w:color="000000" w:fill="FFFFFF"/>
            <w:vAlign w:val="center"/>
            <w:hideMark/>
          </w:tcPr>
          <w:p w14:paraId="64727D81"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i/>
                <w:iCs/>
                <w:color w:val="1A1C1E"/>
                <w:kern w:val="0"/>
                <w:szCs w:val="24"/>
                <w:lang w:eastAsia="en-IN"/>
                <w14:ligatures w14:val="none"/>
              </w:rPr>
            </w:pPr>
            <w:r w:rsidRPr="00E02C8A">
              <w:rPr>
                <w:rFonts w:ascii="Times New Roman" w:eastAsia="Times New Roman" w:hAnsi="Times New Roman" w:cs="Times New Roman"/>
                <w:i/>
                <w:iCs/>
                <w:color w:val="1A1C1E"/>
                <w:kern w:val="0"/>
                <w:szCs w:val="24"/>
                <w:lang w:eastAsia="en-IN"/>
                <w14:ligatures w14:val="none"/>
              </w:rPr>
              <w:t>29.4</w:t>
            </w:r>
          </w:p>
        </w:tc>
        <w:tc>
          <w:tcPr>
            <w:tcW w:w="1985" w:type="dxa"/>
            <w:shd w:val="clear" w:color="000000" w:fill="FFFFFF"/>
            <w:vAlign w:val="center"/>
            <w:hideMark/>
          </w:tcPr>
          <w:p w14:paraId="1745B920"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i/>
                <w:iCs/>
                <w:color w:val="1A1C1E"/>
                <w:kern w:val="0"/>
                <w:szCs w:val="24"/>
                <w:lang w:eastAsia="en-IN"/>
                <w14:ligatures w14:val="none"/>
              </w:rPr>
            </w:pPr>
            <w:r w:rsidRPr="00E02C8A">
              <w:rPr>
                <w:rFonts w:ascii="Times New Roman" w:eastAsia="Times New Roman" w:hAnsi="Times New Roman" w:cs="Times New Roman"/>
                <w:i/>
                <w:iCs/>
                <w:color w:val="1A1C1E"/>
                <w:kern w:val="0"/>
                <w:szCs w:val="24"/>
                <w:lang w:eastAsia="en-IN"/>
                <w14:ligatures w14:val="none"/>
              </w:rPr>
              <w:t>4.6</w:t>
            </w:r>
          </w:p>
        </w:tc>
        <w:tc>
          <w:tcPr>
            <w:tcW w:w="1070" w:type="dxa"/>
            <w:shd w:val="clear" w:color="000000" w:fill="FFFFFF"/>
            <w:vAlign w:val="center"/>
            <w:hideMark/>
          </w:tcPr>
          <w:p w14:paraId="68DBAC62"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i/>
                <w:iCs/>
                <w:color w:val="1A1C1E"/>
                <w:kern w:val="0"/>
                <w:szCs w:val="24"/>
                <w:lang w:eastAsia="en-IN"/>
                <w14:ligatures w14:val="none"/>
              </w:rPr>
            </w:pPr>
            <w:r w:rsidRPr="00E02C8A">
              <w:rPr>
                <w:rFonts w:ascii="Times New Roman" w:eastAsia="Times New Roman" w:hAnsi="Times New Roman" w:cs="Times New Roman"/>
                <w:i/>
                <w:iCs/>
                <w:color w:val="1A1C1E"/>
                <w:kern w:val="0"/>
                <w:szCs w:val="24"/>
                <w:lang w:eastAsia="en-IN"/>
                <w14:ligatures w14:val="none"/>
              </w:rPr>
              <w:t>12.9</w:t>
            </w:r>
          </w:p>
        </w:tc>
        <w:tc>
          <w:tcPr>
            <w:tcW w:w="1182" w:type="dxa"/>
            <w:shd w:val="clear" w:color="000000" w:fill="FFFFFF"/>
            <w:vAlign w:val="center"/>
            <w:hideMark/>
          </w:tcPr>
          <w:p w14:paraId="4E710870" w14:textId="77777777" w:rsidR="006C2579" w:rsidRPr="00E02C8A" w:rsidRDefault="006C2579" w:rsidP="006C2579">
            <w:pPr>
              <w:spacing w:after="0" w:line="240" w:lineRule="auto"/>
              <w:ind w:firstLineChars="100" w:firstLine="240"/>
              <w:jc w:val="center"/>
              <w:rPr>
                <w:rFonts w:ascii="Times New Roman" w:eastAsia="Times New Roman" w:hAnsi="Times New Roman" w:cs="Times New Roman"/>
                <w:i/>
                <w:iCs/>
                <w:color w:val="1A1C1E"/>
                <w:kern w:val="0"/>
                <w:szCs w:val="24"/>
                <w:lang w:eastAsia="en-IN"/>
                <w14:ligatures w14:val="none"/>
              </w:rPr>
            </w:pPr>
            <w:r w:rsidRPr="00E02C8A">
              <w:rPr>
                <w:rFonts w:ascii="Times New Roman" w:eastAsia="Times New Roman" w:hAnsi="Times New Roman" w:cs="Times New Roman"/>
                <w:i/>
                <w:iCs/>
                <w:color w:val="1A1C1E"/>
                <w:kern w:val="0"/>
                <w:szCs w:val="24"/>
                <w:lang w:eastAsia="en-IN"/>
                <w14:ligatures w14:val="none"/>
              </w:rPr>
              <w:t>14.1</w:t>
            </w:r>
          </w:p>
        </w:tc>
        <w:tc>
          <w:tcPr>
            <w:tcW w:w="1379" w:type="dxa"/>
            <w:shd w:val="clear" w:color="000000" w:fill="FFFFFF"/>
            <w:vAlign w:val="center"/>
            <w:hideMark/>
          </w:tcPr>
          <w:p w14:paraId="615D8C8C" w14:textId="65728205" w:rsidR="006C2579" w:rsidRPr="00E02C8A" w:rsidRDefault="006C2579" w:rsidP="006C2579">
            <w:pPr>
              <w:spacing w:after="0" w:line="240" w:lineRule="auto"/>
              <w:ind w:firstLineChars="100" w:firstLine="240"/>
              <w:jc w:val="center"/>
              <w:rPr>
                <w:rFonts w:ascii="Times New Roman" w:eastAsia="Times New Roman" w:hAnsi="Times New Roman" w:cs="Times New Roman"/>
                <w:i/>
                <w:iCs/>
                <w:color w:val="1A1C1E"/>
                <w:kern w:val="0"/>
                <w:szCs w:val="24"/>
                <w:lang w:eastAsia="en-IN"/>
                <w14:ligatures w14:val="none"/>
              </w:rPr>
            </w:pPr>
          </w:p>
        </w:tc>
      </w:tr>
    </w:tbl>
    <w:p w14:paraId="7EABF273" w14:textId="402D472B" w:rsidR="006C2579" w:rsidRPr="005534D4" w:rsidRDefault="006C2579" w:rsidP="006C2579">
      <w:pPr>
        <w:pStyle w:val="Sources"/>
      </w:pPr>
      <w:r w:rsidRPr="005534D4">
        <w:t>(a) Rs. 250 lakhs transferred to meet Capital Expenditure, corresponding to transfer to</w:t>
      </w:r>
      <w:r>
        <w:t xml:space="preserve"> </w:t>
      </w:r>
      <w:r w:rsidRPr="005534D4">
        <w:t>revenue of an equivalent amount from the Revenue Reserve Fund, not excluded.</w:t>
      </w:r>
      <w:r w:rsidRPr="005534D4">
        <w:br/>
        <w:t>(b) Expenditure under 'Industries and Supplies' excludes working expenses of Government Industrial and Commercial undertakings.</w:t>
      </w:r>
    </w:p>
    <w:p w14:paraId="57D2EAF6" w14:textId="77777777" w:rsidR="006C2579" w:rsidRDefault="006C2579" w:rsidP="005474DF">
      <w:pPr>
        <w:jc w:val="center"/>
        <w:rPr>
          <w:rFonts w:ascii="Times New Roman" w:hAnsi="Times New Roman" w:cs="Times New Roman"/>
        </w:rPr>
      </w:pPr>
    </w:p>
    <w:p w14:paraId="1E763A42" w14:textId="77777777" w:rsidR="006C2579" w:rsidRDefault="006C2579" w:rsidP="005474DF">
      <w:pPr>
        <w:jc w:val="center"/>
        <w:rPr>
          <w:rFonts w:ascii="Times New Roman" w:hAnsi="Times New Roman" w:cs="Times New Roman"/>
        </w:rPr>
      </w:pPr>
    </w:p>
    <w:p w14:paraId="2877FFAD" w14:textId="77777777" w:rsidR="006C2579" w:rsidRDefault="006C2579" w:rsidP="005474DF">
      <w:pPr>
        <w:jc w:val="center"/>
        <w:rPr>
          <w:rFonts w:ascii="Times New Roman" w:hAnsi="Times New Roman" w:cs="Times New Roman"/>
        </w:rPr>
        <w:sectPr w:rsidR="006C2579" w:rsidSect="006C2579">
          <w:pgSz w:w="16838" w:h="11906" w:orient="landscape"/>
          <w:pgMar w:top="1134" w:right="1440" w:bottom="1440" w:left="1440" w:header="709" w:footer="709" w:gutter="0"/>
          <w:cols w:space="708"/>
          <w:docGrid w:linePitch="360"/>
        </w:sectPr>
      </w:pPr>
    </w:p>
    <w:p w14:paraId="14E054BF" w14:textId="77777777" w:rsidR="00477D22" w:rsidRDefault="00754CB8" w:rsidP="0075507D">
      <w:pPr>
        <w:pStyle w:val="Heading3"/>
      </w:pPr>
      <w:bookmarkStart w:id="35" w:name="_Toc221007144"/>
      <w:r w:rsidRPr="005534D4">
        <w:lastRenderedPageBreak/>
        <w:t>8(a).—Amount and Per Capita Expenditure in States on</w:t>
      </w:r>
      <w:r w:rsidR="006C2579">
        <w:t xml:space="preserve"> </w:t>
      </w:r>
      <w:r w:rsidR="006C2579" w:rsidRPr="005534D4">
        <w:t>selected services—1950-51</w:t>
      </w:r>
      <w:bookmarkEnd w:id="35"/>
    </w:p>
    <w:p w14:paraId="429A6741" w14:textId="21F733E7" w:rsidR="00754CB8" w:rsidRDefault="00754CB8" w:rsidP="00477D22">
      <w:pPr>
        <w:jc w:val="center"/>
        <w:rPr>
          <w:rFonts w:ascii="Times New Roman" w:hAnsi="Times New Roman" w:cs="Times New Roman"/>
        </w:rPr>
      </w:pPr>
      <w:r w:rsidRPr="00477D22">
        <w:rPr>
          <w:rFonts w:ascii="Times New Roman" w:hAnsi="Times New Roman" w:cs="Times New Roman"/>
        </w:rPr>
        <w:t>Per Capita figures (in rupees) are given in italics along-side</w:t>
      </w:r>
      <w:r w:rsidR="00477D22" w:rsidRPr="00477D22">
        <w:rPr>
          <w:rFonts w:ascii="Times New Roman" w:hAnsi="Times New Roman" w:cs="Times New Roman"/>
        </w:rPr>
        <w:t xml:space="preserve"> the figures for Total Expenditure.</w:t>
      </w:r>
    </w:p>
    <w:p w14:paraId="3C6C4DF3" w14:textId="77777777" w:rsidR="00BC195E" w:rsidRPr="00477D22" w:rsidRDefault="00BC195E" w:rsidP="00477D22">
      <w:pPr>
        <w:jc w:val="center"/>
        <w:rPr>
          <w:rFonts w:ascii="Times New Roman" w:hAnsi="Times New Roman" w:cs="Times New Roman"/>
        </w:rPr>
      </w:pPr>
    </w:p>
    <w:tbl>
      <w:tblPr>
        <w:tblW w:w="14353" w:type="dxa"/>
        <w:tblLook w:val="04A0" w:firstRow="1" w:lastRow="0" w:firstColumn="1" w:lastColumn="0" w:noHBand="0" w:noVBand="1"/>
      </w:tblPr>
      <w:tblGrid>
        <w:gridCol w:w="2254"/>
        <w:gridCol w:w="2767"/>
        <w:gridCol w:w="2475"/>
        <w:gridCol w:w="1490"/>
        <w:gridCol w:w="1492"/>
        <w:gridCol w:w="2093"/>
        <w:gridCol w:w="1782"/>
      </w:tblGrid>
      <w:tr w:rsidR="00BC195E" w:rsidRPr="00BC195E" w14:paraId="68FEE06E" w14:textId="77777777" w:rsidTr="00BC195E">
        <w:trPr>
          <w:trHeight w:val="20"/>
        </w:trPr>
        <w:tc>
          <w:tcPr>
            <w:tcW w:w="22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18F639" w14:textId="77777777" w:rsidR="00BC195E" w:rsidRPr="00BC195E" w:rsidRDefault="00BC195E" w:rsidP="00BC195E">
            <w:pPr>
              <w:spacing w:after="0" w:line="240" w:lineRule="auto"/>
              <w:ind w:firstLineChars="100" w:firstLine="221"/>
              <w:jc w:val="center"/>
              <w:rPr>
                <w:rFonts w:ascii="Times New Roman" w:eastAsia="Times New Roman" w:hAnsi="Times New Roman" w:cs="Times New Roman"/>
                <w:b/>
                <w:bCs/>
                <w:color w:val="1A1C1E"/>
                <w:kern w:val="0"/>
                <w:sz w:val="22"/>
                <w:szCs w:val="22"/>
                <w:lang w:eastAsia="en-IN"/>
                <w14:ligatures w14:val="none"/>
              </w:rPr>
            </w:pPr>
            <w:r w:rsidRPr="00BC195E">
              <w:rPr>
                <w:rFonts w:ascii="Times New Roman" w:eastAsia="Times New Roman" w:hAnsi="Times New Roman" w:cs="Times New Roman"/>
                <w:b/>
                <w:bCs/>
                <w:color w:val="1A1C1E"/>
                <w:kern w:val="0"/>
                <w:sz w:val="22"/>
                <w:szCs w:val="22"/>
                <w:lang w:eastAsia="en-IN"/>
                <w14:ligatures w14:val="none"/>
              </w:rPr>
              <w:t>State</w:t>
            </w:r>
          </w:p>
        </w:tc>
        <w:tc>
          <w:tcPr>
            <w:tcW w:w="2767" w:type="dxa"/>
            <w:tcBorders>
              <w:top w:val="single" w:sz="4" w:space="0" w:color="auto"/>
              <w:left w:val="nil"/>
              <w:bottom w:val="single" w:sz="4" w:space="0" w:color="auto"/>
              <w:right w:val="single" w:sz="4" w:space="0" w:color="auto"/>
            </w:tcBorders>
            <w:shd w:val="clear" w:color="000000" w:fill="FFFFFF"/>
            <w:vAlign w:val="center"/>
            <w:hideMark/>
          </w:tcPr>
          <w:p w14:paraId="4CAA9058" w14:textId="77777777" w:rsidR="00BC195E" w:rsidRPr="00BC195E" w:rsidRDefault="00BC195E" w:rsidP="00BC195E">
            <w:pPr>
              <w:spacing w:after="0" w:line="240" w:lineRule="auto"/>
              <w:ind w:firstLineChars="100" w:firstLine="221"/>
              <w:jc w:val="center"/>
              <w:rPr>
                <w:rFonts w:ascii="Times New Roman" w:eastAsia="Times New Roman" w:hAnsi="Times New Roman" w:cs="Times New Roman"/>
                <w:b/>
                <w:bCs/>
                <w:color w:val="1A1C1E"/>
                <w:kern w:val="0"/>
                <w:sz w:val="22"/>
                <w:szCs w:val="22"/>
                <w:lang w:eastAsia="en-IN"/>
                <w14:ligatures w14:val="none"/>
              </w:rPr>
            </w:pPr>
            <w:r w:rsidRPr="00BC195E">
              <w:rPr>
                <w:rFonts w:ascii="Times New Roman" w:eastAsia="Times New Roman" w:hAnsi="Times New Roman" w:cs="Times New Roman"/>
                <w:b/>
                <w:bCs/>
                <w:color w:val="1A1C1E"/>
                <w:kern w:val="0"/>
                <w:sz w:val="22"/>
                <w:szCs w:val="22"/>
                <w:lang w:eastAsia="en-IN"/>
                <w14:ligatures w14:val="none"/>
              </w:rPr>
              <w:t>Administrative Services</w:t>
            </w:r>
          </w:p>
        </w:tc>
        <w:tc>
          <w:tcPr>
            <w:tcW w:w="2475" w:type="dxa"/>
            <w:tcBorders>
              <w:top w:val="single" w:sz="4" w:space="0" w:color="auto"/>
              <w:left w:val="nil"/>
              <w:bottom w:val="single" w:sz="4" w:space="0" w:color="auto"/>
              <w:right w:val="single" w:sz="4" w:space="0" w:color="auto"/>
            </w:tcBorders>
            <w:shd w:val="clear" w:color="000000" w:fill="FFFFFF"/>
            <w:vAlign w:val="center"/>
            <w:hideMark/>
          </w:tcPr>
          <w:p w14:paraId="46705D2E" w14:textId="77777777" w:rsidR="00BC195E" w:rsidRPr="00BC195E" w:rsidRDefault="00BC195E" w:rsidP="00BC195E">
            <w:pPr>
              <w:spacing w:after="0" w:line="240" w:lineRule="auto"/>
              <w:ind w:firstLineChars="100" w:firstLine="221"/>
              <w:jc w:val="center"/>
              <w:rPr>
                <w:rFonts w:ascii="Times New Roman" w:eastAsia="Times New Roman" w:hAnsi="Times New Roman" w:cs="Times New Roman"/>
                <w:b/>
                <w:bCs/>
                <w:color w:val="1A1C1E"/>
                <w:kern w:val="0"/>
                <w:sz w:val="22"/>
                <w:szCs w:val="22"/>
                <w:lang w:eastAsia="en-IN"/>
                <w14:ligatures w14:val="none"/>
              </w:rPr>
            </w:pPr>
            <w:r w:rsidRPr="00BC195E">
              <w:rPr>
                <w:rFonts w:ascii="Times New Roman" w:eastAsia="Times New Roman" w:hAnsi="Times New Roman" w:cs="Times New Roman"/>
                <w:b/>
                <w:bCs/>
                <w:color w:val="1A1C1E"/>
                <w:kern w:val="0"/>
                <w:sz w:val="22"/>
                <w:szCs w:val="22"/>
                <w:lang w:eastAsia="en-IN"/>
                <w14:ligatures w14:val="none"/>
              </w:rPr>
              <w:t>General Administration</w:t>
            </w:r>
          </w:p>
        </w:tc>
        <w:tc>
          <w:tcPr>
            <w:tcW w:w="1490" w:type="dxa"/>
            <w:tcBorders>
              <w:top w:val="single" w:sz="4" w:space="0" w:color="auto"/>
              <w:left w:val="nil"/>
              <w:bottom w:val="single" w:sz="4" w:space="0" w:color="auto"/>
              <w:right w:val="single" w:sz="4" w:space="0" w:color="auto"/>
            </w:tcBorders>
            <w:shd w:val="clear" w:color="000000" w:fill="FFFFFF"/>
            <w:vAlign w:val="center"/>
            <w:hideMark/>
          </w:tcPr>
          <w:p w14:paraId="5FB3860D" w14:textId="77777777" w:rsidR="00BC195E" w:rsidRPr="00BC195E" w:rsidRDefault="00BC195E" w:rsidP="00BC195E">
            <w:pPr>
              <w:spacing w:after="0" w:line="240" w:lineRule="auto"/>
              <w:ind w:firstLineChars="100" w:firstLine="221"/>
              <w:jc w:val="center"/>
              <w:rPr>
                <w:rFonts w:ascii="Times New Roman" w:eastAsia="Times New Roman" w:hAnsi="Times New Roman" w:cs="Times New Roman"/>
                <w:b/>
                <w:bCs/>
                <w:color w:val="1A1C1E"/>
                <w:kern w:val="0"/>
                <w:sz w:val="22"/>
                <w:szCs w:val="22"/>
                <w:lang w:eastAsia="en-IN"/>
                <w14:ligatures w14:val="none"/>
              </w:rPr>
            </w:pPr>
            <w:r w:rsidRPr="00BC195E">
              <w:rPr>
                <w:rFonts w:ascii="Times New Roman" w:eastAsia="Times New Roman" w:hAnsi="Times New Roman" w:cs="Times New Roman"/>
                <w:b/>
                <w:bCs/>
                <w:color w:val="1A1C1E"/>
                <w:kern w:val="0"/>
                <w:sz w:val="22"/>
                <w:szCs w:val="22"/>
                <w:lang w:eastAsia="en-IN"/>
                <w14:ligatures w14:val="none"/>
              </w:rPr>
              <w:t>Police</w:t>
            </w:r>
          </w:p>
        </w:tc>
        <w:tc>
          <w:tcPr>
            <w:tcW w:w="1492" w:type="dxa"/>
            <w:tcBorders>
              <w:top w:val="single" w:sz="4" w:space="0" w:color="auto"/>
              <w:left w:val="nil"/>
              <w:bottom w:val="single" w:sz="4" w:space="0" w:color="auto"/>
              <w:right w:val="single" w:sz="4" w:space="0" w:color="auto"/>
            </w:tcBorders>
            <w:shd w:val="clear" w:color="000000" w:fill="FFFFFF"/>
            <w:vAlign w:val="center"/>
            <w:hideMark/>
          </w:tcPr>
          <w:p w14:paraId="052A807C" w14:textId="77777777" w:rsidR="00BC195E" w:rsidRPr="00BC195E" w:rsidRDefault="00BC195E" w:rsidP="00BC195E">
            <w:pPr>
              <w:spacing w:after="0" w:line="240" w:lineRule="auto"/>
              <w:ind w:firstLineChars="100" w:firstLine="221"/>
              <w:jc w:val="center"/>
              <w:rPr>
                <w:rFonts w:ascii="Times New Roman" w:eastAsia="Times New Roman" w:hAnsi="Times New Roman" w:cs="Times New Roman"/>
                <w:b/>
                <w:bCs/>
                <w:color w:val="1A1C1E"/>
                <w:kern w:val="0"/>
                <w:sz w:val="22"/>
                <w:szCs w:val="22"/>
                <w:lang w:eastAsia="en-IN"/>
                <w14:ligatures w14:val="none"/>
              </w:rPr>
            </w:pPr>
            <w:r w:rsidRPr="00BC195E">
              <w:rPr>
                <w:rFonts w:ascii="Times New Roman" w:eastAsia="Times New Roman" w:hAnsi="Times New Roman" w:cs="Times New Roman"/>
                <w:b/>
                <w:bCs/>
                <w:color w:val="1A1C1E"/>
                <w:kern w:val="0"/>
                <w:sz w:val="22"/>
                <w:szCs w:val="22"/>
                <w:lang w:eastAsia="en-IN"/>
                <w14:ligatures w14:val="none"/>
              </w:rPr>
              <w:t>Social Services</w:t>
            </w:r>
          </w:p>
        </w:tc>
        <w:tc>
          <w:tcPr>
            <w:tcW w:w="2093" w:type="dxa"/>
            <w:tcBorders>
              <w:top w:val="single" w:sz="4" w:space="0" w:color="auto"/>
              <w:left w:val="nil"/>
              <w:bottom w:val="single" w:sz="4" w:space="0" w:color="auto"/>
              <w:right w:val="single" w:sz="4" w:space="0" w:color="auto"/>
            </w:tcBorders>
            <w:shd w:val="clear" w:color="000000" w:fill="FFFFFF"/>
            <w:vAlign w:val="center"/>
            <w:hideMark/>
          </w:tcPr>
          <w:p w14:paraId="4A8FCDC4" w14:textId="77777777" w:rsidR="00BC195E" w:rsidRPr="00BC195E" w:rsidRDefault="00BC195E" w:rsidP="00BC195E">
            <w:pPr>
              <w:spacing w:after="0" w:line="240" w:lineRule="auto"/>
              <w:ind w:firstLineChars="100" w:firstLine="221"/>
              <w:jc w:val="center"/>
              <w:rPr>
                <w:rFonts w:ascii="Times New Roman" w:eastAsia="Times New Roman" w:hAnsi="Times New Roman" w:cs="Times New Roman"/>
                <w:b/>
                <w:bCs/>
                <w:color w:val="1A1C1E"/>
                <w:kern w:val="0"/>
                <w:sz w:val="22"/>
                <w:szCs w:val="22"/>
                <w:lang w:eastAsia="en-IN"/>
                <w14:ligatures w14:val="none"/>
              </w:rPr>
            </w:pPr>
            <w:r w:rsidRPr="00BC195E">
              <w:rPr>
                <w:rFonts w:ascii="Times New Roman" w:eastAsia="Times New Roman" w:hAnsi="Times New Roman" w:cs="Times New Roman"/>
                <w:b/>
                <w:bCs/>
                <w:color w:val="1A1C1E"/>
                <w:kern w:val="0"/>
                <w:sz w:val="22"/>
                <w:szCs w:val="22"/>
                <w:lang w:eastAsia="en-IN"/>
                <w14:ligatures w14:val="none"/>
              </w:rPr>
              <w:t>Education</w:t>
            </w:r>
          </w:p>
        </w:tc>
        <w:tc>
          <w:tcPr>
            <w:tcW w:w="1782" w:type="dxa"/>
            <w:tcBorders>
              <w:top w:val="single" w:sz="4" w:space="0" w:color="auto"/>
              <w:left w:val="nil"/>
              <w:bottom w:val="single" w:sz="4" w:space="0" w:color="auto"/>
              <w:right w:val="single" w:sz="4" w:space="0" w:color="auto"/>
            </w:tcBorders>
            <w:shd w:val="clear" w:color="000000" w:fill="FFFFFF"/>
            <w:vAlign w:val="center"/>
            <w:hideMark/>
          </w:tcPr>
          <w:p w14:paraId="09D5C54D" w14:textId="77777777" w:rsidR="00BC195E" w:rsidRPr="00BC195E" w:rsidRDefault="00BC195E" w:rsidP="00BC195E">
            <w:pPr>
              <w:spacing w:after="0" w:line="240" w:lineRule="auto"/>
              <w:ind w:firstLineChars="100" w:firstLine="221"/>
              <w:jc w:val="center"/>
              <w:rPr>
                <w:rFonts w:ascii="Times New Roman" w:eastAsia="Times New Roman" w:hAnsi="Times New Roman" w:cs="Times New Roman"/>
                <w:b/>
                <w:bCs/>
                <w:color w:val="1A1C1E"/>
                <w:kern w:val="0"/>
                <w:sz w:val="22"/>
                <w:szCs w:val="22"/>
                <w:lang w:eastAsia="en-IN"/>
                <w14:ligatures w14:val="none"/>
              </w:rPr>
            </w:pPr>
            <w:r w:rsidRPr="00BC195E">
              <w:rPr>
                <w:rFonts w:ascii="Times New Roman" w:eastAsia="Times New Roman" w:hAnsi="Times New Roman" w:cs="Times New Roman"/>
                <w:b/>
                <w:bCs/>
                <w:color w:val="1A1C1E"/>
                <w:kern w:val="0"/>
                <w:sz w:val="22"/>
                <w:szCs w:val="22"/>
                <w:lang w:eastAsia="en-IN"/>
                <w14:ligatures w14:val="none"/>
              </w:rPr>
              <w:t>Medical and Public Health</w:t>
            </w:r>
          </w:p>
        </w:tc>
      </w:tr>
      <w:tr w:rsidR="00BC195E" w:rsidRPr="00BC195E" w14:paraId="7E8E1239" w14:textId="77777777" w:rsidTr="00BC195E">
        <w:trPr>
          <w:trHeight w:val="20"/>
        </w:trPr>
        <w:tc>
          <w:tcPr>
            <w:tcW w:w="2254" w:type="dxa"/>
            <w:tcBorders>
              <w:top w:val="nil"/>
              <w:left w:val="single" w:sz="4" w:space="0" w:color="auto"/>
              <w:bottom w:val="single" w:sz="4" w:space="0" w:color="auto"/>
              <w:right w:val="single" w:sz="4" w:space="0" w:color="auto"/>
            </w:tcBorders>
            <w:shd w:val="clear" w:color="000000" w:fill="FFFFFF"/>
            <w:vAlign w:val="center"/>
            <w:hideMark/>
          </w:tcPr>
          <w:p w14:paraId="14F4C46A"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Assam</w:t>
            </w:r>
          </w:p>
        </w:tc>
        <w:tc>
          <w:tcPr>
            <w:tcW w:w="2767" w:type="dxa"/>
            <w:tcBorders>
              <w:top w:val="nil"/>
              <w:left w:val="nil"/>
              <w:bottom w:val="single" w:sz="4" w:space="0" w:color="auto"/>
              <w:right w:val="single" w:sz="4" w:space="0" w:color="auto"/>
            </w:tcBorders>
            <w:shd w:val="clear" w:color="000000" w:fill="FFFFFF"/>
            <w:vAlign w:val="center"/>
            <w:hideMark/>
          </w:tcPr>
          <w:p w14:paraId="0D1FD1EE"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182</w:t>
            </w:r>
          </w:p>
        </w:tc>
        <w:tc>
          <w:tcPr>
            <w:tcW w:w="2475" w:type="dxa"/>
            <w:tcBorders>
              <w:top w:val="nil"/>
              <w:left w:val="nil"/>
              <w:bottom w:val="single" w:sz="4" w:space="0" w:color="auto"/>
              <w:right w:val="single" w:sz="4" w:space="0" w:color="auto"/>
            </w:tcBorders>
            <w:shd w:val="clear" w:color="000000" w:fill="FFFFFF"/>
            <w:vAlign w:val="center"/>
            <w:hideMark/>
          </w:tcPr>
          <w:p w14:paraId="18C54C83"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61</w:t>
            </w:r>
          </w:p>
        </w:tc>
        <w:tc>
          <w:tcPr>
            <w:tcW w:w="1490" w:type="dxa"/>
            <w:tcBorders>
              <w:top w:val="nil"/>
              <w:left w:val="nil"/>
              <w:bottom w:val="single" w:sz="4" w:space="0" w:color="auto"/>
              <w:right w:val="single" w:sz="4" w:space="0" w:color="auto"/>
            </w:tcBorders>
            <w:shd w:val="clear" w:color="000000" w:fill="FFFFFF"/>
            <w:vAlign w:val="center"/>
            <w:hideMark/>
          </w:tcPr>
          <w:p w14:paraId="64150824"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86</w:t>
            </w:r>
          </w:p>
        </w:tc>
        <w:tc>
          <w:tcPr>
            <w:tcW w:w="1492" w:type="dxa"/>
            <w:tcBorders>
              <w:top w:val="nil"/>
              <w:left w:val="nil"/>
              <w:bottom w:val="single" w:sz="4" w:space="0" w:color="auto"/>
              <w:right w:val="single" w:sz="4" w:space="0" w:color="auto"/>
            </w:tcBorders>
            <w:shd w:val="clear" w:color="000000" w:fill="FFFFFF"/>
            <w:vAlign w:val="center"/>
            <w:hideMark/>
          </w:tcPr>
          <w:p w14:paraId="15E64305"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278</w:t>
            </w:r>
          </w:p>
        </w:tc>
        <w:tc>
          <w:tcPr>
            <w:tcW w:w="2093" w:type="dxa"/>
            <w:tcBorders>
              <w:top w:val="nil"/>
              <w:left w:val="nil"/>
              <w:bottom w:val="single" w:sz="4" w:space="0" w:color="auto"/>
              <w:right w:val="single" w:sz="4" w:space="0" w:color="auto"/>
            </w:tcBorders>
            <w:shd w:val="clear" w:color="000000" w:fill="FFFFFF"/>
            <w:vAlign w:val="center"/>
            <w:hideMark/>
          </w:tcPr>
          <w:p w14:paraId="3DA5C68C"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152</w:t>
            </w:r>
          </w:p>
        </w:tc>
        <w:tc>
          <w:tcPr>
            <w:tcW w:w="1782" w:type="dxa"/>
            <w:tcBorders>
              <w:top w:val="nil"/>
              <w:left w:val="nil"/>
              <w:bottom w:val="single" w:sz="4" w:space="0" w:color="auto"/>
              <w:right w:val="single" w:sz="4" w:space="0" w:color="auto"/>
            </w:tcBorders>
            <w:shd w:val="clear" w:color="000000" w:fill="FFFFFF"/>
            <w:vAlign w:val="center"/>
            <w:hideMark/>
          </w:tcPr>
          <w:p w14:paraId="1BBEB763"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63</w:t>
            </w:r>
          </w:p>
        </w:tc>
      </w:tr>
      <w:tr w:rsidR="00BC195E" w:rsidRPr="00BC195E" w14:paraId="0C52929B" w14:textId="77777777" w:rsidTr="00BC195E">
        <w:trPr>
          <w:trHeight w:val="20"/>
        </w:trPr>
        <w:tc>
          <w:tcPr>
            <w:tcW w:w="2254" w:type="dxa"/>
            <w:tcBorders>
              <w:top w:val="nil"/>
              <w:left w:val="single" w:sz="4" w:space="0" w:color="auto"/>
              <w:bottom w:val="single" w:sz="4" w:space="0" w:color="auto"/>
              <w:right w:val="single" w:sz="4" w:space="0" w:color="auto"/>
            </w:tcBorders>
            <w:shd w:val="clear" w:color="000000" w:fill="FFFFFF"/>
            <w:vAlign w:val="center"/>
            <w:hideMark/>
          </w:tcPr>
          <w:p w14:paraId="2B5E1CEE" w14:textId="3C9FCEE1"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p>
        </w:tc>
        <w:tc>
          <w:tcPr>
            <w:tcW w:w="2767" w:type="dxa"/>
            <w:tcBorders>
              <w:top w:val="nil"/>
              <w:left w:val="nil"/>
              <w:bottom w:val="single" w:sz="4" w:space="0" w:color="auto"/>
              <w:right w:val="single" w:sz="4" w:space="0" w:color="auto"/>
            </w:tcBorders>
            <w:shd w:val="clear" w:color="000000" w:fill="FFFFFF"/>
            <w:vAlign w:val="center"/>
            <w:hideMark/>
          </w:tcPr>
          <w:p w14:paraId="548892A1" w14:textId="30FAF498" w:rsidR="00BC195E" w:rsidRPr="00BC195E" w:rsidRDefault="00BC195E" w:rsidP="00BC195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BC195E">
              <w:rPr>
                <w:rFonts w:ascii="Times New Roman" w:eastAsia="Times New Roman" w:hAnsi="Times New Roman" w:cs="Times New Roman"/>
                <w:i/>
                <w:iCs/>
                <w:color w:val="1A1C1E"/>
                <w:kern w:val="0"/>
                <w:sz w:val="22"/>
                <w:szCs w:val="22"/>
                <w:lang w:eastAsia="en-IN"/>
                <w14:ligatures w14:val="none"/>
              </w:rPr>
              <w:t>2</w:t>
            </w:r>
            <w:r w:rsidR="00FD66C9">
              <w:rPr>
                <w:rFonts w:ascii="Times New Roman" w:eastAsia="Times New Roman" w:hAnsi="Times New Roman" w:cs="Times New Roman"/>
                <w:i/>
                <w:iCs/>
                <w:color w:val="1A1C1E"/>
                <w:kern w:val="0"/>
                <w:sz w:val="22"/>
                <w:szCs w:val="22"/>
                <w:lang w:eastAsia="en-IN"/>
                <w14:ligatures w14:val="none"/>
              </w:rPr>
              <w:t>.0</w:t>
            </w:r>
          </w:p>
        </w:tc>
        <w:tc>
          <w:tcPr>
            <w:tcW w:w="2475" w:type="dxa"/>
            <w:tcBorders>
              <w:top w:val="nil"/>
              <w:left w:val="nil"/>
              <w:bottom w:val="single" w:sz="4" w:space="0" w:color="auto"/>
              <w:right w:val="single" w:sz="4" w:space="0" w:color="auto"/>
            </w:tcBorders>
            <w:shd w:val="clear" w:color="000000" w:fill="FFFFFF"/>
            <w:vAlign w:val="center"/>
            <w:hideMark/>
          </w:tcPr>
          <w:p w14:paraId="166DFEDC"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BC195E">
              <w:rPr>
                <w:rFonts w:ascii="Times New Roman" w:eastAsia="Times New Roman" w:hAnsi="Times New Roman" w:cs="Times New Roman"/>
                <w:i/>
                <w:iCs/>
                <w:color w:val="1A1C1E"/>
                <w:kern w:val="0"/>
                <w:sz w:val="22"/>
                <w:szCs w:val="22"/>
                <w:lang w:eastAsia="en-IN"/>
                <w14:ligatures w14:val="none"/>
              </w:rPr>
              <w:t>0.7</w:t>
            </w:r>
          </w:p>
        </w:tc>
        <w:tc>
          <w:tcPr>
            <w:tcW w:w="1490" w:type="dxa"/>
            <w:tcBorders>
              <w:top w:val="nil"/>
              <w:left w:val="nil"/>
              <w:bottom w:val="single" w:sz="4" w:space="0" w:color="auto"/>
              <w:right w:val="single" w:sz="4" w:space="0" w:color="auto"/>
            </w:tcBorders>
            <w:shd w:val="clear" w:color="000000" w:fill="FFFFFF"/>
            <w:vAlign w:val="center"/>
            <w:hideMark/>
          </w:tcPr>
          <w:p w14:paraId="14D705A2" w14:textId="62336617" w:rsidR="00BC195E" w:rsidRPr="00BC195E" w:rsidRDefault="00BC195E" w:rsidP="00BC195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BC195E">
              <w:rPr>
                <w:rFonts w:ascii="Times New Roman" w:eastAsia="Times New Roman" w:hAnsi="Times New Roman" w:cs="Times New Roman"/>
                <w:i/>
                <w:iCs/>
                <w:color w:val="1A1C1E"/>
                <w:kern w:val="0"/>
                <w:sz w:val="22"/>
                <w:szCs w:val="22"/>
                <w:lang w:eastAsia="en-IN"/>
                <w14:ligatures w14:val="none"/>
              </w:rPr>
              <w:t>1</w:t>
            </w:r>
            <w:r w:rsidR="00FD66C9">
              <w:rPr>
                <w:rFonts w:ascii="Times New Roman" w:eastAsia="Times New Roman" w:hAnsi="Times New Roman" w:cs="Times New Roman"/>
                <w:i/>
                <w:iCs/>
                <w:color w:val="1A1C1E"/>
                <w:kern w:val="0"/>
                <w:sz w:val="22"/>
                <w:szCs w:val="22"/>
                <w:lang w:eastAsia="en-IN"/>
                <w14:ligatures w14:val="none"/>
              </w:rPr>
              <w:t>.0</w:t>
            </w:r>
          </w:p>
        </w:tc>
        <w:tc>
          <w:tcPr>
            <w:tcW w:w="1492" w:type="dxa"/>
            <w:tcBorders>
              <w:top w:val="nil"/>
              <w:left w:val="nil"/>
              <w:bottom w:val="single" w:sz="4" w:space="0" w:color="auto"/>
              <w:right w:val="single" w:sz="4" w:space="0" w:color="auto"/>
            </w:tcBorders>
            <w:shd w:val="clear" w:color="000000" w:fill="FFFFFF"/>
            <w:vAlign w:val="center"/>
            <w:hideMark/>
          </w:tcPr>
          <w:p w14:paraId="17FFC4D0"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BC195E">
              <w:rPr>
                <w:rFonts w:ascii="Times New Roman" w:eastAsia="Times New Roman" w:hAnsi="Times New Roman" w:cs="Times New Roman"/>
                <w:i/>
                <w:iCs/>
                <w:color w:val="1A1C1E"/>
                <w:kern w:val="0"/>
                <w:sz w:val="22"/>
                <w:szCs w:val="22"/>
                <w:lang w:eastAsia="en-IN"/>
                <w14:ligatures w14:val="none"/>
              </w:rPr>
              <w:t>3.1</w:t>
            </w:r>
          </w:p>
        </w:tc>
        <w:tc>
          <w:tcPr>
            <w:tcW w:w="2093" w:type="dxa"/>
            <w:tcBorders>
              <w:top w:val="nil"/>
              <w:left w:val="nil"/>
              <w:bottom w:val="single" w:sz="4" w:space="0" w:color="auto"/>
              <w:right w:val="single" w:sz="4" w:space="0" w:color="auto"/>
            </w:tcBorders>
            <w:shd w:val="clear" w:color="000000" w:fill="FFFFFF"/>
            <w:vAlign w:val="center"/>
            <w:hideMark/>
          </w:tcPr>
          <w:p w14:paraId="4A2E1270"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BC195E">
              <w:rPr>
                <w:rFonts w:ascii="Times New Roman" w:eastAsia="Times New Roman" w:hAnsi="Times New Roman" w:cs="Times New Roman"/>
                <w:i/>
                <w:iCs/>
                <w:color w:val="1A1C1E"/>
                <w:kern w:val="0"/>
                <w:sz w:val="22"/>
                <w:szCs w:val="22"/>
                <w:lang w:eastAsia="en-IN"/>
                <w14:ligatures w14:val="none"/>
              </w:rPr>
              <w:t>1.7</w:t>
            </w:r>
          </w:p>
        </w:tc>
        <w:tc>
          <w:tcPr>
            <w:tcW w:w="1782" w:type="dxa"/>
            <w:tcBorders>
              <w:top w:val="nil"/>
              <w:left w:val="nil"/>
              <w:bottom w:val="single" w:sz="4" w:space="0" w:color="auto"/>
              <w:right w:val="single" w:sz="4" w:space="0" w:color="auto"/>
            </w:tcBorders>
            <w:shd w:val="clear" w:color="000000" w:fill="FFFFFF"/>
            <w:vAlign w:val="center"/>
            <w:hideMark/>
          </w:tcPr>
          <w:p w14:paraId="64863956"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BC195E">
              <w:rPr>
                <w:rFonts w:ascii="Times New Roman" w:eastAsia="Times New Roman" w:hAnsi="Times New Roman" w:cs="Times New Roman"/>
                <w:i/>
                <w:iCs/>
                <w:color w:val="1A1C1E"/>
                <w:kern w:val="0"/>
                <w:sz w:val="22"/>
                <w:szCs w:val="22"/>
                <w:lang w:eastAsia="en-IN"/>
                <w14:ligatures w14:val="none"/>
              </w:rPr>
              <w:t>0.7</w:t>
            </w:r>
          </w:p>
        </w:tc>
      </w:tr>
      <w:tr w:rsidR="00BC195E" w:rsidRPr="00BC195E" w14:paraId="3FF3AFC3" w14:textId="77777777" w:rsidTr="00BC195E">
        <w:trPr>
          <w:trHeight w:val="20"/>
        </w:trPr>
        <w:tc>
          <w:tcPr>
            <w:tcW w:w="2254" w:type="dxa"/>
            <w:tcBorders>
              <w:top w:val="nil"/>
              <w:left w:val="single" w:sz="4" w:space="0" w:color="auto"/>
              <w:bottom w:val="single" w:sz="4" w:space="0" w:color="auto"/>
              <w:right w:val="single" w:sz="4" w:space="0" w:color="auto"/>
            </w:tcBorders>
            <w:shd w:val="clear" w:color="000000" w:fill="FFFFFF"/>
            <w:vAlign w:val="center"/>
            <w:hideMark/>
          </w:tcPr>
          <w:p w14:paraId="56CEE92C"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Bihar</w:t>
            </w:r>
          </w:p>
        </w:tc>
        <w:tc>
          <w:tcPr>
            <w:tcW w:w="2767" w:type="dxa"/>
            <w:tcBorders>
              <w:top w:val="nil"/>
              <w:left w:val="nil"/>
              <w:bottom w:val="single" w:sz="4" w:space="0" w:color="auto"/>
              <w:right w:val="single" w:sz="4" w:space="0" w:color="auto"/>
            </w:tcBorders>
            <w:shd w:val="clear" w:color="000000" w:fill="FFFFFF"/>
            <w:vAlign w:val="center"/>
            <w:hideMark/>
          </w:tcPr>
          <w:p w14:paraId="5AD424E9"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782</w:t>
            </w:r>
          </w:p>
        </w:tc>
        <w:tc>
          <w:tcPr>
            <w:tcW w:w="2475" w:type="dxa"/>
            <w:tcBorders>
              <w:top w:val="nil"/>
              <w:left w:val="nil"/>
              <w:bottom w:val="single" w:sz="4" w:space="0" w:color="auto"/>
              <w:right w:val="single" w:sz="4" w:space="0" w:color="auto"/>
            </w:tcBorders>
            <w:shd w:val="clear" w:color="000000" w:fill="FFFFFF"/>
            <w:vAlign w:val="center"/>
            <w:hideMark/>
          </w:tcPr>
          <w:p w14:paraId="1798D604"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213</w:t>
            </w:r>
          </w:p>
        </w:tc>
        <w:tc>
          <w:tcPr>
            <w:tcW w:w="1490" w:type="dxa"/>
            <w:tcBorders>
              <w:top w:val="nil"/>
              <w:left w:val="nil"/>
              <w:bottom w:val="single" w:sz="4" w:space="0" w:color="auto"/>
              <w:right w:val="single" w:sz="4" w:space="0" w:color="auto"/>
            </w:tcBorders>
            <w:shd w:val="clear" w:color="000000" w:fill="FFFFFF"/>
            <w:vAlign w:val="center"/>
            <w:hideMark/>
          </w:tcPr>
          <w:p w14:paraId="5D5702FC"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390</w:t>
            </w:r>
          </w:p>
        </w:tc>
        <w:tc>
          <w:tcPr>
            <w:tcW w:w="1492" w:type="dxa"/>
            <w:tcBorders>
              <w:top w:val="nil"/>
              <w:left w:val="nil"/>
              <w:bottom w:val="single" w:sz="4" w:space="0" w:color="auto"/>
              <w:right w:val="single" w:sz="4" w:space="0" w:color="auto"/>
            </w:tcBorders>
            <w:shd w:val="clear" w:color="000000" w:fill="FFFFFF"/>
            <w:vAlign w:val="center"/>
            <w:hideMark/>
          </w:tcPr>
          <w:p w14:paraId="6E1A6BD7"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702</w:t>
            </w:r>
          </w:p>
        </w:tc>
        <w:tc>
          <w:tcPr>
            <w:tcW w:w="2093" w:type="dxa"/>
            <w:tcBorders>
              <w:top w:val="nil"/>
              <w:left w:val="nil"/>
              <w:bottom w:val="single" w:sz="4" w:space="0" w:color="auto"/>
              <w:right w:val="single" w:sz="4" w:space="0" w:color="auto"/>
            </w:tcBorders>
            <w:shd w:val="clear" w:color="000000" w:fill="FFFFFF"/>
            <w:vAlign w:val="center"/>
            <w:hideMark/>
          </w:tcPr>
          <w:p w14:paraId="06A7FF56"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319</w:t>
            </w:r>
          </w:p>
        </w:tc>
        <w:tc>
          <w:tcPr>
            <w:tcW w:w="1782" w:type="dxa"/>
            <w:tcBorders>
              <w:top w:val="nil"/>
              <w:left w:val="nil"/>
              <w:bottom w:val="single" w:sz="4" w:space="0" w:color="auto"/>
              <w:right w:val="single" w:sz="4" w:space="0" w:color="auto"/>
            </w:tcBorders>
            <w:shd w:val="clear" w:color="000000" w:fill="FFFFFF"/>
            <w:vAlign w:val="center"/>
            <w:hideMark/>
          </w:tcPr>
          <w:p w14:paraId="75FB2CD4"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165</w:t>
            </w:r>
          </w:p>
        </w:tc>
      </w:tr>
      <w:tr w:rsidR="00BC195E" w:rsidRPr="00BC195E" w14:paraId="224B01E1" w14:textId="77777777" w:rsidTr="00BC195E">
        <w:trPr>
          <w:trHeight w:val="20"/>
        </w:trPr>
        <w:tc>
          <w:tcPr>
            <w:tcW w:w="2254" w:type="dxa"/>
            <w:tcBorders>
              <w:top w:val="nil"/>
              <w:left w:val="single" w:sz="4" w:space="0" w:color="auto"/>
              <w:bottom w:val="single" w:sz="4" w:space="0" w:color="auto"/>
              <w:right w:val="single" w:sz="4" w:space="0" w:color="auto"/>
            </w:tcBorders>
            <w:shd w:val="clear" w:color="000000" w:fill="FFFFFF"/>
            <w:vAlign w:val="center"/>
            <w:hideMark/>
          </w:tcPr>
          <w:p w14:paraId="02AA914D" w14:textId="59D0543F"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p>
        </w:tc>
        <w:tc>
          <w:tcPr>
            <w:tcW w:w="2767" w:type="dxa"/>
            <w:tcBorders>
              <w:top w:val="nil"/>
              <w:left w:val="nil"/>
              <w:bottom w:val="single" w:sz="4" w:space="0" w:color="auto"/>
              <w:right w:val="single" w:sz="4" w:space="0" w:color="auto"/>
            </w:tcBorders>
            <w:shd w:val="clear" w:color="000000" w:fill="FFFFFF"/>
            <w:vAlign w:val="center"/>
            <w:hideMark/>
          </w:tcPr>
          <w:p w14:paraId="6494F90F"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BC195E">
              <w:rPr>
                <w:rFonts w:ascii="Times New Roman" w:eastAsia="Times New Roman" w:hAnsi="Times New Roman" w:cs="Times New Roman"/>
                <w:i/>
                <w:iCs/>
                <w:color w:val="1A1C1E"/>
                <w:kern w:val="0"/>
                <w:sz w:val="22"/>
                <w:szCs w:val="22"/>
                <w:lang w:eastAsia="en-IN"/>
                <w14:ligatures w14:val="none"/>
              </w:rPr>
              <w:t>1.9</w:t>
            </w:r>
          </w:p>
        </w:tc>
        <w:tc>
          <w:tcPr>
            <w:tcW w:w="2475" w:type="dxa"/>
            <w:tcBorders>
              <w:top w:val="nil"/>
              <w:left w:val="nil"/>
              <w:bottom w:val="single" w:sz="4" w:space="0" w:color="auto"/>
              <w:right w:val="single" w:sz="4" w:space="0" w:color="auto"/>
            </w:tcBorders>
            <w:shd w:val="clear" w:color="000000" w:fill="FFFFFF"/>
            <w:vAlign w:val="center"/>
            <w:hideMark/>
          </w:tcPr>
          <w:p w14:paraId="4223963C"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BC195E">
              <w:rPr>
                <w:rFonts w:ascii="Times New Roman" w:eastAsia="Times New Roman" w:hAnsi="Times New Roman" w:cs="Times New Roman"/>
                <w:i/>
                <w:iCs/>
                <w:color w:val="1A1C1E"/>
                <w:kern w:val="0"/>
                <w:sz w:val="22"/>
                <w:szCs w:val="22"/>
                <w:lang w:eastAsia="en-IN"/>
                <w14:ligatures w14:val="none"/>
              </w:rPr>
              <w:t>0.5</w:t>
            </w:r>
          </w:p>
        </w:tc>
        <w:tc>
          <w:tcPr>
            <w:tcW w:w="1490" w:type="dxa"/>
            <w:tcBorders>
              <w:top w:val="nil"/>
              <w:left w:val="nil"/>
              <w:bottom w:val="single" w:sz="4" w:space="0" w:color="auto"/>
              <w:right w:val="single" w:sz="4" w:space="0" w:color="auto"/>
            </w:tcBorders>
            <w:shd w:val="clear" w:color="000000" w:fill="FFFFFF"/>
            <w:vAlign w:val="center"/>
            <w:hideMark/>
          </w:tcPr>
          <w:p w14:paraId="6A4747D9" w14:textId="061B71DC" w:rsidR="00BC195E" w:rsidRPr="00BC195E" w:rsidRDefault="00BC195E" w:rsidP="00BC195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BC195E">
              <w:rPr>
                <w:rFonts w:ascii="Times New Roman" w:eastAsia="Times New Roman" w:hAnsi="Times New Roman" w:cs="Times New Roman"/>
                <w:i/>
                <w:iCs/>
                <w:color w:val="1A1C1E"/>
                <w:kern w:val="0"/>
                <w:sz w:val="22"/>
                <w:szCs w:val="22"/>
                <w:lang w:eastAsia="en-IN"/>
                <w14:ligatures w14:val="none"/>
              </w:rPr>
              <w:t>1</w:t>
            </w:r>
            <w:r w:rsidR="00FD66C9">
              <w:rPr>
                <w:rFonts w:ascii="Times New Roman" w:eastAsia="Times New Roman" w:hAnsi="Times New Roman" w:cs="Times New Roman"/>
                <w:i/>
                <w:iCs/>
                <w:color w:val="1A1C1E"/>
                <w:kern w:val="0"/>
                <w:sz w:val="22"/>
                <w:szCs w:val="22"/>
                <w:lang w:eastAsia="en-IN"/>
                <w14:ligatures w14:val="none"/>
              </w:rPr>
              <w:t>.0</w:t>
            </w:r>
          </w:p>
        </w:tc>
        <w:tc>
          <w:tcPr>
            <w:tcW w:w="1492" w:type="dxa"/>
            <w:tcBorders>
              <w:top w:val="nil"/>
              <w:left w:val="nil"/>
              <w:bottom w:val="single" w:sz="4" w:space="0" w:color="auto"/>
              <w:right w:val="single" w:sz="4" w:space="0" w:color="auto"/>
            </w:tcBorders>
            <w:shd w:val="clear" w:color="000000" w:fill="FFFFFF"/>
            <w:vAlign w:val="center"/>
            <w:hideMark/>
          </w:tcPr>
          <w:p w14:paraId="4B9C37AF"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BC195E">
              <w:rPr>
                <w:rFonts w:ascii="Times New Roman" w:eastAsia="Times New Roman" w:hAnsi="Times New Roman" w:cs="Times New Roman"/>
                <w:i/>
                <w:iCs/>
                <w:color w:val="1A1C1E"/>
                <w:kern w:val="0"/>
                <w:sz w:val="22"/>
                <w:szCs w:val="22"/>
                <w:lang w:eastAsia="en-IN"/>
                <w14:ligatures w14:val="none"/>
              </w:rPr>
              <w:t>1.7</w:t>
            </w:r>
          </w:p>
        </w:tc>
        <w:tc>
          <w:tcPr>
            <w:tcW w:w="2093" w:type="dxa"/>
            <w:tcBorders>
              <w:top w:val="nil"/>
              <w:left w:val="nil"/>
              <w:bottom w:val="single" w:sz="4" w:space="0" w:color="auto"/>
              <w:right w:val="single" w:sz="4" w:space="0" w:color="auto"/>
            </w:tcBorders>
            <w:shd w:val="clear" w:color="000000" w:fill="FFFFFF"/>
            <w:vAlign w:val="center"/>
            <w:hideMark/>
          </w:tcPr>
          <w:p w14:paraId="431104F9"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BC195E">
              <w:rPr>
                <w:rFonts w:ascii="Times New Roman" w:eastAsia="Times New Roman" w:hAnsi="Times New Roman" w:cs="Times New Roman"/>
                <w:i/>
                <w:iCs/>
                <w:color w:val="1A1C1E"/>
                <w:kern w:val="0"/>
                <w:sz w:val="22"/>
                <w:szCs w:val="22"/>
                <w:lang w:eastAsia="en-IN"/>
                <w14:ligatures w14:val="none"/>
              </w:rPr>
              <w:t>0.8</w:t>
            </w:r>
          </w:p>
        </w:tc>
        <w:tc>
          <w:tcPr>
            <w:tcW w:w="1782" w:type="dxa"/>
            <w:tcBorders>
              <w:top w:val="nil"/>
              <w:left w:val="nil"/>
              <w:bottom w:val="single" w:sz="4" w:space="0" w:color="auto"/>
              <w:right w:val="single" w:sz="4" w:space="0" w:color="auto"/>
            </w:tcBorders>
            <w:shd w:val="clear" w:color="000000" w:fill="FFFFFF"/>
            <w:vAlign w:val="center"/>
            <w:hideMark/>
          </w:tcPr>
          <w:p w14:paraId="7EF89A79"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BC195E">
              <w:rPr>
                <w:rFonts w:ascii="Times New Roman" w:eastAsia="Times New Roman" w:hAnsi="Times New Roman" w:cs="Times New Roman"/>
                <w:i/>
                <w:iCs/>
                <w:color w:val="1A1C1E"/>
                <w:kern w:val="0"/>
                <w:sz w:val="22"/>
                <w:szCs w:val="22"/>
                <w:lang w:eastAsia="en-IN"/>
                <w14:ligatures w14:val="none"/>
              </w:rPr>
              <w:t>0.4</w:t>
            </w:r>
          </w:p>
        </w:tc>
      </w:tr>
      <w:tr w:rsidR="00BC195E" w:rsidRPr="00BC195E" w14:paraId="5C3E41EC" w14:textId="77777777" w:rsidTr="00BC195E">
        <w:trPr>
          <w:trHeight w:val="20"/>
        </w:trPr>
        <w:tc>
          <w:tcPr>
            <w:tcW w:w="2254" w:type="dxa"/>
            <w:tcBorders>
              <w:top w:val="nil"/>
              <w:left w:val="single" w:sz="4" w:space="0" w:color="auto"/>
              <w:bottom w:val="single" w:sz="4" w:space="0" w:color="auto"/>
              <w:right w:val="single" w:sz="4" w:space="0" w:color="auto"/>
            </w:tcBorders>
            <w:shd w:val="clear" w:color="000000" w:fill="FFFFFF"/>
            <w:vAlign w:val="center"/>
            <w:hideMark/>
          </w:tcPr>
          <w:p w14:paraId="3293DA33"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Bombay</w:t>
            </w:r>
          </w:p>
        </w:tc>
        <w:tc>
          <w:tcPr>
            <w:tcW w:w="2767" w:type="dxa"/>
            <w:tcBorders>
              <w:top w:val="nil"/>
              <w:left w:val="nil"/>
              <w:bottom w:val="single" w:sz="4" w:space="0" w:color="auto"/>
              <w:right w:val="single" w:sz="4" w:space="0" w:color="auto"/>
            </w:tcBorders>
            <w:shd w:val="clear" w:color="000000" w:fill="FFFFFF"/>
            <w:vAlign w:val="center"/>
            <w:hideMark/>
          </w:tcPr>
          <w:p w14:paraId="6D26989D"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1653</w:t>
            </w:r>
          </w:p>
        </w:tc>
        <w:tc>
          <w:tcPr>
            <w:tcW w:w="2475" w:type="dxa"/>
            <w:tcBorders>
              <w:top w:val="nil"/>
              <w:left w:val="nil"/>
              <w:bottom w:val="single" w:sz="4" w:space="0" w:color="auto"/>
              <w:right w:val="single" w:sz="4" w:space="0" w:color="auto"/>
            </w:tcBorders>
            <w:shd w:val="clear" w:color="000000" w:fill="FFFFFF"/>
            <w:vAlign w:val="center"/>
            <w:hideMark/>
          </w:tcPr>
          <w:p w14:paraId="7CB9A0D0"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446</w:t>
            </w:r>
          </w:p>
        </w:tc>
        <w:tc>
          <w:tcPr>
            <w:tcW w:w="1490" w:type="dxa"/>
            <w:tcBorders>
              <w:top w:val="nil"/>
              <w:left w:val="nil"/>
              <w:bottom w:val="single" w:sz="4" w:space="0" w:color="auto"/>
              <w:right w:val="single" w:sz="4" w:space="0" w:color="auto"/>
            </w:tcBorders>
            <w:shd w:val="clear" w:color="000000" w:fill="FFFFFF"/>
            <w:vAlign w:val="center"/>
            <w:hideMark/>
          </w:tcPr>
          <w:p w14:paraId="785B4D69"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912</w:t>
            </w:r>
          </w:p>
        </w:tc>
        <w:tc>
          <w:tcPr>
            <w:tcW w:w="1492" w:type="dxa"/>
            <w:tcBorders>
              <w:top w:val="nil"/>
              <w:left w:val="nil"/>
              <w:bottom w:val="single" w:sz="4" w:space="0" w:color="auto"/>
              <w:right w:val="single" w:sz="4" w:space="0" w:color="auto"/>
            </w:tcBorders>
            <w:shd w:val="clear" w:color="000000" w:fill="FFFFFF"/>
            <w:vAlign w:val="center"/>
            <w:hideMark/>
          </w:tcPr>
          <w:p w14:paraId="61B5AD1A"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2158</w:t>
            </w:r>
          </w:p>
        </w:tc>
        <w:tc>
          <w:tcPr>
            <w:tcW w:w="2093" w:type="dxa"/>
            <w:tcBorders>
              <w:top w:val="nil"/>
              <w:left w:val="nil"/>
              <w:bottom w:val="single" w:sz="4" w:space="0" w:color="auto"/>
              <w:right w:val="single" w:sz="4" w:space="0" w:color="auto"/>
            </w:tcBorders>
            <w:shd w:val="clear" w:color="000000" w:fill="FFFFFF"/>
            <w:vAlign w:val="center"/>
            <w:hideMark/>
          </w:tcPr>
          <w:p w14:paraId="11BEB74F"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1249</w:t>
            </w:r>
          </w:p>
        </w:tc>
        <w:tc>
          <w:tcPr>
            <w:tcW w:w="1782" w:type="dxa"/>
            <w:tcBorders>
              <w:top w:val="nil"/>
              <w:left w:val="nil"/>
              <w:bottom w:val="single" w:sz="4" w:space="0" w:color="auto"/>
              <w:right w:val="single" w:sz="4" w:space="0" w:color="auto"/>
            </w:tcBorders>
            <w:shd w:val="clear" w:color="000000" w:fill="FFFFFF"/>
            <w:vAlign w:val="center"/>
            <w:hideMark/>
          </w:tcPr>
          <w:p w14:paraId="5C8B04A6"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446</w:t>
            </w:r>
          </w:p>
        </w:tc>
      </w:tr>
      <w:tr w:rsidR="00BC195E" w:rsidRPr="00BC195E" w14:paraId="0DBEFC53" w14:textId="77777777" w:rsidTr="00BC195E">
        <w:trPr>
          <w:trHeight w:val="20"/>
        </w:trPr>
        <w:tc>
          <w:tcPr>
            <w:tcW w:w="2254" w:type="dxa"/>
            <w:tcBorders>
              <w:top w:val="nil"/>
              <w:left w:val="single" w:sz="4" w:space="0" w:color="auto"/>
              <w:bottom w:val="single" w:sz="4" w:space="0" w:color="auto"/>
              <w:right w:val="single" w:sz="4" w:space="0" w:color="auto"/>
            </w:tcBorders>
            <w:shd w:val="clear" w:color="000000" w:fill="FFFFFF"/>
            <w:vAlign w:val="center"/>
            <w:hideMark/>
          </w:tcPr>
          <w:p w14:paraId="5B73F0F8" w14:textId="283CCBCE"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p>
        </w:tc>
        <w:tc>
          <w:tcPr>
            <w:tcW w:w="2767" w:type="dxa"/>
            <w:tcBorders>
              <w:top w:val="nil"/>
              <w:left w:val="nil"/>
              <w:bottom w:val="single" w:sz="4" w:space="0" w:color="auto"/>
              <w:right w:val="single" w:sz="4" w:space="0" w:color="auto"/>
            </w:tcBorders>
            <w:shd w:val="clear" w:color="000000" w:fill="FFFFFF"/>
            <w:vAlign w:val="center"/>
            <w:hideMark/>
          </w:tcPr>
          <w:p w14:paraId="09F04C10"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BC195E">
              <w:rPr>
                <w:rFonts w:ascii="Times New Roman" w:eastAsia="Times New Roman" w:hAnsi="Times New Roman" w:cs="Times New Roman"/>
                <w:i/>
                <w:iCs/>
                <w:color w:val="1A1C1E"/>
                <w:kern w:val="0"/>
                <w:sz w:val="22"/>
                <w:szCs w:val="22"/>
                <w:lang w:eastAsia="en-IN"/>
                <w14:ligatures w14:val="none"/>
              </w:rPr>
              <w:t>4.6</w:t>
            </w:r>
          </w:p>
        </w:tc>
        <w:tc>
          <w:tcPr>
            <w:tcW w:w="2475" w:type="dxa"/>
            <w:tcBorders>
              <w:top w:val="nil"/>
              <w:left w:val="nil"/>
              <w:bottom w:val="single" w:sz="4" w:space="0" w:color="auto"/>
              <w:right w:val="single" w:sz="4" w:space="0" w:color="auto"/>
            </w:tcBorders>
            <w:shd w:val="clear" w:color="000000" w:fill="FFFFFF"/>
            <w:vAlign w:val="center"/>
            <w:hideMark/>
          </w:tcPr>
          <w:p w14:paraId="62A2BFDA"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BC195E">
              <w:rPr>
                <w:rFonts w:ascii="Times New Roman" w:eastAsia="Times New Roman" w:hAnsi="Times New Roman" w:cs="Times New Roman"/>
                <w:i/>
                <w:iCs/>
                <w:color w:val="1A1C1E"/>
                <w:kern w:val="0"/>
                <w:sz w:val="22"/>
                <w:szCs w:val="22"/>
                <w:lang w:eastAsia="en-IN"/>
                <w14:ligatures w14:val="none"/>
              </w:rPr>
              <w:t>1.2</w:t>
            </w:r>
          </w:p>
        </w:tc>
        <w:tc>
          <w:tcPr>
            <w:tcW w:w="1490" w:type="dxa"/>
            <w:tcBorders>
              <w:top w:val="nil"/>
              <w:left w:val="nil"/>
              <w:bottom w:val="single" w:sz="4" w:space="0" w:color="auto"/>
              <w:right w:val="single" w:sz="4" w:space="0" w:color="auto"/>
            </w:tcBorders>
            <w:shd w:val="clear" w:color="000000" w:fill="FFFFFF"/>
            <w:vAlign w:val="center"/>
            <w:hideMark/>
          </w:tcPr>
          <w:p w14:paraId="18A6F753"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BC195E">
              <w:rPr>
                <w:rFonts w:ascii="Times New Roman" w:eastAsia="Times New Roman" w:hAnsi="Times New Roman" w:cs="Times New Roman"/>
                <w:i/>
                <w:iCs/>
                <w:color w:val="1A1C1E"/>
                <w:kern w:val="0"/>
                <w:sz w:val="22"/>
                <w:szCs w:val="22"/>
                <w:lang w:eastAsia="en-IN"/>
                <w14:ligatures w14:val="none"/>
              </w:rPr>
              <w:t>2.5</w:t>
            </w:r>
          </w:p>
        </w:tc>
        <w:tc>
          <w:tcPr>
            <w:tcW w:w="1492" w:type="dxa"/>
            <w:tcBorders>
              <w:top w:val="nil"/>
              <w:left w:val="nil"/>
              <w:bottom w:val="single" w:sz="4" w:space="0" w:color="auto"/>
              <w:right w:val="single" w:sz="4" w:space="0" w:color="auto"/>
            </w:tcBorders>
            <w:shd w:val="clear" w:color="000000" w:fill="FFFFFF"/>
            <w:vAlign w:val="center"/>
            <w:hideMark/>
          </w:tcPr>
          <w:p w14:paraId="586AD88F" w14:textId="1FD449CE" w:rsidR="00BC195E" w:rsidRPr="00BC195E" w:rsidRDefault="00BC195E" w:rsidP="00BC195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BC195E">
              <w:rPr>
                <w:rFonts w:ascii="Times New Roman" w:eastAsia="Times New Roman" w:hAnsi="Times New Roman" w:cs="Times New Roman"/>
                <w:i/>
                <w:iCs/>
                <w:color w:val="1A1C1E"/>
                <w:kern w:val="0"/>
                <w:sz w:val="22"/>
                <w:szCs w:val="22"/>
                <w:lang w:eastAsia="en-IN"/>
                <w14:ligatures w14:val="none"/>
              </w:rPr>
              <w:t>6</w:t>
            </w:r>
            <w:r w:rsidR="00FD66C9">
              <w:rPr>
                <w:rFonts w:ascii="Times New Roman" w:eastAsia="Times New Roman" w:hAnsi="Times New Roman" w:cs="Times New Roman"/>
                <w:i/>
                <w:iCs/>
                <w:color w:val="1A1C1E"/>
                <w:kern w:val="0"/>
                <w:sz w:val="22"/>
                <w:szCs w:val="22"/>
                <w:lang w:eastAsia="en-IN"/>
                <w14:ligatures w14:val="none"/>
              </w:rPr>
              <w:t>.0</w:t>
            </w:r>
          </w:p>
        </w:tc>
        <w:tc>
          <w:tcPr>
            <w:tcW w:w="2093" w:type="dxa"/>
            <w:tcBorders>
              <w:top w:val="nil"/>
              <w:left w:val="nil"/>
              <w:bottom w:val="single" w:sz="4" w:space="0" w:color="auto"/>
              <w:right w:val="single" w:sz="4" w:space="0" w:color="auto"/>
            </w:tcBorders>
            <w:shd w:val="clear" w:color="000000" w:fill="FFFFFF"/>
            <w:vAlign w:val="center"/>
            <w:hideMark/>
          </w:tcPr>
          <w:p w14:paraId="1602C2A3"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BC195E">
              <w:rPr>
                <w:rFonts w:ascii="Times New Roman" w:eastAsia="Times New Roman" w:hAnsi="Times New Roman" w:cs="Times New Roman"/>
                <w:i/>
                <w:iCs/>
                <w:color w:val="1A1C1E"/>
                <w:kern w:val="0"/>
                <w:sz w:val="22"/>
                <w:szCs w:val="22"/>
                <w:lang w:eastAsia="en-IN"/>
                <w14:ligatures w14:val="none"/>
              </w:rPr>
              <w:t>3.5</w:t>
            </w:r>
          </w:p>
        </w:tc>
        <w:tc>
          <w:tcPr>
            <w:tcW w:w="1782" w:type="dxa"/>
            <w:tcBorders>
              <w:top w:val="nil"/>
              <w:left w:val="nil"/>
              <w:bottom w:val="single" w:sz="4" w:space="0" w:color="auto"/>
              <w:right w:val="single" w:sz="4" w:space="0" w:color="auto"/>
            </w:tcBorders>
            <w:shd w:val="clear" w:color="000000" w:fill="FFFFFF"/>
            <w:vAlign w:val="center"/>
            <w:hideMark/>
          </w:tcPr>
          <w:p w14:paraId="02F1B525"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BC195E">
              <w:rPr>
                <w:rFonts w:ascii="Times New Roman" w:eastAsia="Times New Roman" w:hAnsi="Times New Roman" w:cs="Times New Roman"/>
                <w:i/>
                <w:iCs/>
                <w:color w:val="1A1C1E"/>
                <w:kern w:val="0"/>
                <w:sz w:val="22"/>
                <w:szCs w:val="22"/>
                <w:lang w:eastAsia="en-IN"/>
                <w14:ligatures w14:val="none"/>
              </w:rPr>
              <w:t>1.2</w:t>
            </w:r>
          </w:p>
        </w:tc>
      </w:tr>
      <w:tr w:rsidR="00BC195E" w:rsidRPr="00BC195E" w14:paraId="37E32FB6" w14:textId="77777777" w:rsidTr="00BC195E">
        <w:trPr>
          <w:trHeight w:val="20"/>
        </w:trPr>
        <w:tc>
          <w:tcPr>
            <w:tcW w:w="2254" w:type="dxa"/>
            <w:tcBorders>
              <w:top w:val="nil"/>
              <w:left w:val="single" w:sz="4" w:space="0" w:color="auto"/>
              <w:bottom w:val="single" w:sz="4" w:space="0" w:color="auto"/>
              <w:right w:val="single" w:sz="4" w:space="0" w:color="auto"/>
            </w:tcBorders>
            <w:shd w:val="clear" w:color="000000" w:fill="FFFFFF"/>
            <w:vAlign w:val="center"/>
            <w:hideMark/>
          </w:tcPr>
          <w:p w14:paraId="72E2B240"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Madhya Pradesh</w:t>
            </w:r>
          </w:p>
        </w:tc>
        <w:tc>
          <w:tcPr>
            <w:tcW w:w="2767" w:type="dxa"/>
            <w:tcBorders>
              <w:top w:val="nil"/>
              <w:left w:val="nil"/>
              <w:bottom w:val="single" w:sz="4" w:space="0" w:color="auto"/>
              <w:right w:val="single" w:sz="4" w:space="0" w:color="auto"/>
            </w:tcBorders>
            <w:shd w:val="clear" w:color="000000" w:fill="FFFFFF"/>
            <w:vAlign w:val="center"/>
            <w:hideMark/>
          </w:tcPr>
          <w:p w14:paraId="7DDD37A2"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483</w:t>
            </w:r>
          </w:p>
        </w:tc>
        <w:tc>
          <w:tcPr>
            <w:tcW w:w="2475" w:type="dxa"/>
            <w:tcBorders>
              <w:top w:val="nil"/>
              <w:left w:val="nil"/>
              <w:bottom w:val="single" w:sz="4" w:space="0" w:color="auto"/>
              <w:right w:val="single" w:sz="4" w:space="0" w:color="auto"/>
            </w:tcBorders>
            <w:shd w:val="clear" w:color="000000" w:fill="FFFFFF"/>
            <w:vAlign w:val="center"/>
            <w:hideMark/>
          </w:tcPr>
          <w:p w14:paraId="2AAC41C1"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160</w:t>
            </w:r>
          </w:p>
        </w:tc>
        <w:tc>
          <w:tcPr>
            <w:tcW w:w="1490" w:type="dxa"/>
            <w:tcBorders>
              <w:top w:val="nil"/>
              <w:left w:val="nil"/>
              <w:bottom w:val="single" w:sz="4" w:space="0" w:color="auto"/>
              <w:right w:val="single" w:sz="4" w:space="0" w:color="auto"/>
            </w:tcBorders>
            <w:shd w:val="clear" w:color="000000" w:fill="FFFFFF"/>
            <w:vAlign w:val="center"/>
            <w:hideMark/>
          </w:tcPr>
          <w:p w14:paraId="2D63655A"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252</w:t>
            </w:r>
          </w:p>
        </w:tc>
        <w:tc>
          <w:tcPr>
            <w:tcW w:w="1492" w:type="dxa"/>
            <w:tcBorders>
              <w:top w:val="nil"/>
              <w:left w:val="nil"/>
              <w:bottom w:val="single" w:sz="4" w:space="0" w:color="auto"/>
              <w:right w:val="single" w:sz="4" w:space="0" w:color="auto"/>
            </w:tcBorders>
            <w:shd w:val="clear" w:color="000000" w:fill="FFFFFF"/>
            <w:vAlign w:val="center"/>
            <w:hideMark/>
          </w:tcPr>
          <w:p w14:paraId="5933F82C"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453</w:t>
            </w:r>
          </w:p>
        </w:tc>
        <w:tc>
          <w:tcPr>
            <w:tcW w:w="2093" w:type="dxa"/>
            <w:tcBorders>
              <w:top w:val="nil"/>
              <w:left w:val="nil"/>
              <w:bottom w:val="single" w:sz="4" w:space="0" w:color="auto"/>
              <w:right w:val="single" w:sz="4" w:space="0" w:color="auto"/>
            </w:tcBorders>
            <w:shd w:val="clear" w:color="000000" w:fill="FFFFFF"/>
            <w:vAlign w:val="center"/>
            <w:hideMark/>
          </w:tcPr>
          <w:p w14:paraId="39C49EF4"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252</w:t>
            </w:r>
          </w:p>
        </w:tc>
        <w:tc>
          <w:tcPr>
            <w:tcW w:w="1782" w:type="dxa"/>
            <w:tcBorders>
              <w:top w:val="nil"/>
              <w:left w:val="nil"/>
              <w:bottom w:val="single" w:sz="4" w:space="0" w:color="auto"/>
              <w:right w:val="single" w:sz="4" w:space="0" w:color="auto"/>
            </w:tcBorders>
            <w:shd w:val="clear" w:color="000000" w:fill="FFFFFF"/>
            <w:vAlign w:val="center"/>
            <w:hideMark/>
          </w:tcPr>
          <w:p w14:paraId="4712D0DB"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69</w:t>
            </w:r>
          </w:p>
        </w:tc>
      </w:tr>
      <w:tr w:rsidR="00BC195E" w:rsidRPr="00BC195E" w14:paraId="75EB271C" w14:textId="77777777" w:rsidTr="00BC195E">
        <w:trPr>
          <w:trHeight w:val="20"/>
        </w:trPr>
        <w:tc>
          <w:tcPr>
            <w:tcW w:w="2254" w:type="dxa"/>
            <w:tcBorders>
              <w:top w:val="nil"/>
              <w:left w:val="single" w:sz="4" w:space="0" w:color="auto"/>
              <w:bottom w:val="single" w:sz="4" w:space="0" w:color="auto"/>
              <w:right w:val="single" w:sz="4" w:space="0" w:color="auto"/>
            </w:tcBorders>
            <w:shd w:val="clear" w:color="000000" w:fill="FFFFFF"/>
            <w:vAlign w:val="center"/>
            <w:hideMark/>
          </w:tcPr>
          <w:p w14:paraId="21AA1DE7" w14:textId="3F636C49"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p>
        </w:tc>
        <w:tc>
          <w:tcPr>
            <w:tcW w:w="2767" w:type="dxa"/>
            <w:tcBorders>
              <w:top w:val="nil"/>
              <w:left w:val="nil"/>
              <w:bottom w:val="single" w:sz="4" w:space="0" w:color="auto"/>
              <w:right w:val="single" w:sz="4" w:space="0" w:color="auto"/>
            </w:tcBorders>
            <w:shd w:val="clear" w:color="000000" w:fill="FFFFFF"/>
            <w:vAlign w:val="center"/>
            <w:hideMark/>
          </w:tcPr>
          <w:p w14:paraId="1649F705"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BC195E">
              <w:rPr>
                <w:rFonts w:ascii="Times New Roman" w:eastAsia="Times New Roman" w:hAnsi="Times New Roman" w:cs="Times New Roman"/>
                <w:i/>
                <w:iCs/>
                <w:color w:val="1A1C1E"/>
                <w:kern w:val="0"/>
                <w:sz w:val="22"/>
                <w:szCs w:val="22"/>
                <w:lang w:eastAsia="en-IN"/>
                <w14:ligatures w14:val="none"/>
              </w:rPr>
              <w:t>2.3</w:t>
            </w:r>
          </w:p>
        </w:tc>
        <w:tc>
          <w:tcPr>
            <w:tcW w:w="2475" w:type="dxa"/>
            <w:tcBorders>
              <w:top w:val="nil"/>
              <w:left w:val="nil"/>
              <w:bottom w:val="single" w:sz="4" w:space="0" w:color="auto"/>
              <w:right w:val="single" w:sz="4" w:space="0" w:color="auto"/>
            </w:tcBorders>
            <w:shd w:val="clear" w:color="000000" w:fill="FFFFFF"/>
            <w:vAlign w:val="center"/>
            <w:hideMark/>
          </w:tcPr>
          <w:p w14:paraId="2E9634F6"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BC195E">
              <w:rPr>
                <w:rFonts w:ascii="Times New Roman" w:eastAsia="Times New Roman" w:hAnsi="Times New Roman" w:cs="Times New Roman"/>
                <w:i/>
                <w:iCs/>
                <w:color w:val="1A1C1E"/>
                <w:kern w:val="0"/>
                <w:sz w:val="22"/>
                <w:szCs w:val="22"/>
                <w:lang w:eastAsia="en-IN"/>
                <w14:ligatures w14:val="none"/>
              </w:rPr>
              <w:t>0.8</w:t>
            </w:r>
          </w:p>
        </w:tc>
        <w:tc>
          <w:tcPr>
            <w:tcW w:w="1490" w:type="dxa"/>
            <w:tcBorders>
              <w:top w:val="nil"/>
              <w:left w:val="nil"/>
              <w:bottom w:val="single" w:sz="4" w:space="0" w:color="auto"/>
              <w:right w:val="single" w:sz="4" w:space="0" w:color="auto"/>
            </w:tcBorders>
            <w:shd w:val="clear" w:color="000000" w:fill="FFFFFF"/>
            <w:vAlign w:val="center"/>
            <w:hideMark/>
          </w:tcPr>
          <w:p w14:paraId="537A9968"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BC195E">
              <w:rPr>
                <w:rFonts w:ascii="Times New Roman" w:eastAsia="Times New Roman" w:hAnsi="Times New Roman" w:cs="Times New Roman"/>
                <w:i/>
                <w:iCs/>
                <w:color w:val="1A1C1E"/>
                <w:kern w:val="0"/>
                <w:sz w:val="22"/>
                <w:szCs w:val="22"/>
                <w:lang w:eastAsia="en-IN"/>
                <w14:ligatures w14:val="none"/>
              </w:rPr>
              <w:t>1.2</w:t>
            </w:r>
          </w:p>
        </w:tc>
        <w:tc>
          <w:tcPr>
            <w:tcW w:w="1492" w:type="dxa"/>
            <w:tcBorders>
              <w:top w:val="nil"/>
              <w:left w:val="nil"/>
              <w:bottom w:val="single" w:sz="4" w:space="0" w:color="auto"/>
              <w:right w:val="single" w:sz="4" w:space="0" w:color="auto"/>
            </w:tcBorders>
            <w:shd w:val="clear" w:color="000000" w:fill="FFFFFF"/>
            <w:vAlign w:val="center"/>
            <w:hideMark/>
          </w:tcPr>
          <w:p w14:paraId="215C1508"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BC195E">
              <w:rPr>
                <w:rFonts w:ascii="Times New Roman" w:eastAsia="Times New Roman" w:hAnsi="Times New Roman" w:cs="Times New Roman"/>
                <w:i/>
                <w:iCs/>
                <w:color w:val="1A1C1E"/>
                <w:kern w:val="0"/>
                <w:sz w:val="22"/>
                <w:szCs w:val="22"/>
                <w:lang w:eastAsia="en-IN"/>
                <w14:ligatures w14:val="none"/>
              </w:rPr>
              <w:t>2.1</w:t>
            </w:r>
          </w:p>
        </w:tc>
        <w:tc>
          <w:tcPr>
            <w:tcW w:w="2093" w:type="dxa"/>
            <w:tcBorders>
              <w:top w:val="nil"/>
              <w:left w:val="nil"/>
              <w:bottom w:val="single" w:sz="4" w:space="0" w:color="auto"/>
              <w:right w:val="single" w:sz="4" w:space="0" w:color="auto"/>
            </w:tcBorders>
            <w:shd w:val="clear" w:color="000000" w:fill="FFFFFF"/>
            <w:vAlign w:val="center"/>
            <w:hideMark/>
          </w:tcPr>
          <w:p w14:paraId="649F9D1C"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BC195E">
              <w:rPr>
                <w:rFonts w:ascii="Times New Roman" w:eastAsia="Times New Roman" w:hAnsi="Times New Roman" w:cs="Times New Roman"/>
                <w:i/>
                <w:iCs/>
                <w:color w:val="1A1C1E"/>
                <w:kern w:val="0"/>
                <w:sz w:val="22"/>
                <w:szCs w:val="22"/>
                <w:lang w:eastAsia="en-IN"/>
                <w14:ligatures w14:val="none"/>
              </w:rPr>
              <w:t>1.2</w:t>
            </w:r>
          </w:p>
        </w:tc>
        <w:tc>
          <w:tcPr>
            <w:tcW w:w="1782" w:type="dxa"/>
            <w:tcBorders>
              <w:top w:val="nil"/>
              <w:left w:val="nil"/>
              <w:bottom w:val="single" w:sz="4" w:space="0" w:color="auto"/>
              <w:right w:val="single" w:sz="4" w:space="0" w:color="auto"/>
            </w:tcBorders>
            <w:shd w:val="clear" w:color="000000" w:fill="FFFFFF"/>
            <w:vAlign w:val="center"/>
            <w:hideMark/>
          </w:tcPr>
          <w:p w14:paraId="5A5B26C5"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BC195E">
              <w:rPr>
                <w:rFonts w:ascii="Times New Roman" w:eastAsia="Times New Roman" w:hAnsi="Times New Roman" w:cs="Times New Roman"/>
                <w:i/>
                <w:iCs/>
                <w:color w:val="1A1C1E"/>
                <w:kern w:val="0"/>
                <w:sz w:val="22"/>
                <w:szCs w:val="22"/>
                <w:lang w:eastAsia="en-IN"/>
                <w14:ligatures w14:val="none"/>
              </w:rPr>
              <w:t>0.2</w:t>
            </w:r>
          </w:p>
        </w:tc>
      </w:tr>
      <w:tr w:rsidR="00BC195E" w:rsidRPr="00BC195E" w14:paraId="5E182C1F" w14:textId="77777777" w:rsidTr="00BC195E">
        <w:trPr>
          <w:trHeight w:val="20"/>
        </w:trPr>
        <w:tc>
          <w:tcPr>
            <w:tcW w:w="2254" w:type="dxa"/>
            <w:tcBorders>
              <w:top w:val="nil"/>
              <w:left w:val="single" w:sz="4" w:space="0" w:color="auto"/>
              <w:bottom w:val="single" w:sz="4" w:space="0" w:color="auto"/>
              <w:right w:val="single" w:sz="4" w:space="0" w:color="auto"/>
            </w:tcBorders>
            <w:shd w:val="clear" w:color="000000" w:fill="FFFFFF"/>
            <w:vAlign w:val="center"/>
            <w:hideMark/>
          </w:tcPr>
          <w:p w14:paraId="59484B51"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Madras</w:t>
            </w:r>
          </w:p>
        </w:tc>
        <w:tc>
          <w:tcPr>
            <w:tcW w:w="2767" w:type="dxa"/>
            <w:tcBorders>
              <w:top w:val="nil"/>
              <w:left w:val="nil"/>
              <w:bottom w:val="single" w:sz="4" w:space="0" w:color="auto"/>
              <w:right w:val="single" w:sz="4" w:space="0" w:color="auto"/>
            </w:tcBorders>
            <w:shd w:val="clear" w:color="000000" w:fill="FFFFFF"/>
            <w:vAlign w:val="center"/>
            <w:hideMark/>
          </w:tcPr>
          <w:p w14:paraId="457E3CDD"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1640</w:t>
            </w:r>
          </w:p>
        </w:tc>
        <w:tc>
          <w:tcPr>
            <w:tcW w:w="2475" w:type="dxa"/>
            <w:tcBorders>
              <w:top w:val="nil"/>
              <w:left w:val="nil"/>
              <w:bottom w:val="single" w:sz="4" w:space="0" w:color="auto"/>
              <w:right w:val="single" w:sz="4" w:space="0" w:color="auto"/>
            </w:tcBorders>
            <w:shd w:val="clear" w:color="000000" w:fill="FFFFFF"/>
            <w:vAlign w:val="center"/>
            <w:hideMark/>
          </w:tcPr>
          <w:p w14:paraId="16F1CD58"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655</w:t>
            </w:r>
          </w:p>
        </w:tc>
        <w:tc>
          <w:tcPr>
            <w:tcW w:w="1490" w:type="dxa"/>
            <w:tcBorders>
              <w:top w:val="nil"/>
              <w:left w:val="nil"/>
              <w:bottom w:val="single" w:sz="4" w:space="0" w:color="auto"/>
              <w:right w:val="single" w:sz="4" w:space="0" w:color="auto"/>
            </w:tcBorders>
            <w:shd w:val="clear" w:color="000000" w:fill="FFFFFF"/>
            <w:vAlign w:val="center"/>
            <w:hideMark/>
          </w:tcPr>
          <w:p w14:paraId="555F6164"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699</w:t>
            </w:r>
          </w:p>
        </w:tc>
        <w:tc>
          <w:tcPr>
            <w:tcW w:w="1492" w:type="dxa"/>
            <w:tcBorders>
              <w:top w:val="nil"/>
              <w:left w:val="nil"/>
              <w:bottom w:val="single" w:sz="4" w:space="0" w:color="auto"/>
              <w:right w:val="single" w:sz="4" w:space="0" w:color="auto"/>
            </w:tcBorders>
            <w:shd w:val="clear" w:color="000000" w:fill="FFFFFF"/>
            <w:vAlign w:val="center"/>
            <w:hideMark/>
          </w:tcPr>
          <w:p w14:paraId="47280A8D"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1872</w:t>
            </w:r>
          </w:p>
        </w:tc>
        <w:tc>
          <w:tcPr>
            <w:tcW w:w="2093" w:type="dxa"/>
            <w:tcBorders>
              <w:top w:val="nil"/>
              <w:left w:val="nil"/>
              <w:bottom w:val="single" w:sz="4" w:space="0" w:color="auto"/>
              <w:right w:val="single" w:sz="4" w:space="0" w:color="auto"/>
            </w:tcBorders>
            <w:shd w:val="clear" w:color="000000" w:fill="FFFFFF"/>
            <w:vAlign w:val="center"/>
            <w:hideMark/>
          </w:tcPr>
          <w:p w14:paraId="6629992A"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1043</w:t>
            </w:r>
          </w:p>
        </w:tc>
        <w:tc>
          <w:tcPr>
            <w:tcW w:w="1782" w:type="dxa"/>
            <w:tcBorders>
              <w:top w:val="nil"/>
              <w:left w:val="nil"/>
              <w:bottom w:val="single" w:sz="4" w:space="0" w:color="auto"/>
              <w:right w:val="single" w:sz="4" w:space="0" w:color="auto"/>
            </w:tcBorders>
            <w:shd w:val="clear" w:color="000000" w:fill="FFFFFF"/>
            <w:vAlign w:val="center"/>
            <w:hideMark/>
          </w:tcPr>
          <w:p w14:paraId="64E5C735"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419</w:t>
            </w:r>
          </w:p>
        </w:tc>
      </w:tr>
      <w:tr w:rsidR="00BC195E" w:rsidRPr="00BC195E" w14:paraId="7EDFB1F2" w14:textId="77777777" w:rsidTr="00BC195E">
        <w:trPr>
          <w:trHeight w:val="20"/>
        </w:trPr>
        <w:tc>
          <w:tcPr>
            <w:tcW w:w="2254" w:type="dxa"/>
            <w:tcBorders>
              <w:top w:val="nil"/>
              <w:left w:val="single" w:sz="4" w:space="0" w:color="auto"/>
              <w:bottom w:val="single" w:sz="4" w:space="0" w:color="auto"/>
              <w:right w:val="single" w:sz="4" w:space="0" w:color="auto"/>
            </w:tcBorders>
            <w:shd w:val="clear" w:color="000000" w:fill="FFFFFF"/>
            <w:vAlign w:val="center"/>
            <w:hideMark/>
          </w:tcPr>
          <w:p w14:paraId="6061825E" w14:textId="643E0D2D"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p>
        </w:tc>
        <w:tc>
          <w:tcPr>
            <w:tcW w:w="2767" w:type="dxa"/>
            <w:tcBorders>
              <w:top w:val="nil"/>
              <w:left w:val="nil"/>
              <w:bottom w:val="single" w:sz="4" w:space="0" w:color="auto"/>
              <w:right w:val="single" w:sz="4" w:space="0" w:color="auto"/>
            </w:tcBorders>
            <w:shd w:val="clear" w:color="000000" w:fill="FFFFFF"/>
            <w:vAlign w:val="center"/>
            <w:hideMark/>
          </w:tcPr>
          <w:p w14:paraId="17D33993"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BC195E">
              <w:rPr>
                <w:rFonts w:ascii="Times New Roman" w:eastAsia="Times New Roman" w:hAnsi="Times New Roman" w:cs="Times New Roman"/>
                <w:i/>
                <w:iCs/>
                <w:color w:val="1A1C1E"/>
                <w:kern w:val="0"/>
                <w:sz w:val="22"/>
                <w:szCs w:val="22"/>
                <w:lang w:eastAsia="en-IN"/>
                <w14:ligatures w14:val="none"/>
              </w:rPr>
              <w:t>2.9</w:t>
            </w:r>
          </w:p>
        </w:tc>
        <w:tc>
          <w:tcPr>
            <w:tcW w:w="2475" w:type="dxa"/>
            <w:tcBorders>
              <w:top w:val="nil"/>
              <w:left w:val="nil"/>
              <w:bottom w:val="single" w:sz="4" w:space="0" w:color="auto"/>
              <w:right w:val="single" w:sz="4" w:space="0" w:color="auto"/>
            </w:tcBorders>
            <w:shd w:val="clear" w:color="000000" w:fill="FFFFFF"/>
            <w:vAlign w:val="center"/>
            <w:hideMark/>
          </w:tcPr>
          <w:p w14:paraId="1D5485AF"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BC195E">
              <w:rPr>
                <w:rFonts w:ascii="Times New Roman" w:eastAsia="Times New Roman" w:hAnsi="Times New Roman" w:cs="Times New Roman"/>
                <w:i/>
                <w:iCs/>
                <w:color w:val="1A1C1E"/>
                <w:kern w:val="0"/>
                <w:sz w:val="22"/>
                <w:szCs w:val="22"/>
                <w:lang w:eastAsia="en-IN"/>
                <w14:ligatures w14:val="none"/>
              </w:rPr>
              <w:t>1.1</w:t>
            </w:r>
          </w:p>
        </w:tc>
        <w:tc>
          <w:tcPr>
            <w:tcW w:w="1490" w:type="dxa"/>
            <w:tcBorders>
              <w:top w:val="nil"/>
              <w:left w:val="nil"/>
              <w:bottom w:val="single" w:sz="4" w:space="0" w:color="auto"/>
              <w:right w:val="single" w:sz="4" w:space="0" w:color="auto"/>
            </w:tcBorders>
            <w:shd w:val="clear" w:color="000000" w:fill="FFFFFF"/>
            <w:vAlign w:val="center"/>
            <w:hideMark/>
          </w:tcPr>
          <w:p w14:paraId="4E9956C7"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BC195E">
              <w:rPr>
                <w:rFonts w:ascii="Times New Roman" w:eastAsia="Times New Roman" w:hAnsi="Times New Roman" w:cs="Times New Roman"/>
                <w:i/>
                <w:iCs/>
                <w:color w:val="1A1C1E"/>
                <w:kern w:val="0"/>
                <w:sz w:val="22"/>
                <w:szCs w:val="22"/>
                <w:lang w:eastAsia="en-IN"/>
                <w14:ligatures w14:val="none"/>
              </w:rPr>
              <w:t>1.2</w:t>
            </w:r>
          </w:p>
        </w:tc>
        <w:tc>
          <w:tcPr>
            <w:tcW w:w="1492" w:type="dxa"/>
            <w:tcBorders>
              <w:top w:val="nil"/>
              <w:left w:val="nil"/>
              <w:bottom w:val="single" w:sz="4" w:space="0" w:color="auto"/>
              <w:right w:val="single" w:sz="4" w:space="0" w:color="auto"/>
            </w:tcBorders>
            <w:shd w:val="clear" w:color="000000" w:fill="FFFFFF"/>
            <w:vAlign w:val="center"/>
            <w:hideMark/>
          </w:tcPr>
          <w:p w14:paraId="6BA2DFB7"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BC195E">
              <w:rPr>
                <w:rFonts w:ascii="Times New Roman" w:eastAsia="Times New Roman" w:hAnsi="Times New Roman" w:cs="Times New Roman"/>
                <w:i/>
                <w:iCs/>
                <w:color w:val="1A1C1E"/>
                <w:kern w:val="0"/>
                <w:sz w:val="22"/>
                <w:szCs w:val="22"/>
                <w:lang w:eastAsia="en-IN"/>
                <w14:ligatures w14:val="none"/>
              </w:rPr>
              <w:t>3.3</w:t>
            </w:r>
          </w:p>
        </w:tc>
        <w:tc>
          <w:tcPr>
            <w:tcW w:w="2093" w:type="dxa"/>
            <w:tcBorders>
              <w:top w:val="nil"/>
              <w:left w:val="nil"/>
              <w:bottom w:val="single" w:sz="4" w:space="0" w:color="auto"/>
              <w:right w:val="single" w:sz="4" w:space="0" w:color="auto"/>
            </w:tcBorders>
            <w:shd w:val="clear" w:color="000000" w:fill="FFFFFF"/>
            <w:vAlign w:val="center"/>
            <w:hideMark/>
          </w:tcPr>
          <w:p w14:paraId="626D5DFF"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BC195E">
              <w:rPr>
                <w:rFonts w:ascii="Times New Roman" w:eastAsia="Times New Roman" w:hAnsi="Times New Roman" w:cs="Times New Roman"/>
                <w:i/>
                <w:iCs/>
                <w:color w:val="1A1C1E"/>
                <w:kern w:val="0"/>
                <w:sz w:val="22"/>
                <w:szCs w:val="22"/>
                <w:lang w:eastAsia="en-IN"/>
                <w14:ligatures w14:val="none"/>
              </w:rPr>
              <w:t>1.8</w:t>
            </w:r>
          </w:p>
        </w:tc>
        <w:tc>
          <w:tcPr>
            <w:tcW w:w="1782" w:type="dxa"/>
            <w:tcBorders>
              <w:top w:val="nil"/>
              <w:left w:val="nil"/>
              <w:bottom w:val="single" w:sz="4" w:space="0" w:color="auto"/>
              <w:right w:val="single" w:sz="4" w:space="0" w:color="auto"/>
            </w:tcBorders>
            <w:shd w:val="clear" w:color="000000" w:fill="FFFFFF"/>
            <w:vAlign w:val="center"/>
            <w:hideMark/>
          </w:tcPr>
          <w:p w14:paraId="18BBFCD8"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BC195E">
              <w:rPr>
                <w:rFonts w:ascii="Times New Roman" w:eastAsia="Times New Roman" w:hAnsi="Times New Roman" w:cs="Times New Roman"/>
                <w:i/>
                <w:iCs/>
                <w:color w:val="1A1C1E"/>
                <w:kern w:val="0"/>
                <w:sz w:val="22"/>
                <w:szCs w:val="22"/>
                <w:lang w:eastAsia="en-IN"/>
                <w14:ligatures w14:val="none"/>
              </w:rPr>
              <w:t>0.7</w:t>
            </w:r>
          </w:p>
        </w:tc>
      </w:tr>
      <w:tr w:rsidR="00BC195E" w:rsidRPr="00BC195E" w14:paraId="729E6FE3" w14:textId="77777777" w:rsidTr="00BC195E">
        <w:trPr>
          <w:trHeight w:val="20"/>
        </w:trPr>
        <w:tc>
          <w:tcPr>
            <w:tcW w:w="2254" w:type="dxa"/>
            <w:tcBorders>
              <w:top w:val="nil"/>
              <w:left w:val="single" w:sz="4" w:space="0" w:color="auto"/>
              <w:bottom w:val="single" w:sz="4" w:space="0" w:color="auto"/>
              <w:right w:val="single" w:sz="4" w:space="0" w:color="auto"/>
            </w:tcBorders>
            <w:shd w:val="clear" w:color="000000" w:fill="FFFFFF"/>
            <w:vAlign w:val="center"/>
            <w:hideMark/>
          </w:tcPr>
          <w:p w14:paraId="66BA9C0E"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Orissa</w:t>
            </w:r>
          </w:p>
        </w:tc>
        <w:tc>
          <w:tcPr>
            <w:tcW w:w="2767" w:type="dxa"/>
            <w:tcBorders>
              <w:top w:val="nil"/>
              <w:left w:val="nil"/>
              <w:bottom w:val="single" w:sz="4" w:space="0" w:color="auto"/>
              <w:right w:val="single" w:sz="4" w:space="0" w:color="auto"/>
            </w:tcBorders>
            <w:shd w:val="clear" w:color="000000" w:fill="FFFFFF"/>
            <w:vAlign w:val="center"/>
            <w:hideMark/>
          </w:tcPr>
          <w:p w14:paraId="2001AAC4"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295</w:t>
            </w:r>
          </w:p>
        </w:tc>
        <w:tc>
          <w:tcPr>
            <w:tcW w:w="2475" w:type="dxa"/>
            <w:tcBorders>
              <w:top w:val="nil"/>
              <w:left w:val="nil"/>
              <w:bottom w:val="single" w:sz="4" w:space="0" w:color="auto"/>
              <w:right w:val="single" w:sz="4" w:space="0" w:color="auto"/>
            </w:tcBorders>
            <w:shd w:val="clear" w:color="000000" w:fill="FFFFFF"/>
            <w:vAlign w:val="center"/>
            <w:hideMark/>
          </w:tcPr>
          <w:p w14:paraId="7B00E755"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118</w:t>
            </w:r>
          </w:p>
        </w:tc>
        <w:tc>
          <w:tcPr>
            <w:tcW w:w="1490" w:type="dxa"/>
            <w:tcBorders>
              <w:top w:val="nil"/>
              <w:left w:val="nil"/>
              <w:bottom w:val="single" w:sz="4" w:space="0" w:color="auto"/>
              <w:right w:val="single" w:sz="4" w:space="0" w:color="auto"/>
            </w:tcBorders>
            <w:shd w:val="clear" w:color="000000" w:fill="FFFFFF"/>
            <w:vAlign w:val="center"/>
            <w:hideMark/>
          </w:tcPr>
          <w:p w14:paraId="6CB7A8AE"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136</w:t>
            </w:r>
          </w:p>
        </w:tc>
        <w:tc>
          <w:tcPr>
            <w:tcW w:w="1492" w:type="dxa"/>
            <w:tcBorders>
              <w:top w:val="nil"/>
              <w:left w:val="nil"/>
              <w:bottom w:val="single" w:sz="4" w:space="0" w:color="auto"/>
              <w:right w:val="single" w:sz="4" w:space="0" w:color="auto"/>
            </w:tcBorders>
            <w:shd w:val="clear" w:color="000000" w:fill="FFFFFF"/>
            <w:vAlign w:val="center"/>
            <w:hideMark/>
          </w:tcPr>
          <w:p w14:paraId="5CCEFE57"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299</w:t>
            </w:r>
          </w:p>
        </w:tc>
        <w:tc>
          <w:tcPr>
            <w:tcW w:w="2093" w:type="dxa"/>
            <w:tcBorders>
              <w:top w:val="nil"/>
              <w:left w:val="nil"/>
              <w:bottom w:val="single" w:sz="4" w:space="0" w:color="auto"/>
              <w:right w:val="single" w:sz="4" w:space="0" w:color="auto"/>
            </w:tcBorders>
            <w:shd w:val="clear" w:color="000000" w:fill="FFFFFF"/>
            <w:vAlign w:val="center"/>
            <w:hideMark/>
          </w:tcPr>
          <w:p w14:paraId="0C003570"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138</w:t>
            </w:r>
          </w:p>
        </w:tc>
        <w:tc>
          <w:tcPr>
            <w:tcW w:w="1782" w:type="dxa"/>
            <w:tcBorders>
              <w:top w:val="nil"/>
              <w:left w:val="nil"/>
              <w:bottom w:val="single" w:sz="4" w:space="0" w:color="auto"/>
              <w:right w:val="single" w:sz="4" w:space="0" w:color="auto"/>
            </w:tcBorders>
            <w:shd w:val="clear" w:color="000000" w:fill="FFFFFF"/>
            <w:vAlign w:val="center"/>
            <w:hideMark/>
          </w:tcPr>
          <w:p w14:paraId="7F0EB764"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70</w:t>
            </w:r>
          </w:p>
        </w:tc>
      </w:tr>
      <w:tr w:rsidR="00BC195E" w:rsidRPr="00BC195E" w14:paraId="4FF78EA7" w14:textId="77777777" w:rsidTr="00BC195E">
        <w:trPr>
          <w:trHeight w:val="20"/>
        </w:trPr>
        <w:tc>
          <w:tcPr>
            <w:tcW w:w="2254" w:type="dxa"/>
            <w:tcBorders>
              <w:top w:val="nil"/>
              <w:left w:val="single" w:sz="4" w:space="0" w:color="auto"/>
              <w:bottom w:val="single" w:sz="4" w:space="0" w:color="auto"/>
              <w:right w:val="single" w:sz="4" w:space="0" w:color="auto"/>
            </w:tcBorders>
            <w:shd w:val="clear" w:color="000000" w:fill="FFFFFF"/>
            <w:vAlign w:val="center"/>
            <w:hideMark/>
          </w:tcPr>
          <w:p w14:paraId="43373B58" w14:textId="3B8C5D53"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p>
        </w:tc>
        <w:tc>
          <w:tcPr>
            <w:tcW w:w="2767" w:type="dxa"/>
            <w:tcBorders>
              <w:top w:val="nil"/>
              <w:left w:val="nil"/>
              <w:bottom w:val="single" w:sz="4" w:space="0" w:color="auto"/>
              <w:right w:val="single" w:sz="4" w:space="0" w:color="auto"/>
            </w:tcBorders>
            <w:shd w:val="clear" w:color="000000" w:fill="FFFFFF"/>
            <w:vAlign w:val="center"/>
            <w:hideMark/>
          </w:tcPr>
          <w:p w14:paraId="38EC7DC1" w14:textId="035FB850" w:rsidR="00BC195E" w:rsidRPr="00BC195E" w:rsidRDefault="00BC195E" w:rsidP="00BC195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BC195E">
              <w:rPr>
                <w:rFonts w:ascii="Times New Roman" w:eastAsia="Times New Roman" w:hAnsi="Times New Roman" w:cs="Times New Roman"/>
                <w:i/>
                <w:iCs/>
                <w:color w:val="1A1C1E"/>
                <w:kern w:val="0"/>
                <w:sz w:val="22"/>
                <w:szCs w:val="22"/>
                <w:lang w:eastAsia="en-IN"/>
                <w14:ligatures w14:val="none"/>
              </w:rPr>
              <w:t>2</w:t>
            </w:r>
            <w:r w:rsidR="00FD66C9">
              <w:rPr>
                <w:rFonts w:ascii="Times New Roman" w:eastAsia="Times New Roman" w:hAnsi="Times New Roman" w:cs="Times New Roman"/>
                <w:i/>
                <w:iCs/>
                <w:color w:val="1A1C1E"/>
                <w:kern w:val="0"/>
                <w:sz w:val="22"/>
                <w:szCs w:val="22"/>
                <w:lang w:eastAsia="en-IN"/>
                <w14:ligatures w14:val="none"/>
              </w:rPr>
              <w:t>.0</w:t>
            </w:r>
          </w:p>
        </w:tc>
        <w:tc>
          <w:tcPr>
            <w:tcW w:w="2475" w:type="dxa"/>
            <w:tcBorders>
              <w:top w:val="nil"/>
              <w:left w:val="nil"/>
              <w:bottom w:val="single" w:sz="4" w:space="0" w:color="auto"/>
              <w:right w:val="single" w:sz="4" w:space="0" w:color="auto"/>
            </w:tcBorders>
            <w:shd w:val="clear" w:color="000000" w:fill="FFFFFF"/>
            <w:vAlign w:val="center"/>
            <w:hideMark/>
          </w:tcPr>
          <w:p w14:paraId="63A12655"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BC195E">
              <w:rPr>
                <w:rFonts w:ascii="Times New Roman" w:eastAsia="Times New Roman" w:hAnsi="Times New Roman" w:cs="Times New Roman"/>
                <w:i/>
                <w:iCs/>
                <w:color w:val="1A1C1E"/>
                <w:kern w:val="0"/>
                <w:sz w:val="22"/>
                <w:szCs w:val="22"/>
                <w:lang w:eastAsia="en-IN"/>
                <w14:ligatures w14:val="none"/>
              </w:rPr>
              <w:t>0.8</w:t>
            </w:r>
          </w:p>
        </w:tc>
        <w:tc>
          <w:tcPr>
            <w:tcW w:w="1490" w:type="dxa"/>
            <w:tcBorders>
              <w:top w:val="nil"/>
              <w:left w:val="nil"/>
              <w:bottom w:val="single" w:sz="4" w:space="0" w:color="auto"/>
              <w:right w:val="single" w:sz="4" w:space="0" w:color="auto"/>
            </w:tcBorders>
            <w:shd w:val="clear" w:color="000000" w:fill="FFFFFF"/>
            <w:vAlign w:val="center"/>
            <w:hideMark/>
          </w:tcPr>
          <w:p w14:paraId="38488730"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BC195E">
              <w:rPr>
                <w:rFonts w:ascii="Times New Roman" w:eastAsia="Times New Roman" w:hAnsi="Times New Roman" w:cs="Times New Roman"/>
                <w:i/>
                <w:iCs/>
                <w:color w:val="1A1C1E"/>
                <w:kern w:val="0"/>
                <w:sz w:val="22"/>
                <w:szCs w:val="22"/>
                <w:lang w:eastAsia="en-IN"/>
                <w14:ligatures w14:val="none"/>
              </w:rPr>
              <w:t>0.9</w:t>
            </w:r>
          </w:p>
        </w:tc>
        <w:tc>
          <w:tcPr>
            <w:tcW w:w="1492" w:type="dxa"/>
            <w:tcBorders>
              <w:top w:val="nil"/>
              <w:left w:val="nil"/>
              <w:bottom w:val="single" w:sz="4" w:space="0" w:color="auto"/>
              <w:right w:val="single" w:sz="4" w:space="0" w:color="auto"/>
            </w:tcBorders>
            <w:shd w:val="clear" w:color="000000" w:fill="FFFFFF"/>
            <w:vAlign w:val="center"/>
            <w:hideMark/>
          </w:tcPr>
          <w:p w14:paraId="5176FD06" w14:textId="237B2396" w:rsidR="00BC195E" w:rsidRPr="00BC195E" w:rsidRDefault="00BC195E" w:rsidP="00BC195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BC195E">
              <w:rPr>
                <w:rFonts w:ascii="Times New Roman" w:eastAsia="Times New Roman" w:hAnsi="Times New Roman" w:cs="Times New Roman"/>
                <w:i/>
                <w:iCs/>
                <w:color w:val="1A1C1E"/>
                <w:kern w:val="0"/>
                <w:sz w:val="22"/>
                <w:szCs w:val="22"/>
                <w:lang w:eastAsia="en-IN"/>
                <w14:ligatures w14:val="none"/>
              </w:rPr>
              <w:t>2</w:t>
            </w:r>
            <w:r w:rsidR="00FD66C9">
              <w:rPr>
                <w:rFonts w:ascii="Times New Roman" w:eastAsia="Times New Roman" w:hAnsi="Times New Roman" w:cs="Times New Roman"/>
                <w:i/>
                <w:iCs/>
                <w:color w:val="1A1C1E"/>
                <w:kern w:val="0"/>
                <w:sz w:val="22"/>
                <w:szCs w:val="22"/>
                <w:lang w:eastAsia="en-IN"/>
                <w14:ligatures w14:val="none"/>
              </w:rPr>
              <w:t>.0</w:t>
            </w:r>
          </w:p>
        </w:tc>
        <w:tc>
          <w:tcPr>
            <w:tcW w:w="2093" w:type="dxa"/>
            <w:tcBorders>
              <w:top w:val="nil"/>
              <w:left w:val="nil"/>
              <w:bottom w:val="single" w:sz="4" w:space="0" w:color="auto"/>
              <w:right w:val="single" w:sz="4" w:space="0" w:color="auto"/>
            </w:tcBorders>
            <w:shd w:val="clear" w:color="000000" w:fill="FFFFFF"/>
            <w:vAlign w:val="center"/>
            <w:hideMark/>
          </w:tcPr>
          <w:p w14:paraId="5CD5BF0C"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BC195E">
              <w:rPr>
                <w:rFonts w:ascii="Times New Roman" w:eastAsia="Times New Roman" w:hAnsi="Times New Roman" w:cs="Times New Roman"/>
                <w:i/>
                <w:iCs/>
                <w:color w:val="1A1C1E"/>
                <w:kern w:val="0"/>
                <w:sz w:val="22"/>
                <w:szCs w:val="22"/>
                <w:lang w:eastAsia="en-IN"/>
                <w14:ligatures w14:val="none"/>
              </w:rPr>
              <w:t>0.9</w:t>
            </w:r>
          </w:p>
        </w:tc>
        <w:tc>
          <w:tcPr>
            <w:tcW w:w="1782" w:type="dxa"/>
            <w:tcBorders>
              <w:top w:val="nil"/>
              <w:left w:val="nil"/>
              <w:bottom w:val="single" w:sz="4" w:space="0" w:color="auto"/>
              <w:right w:val="single" w:sz="4" w:space="0" w:color="auto"/>
            </w:tcBorders>
            <w:shd w:val="clear" w:color="000000" w:fill="FFFFFF"/>
            <w:vAlign w:val="center"/>
            <w:hideMark/>
          </w:tcPr>
          <w:p w14:paraId="0F0F1078"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BC195E">
              <w:rPr>
                <w:rFonts w:ascii="Times New Roman" w:eastAsia="Times New Roman" w:hAnsi="Times New Roman" w:cs="Times New Roman"/>
                <w:i/>
                <w:iCs/>
                <w:color w:val="1A1C1E"/>
                <w:kern w:val="0"/>
                <w:sz w:val="22"/>
                <w:szCs w:val="22"/>
                <w:lang w:eastAsia="en-IN"/>
                <w14:ligatures w14:val="none"/>
              </w:rPr>
              <w:t>0.5</w:t>
            </w:r>
          </w:p>
        </w:tc>
      </w:tr>
      <w:tr w:rsidR="00BC195E" w:rsidRPr="00BC195E" w14:paraId="5F5CFB04" w14:textId="77777777" w:rsidTr="00BC195E">
        <w:trPr>
          <w:trHeight w:val="20"/>
        </w:trPr>
        <w:tc>
          <w:tcPr>
            <w:tcW w:w="2254" w:type="dxa"/>
            <w:tcBorders>
              <w:top w:val="nil"/>
              <w:left w:val="single" w:sz="4" w:space="0" w:color="auto"/>
              <w:bottom w:val="single" w:sz="4" w:space="0" w:color="auto"/>
              <w:right w:val="single" w:sz="4" w:space="0" w:color="auto"/>
            </w:tcBorders>
            <w:shd w:val="clear" w:color="000000" w:fill="FFFFFF"/>
            <w:vAlign w:val="center"/>
            <w:hideMark/>
          </w:tcPr>
          <w:p w14:paraId="67288C4F"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Punjab</w:t>
            </w:r>
          </w:p>
        </w:tc>
        <w:tc>
          <w:tcPr>
            <w:tcW w:w="2767" w:type="dxa"/>
            <w:tcBorders>
              <w:top w:val="nil"/>
              <w:left w:val="nil"/>
              <w:bottom w:val="single" w:sz="4" w:space="0" w:color="auto"/>
              <w:right w:val="single" w:sz="4" w:space="0" w:color="auto"/>
            </w:tcBorders>
            <w:shd w:val="clear" w:color="000000" w:fill="FFFFFF"/>
            <w:vAlign w:val="center"/>
            <w:hideMark/>
          </w:tcPr>
          <w:p w14:paraId="199BA544"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499</w:t>
            </w:r>
          </w:p>
        </w:tc>
        <w:tc>
          <w:tcPr>
            <w:tcW w:w="2475" w:type="dxa"/>
            <w:tcBorders>
              <w:top w:val="nil"/>
              <w:left w:val="nil"/>
              <w:bottom w:val="single" w:sz="4" w:space="0" w:color="auto"/>
              <w:right w:val="single" w:sz="4" w:space="0" w:color="auto"/>
            </w:tcBorders>
            <w:shd w:val="clear" w:color="000000" w:fill="FFFFFF"/>
            <w:vAlign w:val="center"/>
            <w:hideMark/>
          </w:tcPr>
          <w:p w14:paraId="031FF122"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154</w:t>
            </w:r>
          </w:p>
        </w:tc>
        <w:tc>
          <w:tcPr>
            <w:tcW w:w="1490" w:type="dxa"/>
            <w:tcBorders>
              <w:top w:val="nil"/>
              <w:left w:val="nil"/>
              <w:bottom w:val="single" w:sz="4" w:space="0" w:color="auto"/>
              <w:right w:val="single" w:sz="4" w:space="0" w:color="auto"/>
            </w:tcBorders>
            <w:shd w:val="clear" w:color="000000" w:fill="FFFFFF"/>
            <w:vAlign w:val="center"/>
            <w:hideMark/>
          </w:tcPr>
          <w:p w14:paraId="7B724724"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265</w:t>
            </w:r>
          </w:p>
        </w:tc>
        <w:tc>
          <w:tcPr>
            <w:tcW w:w="1492" w:type="dxa"/>
            <w:tcBorders>
              <w:top w:val="nil"/>
              <w:left w:val="nil"/>
              <w:bottom w:val="single" w:sz="4" w:space="0" w:color="auto"/>
              <w:right w:val="single" w:sz="4" w:space="0" w:color="auto"/>
            </w:tcBorders>
            <w:shd w:val="clear" w:color="000000" w:fill="FFFFFF"/>
            <w:vAlign w:val="center"/>
            <w:hideMark/>
          </w:tcPr>
          <w:p w14:paraId="6A202D35"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387</w:t>
            </w:r>
          </w:p>
        </w:tc>
        <w:tc>
          <w:tcPr>
            <w:tcW w:w="2093" w:type="dxa"/>
            <w:tcBorders>
              <w:top w:val="nil"/>
              <w:left w:val="nil"/>
              <w:bottom w:val="single" w:sz="4" w:space="0" w:color="auto"/>
              <w:right w:val="single" w:sz="4" w:space="0" w:color="auto"/>
            </w:tcBorders>
            <w:shd w:val="clear" w:color="000000" w:fill="FFFFFF"/>
            <w:vAlign w:val="center"/>
            <w:hideMark/>
          </w:tcPr>
          <w:p w14:paraId="6F734835" w14:textId="00D40B4A"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1</w:t>
            </w:r>
            <w:r w:rsidR="00FD66C9">
              <w:rPr>
                <w:rFonts w:ascii="Times New Roman" w:eastAsia="Times New Roman" w:hAnsi="Times New Roman" w:cs="Times New Roman"/>
                <w:color w:val="1A1C1E"/>
                <w:kern w:val="0"/>
                <w:sz w:val="22"/>
                <w:szCs w:val="22"/>
                <w:lang w:eastAsia="en-IN"/>
                <w14:ligatures w14:val="none"/>
              </w:rPr>
              <w:t>3</w:t>
            </w:r>
            <w:r w:rsidRPr="00BC195E">
              <w:rPr>
                <w:rFonts w:ascii="Times New Roman" w:eastAsia="Times New Roman" w:hAnsi="Times New Roman" w:cs="Times New Roman"/>
                <w:color w:val="1A1C1E"/>
                <w:kern w:val="0"/>
                <w:sz w:val="22"/>
                <w:szCs w:val="22"/>
                <w:lang w:eastAsia="en-IN"/>
                <w14:ligatures w14:val="none"/>
              </w:rPr>
              <w:t>5</w:t>
            </w:r>
          </w:p>
        </w:tc>
        <w:tc>
          <w:tcPr>
            <w:tcW w:w="1782" w:type="dxa"/>
            <w:tcBorders>
              <w:top w:val="nil"/>
              <w:left w:val="nil"/>
              <w:bottom w:val="single" w:sz="4" w:space="0" w:color="auto"/>
              <w:right w:val="single" w:sz="4" w:space="0" w:color="auto"/>
            </w:tcBorders>
            <w:shd w:val="clear" w:color="000000" w:fill="FFFFFF"/>
            <w:vAlign w:val="center"/>
            <w:hideMark/>
          </w:tcPr>
          <w:p w14:paraId="34A6000E"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78</w:t>
            </w:r>
          </w:p>
        </w:tc>
      </w:tr>
      <w:tr w:rsidR="00BC195E" w:rsidRPr="00BC195E" w14:paraId="430D75A4" w14:textId="77777777" w:rsidTr="00BC195E">
        <w:trPr>
          <w:trHeight w:val="20"/>
        </w:trPr>
        <w:tc>
          <w:tcPr>
            <w:tcW w:w="2254" w:type="dxa"/>
            <w:tcBorders>
              <w:top w:val="nil"/>
              <w:left w:val="single" w:sz="4" w:space="0" w:color="auto"/>
              <w:bottom w:val="single" w:sz="4" w:space="0" w:color="auto"/>
              <w:right w:val="single" w:sz="4" w:space="0" w:color="auto"/>
            </w:tcBorders>
            <w:shd w:val="clear" w:color="000000" w:fill="FFFFFF"/>
            <w:vAlign w:val="center"/>
            <w:hideMark/>
          </w:tcPr>
          <w:p w14:paraId="0D16B1CE" w14:textId="12E51B29"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p>
        </w:tc>
        <w:tc>
          <w:tcPr>
            <w:tcW w:w="2767" w:type="dxa"/>
            <w:tcBorders>
              <w:top w:val="nil"/>
              <w:left w:val="nil"/>
              <w:bottom w:val="single" w:sz="4" w:space="0" w:color="auto"/>
              <w:right w:val="single" w:sz="4" w:space="0" w:color="auto"/>
            </w:tcBorders>
            <w:shd w:val="clear" w:color="000000" w:fill="FFFFFF"/>
            <w:vAlign w:val="center"/>
            <w:hideMark/>
          </w:tcPr>
          <w:p w14:paraId="3AAFEE26" w14:textId="363607EF" w:rsidR="00BC195E" w:rsidRPr="00BC195E" w:rsidRDefault="00BC195E" w:rsidP="00BC195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BC195E">
              <w:rPr>
                <w:rFonts w:ascii="Times New Roman" w:eastAsia="Times New Roman" w:hAnsi="Times New Roman" w:cs="Times New Roman"/>
                <w:i/>
                <w:iCs/>
                <w:color w:val="1A1C1E"/>
                <w:kern w:val="0"/>
                <w:sz w:val="22"/>
                <w:szCs w:val="22"/>
                <w:lang w:eastAsia="en-IN"/>
                <w14:ligatures w14:val="none"/>
              </w:rPr>
              <w:t>4</w:t>
            </w:r>
            <w:r w:rsidR="00FD66C9">
              <w:rPr>
                <w:rFonts w:ascii="Times New Roman" w:eastAsia="Times New Roman" w:hAnsi="Times New Roman" w:cs="Times New Roman"/>
                <w:i/>
                <w:iCs/>
                <w:color w:val="1A1C1E"/>
                <w:kern w:val="0"/>
                <w:sz w:val="22"/>
                <w:szCs w:val="22"/>
                <w:lang w:eastAsia="en-IN"/>
                <w14:ligatures w14:val="none"/>
              </w:rPr>
              <w:t>.0</w:t>
            </w:r>
          </w:p>
        </w:tc>
        <w:tc>
          <w:tcPr>
            <w:tcW w:w="2475" w:type="dxa"/>
            <w:tcBorders>
              <w:top w:val="nil"/>
              <w:left w:val="nil"/>
              <w:bottom w:val="single" w:sz="4" w:space="0" w:color="auto"/>
              <w:right w:val="single" w:sz="4" w:space="0" w:color="auto"/>
            </w:tcBorders>
            <w:shd w:val="clear" w:color="000000" w:fill="FFFFFF"/>
            <w:vAlign w:val="center"/>
            <w:hideMark/>
          </w:tcPr>
          <w:p w14:paraId="0A4FF822"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BC195E">
              <w:rPr>
                <w:rFonts w:ascii="Times New Roman" w:eastAsia="Times New Roman" w:hAnsi="Times New Roman" w:cs="Times New Roman"/>
                <w:i/>
                <w:iCs/>
                <w:color w:val="1A1C1E"/>
                <w:kern w:val="0"/>
                <w:sz w:val="22"/>
                <w:szCs w:val="22"/>
                <w:lang w:eastAsia="en-IN"/>
                <w14:ligatures w14:val="none"/>
              </w:rPr>
              <w:t>1.2</w:t>
            </w:r>
          </w:p>
        </w:tc>
        <w:tc>
          <w:tcPr>
            <w:tcW w:w="1490" w:type="dxa"/>
            <w:tcBorders>
              <w:top w:val="nil"/>
              <w:left w:val="nil"/>
              <w:bottom w:val="single" w:sz="4" w:space="0" w:color="auto"/>
              <w:right w:val="single" w:sz="4" w:space="0" w:color="auto"/>
            </w:tcBorders>
            <w:shd w:val="clear" w:color="000000" w:fill="FFFFFF"/>
            <w:vAlign w:val="center"/>
            <w:hideMark/>
          </w:tcPr>
          <w:p w14:paraId="38EED90A"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BC195E">
              <w:rPr>
                <w:rFonts w:ascii="Times New Roman" w:eastAsia="Times New Roman" w:hAnsi="Times New Roman" w:cs="Times New Roman"/>
                <w:i/>
                <w:iCs/>
                <w:color w:val="1A1C1E"/>
                <w:kern w:val="0"/>
                <w:sz w:val="22"/>
                <w:szCs w:val="22"/>
                <w:lang w:eastAsia="en-IN"/>
                <w14:ligatures w14:val="none"/>
              </w:rPr>
              <w:t>2.1</w:t>
            </w:r>
          </w:p>
        </w:tc>
        <w:tc>
          <w:tcPr>
            <w:tcW w:w="1492" w:type="dxa"/>
            <w:tcBorders>
              <w:top w:val="nil"/>
              <w:left w:val="nil"/>
              <w:bottom w:val="single" w:sz="4" w:space="0" w:color="auto"/>
              <w:right w:val="single" w:sz="4" w:space="0" w:color="auto"/>
            </w:tcBorders>
            <w:shd w:val="clear" w:color="000000" w:fill="FFFFFF"/>
            <w:vAlign w:val="center"/>
            <w:hideMark/>
          </w:tcPr>
          <w:p w14:paraId="3E092050"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BC195E">
              <w:rPr>
                <w:rFonts w:ascii="Times New Roman" w:eastAsia="Times New Roman" w:hAnsi="Times New Roman" w:cs="Times New Roman"/>
                <w:i/>
                <w:iCs/>
                <w:color w:val="1A1C1E"/>
                <w:kern w:val="0"/>
                <w:sz w:val="22"/>
                <w:szCs w:val="22"/>
                <w:lang w:eastAsia="en-IN"/>
                <w14:ligatures w14:val="none"/>
              </w:rPr>
              <w:t>3.1</w:t>
            </w:r>
          </w:p>
        </w:tc>
        <w:tc>
          <w:tcPr>
            <w:tcW w:w="2093" w:type="dxa"/>
            <w:tcBorders>
              <w:top w:val="nil"/>
              <w:left w:val="nil"/>
              <w:bottom w:val="single" w:sz="4" w:space="0" w:color="auto"/>
              <w:right w:val="single" w:sz="4" w:space="0" w:color="auto"/>
            </w:tcBorders>
            <w:shd w:val="clear" w:color="000000" w:fill="FFFFFF"/>
            <w:vAlign w:val="center"/>
            <w:hideMark/>
          </w:tcPr>
          <w:p w14:paraId="7F296211"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BC195E">
              <w:rPr>
                <w:rFonts w:ascii="Times New Roman" w:eastAsia="Times New Roman" w:hAnsi="Times New Roman" w:cs="Times New Roman"/>
                <w:i/>
                <w:iCs/>
                <w:color w:val="1A1C1E"/>
                <w:kern w:val="0"/>
                <w:sz w:val="22"/>
                <w:szCs w:val="22"/>
                <w:lang w:eastAsia="en-IN"/>
                <w14:ligatures w14:val="none"/>
              </w:rPr>
              <w:t>1.5</w:t>
            </w:r>
          </w:p>
        </w:tc>
        <w:tc>
          <w:tcPr>
            <w:tcW w:w="1782" w:type="dxa"/>
            <w:tcBorders>
              <w:top w:val="nil"/>
              <w:left w:val="nil"/>
              <w:bottom w:val="single" w:sz="4" w:space="0" w:color="auto"/>
              <w:right w:val="single" w:sz="4" w:space="0" w:color="auto"/>
            </w:tcBorders>
            <w:shd w:val="clear" w:color="000000" w:fill="FFFFFF"/>
            <w:vAlign w:val="center"/>
            <w:hideMark/>
          </w:tcPr>
          <w:p w14:paraId="71A4318A"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BC195E">
              <w:rPr>
                <w:rFonts w:ascii="Times New Roman" w:eastAsia="Times New Roman" w:hAnsi="Times New Roman" w:cs="Times New Roman"/>
                <w:i/>
                <w:iCs/>
                <w:color w:val="1A1C1E"/>
                <w:kern w:val="0"/>
                <w:sz w:val="22"/>
                <w:szCs w:val="22"/>
                <w:lang w:eastAsia="en-IN"/>
                <w14:ligatures w14:val="none"/>
              </w:rPr>
              <w:t>0.6</w:t>
            </w:r>
          </w:p>
        </w:tc>
      </w:tr>
      <w:tr w:rsidR="00BC195E" w:rsidRPr="00BC195E" w14:paraId="530A4980" w14:textId="77777777" w:rsidTr="00BC195E">
        <w:trPr>
          <w:trHeight w:val="20"/>
        </w:trPr>
        <w:tc>
          <w:tcPr>
            <w:tcW w:w="2254" w:type="dxa"/>
            <w:tcBorders>
              <w:top w:val="nil"/>
              <w:left w:val="single" w:sz="4" w:space="0" w:color="auto"/>
              <w:bottom w:val="single" w:sz="4" w:space="0" w:color="auto"/>
              <w:right w:val="single" w:sz="4" w:space="0" w:color="auto"/>
            </w:tcBorders>
            <w:shd w:val="clear" w:color="000000" w:fill="FFFFFF"/>
            <w:vAlign w:val="center"/>
            <w:hideMark/>
          </w:tcPr>
          <w:p w14:paraId="7666EDD1"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Uttar Pradesh</w:t>
            </w:r>
          </w:p>
        </w:tc>
        <w:tc>
          <w:tcPr>
            <w:tcW w:w="2767" w:type="dxa"/>
            <w:tcBorders>
              <w:top w:val="nil"/>
              <w:left w:val="nil"/>
              <w:bottom w:val="single" w:sz="4" w:space="0" w:color="auto"/>
              <w:right w:val="single" w:sz="4" w:space="0" w:color="auto"/>
            </w:tcBorders>
            <w:shd w:val="clear" w:color="000000" w:fill="FFFFFF"/>
            <w:vAlign w:val="center"/>
            <w:hideMark/>
          </w:tcPr>
          <w:p w14:paraId="65BE5193"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1472</w:t>
            </w:r>
          </w:p>
        </w:tc>
        <w:tc>
          <w:tcPr>
            <w:tcW w:w="2475" w:type="dxa"/>
            <w:tcBorders>
              <w:top w:val="nil"/>
              <w:left w:val="nil"/>
              <w:bottom w:val="single" w:sz="4" w:space="0" w:color="auto"/>
              <w:right w:val="single" w:sz="4" w:space="0" w:color="auto"/>
            </w:tcBorders>
            <w:shd w:val="clear" w:color="000000" w:fill="FFFFFF"/>
            <w:vAlign w:val="center"/>
            <w:hideMark/>
          </w:tcPr>
          <w:p w14:paraId="514C6EE9"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483</w:t>
            </w:r>
          </w:p>
        </w:tc>
        <w:tc>
          <w:tcPr>
            <w:tcW w:w="1490" w:type="dxa"/>
            <w:tcBorders>
              <w:top w:val="nil"/>
              <w:left w:val="nil"/>
              <w:bottom w:val="single" w:sz="4" w:space="0" w:color="auto"/>
              <w:right w:val="single" w:sz="4" w:space="0" w:color="auto"/>
            </w:tcBorders>
            <w:shd w:val="clear" w:color="000000" w:fill="FFFFFF"/>
            <w:vAlign w:val="center"/>
            <w:hideMark/>
          </w:tcPr>
          <w:p w14:paraId="7C47B9CE"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741</w:t>
            </w:r>
          </w:p>
        </w:tc>
        <w:tc>
          <w:tcPr>
            <w:tcW w:w="1492" w:type="dxa"/>
            <w:tcBorders>
              <w:top w:val="nil"/>
              <w:left w:val="nil"/>
              <w:bottom w:val="single" w:sz="4" w:space="0" w:color="auto"/>
              <w:right w:val="single" w:sz="4" w:space="0" w:color="auto"/>
            </w:tcBorders>
            <w:shd w:val="clear" w:color="000000" w:fill="FFFFFF"/>
            <w:vAlign w:val="center"/>
            <w:hideMark/>
          </w:tcPr>
          <w:p w14:paraId="66B019E1"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1536</w:t>
            </w:r>
          </w:p>
        </w:tc>
        <w:tc>
          <w:tcPr>
            <w:tcW w:w="2093" w:type="dxa"/>
            <w:tcBorders>
              <w:top w:val="nil"/>
              <w:left w:val="nil"/>
              <w:bottom w:val="single" w:sz="4" w:space="0" w:color="auto"/>
              <w:right w:val="single" w:sz="4" w:space="0" w:color="auto"/>
            </w:tcBorders>
            <w:shd w:val="clear" w:color="000000" w:fill="FFFFFF"/>
            <w:vAlign w:val="center"/>
            <w:hideMark/>
          </w:tcPr>
          <w:p w14:paraId="0CDDCB4C"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710</w:t>
            </w:r>
          </w:p>
        </w:tc>
        <w:tc>
          <w:tcPr>
            <w:tcW w:w="1782" w:type="dxa"/>
            <w:tcBorders>
              <w:top w:val="nil"/>
              <w:left w:val="nil"/>
              <w:bottom w:val="single" w:sz="4" w:space="0" w:color="auto"/>
              <w:right w:val="single" w:sz="4" w:space="0" w:color="auto"/>
            </w:tcBorders>
            <w:shd w:val="clear" w:color="000000" w:fill="FFFFFF"/>
            <w:vAlign w:val="center"/>
            <w:hideMark/>
          </w:tcPr>
          <w:p w14:paraId="33CCCE12"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300</w:t>
            </w:r>
          </w:p>
        </w:tc>
      </w:tr>
      <w:tr w:rsidR="00BC195E" w:rsidRPr="00BC195E" w14:paraId="4825867F" w14:textId="77777777" w:rsidTr="00BC195E">
        <w:trPr>
          <w:trHeight w:val="20"/>
        </w:trPr>
        <w:tc>
          <w:tcPr>
            <w:tcW w:w="2254" w:type="dxa"/>
            <w:tcBorders>
              <w:top w:val="nil"/>
              <w:left w:val="single" w:sz="4" w:space="0" w:color="auto"/>
              <w:bottom w:val="single" w:sz="4" w:space="0" w:color="auto"/>
              <w:right w:val="single" w:sz="4" w:space="0" w:color="auto"/>
            </w:tcBorders>
            <w:shd w:val="clear" w:color="000000" w:fill="FFFFFF"/>
            <w:vAlign w:val="center"/>
            <w:hideMark/>
          </w:tcPr>
          <w:p w14:paraId="4CB29FD9" w14:textId="7A4FBDD8"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p>
        </w:tc>
        <w:tc>
          <w:tcPr>
            <w:tcW w:w="2767" w:type="dxa"/>
            <w:tcBorders>
              <w:top w:val="nil"/>
              <w:left w:val="nil"/>
              <w:bottom w:val="single" w:sz="4" w:space="0" w:color="auto"/>
              <w:right w:val="single" w:sz="4" w:space="0" w:color="auto"/>
            </w:tcBorders>
            <w:shd w:val="clear" w:color="000000" w:fill="FFFFFF"/>
            <w:vAlign w:val="center"/>
            <w:hideMark/>
          </w:tcPr>
          <w:p w14:paraId="7BAB1455"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BC195E">
              <w:rPr>
                <w:rFonts w:ascii="Times New Roman" w:eastAsia="Times New Roman" w:hAnsi="Times New Roman" w:cs="Times New Roman"/>
                <w:i/>
                <w:iCs/>
                <w:color w:val="1A1C1E"/>
                <w:kern w:val="0"/>
                <w:sz w:val="22"/>
                <w:szCs w:val="22"/>
                <w:lang w:eastAsia="en-IN"/>
                <w14:ligatures w14:val="none"/>
              </w:rPr>
              <w:t>2.3</w:t>
            </w:r>
          </w:p>
        </w:tc>
        <w:tc>
          <w:tcPr>
            <w:tcW w:w="2475" w:type="dxa"/>
            <w:tcBorders>
              <w:top w:val="nil"/>
              <w:left w:val="nil"/>
              <w:bottom w:val="single" w:sz="4" w:space="0" w:color="auto"/>
              <w:right w:val="single" w:sz="4" w:space="0" w:color="auto"/>
            </w:tcBorders>
            <w:shd w:val="clear" w:color="000000" w:fill="FFFFFF"/>
            <w:vAlign w:val="center"/>
            <w:hideMark/>
          </w:tcPr>
          <w:p w14:paraId="6D37EC2C"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BC195E">
              <w:rPr>
                <w:rFonts w:ascii="Times New Roman" w:eastAsia="Times New Roman" w:hAnsi="Times New Roman" w:cs="Times New Roman"/>
                <w:i/>
                <w:iCs/>
                <w:color w:val="1A1C1E"/>
                <w:kern w:val="0"/>
                <w:sz w:val="22"/>
                <w:szCs w:val="22"/>
                <w:lang w:eastAsia="en-IN"/>
                <w14:ligatures w14:val="none"/>
              </w:rPr>
              <w:t>0.8</w:t>
            </w:r>
          </w:p>
        </w:tc>
        <w:tc>
          <w:tcPr>
            <w:tcW w:w="1490" w:type="dxa"/>
            <w:tcBorders>
              <w:top w:val="nil"/>
              <w:left w:val="nil"/>
              <w:bottom w:val="single" w:sz="4" w:space="0" w:color="auto"/>
              <w:right w:val="single" w:sz="4" w:space="0" w:color="auto"/>
            </w:tcBorders>
            <w:shd w:val="clear" w:color="000000" w:fill="FFFFFF"/>
            <w:vAlign w:val="center"/>
            <w:hideMark/>
          </w:tcPr>
          <w:p w14:paraId="156C5863"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BC195E">
              <w:rPr>
                <w:rFonts w:ascii="Times New Roman" w:eastAsia="Times New Roman" w:hAnsi="Times New Roman" w:cs="Times New Roman"/>
                <w:i/>
                <w:iCs/>
                <w:color w:val="1A1C1E"/>
                <w:kern w:val="0"/>
                <w:sz w:val="22"/>
                <w:szCs w:val="22"/>
                <w:lang w:eastAsia="en-IN"/>
                <w14:ligatures w14:val="none"/>
              </w:rPr>
              <w:t>1.2</w:t>
            </w:r>
          </w:p>
        </w:tc>
        <w:tc>
          <w:tcPr>
            <w:tcW w:w="1492" w:type="dxa"/>
            <w:tcBorders>
              <w:top w:val="nil"/>
              <w:left w:val="nil"/>
              <w:bottom w:val="single" w:sz="4" w:space="0" w:color="auto"/>
              <w:right w:val="single" w:sz="4" w:space="0" w:color="auto"/>
            </w:tcBorders>
            <w:shd w:val="clear" w:color="000000" w:fill="FFFFFF"/>
            <w:vAlign w:val="center"/>
            <w:hideMark/>
          </w:tcPr>
          <w:p w14:paraId="78877FF0"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BC195E">
              <w:rPr>
                <w:rFonts w:ascii="Times New Roman" w:eastAsia="Times New Roman" w:hAnsi="Times New Roman" w:cs="Times New Roman"/>
                <w:i/>
                <w:iCs/>
                <w:color w:val="1A1C1E"/>
                <w:kern w:val="0"/>
                <w:sz w:val="22"/>
                <w:szCs w:val="22"/>
                <w:lang w:eastAsia="en-IN"/>
                <w14:ligatures w14:val="none"/>
              </w:rPr>
              <w:t>2.4</w:t>
            </w:r>
          </w:p>
        </w:tc>
        <w:tc>
          <w:tcPr>
            <w:tcW w:w="2093" w:type="dxa"/>
            <w:tcBorders>
              <w:top w:val="nil"/>
              <w:left w:val="nil"/>
              <w:bottom w:val="single" w:sz="4" w:space="0" w:color="auto"/>
              <w:right w:val="single" w:sz="4" w:space="0" w:color="auto"/>
            </w:tcBorders>
            <w:shd w:val="clear" w:color="000000" w:fill="FFFFFF"/>
            <w:vAlign w:val="center"/>
            <w:hideMark/>
          </w:tcPr>
          <w:p w14:paraId="01442050"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BC195E">
              <w:rPr>
                <w:rFonts w:ascii="Times New Roman" w:eastAsia="Times New Roman" w:hAnsi="Times New Roman" w:cs="Times New Roman"/>
                <w:i/>
                <w:iCs/>
                <w:color w:val="1A1C1E"/>
                <w:kern w:val="0"/>
                <w:sz w:val="22"/>
                <w:szCs w:val="22"/>
                <w:lang w:eastAsia="en-IN"/>
                <w14:ligatures w14:val="none"/>
              </w:rPr>
              <w:t>1.1</w:t>
            </w:r>
          </w:p>
        </w:tc>
        <w:tc>
          <w:tcPr>
            <w:tcW w:w="1782" w:type="dxa"/>
            <w:tcBorders>
              <w:top w:val="nil"/>
              <w:left w:val="nil"/>
              <w:bottom w:val="single" w:sz="4" w:space="0" w:color="auto"/>
              <w:right w:val="single" w:sz="4" w:space="0" w:color="auto"/>
            </w:tcBorders>
            <w:shd w:val="clear" w:color="000000" w:fill="FFFFFF"/>
            <w:vAlign w:val="center"/>
            <w:hideMark/>
          </w:tcPr>
          <w:p w14:paraId="2D9855EF"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BC195E">
              <w:rPr>
                <w:rFonts w:ascii="Times New Roman" w:eastAsia="Times New Roman" w:hAnsi="Times New Roman" w:cs="Times New Roman"/>
                <w:i/>
                <w:iCs/>
                <w:color w:val="1A1C1E"/>
                <w:kern w:val="0"/>
                <w:sz w:val="22"/>
                <w:szCs w:val="22"/>
                <w:lang w:eastAsia="en-IN"/>
                <w14:ligatures w14:val="none"/>
              </w:rPr>
              <w:t>0.5</w:t>
            </w:r>
          </w:p>
        </w:tc>
      </w:tr>
      <w:tr w:rsidR="00BC195E" w:rsidRPr="00BC195E" w14:paraId="0283D851" w14:textId="77777777" w:rsidTr="00BC195E">
        <w:trPr>
          <w:trHeight w:val="20"/>
        </w:trPr>
        <w:tc>
          <w:tcPr>
            <w:tcW w:w="2254" w:type="dxa"/>
            <w:tcBorders>
              <w:top w:val="nil"/>
              <w:left w:val="single" w:sz="4" w:space="0" w:color="auto"/>
              <w:bottom w:val="single" w:sz="4" w:space="0" w:color="auto"/>
              <w:right w:val="single" w:sz="4" w:space="0" w:color="auto"/>
            </w:tcBorders>
            <w:shd w:val="clear" w:color="000000" w:fill="FFFFFF"/>
            <w:vAlign w:val="center"/>
            <w:hideMark/>
          </w:tcPr>
          <w:p w14:paraId="62A57EDA"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West Bengal</w:t>
            </w:r>
          </w:p>
        </w:tc>
        <w:tc>
          <w:tcPr>
            <w:tcW w:w="2767" w:type="dxa"/>
            <w:tcBorders>
              <w:top w:val="nil"/>
              <w:left w:val="nil"/>
              <w:bottom w:val="single" w:sz="4" w:space="0" w:color="auto"/>
              <w:right w:val="single" w:sz="4" w:space="0" w:color="auto"/>
            </w:tcBorders>
            <w:shd w:val="clear" w:color="000000" w:fill="FFFFFF"/>
            <w:vAlign w:val="center"/>
            <w:hideMark/>
          </w:tcPr>
          <w:p w14:paraId="02006916"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943</w:t>
            </w:r>
          </w:p>
        </w:tc>
        <w:tc>
          <w:tcPr>
            <w:tcW w:w="2475" w:type="dxa"/>
            <w:tcBorders>
              <w:top w:val="nil"/>
              <w:left w:val="nil"/>
              <w:bottom w:val="single" w:sz="4" w:space="0" w:color="auto"/>
              <w:right w:val="single" w:sz="4" w:space="0" w:color="auto"/>
            </w:tcBorders>
            <w:shd w:val="clear" w:color="000000" w:fill="FFFFFF"/>
            <w:vAlign w:val="center"/>
            <w:hideMark/>
          </w:tcPr>
          <w:p w14:paraId="64CC1614"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210</w:t>
            </w:r>
          </w:p>
        </w:tc>
        <w:tc>
          <w:tcPr>
            <w:tcW w:w="1490" w:type="dxa"/>
            <w:tcBorders>
              <w:top w:val="nil"/>
              <w:left w:val="nil"/>
              <w:bottom w:val="single" w:sz="4" w:space="0" w:color="auto"/>
              <w:right w:val="single" w:sz="4" w:space="0" w:color="auto"/>
            </w:tcBorders>
            <w:shd w:val="clear" w:color="000000" w:fill="FFFFFF"/>
            <w:vAlign w:val="center"/>
            <w:hideMark/>
          </w:tcPr>
          <w:p w14:paraId="0477FA1A"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530</w:t>
            </w:r>
          </w:p>
        </w:tc>
        <w:tc>
          <w:tcPr>
            <w:tcW w:w="1492" w:type="dxa"/>
            <w:tcBorders>
              <w:top w:val="nil"/>
              <w:left w:val="nil"/>
              <w:bottom w:val="single" w:sz="4" w:space="0" w:color="auto"/>
              <w:right w:val="single" w:sz="4" w:space="0" w:color="auto"/>
            </w:tcBorders>
            <w:shd w:val="clear" w:color="000000" w:fill="FFFFFF"/>
            <w:vAlign w:val="center"/>
            <w:hideMark/>
          </w:tcPr>
          <w:p w14:paraId="09C27318"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892</w:t>
            </w:r>
          </w:p>
        </w:tc>
        <w:tc>
          <w:tcPr>
            <w:tcW w:w="2093" w:type="dxa"/>
            <w:tcBorders>
              <w:top w:val="nil"/>
              <w:left w:val="nil"/>
              <w:bottom w:val="single" w:sz="4" w:space="0" w:color="auto"/>
              <w:right w:val="single" w:sz="4" w:space="0" w:color="auto"/>
            </w:tcBorders>
            <w:shd w:val="clear" w:color="000000" w:fill="FFFFFF"/>
            <w:vAlign w:val="center"/>
            <w:hideMark/>
          </w:tcPr>
          <w:p w14:paraId="03C60350"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307</w:t>
            </w:r>
          </w:p>
        </w:tc>
        <w:tc>
          <w:tcPr>
            <w:tcW w:w="1782" w:type="dxa"/>
            <w:tcBorders>
              <w:top w:val="nil"/>
              <w:left w:val="nil"/>
              <w:bottom w:val="single" w:sz="4" w:space="0" w:color="auto"/>
              <w:right w:val="single" w:sz="4" w:space="0" w:color="auto"/>
            </w:tcBorders>
            <w:shd w:val="clear" w:color="000000" w:fill="FFFFFF"/>
            <w:vAlign w:val="center"/>
            <w:hideMark/>
          </w:tcPr>
          <w:p w14:paraId="5E79D240"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372</w:t>
            </w:r>
          </w:p>
        </w:tc>
      </w:tr>
      <w:tr w:rsidR="00BC195E" w:rsidRPr="00BC195E" w14:paraId="6CEBE722" w14:textId="77777777" w:rsidTr="00BC195E">
        <w:trPr>
          <w:trHeight w:val="20"/>
        </w:trPr>
        <w:tc>
          <w:tcPr>
            <w:tcW w:w="2254" w:type="dxa"/>
            <w:tcBorders>
              <w:top w:val="nil"/>
              <w:left w:val="single" w:sz="4" w:space="0" w:color="auto"/>
              <w:bottom w:val="single" w:sz="4" w:space="0" w:color="auto"/>
              <w:right w:val="single" w:sz="4" w:space="0" w:color="auto"/>
            </w:tcBorders>
            <w:shd w:val="clear" w:color="000000" w:fill="FFFFFF"/>
            <w:vAlign w:val="center"/>
            <w:hideMark/>
          </w:tcPr>
          <w:p w14:paraId="170E4098" w14:textId="60331262"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p>
        </w:tc>
        <w:tc>
          <w:tcPr>
            <w:tcW w:w="2767" w:type="dxa"/>
            <w:tcBorders>
              <w:top w:val="nil"/>
              <w:left w:val="nil"/>
              <w:bottom w:val="single" w:sz="4" w:space="0" w:color="auto"/>
              <w:right w:val="single" w:sz="4" w:space="0" w:color="auto"/>
            </w:tcBorders>
            <w:shd w:val="clear" w:color="000000" w:fill="FFFFFF"/>
            <w:vAlign w:val="center"/>
            <w:hideMark/>
          </w:tcPr>
          <w:p w14:paraId="18D0BE4C"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BC195E">
              <w:rPr>
                <w:rFonts w:ascii="Times New Roman" w:eastAsia="Times New Roman" w:hAnsi="Times New Roman" w:cs="Times New Roman"/>
                <w:i/>
                <w:iCs/>
                <w:color w:val="1A1C1E"/>
                <w:kern w:val="0"/>
                <w:sz w:val="22"/>
                <w:szCs w:val="22"/>
                <w:lang w:eastAsia="en-IN"/>
                <w14:ligatures w14:val="none"/>
              </w:rPr>
              <w:t>3.8</w:t>
            </w:r>
          </w:p>
        </w:tc>
        <w:tc>
          <w:tcPr>
            <w:tcW w:w="2475" w:type="dxa"/>
            <w:tcBorders>
              <w:top w:val="nil"/>
              <w:left w:val="nil"/>
              <w:bottom w:val="single" w:sz="4" w:space="0" w:color="auto"/>
              <w:right w:val="single" w:sz="4" w:space="0" w:color="auto"/>
            </w:tcBorders>
            <w:shd w:val="clear" w:color="000000" w:fill="FFFFFF"/>
            <w:vAlign w:val="center"/>
            <w:hideMark/>
          </w:tcPr>
          <w:p w14:paraId="1B212122"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BC195E">
              <w:rPr>
                <w:rFonts w:ascii="Times New Roman" w:eastAsia="Times New Roman" w:hAnsi="Times New Roman" w:cs="Times New Roman"/>
                <w:i/>
                <w:iCs/>
                <w:color w:val="1A1C1E"/>
                <w:kern w:val="0"/>
                <w:sz w:val="22"/>
                <w:szCs w:val="22"/>
                <w:lang w:eastAsia="en-IN"/>
                <w14:ligatures w14:val="none"/>
              </w:rPr>
              <w:t>0.8</w:t>
            </w:r>
          </w:p>
        </w:tc>
        <w:tc>
          <w:tcPr>
            <w:tcW w:w="1490" w:type="dxa"/>
            <w:tcBorders>
              <w:top w:val="nil"/>
              <w:left w:val="nil"/>
              <w:bottom w:val="single" w:sz="4" w:space="0" w:color="auto"/>
              <w:right w:val="single" w:sz="4" w:space="0" w:color="auto"/>
            </w:tcBorders>
            <w:shd w:val="clear" w:color="000000" w:fill="FFFFFF"/>
            <w:vAlign w:val="center"/>
            <w:hideMark/>
          </w:tcPr>
          <w:p w14:paraId="6100DFAE"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BC195E">
              <w:rPr>
                <w:rFonts w:ascii="Times New Roman" w:eastAsia="Times New Roman" w:hAnsi="Times New Roman" w:cs="Times New Roman"/>
                <w:i/>
                <w:iCs/>
                <w:color w:val="1A1C1E"/>
                <w:kern w:val="0"/>
                <w:sz w:val="22"/>
                <w:szCs w:val="22"/>
                <w:lang w:eastAsia="en-IN"/>
                <w14:ligatures w14:val="none"/>
              </w:rPr>
              <w:t>2.1</w:t>
            </w:r>
          </w:p>
        </w:tc>
        <w:tc>
          <w:tcPr>
            <w:tcW w:w="1492" w:type="dxa"/>
            <w:tcBorders>
              <w:top w:val="nil"/>
              <w:left w:val="nil"/>
              <w:bottom w:val="single" w:sz="4" w:space="0" w:color="auto"/>
              <w:right w:val="single" w:sz="4" w:space="0" w:color="auto"/>
            </w:tcBorders>
            <w:shd w:val="clear" w:color="000000" w:fill="FFFFFF"/>
            <w:vAlign w:val="center"/>
            <w:hideMark/>
          </w:tcPr>
          <w:p w14:paraId="7991F73D"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BC195E">
              <w:rPr>
                <w:rFonts w:ascii="Times New Roman" w:eastAsia="Times New Roman" w:hAnsi="Times New Roman" w:cs="Times New Roman"/>
                <w:i/>
                <w:iCs/>
                <w:color w:val="1A1C1E"/>
                <w:kern w:val="0"/>
                <w:sz w:val="22"/>
                <w:szCs w:val="22"/>
                <w:lang w:eastAsia="en-IN"/>
                <w14:ligatures w14:val="none"/>
              </w:rPr>
              <w:t>3.5</w:t>
            </w:r>
          </w:p>
        </w:tc>
        <w:tc>
          <w:tcPr>
            <w:tcW w:w="2093" w:type="dxa"/>
            <w:tcBorders>
              <w:top w:val="nil"/>
              <w:left w:val="nil"/>
              <w:bottom w:val="single" w:sz="4" w:space="0" w:color="auto"/>
              <w:right w:val="single" w:sz="4" w:space="0" w:color="auto"/>
            </w:tcBorders>
            <w:shd w:val="clear" w:color="000000" w:fill="FFFFFF"/>
            <w:vAlign w:val="center"/>
            <w:hideMark/>
          </w:tcPr>
          <w:p w14:paraId="6FC6E7FA"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BC195E">
              <w:rPr>
                <w:rFonts w:ascii="Times New Roman" w:eastAsia="Times New Roman" w:hAnsi="Times New Roman" w:cs="Times New Roman"/>
                <w:i/>
                <w:iCs/>
                <w:color w:val="1A1C1E"/>
                <w:kern w:val="0"/>
                <w:sz w:val="22"/>
                <w:szCs w:val="22"/>
                <w:lang w:eastAsia="en-IN"/>
                <w14:ligatures w14:val="none"/>
              </w:rPr>
              <w:t>1.2</w:t>
            </w:r>
          </w:p>
        </w:tc>
        <w:tc>
          <w:tcPr>
            <w:tcW w:w="1782" w:type="dxa"/>
            <w:tcBorders>
              <w:top w:val="nil"/>
              <w:left w:val="nil"/>
              <w:bottom w:val="single" w:sz="4" w:space="0" w:color="auto"/>
              <w:right w:val="single" w:sz="4" w:space="0" w:color="auto"/>
            </w:tcBorders>
            <w:shd w:val="clear" w:color="000000" w:fill="FFFFFF"/>
            <w:vAlign w:val="center"/>
            <w:hideMark/>
          </w:tcPr>
          <w:p w14:paraId="3CBE55BC"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BC195E">
              <w:rPr>
                <w:rFonts w:ascii="Times New Roman" w:eastAsia="Times New Roman" w:hAnsi="Times New Roman" w:cs="Times New Roman"/>
                <w:i/>
                <w:iCs/>
                <w:color w:val="1A1C1E"/>
                <w:kern w:val="0"/>
                <w:sz w:val="22"/>
                <w:szCs w:val="22"/>
                <w:lang w:eastAsia="en-IN"/>
                <w14:ligatures w14:val="none"/>
              </w:rPr>
              <w:t>1.5</w:t>
            </w:r>
          </w:p>
        </w:tc>
      </w:tr>
      <w:tr w:rsidR="00BC195E" w:rsidRPr="00BC195E" w14:paraId="07C4099F" w14:textId="77777777" w:rsidTr="00BC195E">
        <w:trPr>
          <w:trHeight w:val="20"/>
        </w:trPr>
        <w:tc>
          <w:tcPr>
            <w:tcW w:w="2254" w:type="dxa"/>
            <w:tcBorders>
              <w:top w:val="nil"/>
              <w:left w:val="single" w:sz="4" w:space="0" w:color="auto"/>
              <w:bottom w:val="single" w:sz="4" w:space="0" w:color="auto"/>
              <w:right w:val="single" w:sz="4" w:space="0" w:color="auto"/>
            </w:tcBorders>
            <w:shd w:val="clear" w:color="000000" w:fill="FFFFFF"/>
            <w:vAlign w:val="center"/>
            <w:hideMark/>
          </w:tcPr>
          <w:p w14:paraId="310EFB63"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Hyderabad</w:t>
            </w:r>
          </w:p>
        </w:tc>
        <w:tc>
          <w:tcPr>
            <w:tcW w:w="2767" w:type="dxa"/>
            <w:tcBorders>
              <w:top w:val="nil"/>
              <w:left w:val="nil"/>
              <w:bottom w:val="single" w:sz="4" w:space="0" w:color="auto"/>
              <w:right w:val="single" w:sz="4" w:space="0" w:color="auto"/>
            </w:tcBorders>
            <w:shd w:val="clear" w:color="000000" w:fill="FFFFFF"/>
            <w:vAlign w:val="center"/>
            <w:hideMark/>
          </w:tcPr>
          <w:p w14:paraId="26CEDE82"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718</w:t>
            </w:r>
          </w:p>
        </w:tc>
        <w:tc>
          <w:tcPr>
            <w:tcW w:w="2475" w:type="dxa"/>
            <w:tcBorders>
              <w:top w:val="nil"/>
              <w:left w:val="nil"/>
              <w:bottom w:val="single" w:sz="4" w:space="0" w:color="auto"/>
              <w:right w:val="single" w:sz="4" w:space="0" w:color="auto"/>
            </w:tcBorders>
            <w:shd w:val="clear" w:color="000000" w:fill="FFFFFF"/>
            <w:vAlign w:val="center"/>
            <w:hideMark/>
          </w:tcPr>
          <w:p w14:paraId="693AD706"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152</w:t>
            </w:r>
          </w:p>
        </w:tc>
        <w:tc>
          <w:tcPr>
            <w:tcW w:w="1490" w:type="dxa"/>
            <w:tcBorders>
              <w:top w:val="nil"/>
              <w:left w:val="nil"/>
              <w:bottom w:val="single" w:sz="4" w:space="0" w:color="auto"/>
              <w:right w:val="single" w:sz="4" w:space="0" w:color="auto"/>
            </w:tcBorders>
            <w:shd w:val="clear" w:color="000000" w:fill="FFFFFF"/>
            <w:vAlign w:val="center"/>
            <w:hideMark/>
          </w:tcPr>
          <w:p w14:paraId="1157EB0E"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484</w:t>
            </w:r>
          </w:p>
        </w:tc>
        <w:tc>
          <w:tcPr>
            <w:tcW w:w="1492" w:type="dxa"/>
            <w:tcBorders>
              <w:top w:val="nil"/>
              <w:left w:val="nil"/>
              <w:bottom w:val="single" w:sz="4" w:space="0" w:color="auto"/>
              <w:right w:val="single" w:sz="4" w:space="0" w:color="auto"/>
            </w:tcBorders>
            <w:shd w:val="clear" w:color="000000" w:fill="FFFFFF"/>
            <w:vAlign w:val="center"/>
            <w:hideMark/>
          </w:tcPr>
          <w:p w14:paraId="74E144CF"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595</w:t>
            </w:r>
          </w:p>
        </w:tc>
        <w:tc>
          <w:tcPr>
            <w:tcW w:w="2093" w:type="dxa"/>
            <w:tcBorders>
              <w:top w:val="nil"/>
              <w:left w:val="nil"/>
              <w:bottom w:val="single" w:sz="4" w:space="0" w:color="auto"/>
              <w:right w:val="single" w:sz="4" w:space="0" w:color="auto"/>
            </w:tcBorders>
            <w:shd w:val="clear" w:color="000000" w:fill="FFFFFF"/>
            <w:vAlign w:val="center"/>
            <w:hideMark/>
          </w:tcPr>
          <w:p w14:paraId="0119B968"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393</w:t>
            </w:r>
          </w:p>
        </w:tc>
        <w:tc>
          <w:tcPr>
            <w:tcW w:w="1782" w:type="dxa"/>
            <w:tcBorders>
              <w:top w:val="nil"/>
              <w:left w:val="nil"/>
              <w:bottom w:val="single" w:sz="4" w:space="0" w:color="auto"/>
              <w:right w:val="single" w:sz="4" w:space="0" w:color="auto"/>
            </w:tcBorders>
            <w:shd w:val="clear" w:color="000000" w:fill="FFFFFF"/>
            <w:vAlign w:val="center"/>
            <w:hideMark/>
          </w:tcPr>
          <w:p w14:paraId="52EA762A"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122</w:t>
            </w:r>
          </w:p>
        </w:tc>
      </w:tr>
      <w:tr w:rsidR="00BC195E" w:rsidRPr="00BC195E" w14:paraId="718F40CA" w14:textId="77777777" w:rsidTr="00BC195E">
        <w:trPr>
          <w:trHeight w:val="20"/>
        </w:trPr>
        <w:tc>
          <w:tcPr>
            <w:tcW w:w="2254" w:type="dxa"/>
            <w:tcBorders>
              <w:top w:val="nil"/>
              <w:left w:val="single" w:sz="4" w:space="0" w:color="auto"/>
              <w:bottom w:val="single" w:sz="4" w:space="0" w:color="auto"/>
              <w:right w:val="single" w:sz="4" w:space="0" w:color="auto"/>
            </w:tcBorders>
            <w:shd w:val="clear" w:color="000000" w:fill="FFFFFF"/>
            <w:vAlign w:val="center"/>
            <w:hideMark/>
          </w:tcPr>
          <w:p w14:paraId="06B1C7F8" w14:textId="225530D1"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p>
        </w:tc>
        <w:tc>
          <w:tcPr>
            <w:tcW w:w="2767" w:type="dxa"/>
            <w:tcBorders>
              <w:top w:val="nil"/>
              <w:left w:val="nil"/>
              <w:bottom w:val="single" w:sz="4" w:space="0" w:color="auto"/>
              <w:right w:val="single" w:sz="4" w:space="0" w:color="auto"/>
            </w:tcBorders>
            <w:shd w:val="clear" w:color="000000" w:fill="FFFFFF"/>
            <w:vAlign w:val="center"/>
            <w:hideMark/>
          </w:tcPr>
          <w:p w14:paraId="6D513933"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BC195E">
              <w:rPr>
                <w:rFonts w:ascii="Times New Roman" w:eastAsia="Times New Roman" w:hAnsi="Times New Roman" w:cs="Times New Roman"/>
                <w:i/>
                <w:iCs/>
                <w:color w:val="1A1C1E"/>
                <w:kern w:val="0"/>
                <w:sz w:val="22"/>
                <w:szCs w:val="22"/>
                <w:lang w:eastAsia="en-IN"/>
                <w14:ligatures w14:val="none"/>
              </w:rPr>
              <w:t>3.8</w:t>
            </w:r>
          </w:p>
        </w:tc>
        <w:tc>
          <w:tcPr>
            <w:tcW w:w="2475" w:type="dxa"/>
            <w:tcBorders>
              <w:top w:val="nil"/>
              <w:left w:val="nil"/>
              <w:bottom w:val="single" w:sz="4" w:space="0" w:color="auto"/>
              <w:right w:val="single" w:sz="4" w:space="0" w:color="auto"/>
            </w:tcBorders>
            <w:shd w:val="clear" w:color="000000" w:fill="FFFFFF"/>
            <w:vAlign w:val="center"/>
            <w:hideMark/>
          </w:tcPr>
          <w:p w14:paraId="600C5E00"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BC195E">
              <w:rPr>
                <w:rFonts w:ascii="Times New Roman" w:eastAsia="Times New Roman" w:hAnsi="Times New Roman" w:cs="Times New Roman"/>
                <w:i/>
                <w:iCs/>
                <w:color w:val="1A1C1E"/>
                <w:kern w:val="0"/>
                <w:sz w:val="22"/>
                <w:szCs w:val="22"/>
                <w:lang w:eastAsia="en-IN"/>
                <w14:ligatures w14:val="none"/>
              </w:rPr>
              <w:t>0.8</w:t>
            </w:r>
          </w:p>
        </w:tc>
        <w:tc>
          <w:tcPr>
            <w:tcW w:w="1490" w:type="dxa"/>
            <w:tcBorders>
              <w:top w:val="nil"/>
              <w:left w:val="nil"/>
              <w:bottom w:val="single" w:sz="4" w:space="0" w:color="auto"/>
              <w:right w:val="single" w:sz="4" w:space="0" w:color="auto"/>
            </w:tcBorders>
            <w:shd w:val="clear" w:color="000000" w:fill="FFFFFF"/>
            <w:vAlign w:val="center"/>
            <w:hideMark/>
          </w:tcPr>
          <w:p w14:paraId="557F053C"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BC195E">
              <w:rPr>
                <w:rFonts w:ascii="Times New Roman" w:eastAsia="Times New Roman" w:hAnsi="Times New Roman" w:cs="Times New Roman"/>
                <w:i/>
                <w:iCs/>
                <w:color w:val="1A1C1E"/>
                <w:kern w:val="0"/>
                <w:sz w:val="22"/>
                <w:szCs w:val="22"/>
                <w:lang w:eastAsia="en-IN"/>
                <w14:ligatures w14:val="none"/>
              </w:rPr>
              <w:t>2.6</w:t>
            </w:r>
          </w:p>
        </w:tc>
        <w:tc>
          <w:tcPr>
            <w:tcW w:w="1492" w:type="dxa"/>
            <w:tcBorders>
              <w:top w:val="nil"/>
              <w:left w:val="nil"/>
              <w:bottom w:val="single" w:sz="4" w:space="0" w:color="auto"/>
              <w:right w:val="single" w:sz="4" w:space="0" w:color="auto"/>
            </w:tcBorders>
            <w:shd w:val="clear" w:color="000000" w:fill="FFFFFF"/>
            <w:vAlign w:val="center"/>
            <w:hideMark/>
          </w:tcPr>
          <w:p w14:paraId="04F8A378"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BC195E">
              <w:rPr>
                <w:rFonts w:ascii="Times New Roman" w:eastAsia="Times New Roman" w:hAnsi="Times New Roman" w:cs="Times New Roman"/>
                <w:i/>
                <w:iCs/>
                <w:color w:val="1A1C1E"/>
                <w:kern w:val="0"/>
                <w:sz w:val="22"/>
                <w:szCs w:val="22"/>
                <w:lang w:eastAsia="en-IN"/>
                <w14:ligatures w14:val="none"/>
              </w:rPr>
              <w:t>3.2</w:t>
            </w:r>
          </w:p>
        </w:tc>
        <w:tc>
          <w:tcPr>
            <w:tcW w:w="2093" w:type="dxa"/>
            <w:tcBorders>
              <w:top w:val="nil"/>
              <w:left w:val="nil"/>
              <w:bottom w:val="single" w:sz="4" w:space="0" w:color="auto"/>
              <w:right w:val="single" w:sz="4" w:space="0" w:color="auto"/>
            </w:tcBorders>
            <w:shd w:val="clear" w:color="000000" w:fill="FFFFFF"/>
            <w:vAlign w:val="center"/>
            <w:hideMark/>
          </w:tcPr>
          <w:p w14:paraId="51A3EFCF"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BC195E">
              <w:rPr>
                <w:rFonts w:ascii="Times New Roman" w:eastAsia="Times New Roman" w:hAnsi="Times New Roman" w:cs="Times New Roman"/>
                <w:i/>
                <w:iCs/>
                <w:color w:val="1A1C1E"/>
                <w:kern w:val="0"/>
                <w:sz w:val="22"/>
                <w:szCs w:val="22"/>
                <w:lang w:eastAsia="en-IN"/>
                <w14:ligatures w14:val="none"/>
              </w:rPr>
              <w:t>2.1</w:t>
            </w:r>
          </w:p>
        </w:tc>
        <w:tc>
          <w:tcPr>
            <w:tcW w:w="1782" w:type="dxa"/>
            <w:tcBorders>
              <w:top w:val="nil"/>
              <w:left w:val="nil"/>
              <w:bottom w:val="single" w:sz="4" w:space="0" w:color="auto"/>
              <w:right w:val="single" w:sz="4" w:space="0" w:color="auto"/>
            </w:tcBorders>
            <w:shd w:val="clear" w:color="000000" w:fill="FFFFFF"/>
            <w:vAlign w:val="center"/>
            <w:hideMark/>
          </w:tcPr>
          <w:p w14:paraId="1933C167"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BC195E">
              <w:rPr>
                <w:rFonts w:ascii="Times New Roman" w:eastAsia="Times New Roman" w:hAnsi="Times New Roman" w:cs="Times New Roman"/>
                <w:i/>
                <w:iCs/>
                <w:color w:val="1A1C1E"/>
                <w:kern w:val="0"/>
                <w:sz w:val="22"/>
                <w:szCs w:val="22"/>
                <w:lang w:eastAsia="en-IN"/>
                <w14:ligatures w14:val="none"/>
              </w:rPr>
              <w:t>0.7</w:t>
            </w:r>
          </w:p>
        </w:tc>
      </w:tr>
      <w:tr w:rsidR="00BC195E" w:rsidRPr="00BC195E" w14:paraId="432C7154" w14:textId="77777777" w:rsidTr="00BC195E">
        <w:trPr>
          <w:trHeight w:val="20"/>
        </w:trPr>
        <w:tc>
          <w:tcPr>
            <w:tcW w:w="2254" w:type="dxa"/>
            <w:tcBorders>
              <w:top w:val="nil"/>
              <w:left w:val="single" w:sz="4" w:space="0" w:color="auto"/>
              <w:bottom w:val="single" w:sz="4" w:space="0" w:color="auto"/>
              <w:right w:val="single" w:sz="4" w:space="0" w:color="auto"/>
            </w:tcBorders>
            <w:shd w:val="clear" w:color="000000" w:fill="FFFFFF"/>
            <w:vAlign w:val="center"/>
            <w:hideMark/>
          </w:tcPr>
          <w:p w14:paraId="1FB58450"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Madhya Bharat</w:t>
            </w:r>
          </w:p>
        </w:tc>
        <w:tc>
          <w:tcPr>
            <w:tcW w:w="2767" w:type="dxa"/>
            <w:tcBorders>
              <w:top w:val="nil"/>
              <w:left w:val="nil"/>
              <w:bottom w:val="single" w:sz="4" w:space="0" w:color="auto"/>
              <w:right w:val="single" w:sz="4" w:space="0" w:color="auto"/>
            </w:tcBorders>
            <w:shd w:val="clear" w:color="000000" w:fill="FFFFFF"/>
            <w:vAlign w:val="center"/>
            <w:hideMark/>
          </w:tcPr>
          <w:p w14:paraId="11A1BF84"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284</w:t>
            </w:r>
          </w:p>
        </w:tc>
        <w:tc>
          <w:tcPr>
            <w:tcW w:w="2475" w:type="dxa"/>
            <w:tcBorders>
              <w:top w:val="nil"/>
              <w:left w:val="nil"/>
              <w:bottom w:val="single" w:sz="4" w:space="0" w:color="auto"/>
              <w:right w:val="single" w:sz="4" w:space="0" w:color="auto"/>
            </w:tcBorders>
            <w:shd w:val="clear" w:color="000000" w:fill="FFFFFF"/>
            <w:vAlign w:val="center"/>
            <w:hideMark/>
          </w:tcPr>
          <w:p w14:paraId="053CE540"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88</w:t>
            </w:r>
          </w:p>
        </w:tc>
        <w:tc>
          <w:tcPr>
            <w:tcW w:w="1490" w:type="dxa"/>
            <w:tcBorders>
              <w:top w:val="nil"/>
              <w:left w:val="nil"/>
              <w:bottom w:val="single" w:sz="4" w:space="0" w:color="auto"/>
              <w:right w:val="single" w:sz="4" w:space="0" w:color="auto"/>
            </w:tcBorders>
            <w:shd w:val="clear" w:color="000000" w:fill="FFFFFF"/>
            <w:vAlign w:val="center"/>
            <w:hideMark/>
          </w:tcPr>
          <w:p w14:paraId="0C3387DE"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151</w:t>
            </w:r>
          </w:p>
        </w:tc>
        <w:tc>
          <w:tcPr>
            <w:tcW w:w="1492" w:type="dxa"/>
            <w:tcBorders>
              <w:top w:val="nil"/>
              <w:left w:val="nil"/>
              <w:bottom w:val="single" w:sz="4" w:space="0" w:color="auto"/>
              <w:right w:val="single" w:sz="4" w:space="0" w:color="auto"/>
            </w:tcBorders>
            <w:shd w:val="clear" w:color="000000" w:fill="FFFFFF"/>
            <w:vAlign w:val="center"/>
            <w:hideMark/>
          </w:tcPr>
          <w:p w14:paraId="2FF00B4B"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313</w:t>
            </w:r>
          </w:p>
        </w:tc>
        <w:tc>
          <w:tcPr>
            <w:tcW w:w="2093" w:type="dxa"/>
            <w:tcBorders>
              <w:top w:val="nil"/>
              <w:left w:val="nil"/>
              <w:bottom w:val="single" w:sz="4" w:space="0" w:color="auto"/>
              <w:right w:val="single" w:sz="4" w:space="0" w:color="auto"/>
            </w:tcBorders>
            <w:shd w:val="clear" w:color="000000" w:fill="FFFFFF"/>
            <w:vAlign w:val="center"/>
            <w:hideMark/>
          </w:tcPr>
          <w:p w14:paraId="26EE0634"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145</w:t>
            </w:r>
          </w:p>
        </w:tc>
        <w:tc>
          <w:tcPr>
            <w:tcW w:w="1782" w:type="dxa"/>
            <w:tcBorders>
              <w:top w:val="nil"/>
              <w:left w:val="nil"/>
              <w:bottom w:val="single" w:sz="4" w:space="0" w:color="auto"/>
              <w:right w:val="single" w:sz="4" w:space="0" w:color="auto"/>
            </w:tcBorders>
            <w:shd w:val="clear" w:color="000000" w:fill="FFFFFF"/>
            <w:vAlign w:val="center"/>
            <w:hideMark/>
          </w:tcPr>
          <w:p w14:paraId="1470B716"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105</w:t>
            </w:r>
          </w:p>
        </w:tc>
      </w:tr>
      <w:tr w:rsidR="00BC195E" w:rsidRPr="00BC195E" w14:paraId="33CE6681" w14:textId="77777777" w:rsidTr="00BC195E">
        <w:trPr>
          <w:trHeight w:val="20"/>
        </w:trPr>
        <w:tc>
          <w:tcPr>
            <w:tcW w:w="2254" w:type="dxa"/>
            <w:tcBorders>
              <w:top w:val="nil"/>
              <w:left w:val="single" w:sz="4" w:space="0" w:color="auto"/>
              <w:bottom w:val="single" w:sz="4" w:space="0" w:color="auto"/>
              <w:right w:val="single" w:sz="4" w:space="0" w:color="auto"/>
            </w:tcBorders>
            <w:shd w:val="clear" w:color="000000" w:fill="FFFFFF"/>
            <w:vAlign w:val="center"/>
            <w:hideMark/>
          </w:tcPr>
          <w:p w14:paraId="1B046F0C" w14:textId="393E750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p>
        </w:tc>
        <w:tc>
          <w:tcPr>
            <w:tcW w:w="2767" w:type="dxa"/>
            <w:tcBorders>
              <w:top w:val="nil"/>
              <w:left w:val="nil"/>
              <w:bottom w:val="single" w:sz="4" w:space="0" w:color="auto"/>
              <w:right w:val="single" w:sz="4" w:space="0" w:color="auto"/>
            </w:tcBorders>
            <w:shd w:val="clear" w:color="000000" w:fill="FFFFFF"/>
            <w:vAlign w:val="center"/>
            <w:hideMark/>
          </w:tcPr>
          <w:p w14:paraId="1424D66F"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BC195E">
              <w:rPr>
                <w:rFonts w:ascii="Times New Roman" w:eastAsia="Times New Roman" w:hAnsi="Times New Roman" w:cs="Times New Roman"/>
                <w:i/>
                <w:iCs/>
                <w:color w:val="1A1C1E"/>
                <w:kern w:val="0"/>
                <w:sz w:val="22"/>
                <w:szCs w:val="22"/>
                <w:lang w:eastAsia="en-IN"/>
                <w14:ligatures w14:val="none"/>
              </w:rPr>
              <w:t>3.6</w:t>
            </w:r>
          </w:p>
        </w:tc>
        <w:tc>
          <w:tcPr>
            <w:tcW w:w="2475" w:type="dxa"/>
            <w:tcBorders>
              <w:top w:val="nil"/>
              <w:left w:val="nil"/>
              <w:bottom w:val="single" w:sz="4" w:space="0" w:color="auto"/>
              <w:right w:val="single" w:sz="4" w:space="0" w:color="auto"/>
            </w:tcBorders>
            <w:shd w:val="clear" w:color="000000" w:fill="FFFFFF"/>
            <w:vAlign w:val="center"/>
            <w:hideMark/>
          </w:tcPr>
          <w:p w14:paraId="64432734"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BC195E">
              <w:rPr>
                <w:rFonts w:ascii="Times New Roman" w:eastAsia="Times New Roman" w:hAnsi="Times New Roman" w:cs="Times New Roman"/>
                <w:i/>
                <w:iCs/>
                <w:color w:val="1A1C1E"/>
                <w:kern w:val="0"/>
                <w:sz w:val="22"/>
                <w:szCs w:val="22"/>
                <w:lang w:eastAsia="en-IN"/>
                <w14:ligatures w14:val="none"/>
              </w:rPr>
              <w:t>1.1</w:t>
            </w:r>
          </w:p>
        </w:tc>
        <w:tc>
          <w:tcPr>
            <w:tcW w:w="1490" w:type="dxa"/>
            <w:tcBorders>
              <w:top w:val="nil"/>
              <w:left w:val="nil"/>
              <w:bottom w:val="single" w:sz="4" w:space="0" w:color="auto"/>
              <w:right w:val="single" w:sz="4" w:space="0" w:color="auto"/>
            </w:tcBorders>
            <w:shd w:val="clear" w:color="000000" w:fill="FFFFFF"/>
            <w:vAlign w:val="center"/>
            <w:hideMark/>
          </w:tcPr>
          <w:p w14:paraId="7F43EFA5"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BC195E">
              <w:rPr>
                <w:rFonts w:ascii="Times New Roman" w:eastAsia="Times New Roman" w:hAnsi="Times New Roman" w:cs="Times New Roman"/>
                <w:i/>
                <w:iCs/>
                <w:color w:val="1A1C1E"/>
                <w:kern w:val="0"/>
                <w:sz w:val="22"/>
                <w:szCs w:val="22"/>
                <w:lang w:eastAsia="en-IN"/>
                <w14:ligatures w14:val="none"/>
              </w:rPr>
              <w:t>1.9</w:t>
            </w:r>
          </w:p>
        </w:tc>
        <w:tc>
          <w:tcPr>
            <w:tcW w:w="1492" w:type="dxa"/>
            <w:tcBorders>
              <w:top w:val="nil"/>
              <w:left w:val="nil"/>
              <w:bottom w:val="single" w:sz="4" w:space="0" w:color="auto"/>
              <w:right w:val="single" w:sz="4" w:space="0" w:color="auto"/>
            </w:tcBorders>
            <w:shd w:val="clear" w:color="000000" w:fill="FFFFFF"/>
            <w:vAlign w:val="center"/>
            <w:hideMark/>
          </w:tcPr>
          <w:p w14:paraId="6C4D9383"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BC195E">
              <w:rPr>
                <w:rFonts w:ascii="Times New Roman" w:eastAsia="Times New Roman" w:hAnsi="Times New Roman" w:cs="Times New Roman"/>
                <w:i/>
                <w:iCs/>
                <w:color w:val="1A1C1E"/>
                <w:kern w:val="0"/>
                <w:sz w:val="22"/>
                <w:szCs w:val="22"/>
                <w:lang w:eastAsia="en-IN"/>
                <w14:ligatures w14:val="none"/>
              </w:rPr>
              <w:t>3.9</w:t>
            </w:r>
          </w:p>
        </w:tc>
        <w:tc>
          <w:tcPr>
            <w:tcW w:w="2093" w:type="dxa"/>
            <w:tcBorders>
              <w:top w:val="nil"/>
              <w:left w:val="nil"/>
              <w:bottom w:val="single" w:sz="4" w:space="0" w:color="auto"/>
              <w:right w:val="single" w:sz="4" w:space="0" w:color="auto"/>
            </w:tcBorders>
            <w:shd w:val="clear" w:color="000000" w:fill="FFFFFF"/>
            <w:vAlign w:val="center"/>
            <w:hideMark/>
          </w:tcPr>
          <w:p w14:paraId="7720EB1E"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BC195E">
              <w:rPr>
                <w:rFonts w:ascii="Times New Roman" w:eastAsia="Times New Roman" w:hAnsi="Times New Roman" w:cs="Times New Roman"/>
                <w:i/>
                <w:iCs/>
                <w:color w:val="1A1C1E"/>
                <w:kern w:val="0"/>
                <w:sz w:val="22"/>
                <w:szCs w:val="22"/>
                <w:lang w:eastAsia="en-IN"/>
                <w14:ligatures w14:val="none"/>
              </w:rPr>
              <w:t>1.8</w:t>
            </w:r>
          </w:p>
        </w:tc>
        <w:tc>
          <w:tcPr>
            <w:tcW w:w="1782" w:type="dxa"/>
            <w:tcBorders>
              <w:top w:val="nil"/>
              <w:left w:val="nil"/>
              <w:bottom w:val="single" w:sz="4" w:space="0" w:color="auto"/>
              <w:right w:val="single" w:sz="4" w:space="0" w:color="auto"/>
            </w:tcBorders>
            <w:shd w:val="clear" w:color="000000" w:fill="FFFFFF"/>
            <w:vAlign w:val="center"/>
            <w:hideMark/>
          </w:tcPr>
          <w:p w14:paraId="44E8D8B5"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BC195E">
              <w:rPr>
                <w:rFonts w:ascii="Times New Roman" w:eastAsia="Times New Roman" w:hAnsi="Times New Roman" w:cs="Times New Roman"/>
                <w:i/>
                <w:iCs/>
                <w:color w:val="1A1C1E"/>
                <w:kern w:val="0"/>
                <w:sz w:val="22"/>
                <w:szCs w:val="22"/>
                <w:lang w:eastAsia="en-IN"/>
                <w14:ligatures w14:val="none"/>
              </w:rPr>
              <w:t>1.3</w:t>
            </w:r>
          </w:p>
        </w:tc>
      </w:tr>
      <w:tr w:rsidR="00BC195E" w:rsidRPr="00BC195E" w14:paraId="0627EB39" w14:textId="77777777" w:rsidTr="00BC195E">
        <w:trPr>
          <w:trHeight w:val="20"/>
        </w:trPr>
        <w:tc>
          <w:tcPr>
            <w:tcW w:w="2254" w:type="dxa"/>
            <w:tcBorders>
              <w:top w:val="nil"/>
              <w:left w:val="single" w:sz="4" w:space="0" w:color="auto"/>
              <w:bottom w:val="single" w:sz="4" w:space="0" w:color="auto"/>
              <w:right w:val="single" w:sz="4" w:space="0" w:color="auto"/>
            </w:tcBorders>
            <w:shd w:val="clear" w:color="000000" w:fill="FFFFFF"/>
            <w:vAlign w:val="center"/>
            <w:hideMark/>
          </w:tcPr>
          <w:p w14:paraId="103F3909"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Mysore</w:t>
            </w:r>
          </w:p>
        </w:tc>
        <w:tc>
          <w:tcPr>
            <w:tcW w:w="2767" w:type="dxa"/>
            <w:tcBorders>
              <w:top w:val="nil"/>
              <w:left w:val="nil"/>
              <w:bottom w:val="single" w:sz="4" w:space="0" w:color="auto"/>
              <w:right w:val="single" w:sz="4" w:space="0" w:color="auto"/>
            </w:tcBorders>
            <w:shd w:val="clear" w:color="000000" w:fill="FFFFFF"/>
            <w:vAlign w:val="center"/>
            <w:hideMark/>
          </w:tcPr>
          <w:p w14:paraId="647BBD66"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175</w:t>
            </w:r>
          </w:p>
        </w:tc>
        <w:tc>
          <w:tcPr>
            <w:tcW w:w="2475" w:type="dxa"/>
            <w:tcBorders>
              <w:top w:val="nil"/>
              <w:left w:val="nil"/>
              <w:bottom w:val="single" w:sz="4" w:space="0" w:color="auto"/>
              <w:right w:val="single" w:sz="4" w:space="0" w:color="auto"/>
            </w:tcBorders>
            <w:shd w:val="clear" w:color="000000" w:fill="FFFFFF"/>
            <w:vAlign w:val="center"/>
            <w:hideMark/>
          </w:tcPr>
          <w:p w14:paraId="7A1DD58E"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62</w:t>
            </w:r>
          </w:p>
        </w:tc>
        <w:tc>
          <w:tcPr>
            <w:tcW w:w="1490" w:type="dxa"/>
            <w:tcBorders>
              <w:top w:val="nil"/>
              <w:left w:val="nil"/>
              <w:bottom w:val="single" w:sz="4" w:space="0" w:color="auto"/>
              <w:right w:val="single" w:sz="4" w:space="0" w:color="auto"/>
            </w:tcBorders>
            <w:shd w:val="clear" w:color="000000" w:fill="FFFFFF"/>
            <w:vAlign w:val="center"/>
            <w:hideMark/>
          </w:tcPr>
          <w:p w14:paraId="6596B12E"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85</w:t>
            </w:r>
          </w:p>
        </w:tc>
        <w:tc>
          <w:tcPr>
            <w:tcW w:w="1492" w:type="dxa"/>
            <w:tcBorders>
              <w:top w:val="nil"/>
              <w:left w:val="nil"/>
              <w:bottom w:val="single" w:sz="4" w:space="0" w:color="auto"/>
              <w:right w:val="single" w:sz="4" w:space="0" w:color="auto"/>
            </w:tcBorders>
            <w:shd w:val="clear" w:color="000000" w:fill="FFFFFF"/>
            <w:vAlign w:val="center"/>
            <w:hideMark/>
          </w:tcPr>
          <w:p w14:paraId="611810A5"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626</w:t>
            </w:r>
          </w:p>
        </w:tc>
        <w:tc>
          <w:tcPr>
            <w:tcW w:w="2093" w:type="dxa"/>
            <w:tcBorders>
              <w:top w:val="nil"/>
              <w:left w:val="nil"/>
              <w:bottom w:val="single" w:sz="4" w:space="0" w:color="auto"/>
              <w:right w:val="single" w:sz="4" w:space="0" w:color="auto"/>
            </w:tcBorders>
            <w:shd w:val="clear" w:color="000000" w:fill="FFFFFF"/>
            <w:vAlign w:val="center"/>
            <w:hideMark/>
          </w:tcPr>
          <w:p w14:paraId="73436919"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274</w:t>
            </w:r>
          </w:p>
        </w:tc>
        <w:tc>
          <w:tcPr>
            <w:tcW w:w="1782" w:type="dxa"/>
            <w:tcBorders>
              <w:top w:val="nil"/>
              <w:left w:val="nil"/>
              <w:bottom w:val="single" w:sz="4" w:space="0" w:color="auto"/>
              <w:right w:val="single" w:sz="4" w:space="0" w:color="auto"/>
            </w:tcBorders>
            <w:shd w:val="clear" w:color="000000" w:fill="FFFFFF"/>
            <w:vAlign w:val="center"/>
            <w:hideMark/>
          </w:tcPr>
          <w:p w14:paraId="7C23D825"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102</w:t>
            </w:r>
          </w:p>
        </w:tc>
      </w:tr>
      <w:tr w:rsidR="00BC195E" w:rsidRPr="00BC195E" w14:paraId="14685207" w14:textId="77777777" w:rsidTr="00BC195E">
        <w:trPr>
          <w:trHeight w:val="20"/>
        </w:trPr>
        <w:tc>
          <w:tcPr>
            <w:tcW w:w="2254" w:type="dxa"/>
            <w:tcBorders>
              <w:top w:val="nil"/>
              <w:left w:val="single" w:sz="4" w:space="0" w:color="auto"/>
              <w:bottom w:val="single" w:sz="4" w:space="0" w:color="auto"/>
              <w:right w:val="single" w:sz="4" w:space="0" w:color="auto"/>
            </w:tcBorders>
            <w:shd w:val="clear" w:color="000000" w:fill="FFFFFF"/>
            <w:vAlign w:val="center"/>
            <w:hideMark/>
          </w:tcPr>
          <w:p w14:paraId="44778CD9" w14:textId="2C1C62BD"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p>
        </w:tc>
        <w:tc>
          <w:tcPr>
            <w:tcW w:w="2767" w:type="dxa"/>
            <w:tcBorders>
              <w:top w:val="nil"/>
              <w:left w:val="nil"/>
              <w:bottom w:val="single" w:sz="4" w:space="0" w:color="auto"/>
              <w:right w:val="single" w:sz="4" w:space="0" w:color="auto"/>
            </w:tcBorders>
            <w:shd w:val="clear" w:color="000000" w:fill="FFFFFF"/>
            <w:vAlign w:val="center"/>
            <w:hideMark/>
          </w:tcPr>
          <w:p w14:paraId="396341F1"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BC195E">
              <w:rPr>
                <w:rFonts w:ascii="Times New Roman" w:eastAsia="Times New Roman" w:hAnsi="Times New Roman" w:cs="Times New Roman"/>
                <w:i/>
                <w:iCs/>
                <w:color w:val="1A1C1E"/>
                <w:kern w:val="0"/>
                <w:sz w:val="22"/>
                <w:szCs w:val="22"/>
                <w:lang w:eastAsia="en-IN"/>
                <w14:ligatures w14:val="none"/>
              </w:rPr>
              <w:t>1.9</w:t>
            </w:r>
          </w:p>
        </w:tc>
        <w:tc>
          <w:tcPr>
            <w:tcW w:w="2475" w:type="dxa"/>
            <w:tcBorders>
              <w:top w:val="nil"/>
              <w:left w:val="nil"/>
              <w:bottom w:val="single" w:sz="4" w:space="0" w:color="auto"/>
              <w:right w:val="single" w:sz="4" w:space="0" w:color="auto"/>
            </w:tcBorders>
            <w:shd w:val="clear" w:color="000000" w:fill="FFFFFF"/>
            <w:vAlign w:val="center"/>
            <w:hideMark/>
          </w:tcPr>
          <w:p w14:paraId="2FE57D9D"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BC195E">
              <w:rPr>
                <w:rFonts w:ascii="Times New Roman" w:eastAsia="Times New Roman" w:hAnsi="Times New Roman" w:cs="Times New Roman"/>
                <w:i/>
                <w:iCs/>
                <w:color w:val="1A1C1E"/>
                <w:kern w:val="0"/>
                <w:sz w:val="22"/>
                <w:szCs w:val="22"/>
                <w:lang w:eastAsia="en-IN"/>
                <w14:ligatures w14:val="none"/>
              </w:rPr>
              <w:t>0.7</w:t>
            </w:r>
          </w:p>
        </w:tc>
        <w:tc>
          <w:tcPr>
            <w:tcW w:w="1490" w:type="dxa"/>
            <w:tcBorders>
              <w:top w:val="nil"/>
              <w:left w:val="nil"/>
              <w:bottom w:val="single" w:sz="4" w:space="0" w:color="auto"/>
              <w:right w:val="single" w:sz="4" w:space="0" w:color="auto"/>
            </w:tcBorders>
            <w:shd w:val="clear" w:color="000000" w:fill="FFFFFF"/>
            <w:vAlign w:val="center"/>
            <w:hideMark/>
          </w:tcPr>
          <w:p w14:paraId="1210B951"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BC195E">
              <w:rPr>
                <w:rFonts w:ascii="Times New Roman" w:eastAsia="Times New Roman" w:hAnsi="Times New Roman" w:cs="Times New Roman"/>
                <w:i/>
                <w:iCs/>
                <w:color w:val="1A1C1E"/>
                <w:kern w:val="0"/>
                <w:sz w:val="22"/>
                <w:szCs w:val="22"/>
                <w:lang w:eastAsia="en-IN"/>
                <w14:ligatures w14:val="none"/>
              </w:rPr>
              <w:t>0.9</w:t>
            </w:r>
          </w:p>
        </w:tc>
        <w:tc>
          <w:tcPr>
            <w:tcW w:w="1492" w:type="dxa"/>
            <w:tcBorders>
              <w:top w:val="nil"/>
              <w:left w:val="nil"/>
              <w:bottom w:val="single" w:sz="4" w:space="0" w:color="auto"/>
              <w:right w:val="single" w:sz="4" w:space="0" w:color="auto"/>
            </w:tcBorders>
            <w:shd w:val="clear" w:color="000000" w:fill="FFFFFF"/>
            <w:vAlign w:val="center"/>
            <w:hideMark/>
          </w:tcPr>
          <w:p w14:paraId="26A224A1"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BC195E">
              <w:rPr>
                <w:rFonts w:ascii="Times New Roman" w:eastAsia="Times New Roman" w:hAnsi="Times New Roman" w:cs="Times New Roman"/>
                <w:i/>
                <w:iCs/>
                <w:color w:val="1A1C1E"/>
                <w:kern w:val="0"/>
                <w:sz w:val="22"/>
                <w:szCs w:val="22"/>
                <w:lang w:eastAsia="en-IN"/>
                <w14:ligatures w14:val="none"/>
              </w:rPr>
              <w:t>6.9</w:t>
            </w:r>
          </w:p>
        </w:tc>
        <w:tc>
          <w:tcPr>
            <w:tcW w:w="2093" w:type="dxa"/>
            <w:tcBorders>
              <w:top w:val="nil"/>
              <w:left w:val="nil"/>
              <w:bottom w:val="single" w:sz="4" w:space="0" w:color="auto"/>
              <w:right w:val="single" w:sz="4" w:space="0" w:color="auto"/>
            </w:tcBorders>
            <w:shd w:val="clear" w:color="000000" w:fill="FFFFFF"/>
            <w:vAlign w:val="center"/>
            <w:hideMark/>
          </w:tcPr>
          <w:p w14:paraId="356403EA" w14:textId="38676378" w:rsidR="00BC195E" w:rsidRPr="00BC195E" w:rsidRDefault="00BC195E" w:rsidP="00BC195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BC195E">
              <w:rPr>
                <w:rFonts w:ascii="Times New Roman" w:eastAsia="Times New Roman" w:hAnsi="Times New Roman" w:cs="Times New Roman"/>
                <w:i/>
                <w:iCs/>
                <w:color w:val="1A1C1E"/>
                <w:kern w:val="0"/>
                <w:sz w:val="22"/>
                <w:szCs w:val="22"/>
                <w:lang w:eastAsia="en-IN"/>
                <w14:ligatures w14:val="none"/>
              </w:rPr>
              <w:t>3</w:t>
            </w:r>
            <w:r w:rsidR="00FD66C9">
              <w:rPr>
                <w:rFonts w:ascii="Times New Roman" w:eastAsia="Times New Roman" w:hAnsi="Times New Roman" w:cs="Times New Roman"/>
                <w:i/>
                <w:iCs/>
                <w:color w:val="1A1C1E"/>
                <w:kern w:val="0"/>
                <w:sz w:val="22"/>
                <w:szCs w:val="22"/>
                <w:lang w:eastAsia="en-IN"/>
                <w14:ligatures w14:val="none"/>
              </w:rPr>
              <w:t>.0</w:t>
            </w:r>
          </w:p>
        </w:tc>
        <w:tc>
          <w:tcPr>
            <w:tcW w:w="1782" w:type="dxa"/>
            <w:tcBorders>
              <w:top w:val="nil"/>
              <w:left w:val="nil"/>
              <w:bottom w:val="single" w:sz="4" w:space="0" w:color="auto"/>
              <w:right w:val="single" w:sz="4" w:space="0" w:color="auto"/>
            </w:tcBorders>
            <w:shd w:val="clear" w:color="000000" w:fill="FFFFFF"/>
            <w:vAlign w:val="center"/>
            <w:hideMark/>
          </w:tcPr>
          <w:p w14:paraId="58F6F02A"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BC195E">
              <w:rPr>
                <w:rFonts w:ascii="Times New Roman" w:eastAsia="Times New Roman" w:hAnsi="Times New Roman" w:cs="Times New Roman"/>
                <w:i/>
                <w:iCs/>
                <w:color w:val="1A1C1E"/>
                <w:kern w:val="0"/>
                <w:sz w:val="22"/>
                <w:szCs w:val="22"/>
                <w:lang w:eastAsia="en-IN"/>
                <w14:ligatures w14:val="none"/>
              </w:rPr>
              <w:t>1.1</w:t>
            </w:r>
          </w:p>
        </w:tc>
      </w:tr>
      <w:tr w:rsidR="00BC195E" w:rsidRPr="00BC195E" w14:paraId="31DFAB57" w14:textId="77777777" w:rsidTr="00BC195E">
        <w:trPr>
          <w:trHeight w:val="20"/>
        </w:trPr>
        <w:tc>
          <w:tcPr>
            <w:tcW w:w="2254" w:type="dxa"/>
            <w:tcBorders>
              <w:top w:val="nil"/>
              <w:left w:val="single" w:sz="4" w:space="0" w:color="auto"/>
              <w:bottom w:val="single" w:sz="4" w:space="0" w:color="auto"/>
              <w:right w:val="single" w:sz="4" w:space="0" w:color="auto"/>
            </w:tcBorders>
            <w:shd w:val="clear" w:color="000000" w:fill="FFFFFF"/>
            <w:vAlign w:val="center"/>
            <w:hideMark/>
          </w:tcPr>
          <w:p w14:paraId="011F970F"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Patiala and East Punjab States Union</w:t>
            </w:r>
          </w:p>
        </w:tc>
        <w:tc>
          <w:tcPr>
            <w:tcW w:w="2767" w:type="dxa"/>
            <w:tcBorders>
              <w:top w:val="nil"/>
              <w:left w:val="nil"/>
              <w:bottom w:val="single" w:sz="4" w:space="0" w:color="auto"/>
              <w:right w:val="single" w:sz="4" w:space="0" w:color="auto"/>
            </w:tcBorders>
            <w:shd w:val="clear" w:color="000000" w:fill="FFFFFF"/>
            <w:vAlign w:val="center"/>
            <w:hideMark/>
          </w:tcPr>
          <w:p w14:paraId="33F2DCFD"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132</w:t>
            </w:r>
          </w:p>
        </w:tc>
        <w:tc>
          <w:tcPr>
            <w:tcW w:w="2475" w:type="dxa"/>
            <w:tcBorders>
              <w:top w:val="nil"/>
              <w:left w:val="nil"/>
              <w:bottom w:val="single" w:sz="4" w:space="0" w:color="auto"/>
              <w:right w:val="single" w:sz="4" w:space="0" w:color="auto"/>
            </w:tcBorders>
            <w:shd w:val="clear" w:color="000000" w:fill="FFFFFF"/>
            <w:vAlign w:val="center"/>
            <w:hideMark/>
          </w:tcPr>
          <w:p w14:paraId="071494C8"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41</w:t>
            </w:r>
          </w:p>
        </w:tc>
        <w:tc>
          <w:tcPr>
            <w:tcW w:w="1490" w:type="dxa"/>
            <w:tcBorders>
              <w:top w:val="nil"/>
              <w:left w:val="nil"/>
              <w:bottom w:val="single" w:sz="4" w:space="0" w:color="auto"/>
              <w:right w:val="single" w:sz="4" w:space="0" w:color="auto"/>
            </w:tcBorders>
            <w:shd w:val="clear" w:color="000000" w:fill="FFFFFF"/>
            <w:vAlign w:val="center"/>
            <w:hideMark/>
          </w:tcPr>
          <w:p w14:paraId="3B9C647B"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67</w:t>
            </w:r>
          </w:p>
        </w:tc>
        <w:tc>
          <w:tcPr>
            <w:tcW w:w="1492" w:type="dxa"/>
            <w:tcBorders>
              <w:top w:val="nil"/>
              <w:left w:val="nil"/>
              <w:bottom w:val="single" w:sz="4" w:space="0" w:color="auto"/>
              <w:right w:val="single" w:sz="4" w:space="0" w:color="auto"/>
            </w:tcBorders>
            <w:shd w:val="clear" w:color="000000" w:fill="FFFFFF"/>
            <w:vAlign w:val="center"/>
            <w:hideMark/>
          </w:tcPr>
          <w:p w14:paraId="79C79E21"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118</w:t>
            </w:r>
          </w:p>
        </w:tc>
        <w:tc>
          <w:tcPr>
            <w:tcW w:w="2093" w:type="dxa"/>
            <w:tcBorders>
              <w:top w:val="nil"/>
              <w:left w:val="nil"/>
              <w:bottom w:val="single" w:sz="4" w:space="0" w:color="auto"/>
              <w:right w:val="single" w:sz="4" w:space="0" w:color="auto"/>
            </w:tcBorders>
            <w:shd w:val="clear" w:color="000000" w:fill="FFFFFF"/>
            <w:vAlign w:val="center"/>
            <w:hideMark/>
          </w:tcPr>
          <w:p w14:paraId="7A0A5F9B"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61</w:t>
            </w:r>
          </w:p>
        </w:tc>
        <w:tc>
          <w:tcPr>
            <w:tcW w:w="1782" w:type="dxa"/>
            <w:tcBorders>
              <w:top w:val="nil"/>
              <w:left w:val="nil"/>
              <w:bottom w:val="single" w:sz="4" w:space="0" w:color="auto"/>
              <w:right w:val="single" w:sz="4" w:space="0" w:color="auto"/>
            </w:tcBorders>
            <w:shd w:val="clear" w:color="000000" w:fill="FFFFFF"/>
            <w:vAlign w:val="center"/>
            <w:hideMark/>
          </w:tcPr>
          <w:p w14:paraId="7B02B4D1"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44</w:t>
            </w:r>
          </w:p>
        </w:tc>
      </w:tr>
      <w:tr w:rsidR="00BC195E" w:rsidRPr="00BC195E" w14:paraId="057C1708" w14:textId="77777777" w:rsidTr="00BC195E">
        <w:trPr>
          <w:trHeight w:val="20"/>
        </w:trPr>
        <w:tc>
          <w:tcPr>
            <w:tcW w:w="2254" w:type="dxa"/>
            <w:tcBorders>
              <w:top w:val="nil"/>
              <w:left w:val="single" w:sz="4" w:space="0" w:color="auto"/>
              <w:bottom w:val="single" w:sz="4" w:space="0" w:color="auto"/>
              <w:right w:val="single" w:sz="4" w:space="0" w:color="auto"/>
            </w:tcBorders>
            <w:shd w:val="clear" w:color="000000" w:fill="FFFFFF"/>
            <w:vAlign w:val="center"/>
            <w:hideMark/>
          </w:tcPr>
          <w:p w14:paraId="6CBCF45B" w14:textId="5804B44A"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p>
        </w:tc>
        <w:tc>
          <w:tcPr>
            <w:tcW w:w="2767" w:type="dxa"/>
            <w:tcBorders>
              <w:top w:val="nil"/>
              <w:left w:val="nil"/>
              <w:bottom w:val="single" w:sz="4" w:space="0" w:color="auto"/>
              <w:right w:val="single" w:sz="4" w:space="0" w:color="auto"/>
            </w:tcBorders>
            <w:shd w:val="clear" w:color="000000" w:fill="FFFFFF"/>
            <w:vAlign w:val="center"/>
            <w:hideMark/>
          </w:tcPr>
          <w:p w14:paraId="27F73967"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BC195E">
              <w:rPr>
                <w:rFonts w:ascii="Times New Roman" w:eastAsia="Times New Roman" w:hAnsi="Times New Roman" w:cs="Times New Roman"/>
                <w:i/>
                <w:iCs/>
                <w:color w:val="1A1C1E"/>
                <w:kern w:val="0"/>
                <w:sz w:val="22"/>
                <w:szCs w:val="22"/>
                <w:lang w:eastAsia="en-IN"/>
                <w14:ligatures w14:val="none"/>
              </w:rPr>
              <w:t>3.8</w:t>
            </w:r>
          </w:p>
        </w:tc>
        <w:tc>
          <w:tcPr>
            <w:tcW w:w="2475" w:type="dxa"/>
            <w:tcBorders>
              <w:top w:val="nil"/>
              <w:left w:val="nil"/>
              <w:bottom w:val="single" w:sz="4" w:space="0" w:color="auto"/>
              <w:right w:val="single" w:sz="4" w:space="0" w:color="auto"/>
            </w:tcBorders>
            <w:shd w:val="clear" w:color="000000" w:fill="FFFFFF"/>
            <w:vAlign w:val="center"/>
            <w:hideMark/>
          </w:tcPr>
          <w:p w14:paraId="5261DF16"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BC195E">
              <w:rPr>
                <w:rFonts w:ascii="Times New Roman" w:eastAsia="Times New Roman" w:hAnsi="Times New Roman" w:cs="Times New Roman"/>
                <w:i/>
                <w:iCs/>
                <w:color w:val="1A1C1E"/>
                <w:kern w:val="0"/>
                <w:sz w:val="22"/>
                <w:szCs w:val="22"/>
                <w:lang w:eastAsia="en-IN"/>
                <w14:ligatures w14:val="none"/>
              </w:rPr>
              <w:t>1.2</w:t>
            </w:r>
          </w:p>
        </w:tc>
        <w:tc>
          <w:tcPr>
            <w:tcW w:w="1490" w:type="dxa"/>
            <w:tcBorders>
              <w:top w:val="nil"/>
              <w:left w:val="nil"/>
              <w:bottom w:val="single" w:sz="4" w:space="0" w:color="auto"/>
              <w:right w:val="single" w:sz="4" w:space="0" w:color="auto"/>
            </w:tcBorders>
            <w:shd w:val="clear" w:color="000000" w:fill="FFFFFF"/>
            <w:vAlign w:val="center"/>
            <w:hideMark/>
          </w:tcPr>
          <w:p w14:paraId="0FB83174"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BC195E">
              <w:rPr>
                <w:rFonts w:ascii="Times New Roman" w:eastAsia="Times New Roman" w:hAnsi="Times New Roman" w:cs="Times New Roman"/>
                <w:i/>
                <w:iCs/>
                <w:color w:val="1A1C1E"/>
                <w:kern w:val="0"/>
                <w:sz w:val="22"/>
                <w:szCs w:val="22"/>
                <w:lang w:eastAsia="en-IN"/>
                <w14:ligatures w14:val="none"/>
              </w:rPr>
              <w:t>1.9</w:t>
            </w:r>
          </w:p>
        </w:tc>
        <w:tc>
          <w:tcPr>
            <w:tcW w:w="1492" w:type="dxa"/>
            <w:tcBorders>
              <w:top w:val="nil"/>
              <w:left w:val="nil"/>
              <w:bottom w:val="single" w:sz="4" w:space="0" w:color="auto"/>
              <w:right w:val="single" w:sz="4" w:space="0" w:color="auto"/>
            </w:tcBorders>
            <w:shd w:val="clear" w:color="000000" w:fill="FFFFFF"/>
            <w:vAlign w:val="center"/>
            <w:hideMark/>
          </w:tcPr>
          <w:p w14:paraId="284DD62E"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BC195E">
              <w:rPr>
                <w:rFonts w:ascii="Times New Roman" w:eastAsia="Times New Roman" w:hAnsi="Times New Roman" w:cs="Times New Roman"/>
                <w:i/>
                <w:iCs/>
                <w:color w:val="1A1C1E"/>
                <w:kern w:val="0"/>
                <w:sz w:val="22"/>
                <w:szCs w:val="22"/>
                <w:lang w:eastAsia="en-IN"/>
                <w14:ligatures w14:val="none"/>
              </w:rPr>
              <w:t>3.4</w:t>
            </w:r>
          </w:p>
        </w:tc>
        <w:tc>
          <w:tcPr>
            <w:tcW w:w="2093" w:type="dxa"/>
            <w:tcBorders>
              <w:top w:val="nil"/>
              <w:left w:val="nil"/>
              <w:bottom w:val="single" w:sz="4" w:space="0" w:color="auto"/>
              <w:right w:val="single" w:sz="4" w:space="0" w:color="auto"/>
            </w:tcBorders>
            <w:shd w:val="clear" w:color="000000" w:fill="FFFFFF"/>
            <w:vAlign w:val="center"/>
            <w:hideMark/>
          </w:tcPr>
          <w:p w14:paraId="4D1E6E8A"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BC195E">
              <w:rPr>
                <w:rFonts w:ascii="Times New Roman" w:eastAsia="Times New Roman" w:hAnsi="Times New Roman" w:cs="Times New Roman"/>
                <w:i/>
                <w:iCs/>
                <w:color w:val="1A1C1E"/>
                <w:kern w:val="0"/>
                <w:sz w:val="22"/>
                <w:szCs w:val="22"/>
                <w:lang w:eastAsia="en-IN"/>
                <w14:ligatures w14:val="none"/>
              </w:rPr>
              <w:t>1.7</w:t>
            </w:r>
          </w:p>
        </w:tc>
        <w:tc>
          <w:tcPr>
            <w:tcW w:w="1782" w:type="dxa"/>
            <w:tcBorders>
              <w:top w:val="nil"/>
              <w:left w:val="nil"/>
              <w:bottom w:val="single" w:sz="4" w:space="0" w:color="auto"/>
              <w:right w:val="single" w:sz="4" w:space="0" w:color="auto"/>
            </w:tcBorders>
            <w:shd w:val="clear" w:color="000000" w:fill="FFFFFF"/>
            <w:vAlign w:val="center"/>
            <w:hideMark/>
          </w:tcPr>
          <w:p w14:paraId="23837715"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BC195E">
              <w:rPr>
                <w:rFonts w:ascii="Times New Roman" w:eastAsia="Times New Roman" w:hAnsi="Times New Roman" w:cs="Times New Roman"/>
                <w:i/>
                <w:iCs/>
                <w:color w:val="1A1C1E"/>
                <w:kern w:val="0"/>
                <w:sz w:val="22"/>
                <w:szCs w:val="22"/>
                <w:lang w:eastAsia="en-IN"/>
                <w14:ligatures w14:val="none"/>
              </w:rPr>
              <w:t>1.3</w:t>
            </w:r>
          </w:p>
        </w:tc>
      </w:tr>
      <w:tr w:rsidR="00BC195E" w:rsidRPr="00BC195E" w14:paraId="0A943386" w14:textId="77777777" w:rsidTr="00BC195E">
        <w:trPr>
          <w:trHeight w:val="20"/>
        </w:trPr>
        <w:tc>
          <w:tcPr>
            <w:tcW w:w="2254" w:type="dxa"/>
            <w:tcBorders>
              <w:top w:val="nil"/>
              <w:left w:val="single" w:sz="4" w:space="0" w:color="auto"/>
              <w:bottom w:val="single" w:sz="4" w:space="0" w:color="auto"/>
              <w:right w:val="single" w:sz="4" w:space="0" w:color="auto"/>
            </w:tcBorders>
            <w:shd w:val="clear" w:color="000000" w:fill="FFFFFF"/>
            <w:vAlign w:val="center"/>
            <w:hideMark/>
          </w:tcPr>
          <w:p w14:paraId="048C3C71"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lastRenderedPageBreak/>
              <w:t>Rajasthan</w:t>
            </w:r>
          </w:p>
        </w:tc>
        <w:tc>
          <w:tcPr>
            <w:tcW w:w="2767" w:type="dxa"/>
            <w:tcBorders>
              <w:top w:val="nil"/>
              <w:left w:val="nil"/>
              <w:bottom w:val="single" w:sz="4" w:space="0" w:color="auto"/>
              <w:right w:val="single" w:sz="4" w:space="0" w:color="auto"/>
            </w:tcBorders>
            <w:shd w:val="clear" w:color="000000" w:fill="FFFFFF"/>
            <w:vAlign w:val="center"/>
            <w:hideMark/>
          </w:tcPr>
          <w:p w14:paraId="12F766D0"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412</w:t>
            </w:r>
          </w:p>
        </w:tc>
        <w:tc>
          <w:tcPr>
            <w:tcW w:w="2475" w:type="dxa"/>
            <w:tcBorders>
              <w:top w:val="nil"/>
              <w:left w:val="nil"/>
              <w:bottom w:val="single" w:sz="4" w:space="0" w:color="auto"/>
              <w:right w:val="single" w:sz="4" w:space="0" w:color="auto"/>
            </w:tcBorders>
            <w:shd w:val="clear" w:color="000000" w:fill="FFFFFF"/>
            <w:vAlign w:val="center"/>
            <w:hideMark/>
          </w:tcPr>
          <w:p w14:paraId="382FF009"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145</w:t>
            </w:r>
          </w:p>
        </w:tc>
        <w:tc>
          <w:tcPr>
            <w:tcW w:w="1490" w:type="dxa"/>
            <w:tcBorders>
              <w:top w:val="nil"/>
              <w:left w:val="nil"/>
              <w:bottom w:val="single" w:sz="4" w:space="0" w:color="auto"/>
              <w:right w:val="single" w:sz="4" w:space="0" w:color="auto"/>
            </w:tcBorders>
            <w:shd w:val="clear" w:color="000000" w:fill="FFFFFF"/>
            <w:vAlign w:val="center"/>
            <w:hideMark/>
          </w:tcPr>
          <w:p w14:paraId="22186522"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218</w:t>
            </w:r>
          </w:p>
        </w:tc>
        <w:tc>
          <w:tcPr>
            <w:tcW w:w="1492" w:type="dxa"/>
            <w:tcBorders>
              <w:top w:val="nil"/>
              <w:left w:val="nil"/>
              <w:bottom w:val="single" w:sz="4" w:space="0" w:color="auto"/>
              <w:right w:val="single" w:sz="4" w:space="0" w:color="auto"/>
            </w:tcBorders>
            <w:shd w:val="clear" w:color="000000" w:fill="FFFFFF"/>
            <w:vAlign w:val="center"/>
            <w:hideMark/>
          </w:tcPr>
          <w:p w14:paraId="1CEC975B"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370</w:t>
            </w:r>
          </w:p>
        </w:tc>
        <w:tc>
          <w:tcPr>
            <w:tcW w:w="2093" w:type="dxa"/>
            <w:tcBorders>
              <w:top w:val="nil"/>
              <w:left w:val="nil"/>
              <w:bottom w:val="single" w:sz="4" w:space="0" w:color="auto"/>
              <w:right w:val="single" w:sz="4" w:space="0" w:color="auto"/>
            </w:tcBorders>
            <w:shd w:val="clear" w:color="000000" w:fill="FFFFFF"/>
            <w:vAlign w:val="center"/>
            <w:hideMark/>
          </w:tcPr>
          <w:p w14:paraId="3B7734E8"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202</w:t>
            </w:r>
          </w:p>
        </w:tc>
        <w:tc>
          <w:tcPr>
            <w:tcW w:w="1782" w:type="dxa"/>
            <w:tcBorders>
              <w:top w:val="nil"/>
              <w:left w:val="nil"/>
              <w:bottom w:val="single" w:sz="4" w:space="0" w:color="auto"/>
              <w:right w:val="single" w:sz="4" w:space="0" w:color="auto"/>
            </w:tcBorders>
            <w:shd w:val="clear" w:color="000000" w:fill="FFFFFF"/>
            <w:vAlign w:val="center"/>
            <w:hideMark/>
          </w:tcPr>
          <w:p w14:paraId="6735809F"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109</w:t>
            </w:r>
          </w:p>
        </w:tc>
      </w:tr>
      <w:tr w:rsidR="00BC195E" w:rsidRPr="00BC195E" w14:paraId="20EA4C62" w14:textId="77777777" w:rsidTr="00BC195E">
        <w:trPr>
          <w:trHeight w:val="20"/>
        </w:trPr>
        <w:tc>
          <w:tcPr>
            <w:tcW w:w="2254" w:type="dxa"/>
            <w:tcBorders>
              <w:top w:val="nil"/>
              <w:left w:val="single" w:sz="4" w:space="0" w:color="auto"/>
              <w:bottom w:val="single" w:sz="4" w:space="0" w:color="auto"/>
              <w:right w:val="single" w:sz="4" w:space="0" w:color="auto"/>
            </w:tcBorders>
            <w:shd w:val="clear" w:color="000000" w:fill="FFFFFF"/>
            <w:vAlign w:val="center"/>
            <w:hideMark/>
          </w:tcPr>
          <w:p w14:paraId="72895466" w14:textId="47856D99"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p>
        </w:tc>
        <w:tc>
          <w:tcPr>
            <w:tcW w:w="2767" w:type="dxa"/>
            <w:tcBorders>
              <w:top w:val="nil"/>
              <w:left w:val="nil"/>
              <w:bottom w:val="single" w:sz="4" w:space="0" w:color="auto"/>
              <w:right w:val="single" w:sz="4" w:space="0" w:color="auto"/>
            </w:tcBorders>
            <w:shd w:val="clear" w:color="000000" w:fill="FFFFFF"/>
            <w:vAlign w:val="center"/>
            <w:hideMark/>
          </w:tcPr>
          <w:p w14:paraId="1977BA27"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BC195E">
              <w:rPr>
                <w:rFonts w:ascii="Times New Roman" w:eastAsia="Times New Roman" w:hAnsi="Times New Roman" w:cs="Times New Roman"/>
                <w:i/>
                <w:iCs/>
                <w:color w:val="1A1C1E"/>
                <w:kern w:val="0"/>
                <w:sz w:val="22"/>
                <w:szCs w:val="22"/>
                <w:lang w:eastAsia="en-IN"/>
                <w14:ligatures w14:val="none"/>
              </w:rPr>
              <w:t>2.7</w:t>
            </w:r>
          </w:p>
        </w:tc>
        <w:tc>
          <w:tcPr>
            <w:tcW w:w="2475" w:type="dxa"/>
            <w:tcBorders>
              <w:top w:val="nil"/>
              <w:left w:val="nil"/>
              <w:bottom w:val="single" w:sz="4" w:space="0" w:color="auto"/>
              <w:right w:val="single" w:sz="4" w:space="0" w:color="auto"/>
            </w:tcBorders>
            <w:shd w:val="clear" w:color="000000" w:fill="FFFFFF"/>
            <w:vAlign w:val="center"/>
            <w:hideMark/>
          </w:tcPr>
          <w:p w14:paraId="212D2FA1"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BC195E">
              <w:rPr>
                <w:rFonts w:ascii="Times New Roman" w:eastAsia="Times New Roman" w:hAnsi="Times New Roman" w:cs="Times New Roman"/>
                <w:i/>
                <w:iCs/>
                <w:color w:val="1A1C1E"/>
                <w:kern w:val="0"/>
                <w:sz w:val="22"/>
                <w:szCs w:val="22"/>
                <w:lang w:eastAsia="en-IN"/>
                <w14:ligatures w14:val="none"/>
              </w:rPr>
              <w:t>0.9</w:t>
            </w:r>
          </w:p>
        </w:tc>
        <w:tc>
          <w:tcPr>
            <w:tcW w:w="1490" w:type="dxa"/>
            <w:tcBorders>
              <w:top w:val="nil"/>
              <w:left w:val="nil"/>
              <w:bottom w:val="single" w:sz="4" w:space="0" w:color="auto"/>
              <w:right w:val="single" w:sz="4" w:space="0" w:color="auto"/>
            </w:tcBorders>
            <w:shd w:val="clear" w:color="000000" w:fill="FFFFFF"/>
            <w:vAlign w:val="center"/>
            <w:hideMark/>
          </w:tcPr>
          <w:p w14:paraId="5D88F593"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BC195E">
              <w:rPr>
                <w:rFonts w:ascii="Times New Roman" w:eastAsia="Times New Roman" w:hAnsi="Times New Roman" w:cs="Times New Roman"/>
                <w:i/>
                <w:iCs/>
                <w:color w:val="1A1C1E"/>
                <w:kern w:val="0"/>
                <w:sz w:val="22"/>
                <w:szCs w:val="22"/>
                <w:lang w:eastAsia="en-IN"/>
                <w14:ligatures w14:val="none"/>
              </w:rPr>
              <w:t>1.4</w:t>
            </w:r>
          </w:p>
        </w:tc>
        <w:tc>
          <w:tcPr>
            <w:tcW w:w="1492" w:type="dxa"/>
            <w:tcBorders>
              <w:top w:val="nil"/>
              <w:left w:val="nil"/>
              <w:bottom w:val="single" w:sz="4" w:space="0" w:color="auto"/>
              <w:right w:val="single" w:sz="4" w:space="0" w:color="auto"/>
            </w:tcBorders>
            <w:shd w:val="clear" w:color="000000" w:fill="FFFFFF"/>
            <w:vAlign w:val="center"/>
            <w:hideMark/>
          </w:tcPr>
          <w:p w14:paraId="6A41EA2E"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BC195E">
              <w:rPr>
                <w:rFonts w:ascii="Times New Roman" w:eastAsia="Times New Roman" w:hAnsi="Times New Roman" w:cs="Times New Roman"/>
                <w:i/>
                <w:iCs/>
                <w:color w:val="1A1C1E"/>
                <w:kern w:val="0"/>
                <w:sz w:val="22"/>
                <w:szCs w:val="22"/>
                <w:lang w:eastAsia="en-IN"/>
                <w14:ligatures w14:val="none"/>
              </w:rPr>
              <w:t>2.4</w:t>
            </w:r>
          </w:p>
        </w:tc>
        <w:tc>
          <w:tcPr>
            <w:tcW w:w="2093" w:type="dxa"/>
            <w:tcBorders>
              <w:top w:val="nil"/>
              <w:left w:val="nil"/>
              <w:bottom w:val="single" w:sz="4" w:space="0" w:color="auto"/>
              <w:right w:val="single" w:sz="4" w:space="0" w:color="auto"/>
            </w:tcBorders>
            <w:shd w:val="clear" w:color="000000" w:fill="FFFFFF"/>
            <w:vAlign w:val="center"/>
            <w:hideMark/>
          </w:tcPr>
          <w:p w14:paraId="7DC1E87C"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BC195E">
              <w:rPr>
                <w:rFonts w:ascii="Times New Roman" w:eastAsia="Times New Roman" w:hAnsi="Times New Roman" w:cs="Times New Roman"/>
                <w:i/>
                <w:iCs/>
                <w:color w:val="1A1C1E"/>
                <w:kern w:val="0"/>
                <w:sz w:val="22"/>
                <w:szCs w:val="22"/>
                <w:lang w:eastAsia="en-IN"/>
                <w14:ligatures w14:val="none"/>
              </w:rPr>
              <w:t>1.3</w:t>
            </w:r>
          </w:p>
        </w:tc>
        <w:tc>
          <w:tcPr>
            <w:tcW w:w="1782" w:type="dxa"/>
            <w:tcBorders>
              <w:top w:val="nil"/>
              <w:left w:val="nil"/>
              <w:bottom w:val="single" w:sz="4" w:space="0" w:color="auto"/>
              <w:right w:val="single" w:sz="4" w:space="0" w:color="auto"/>
            </w:tcBorders>
            <w:shd w:val="clear" w:color="000000" w:fill="FFFFFF"/>
            <w:vAlign w:val="center"/>
            <w:hideMark/>
          </w:tcPr>
          <w:p w14:paraId="1300CDF8"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BC195E">
              <w:rPr>
                <w:rFonts w:ascii="Times New Roman" w:eastAsia="Times New Roman" w:hAnsi="Times New Roman" w:cs="Times New Roman"/>
                <w:i/>
                <w:iCs/>
                <w:color w:val="1A1C1E"/>
                <w:kern w:val="0"/>
                <w:sz w:val="22"/>
                <w:szCs w:val="22"/>
                <w:lang w:eastAsia="en-IN"/>
                <w14:ligatures w14:val="none"/>
              </w:rPr>
              <w:t>0.7</w:t>
            </w:r>
          </w:p>
        </w:tc>
      </w:tr>
      <w:tr w:rsidR="00BC195E" w:rsidRPr="00BC195E" w14:paraId="491CDA3E" w14:textId="77777777" w:rsidTr="00BC195E">
        <w:trPr>
          <w:trHeight w:val="20"/>
        </w:trPr>
        <w:tc>
          <w:tcPr>
            <w:tcW w:w="2254" w:type="dxa"/>
            <w:tcBorders>
              <w:top w:val="nil"/>
              <w:left w:val="single" w:sz="4" w:space="0" w:color="auto"/>
              <w:bottom w:val="single" w:sz="4" w:space="0" w:color="auto"/>
              <w:right w:val="single" w:sz="4" w:space="0" w:color="auto"/>
            </w:tcBorders>
            <w:shd w:val="clear" w:color="000000" w:fill="FFFFFF"/>
            <w:vAlign w:val="center"/>
            <w:hideMark/>
          </w:tcPr>
          <w:p w14:paraId="5781024C"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Saurashtra</w:t>
            </w:r>
          </w:p>
        </w:tc>
        <w:tc>
          <w:tcPr>
            <w:tcW w:w="2767" w:type="dxa"/>
            <w:tcBorders>
              <w:top w:val="nil"/>
              <w:left w:val="nil"/>
              <w:bottom w:val="single" w:sz="4" w:space="0" w:color="auto"/>
              <w:right w:val="single" w:sz="4" w:space="0" w:color="auto"/>
            </w:tcBorders>
            <w:shd w:val="clear" w:color="000000" w:fill="FFFFFF"/>
            <w:vAlign w:val="center"/>
            <w:hideMark/>
          </w:tcPr>
          <w:p w14:paraId="0B420E61"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256</w:t>
            </w:r>
          </w:p>
        </w:tc>
        <w:tc>
          <w:tcPr>
            <w:tcW w:w="2475" w:type="dxa"/>
            <w:tcBorders>
              <w:top w:val="nil"/>
              <w:left w:val="nil"/>
              <w:bottom w:val="single" w:sz="4" w:space="0" w:color="auto"/>
              <w:right w:val="single" w:sz="4" w:space="0" w:color="auto"/>
            </w:tcBorders>
            <w:shd w:val="clear" w:color="000000" w:fill="FFFFFF"/>
            <w:vAlign w:val="center"/>
            <w:hideMark/>
          </w:tcPr>
          <w:p w14:paraId="002E60E1"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87</w:t>
            </w:r>
          </w:p>
        </w:tc>
        <w:tc>
          <w:tcPr>
            <w:tcW w:w="1490" w:type="dxa"/>
            <w:tcBorders>
              <w:top w:val="nil"/>
              <w:left w:val="nil"/>
              <w:bottom w:val="single" w:sz="4" w:space="0" w:color="auto"/>
              <w:right w:val="single" w:sz="4" w:space="0" w:color="auto"/>
            </w:tcBorders>
            <w:shd w:val="clear" w:color="000000" w:fill="FFFFFF"/>
            <w:vAlign w:val="center"/>
            <w:hideMark/>
          </w:tcPr>
          <w:p w14:paraId="0E474FB7"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103</w:t>
            </w:r>
          </w:p>
        </w:tc>
        <w:tc>
          <w:tcPr>
            <w:tcW w:w="1492" w:type="dxa"/>
            <w:tcBorders>
              <w:top w:val="nil"/>
              <w:left w:val="nil"/>
              <w:bottom w:val="single" w:sz="4" w:space="0" w:color="auto"/>
              <w:right w:val="single" w:sz="4" w:space="0" w:color="auto"/>
            </w:tcBorders>
            <w:shd w:val="clear" w:color="000000" w:fill="FFFFFF"/>
            <w:vAlign w:val="center"/>
            <w:hideMark/>
          </w:tcPr>
          <w:p w14:paraId="60C9C6E4"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215</w:t>
            </w:r>
          </w:p>
        </w:tc>
        <w:tc>
          <w:tcPr>
            <w:tcW w:w="2093" w:type="dxa"/>
            <w:tcBorders>
              <w:top w:val="nil"/>
              <w:left w:val="nil"/>
              <w:bottom w:val="single" w:sz="4" w:space="0" w:color="auto"/>
              <w:right w:val="single" w:sz="4" w:space="0" w:color="auto"/>
            </w:tcBorders>
            <w:shd w:val="clear" w:color="000000" w:fill="FFFFFF"/>
            <w:vAlign w:val="center"/>
            <w:hideMark/>
          </w:tcPr>
          <w:p w14:paraId="37E015DE"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104</w:t>
            </w:r>
          </w:p>
        </w:tc>
        <w:tc>
          <w:tcPr>
            <w:tcW w:w="1782" w:type="dxa"/>
            <w:tcBorders>
              <w:top w:val="nil"/>
              <w:left w:val="nil"/>
              <w:bottom w:val="single" w:sz="4" w:space="0" w:color="auto"/>
              <w:right w:val="single" w:sz="4" w:space="0" w:color="auto"/>
            </w:tcBorders>
            <w:shd w:val="clear" w:color="000000" w:fill="FFFFFF"/>
            <w:vAlign w:val="center"/>
            <w:hideMark/>
          </w:tcPr>
          <w:p w14:paraId="2AB3A710"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57</w:t>
            </w:r>
          </w:p>
        </w:tc>
      </w:tr>
      <w:tr w:rsidR="00BC195E" w:rsidRPr="00BC195E" w14:paraId="559A2F8A" w14:textId="77777777" w:rsidTr="00BC195E">
        <w:trPr>
          <w:trHeight w:val="20"/>
        </w:trPr>
        <w:tc>
          <w:tcPr>
            <w:tcW w:w="2254" w:type="dxa"/>
            <w:tcBorders>
              <w:top w:val="nil"/>
              <w:left w:val="single" w:sz="4" w:space="0" w:color="auto"/>
              <w:bottom w:val="single" w:sz="4" w:space="0" w:color="auto"/>
              <w:right w:val="single" w:sz="4" w:space="0" w:color="auto"/>
            </w:tcBorders>
            <w:shd w:val="clear" w:color="000000" w:fill="FFFFFF"/>
            <w:vAlign w:val="center"/>
            <w:hideMark/>
          </w:tcPr>
          <w:p w14:paraId="72ED56A9" w14:textId="64CA63F1"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p>
        </w:tc>
        <w:tc>
          <w:tcPr>
            <w:tcW w:w="2767" w:type="dxa"/>
            <w:tcBorders>
              <w:top w:val="nil"/>
              <w:left w:val="nil"/>
              <w:bottom w:val="single" w:sz="4" w:space="0" w:color="auto"/>
              <w:right w:val="single" w:sz="4" w:space="0" w:color="auto"/>
            </w:tcBorders>
            <w:shd w:val="clear" w:color="000000" w:fill="FFFFFF"/>
            <w:vAlign w:val="center"/>
            <w:hideMark/>
          </w:tcPr>
          <w:p w14:paraId="16227EF1"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BC195E">
              <w:rPr>
                <w:rFonts w:ascii="Times New Roman" w:eastAsia="Times New Roman" w:hAnsi="Times New Roman" w:cs="Times New Roman"/>
                <w:i/>
                <w:iCs/>
                <w:color w:val="1A1C1E"/>
                <w:kern w:val="0"/>
                <w:sz w:val="22"/>
                <w:szCs w:val="22"/>
                <w:lang w:eastAsia="en-IN"/>
                <w14:ligatures w14:val="none"/>
              </w:rPr>
              <w:t>6.2</w:t>
            </w:r>
          </w:p>
        </w:tc>
        <w:tc>
          <w:tcPr>
            <w:tcW w:w="2475" w:type="dxa"/>
            <w:tcBorders>
              <w:top w:val="nil"/>
              <w:left w:val="nil"/>
              <w:bottom w:val="single" w:sz="4" w:space="0" w:color="auto"/>
              <w:right w:val="single" w:sz="4" w:space="0" w:color="auto"/>
            </w:tcBorders>
            <w:shd w:val="clear" w:color="000000" w:fill="FFFFFF"/>
            <w:vAlign w:val="center"/>
            <w:hideMark/>
          </w:tcPr>
          <w:p w14:paraId="446CAC9B"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BC195E">
              <w:rPr>
                <w:rFonts w:ascii="Times New Roman" w:eastAsia="Times New Roman" w:hAnsi="Times New Roman" w:cs="Times New Roman"/>
                <w:i/>
                <w:iCs/>
                <w:color w:val="1A1C1E"/>
                <w:kern w:val="0"/>
                <w:sz w:val="22"/>
                <w:szCs w:val="22"/>
                <w:lang w:eastAsia="en-IN"/>
                <w14:ligatures w14:val="none"/>
              </w:rPr>
              <w:t>2.1</w:t>
            </w:r>
          </w:p>
        </w:tc>
        <w:tc>
          <w:tcPr>
            <w:tcW w:w="1490" w:type="dxa"/>
            <w:tcBorders>
              <w:top w:val="nil"/>
              <w:left w:val="nil"/>
              <w:bottom w:val="single" w:sz="4" w:space="0" w:color="auto"/>
              <w:right w:val="single" w:sz="4" w:space="0" w:color="auto"/>
            </w:tcBorders>
            <w:shd w:val="clear" w:color="000000" w:fill="FFFFFF"/>
            <w:vAlign w:val="center"/>
            <w:hideMark/>
          </w:tcPr>
          <w:p w14:paraId="182693F9"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BC195E">
              <w:rPr>
                <w:rFonts w:ascii="Times New Roman" w:eastAsia="Times New Roman" w:hAnsi="Times New Roman" w:cs="Times New Roman"/>
                <w:i/>
                <w:iCs/>
                <w:color w:val="1A1C1E"/>
                <w:kern w:val="0"/>
                <w:sz w:val="22"/>
                <w:szCs w:val="22"/>
                <w:lang w:eastAsia="en-IN"/>
                <w14:ligatures w14:val="none"/>
              </w:rPr>
              <w:t>2.5</w:t>
            </w:r>
          </w:p>
        </w:tc>
        <w:tc>
          <w:tcPr>
            <w:tcW w:w="1492" w:type="dxa"/>
            <w:tcBorders>
              <w:top w:val="nil"/>
              <w:left w:val="nil"/>
              <w:bottom w:val="single" w:sz="4" w:space="0" w:color="auto"/>
              <w:right w:val="single" w:sz="4" w:space="0" w:color="auto"/>
            </w:tcBorders>
            <w:shd w:val="clear" w:color="000000" w:fill="FFFFFF"/>
            <w:vAlign w:val="center"/>
            <w:hideMark/>
          </w:tcPr>
          <w:p w14:paraId="1B076CE2"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BC195E">
              <w:rPr>
                <w:rFonts w:ascii="Times New Roman" w:eastAsia="Times New Roman" w:hAnsi="Times New Roman" w:cs="Times New Roman"/>
                <w:i/>
                <w:iCs/>
                <w:color w:val="1A1C1E"/>
                <w:kern w:val="0"/>
                <w:sz w:val="22"/>
                <w:szCs w:val="22"/>
                <w:lang w:eastAsia="en-IN"/>
                <w14:ligatures w14:val="none"/>
              </w:rPr>
              <w:t>5.2</w:t>
            </w:r>
          </w:p>
        </w:tc>
        <w:tc>
          <w:tcPr>
            <w:tcW w:w="2093" w:type="dxa"/>
            <w:tcBorders>
              <w:top w:val="nil"/>
              <w:left w:val="nil"/>
              <w:bottom w:val="single" w:sz="4" w:space="0" w:color="auto"/>
              <w:right w:val="single" w:sz="4" w:space="0" w:color="auto"/>
            </w:tcBorders>
            <w:shd w:val="clear" w:color="000000" w:fill="FFFFFF"/>
            <w:vAlign w:val="center"/>
            <w:hideMark/>
          </w:tcPr>
          <w:p w14:paraId="06E8E123"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BC195E">
              <w:rPr>
                <w:rFonts w:ascii="Times New Roman" w:eastAsia="Times New Roman" w:hAnsi="Times New Roman" w:cs="Times New Roman"/>
                <w:i/>
                <w:iCs/>
                <w:color w:val="1A1C1E"/>
                <w:kern w:val="0"/>
                <w:sz w:val="22"/>
                <w:szCs w:val="22"/>
                <w:lang w:eastAsia="en-IN"/>
                <w14:ligatures w14:val="none"/>
              </w:rPr>
              <w:t>2.5</w:t>
            </w:r>
          </w:p>
        </w:tc>
        <w:tc>
          <w:tcPr>
            <w:tcW w:w="1782" w:type="dxa"/>
            <w:tcBorders>
              <w:top w:val="nil"/>
              <w:left w:val="nil"/>
              <w:bottom w:val="single" w:sz="4" w:space="0" w:color="auto"/>
              <w:right w:val="single" w:sz="4" w:space="0" w:color="auto"/>
            </w:tcBorders>
            <w:shd w:val="clear" w:color="000000" w:fill="FFFFFF"/>
            <w:vAlign w:val="center"/>
            <w:hideMark/>
          </w:tcPr>
          <w:p w14:paraId="2F11B6AF"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BC195E">
              <w:rPr>
                <w:rFonts w:ascii="Times New Roman" w:eastAsia="Times New Roman" w:hAnsi="Times New Roman" w:cs="Times New Roman"/>
                <w:i/>
                <w:iCs/>
                <w:color w:val="1A1C1E"/>
                <w:kern w:val="0"/>
                <w:sz w:val="22"/>
                <w:szCs w:val="22"/>
                <w:lang w:eastAsia="en-IN"/>
                <w14:ligatures w14:val="none"/>
              </w:rPr>
              <w:t>1.4</w:t>
            </w:r>
          </w:p>
        </w:tc>
      </w:tr>
      <w:tr w:rsidR="00BC195E" w:rsidRPr="00BC195E" w14:paraId="007CD739" w14:textId="77777777" w:rsidTr="00BC195E">
        <w:trPr>
          <w:trHeight w:val="20"/>
        </w:trPr>
        <w:tc>
          <w:tcPr>
            <w:tcW w:w="2254" w:type="dxa"/>
            <w:tcBorders>
              <w:top w:val="nil"/>
              <w:left w:val="single" w:sz="4" w:space="0" w:color="auto"/>
              <w:bottom w:val="single" w:sz="4" w:space="0" w:color="auto"/>
              <w:right w:val="single" w:sz="4" w:space="0" w:color="auto"/>
            </w:tcBorders>
            <w:shd w:val="clear" w:color="000000" w:fill="FFFFFF"/>
            <w:vAlign w:val="center"/>
            <w:hideMark/>
          </w:tcPr>
          <w:p w14:paraId="171EA46A"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Travancore-Cochin</w:t>
            </w:r>
          </w:p>
        </w:tc>
        <w:tc>
          <w:tcPr>
            <w:tcW w:w="2767" w:type="dxa"/>
            <w:tcBorders>
              <w:top w:val="nil"/>
              <w:left w:val="nil"/>
              <w:bottom w:val="single" w:sz="4" w:space="0" w:color="auto"/>
              <w:right w:val="single" w:sz="4" w:space="0" w:color="auto"/>
            </w:tcBorders>
            <w:shd w:val="clear" w:color="000000" w:fill="FFFFFF"/>
            <w:vAlign w:val="center"/>
            <w:hideMark/>
          </w:tcPr>
          <w:p w14:paraId="0D9643D6"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153</w:t>
            </w:r>
          </w:p>
        </w:tc>
        <w:tc>
          <w:tcPr>
            <w:tcW w:w="2475" w:type="dxa"/>
            <w:tcBorders>
              <w:top w:val="nil"/>
              <w:left w:val="nil"/>
              <w:bottom w:val="single" w:sz="4" w:space="0" w:color="auto"/>
              <w:right w:val="single" w:sz="4" w:space="0" w:color="auto"/>
            </w:tcBorders>
            <w:shd w:val="clear" w:color="000000" w:fill="FFFFFF"/>
            <w:vAlign w:val="center"/>
            <w:hideMark/>
          </w:tcPr>
          <w:p w14:paraId="58B52D9A"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48</w:t>
            </w:r>
          </w:p>
        </w:tc>
        <w:tc>
          <w:tcPr>
            <w:tcW w:w="1490" w:type="dxa"/>
            <w:tcBorders>
              <w:top w:val="nil"/>
              <w:left w:val="nil"/>
              <w:bottom w:val="single" w:sz="4" w:space="0" w:color="auto"/>
              <w:right w:val="single" w:sz="4" w:space="0" w:color="auto"/>
            </w:tcBorders>
            <w:shd w:val="clear" w:color="000000" w:fill="FFFFFF"/>
            <w:vAlign w:val="center"/>
            <w:hideMark/>
          </w:tcPr>
          <w:p w14:paraId="39A34403"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61</w:t>
            </w:r>
          </w:p>
        </w:tc>
        <w:tc>
          <w:tcPr>
            <w:tcW w:w="1492" w:type="dxa"/>
            <w:tcBorders>
              <w:top w:val="nil"/>
              <w:left w:val="nil"/>
              <w:bottom w:val="single" w:sz="4" w:space="0" w:color="auto"/>
              <w:right w:val="single" w:sz="4" w:space="0" w:color="auto"/>
            </w:tcBorders>
            <w:shd w:val="clear" w:color="000000" w:fill="FFFFFF"/>
            <w:vAlign w:val="center"/>
            <w:hideMark/>
          </w:tcPr>
          <w:p w14:paraId="4775037A"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390</w:t>
            </w:r>
          </w:p>
        </w:tc>
        <w:tc>
          <w:tcPr>
            <w:tcW w:w="2093" w:type="dxa"/>
            <w:tcBorders>
              <w:top w:val="nil"/>
              <w:left w:val="nil"/>
              <w:bottom w:val="single" w:sz="4" w:space="0" w:color="auto"/>
              <w:right w:val="single" w:sz="4" w:space="0" w:color="auto"/>
            </w:tcBorders>
            <w:shd w:val="clear" w:color="000000" w:fill="FFFFFF"/>
            <w:vAlign w:val="center"/>
            <w:hideMark/>
          </w:tcPr>
          <w:p w14:paraId="6F1337BC"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257</w:t>
            </w:r>
          </w:p>
        </w:tc>
        <w:tc>
          <w:tcPr>
            <w:tcW w:w="1782" w:type="dxa"/>
            <w:tcBorders>
              <w:top w:val="nil"/>
              <w:left w:val="nil"/>
              <w:bottom w:val="single" w:sz="4" w:space="0" w:color="auto"/>
              <w:right w:val="single" w:sz="4" w:space="0" w:color="auto"/>
            </w:tcBorders>
            <w:shd w:val="clear" w:color="000000" w:fill="FFFFFF"/>
            <w:vAlign w:val="center"/>
            <w:hideMark/>
          </w:tcPr>
          <w:p w14:paraId="4F4E0E06"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BC195E">
              <w:rPr>
                <w:rFonts w:ascii="Times New Roman" w:eastAsia="Times New Roman" w:hAnsi="Times New Roman" w:cs="Times New Roman"/>
                <w:color w:val="1A1C1E"/>
                <w:kern w:val="0"/>
                <w:sz w:val="22"/>
                <w:szCs w:val="22"/>
                <w:lang w:eastAsia="en-IN"/>
                <w14:ligatures w14:val="none"/>
              </w:rPr>
              <w:t>89</w:t>
            </w:r>
          </w:p>
        </w:tc>
      </w:tr>
      <w:tr w:rsidR="00BC195E" w:rsidRPr="00BC195E" w14:paraId="5ECAEF18" w14:textId="77777777" w:rsidTr="00BC195E">
        <w:trPr>
          <w:trHeight w:val="20"/>
        </w:trPr>
        <w:tc>
          <w:tcPr>
            <w:tcW w:w="2254" w:type="dxa"/>
            <w:tcBorders>
              <w:top w:val="nil"/>
              <w:left w:val="single" w:sz="4" w:space="0" w:color="auto"/>
              <w:bottom w:val="single" w:sz="4" w:space="0" w:color="auto"/>
              <w:right w:val="single" w:sz="4" w:space="0" w:color="auto"/>
            </w:tcBorders>
            <w:shd w:val="clear" w:color="000000" w:fill="FFFFFF"/>
            <w:vAlign w:val="center"/>
            <w:hideMark/>
          </w:tcPr>
          <w:p w14:paraId="50594D6B" w14:textId="4368FAD4"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p>
        </w:tc>
        <w:tc>
          <w:tcPr>
            <w:tcW w:w="2767" w:type="dxa"/>
            <w:tcBorders>
              <w:top w:val="nil"/>
              <w:left w:val="nil"/>
              <w:bottom w:val="single" w:sz="4" w:space="0" w:color="auto"/>
              <w:right w:val="single" w:sz="4" w:space="0" w:color="auto"/>
            </w:tcBorders>
            <w:shd w:val="clear" w:color="000000" w:fill="FFFFFF"/>
            <w:vAlign w:val="center"/>
            <w:hideMark/>
          </w:tcPr>
          <w:p w14:paraId="0CFBE60E"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BC195E">
              <w:rPr>
                <w:rFonts w:ascii="Times New Roman" w:eastAsia="Times New Roman" w:hAnsi="Times New Roman" w:cs="Times New Roman"/>
                <w:i/>
                <w:iCs/>
                <w:color w:val="1A1C1E"/>
                <w:kern w:val="0"/>
                <w:sz w:val="22"/>
                <w:szCs w:val="22"/>
                <w:lang w:eastAsia="en-IN"/>
                <w14:ligatures w14:val="none"/>
              </w:rPr>
              <w:t>1.6</w:t>
            </w:r>
          </w:p>
        </w:tc>
        <w:tc>
          <w:tcPr>
            <w:tcW w:w="2475" w:type="dxa"/>
            <w:tcBorders>
              <w:top w:val="nil"/>
              <w:left w:val="nil"/>
              <w:bottom w:val="single" w:sz="4" w:space="0" w:color="auto"/>
              <w:right w:val="single" w:sz="4" w:space="0" w:color="auto"/>
            </w:tcBorders>
            <w:shd w:val="clear" w:color="000000" w:fill="FFFFFF"/>
            <w:vAlign w:val="center"/>
            <w:hideMark/>
          </w:tcPr>
          <w:p w14:paraId="36B56068"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BC195E">
              <w:rPr>
                <w:rFonts w:ascii="Times New Roman" w:eastAsia="Times New Roman" w:hAnsi="Times New Roman" w:cs="Times New Roman"/>
                <w:i/>
                <w:iCs/>
                <w:color w:val="1A1C1E"/>
                <w:kern w:val="0"/>
                <w:sz w:val="22"/>
                <w:szCs w:val="22"/>
                <w:lang w:eastAsia="en-IN"/>
                <w14:ligatures w14:val="none"/>
              </w:rPr>
              <w:t>0.5</w:t>
            </w:r>
          </w:p>
        </w:tc>
        <w:tc>
          <w:tcPr>
            <w:tcW w:w="1490" w:type="dxa"/>
            <w:tcBorders>
              <w:top w:val="nil"/>
              <w:left w:val="nil"/>
              <w:bottom w:val="single" w:sz="4" w:space="0" w:color="auto"/>
              <w:right w:val="single" w:sz="4" w:space="0" w:color="auto"/>
            </w:tcBorders>
            <w:shd w:val="clear" w:color="000000" w:fill="FFFFFF"/>
            <w:vAlign w:val="center"/>
            <w:hideMark/>
          </w:tcPr>
          <w:p w14:paraId="67404DE5"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BC195E">
              <w:rPr>
                <w:rFonts w:ascii="Times New Roman" w:eastAsia="Times New Roman" w:hAnsi="Times New Roman" w:cs="Times New Roman"/>
                <w:i/>
                <w:iCs/>
                <w:color w:val="1A1C1E"/>
                <w:kern w:val="0"/>
                <w:sz w:val="22"/>
                <w:szCs w:val="22"/>
                <w:lang w:eastAsia="en-IN"/>
                <w14:ligatures w14:val="none"/>
              </w:rPr>
              <w:t>0.7</w:t>
            </w:r>
          </w:p>
        </w:tc>
        <w:tc>
          <w:tcPr>
            <w:tcW w:w="1492" w:type="dxa"/>
            <w:tcBorders>
              <w:top w:val="nil"/>
              <w:left w:val="nil"/>
              <w:bottom w:val="single" w:sz="4" w:space="0" w:color="auto"/>
              <w:right w:val="single" w:sz="4" w:space="0" w:color="auto"/>
            </w:tcBorders>
            <w:shd w:val="clear" w:color="000000" w:fill="FFFFFF"/>
            <w:vAlign w:val="center"/>
            <w:hideMark/>
          </w:tcPr>
          <w:p w14:paraId="28F93B69"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BC195E">
              <w:rPr>
                <w:rFonts w:ascii="Times New Roman" w:eastAsia="Times New Roman" w:hAnsi="Times New Roman" w:cs="Times New Roman"/>
                <w:i/>
                <w:iCs/>
                <w:color w:val="1A1C1E"/>
                <w:kern w:val="0"/>
                <w:sz w:val="22"/>
                <w:szCs w:val="22"/>
                <w:lang w:eastAsia="en-IN"/>
                <w14:ligatures w14:val="none"/>
              </w:rPr>
              <w:t>4.2</w:t>
            </w:r>
          </w:p>
        </w:tc>
        <w:tc>
          <w:tcPr>
            <w:tcW w:w="2093" w:type="dxa"/>
            <w:tcBorders>
              <w:top w:val="nil"/>
              <w:left w:val="nil"/>
              <w:bottom w:val="single" w:sz="4" w:space="0" w:color="auto"/>
              <w:right w:val="single" w:sz="4" w:space="0" w:color="auto"/>
            </w:tcBorders>
            <w:shd w:val="clear" w:color="000000" w:fill="FFFFFF"/>
            <w:vAlign w:val="center"/>
            <w:hideMark/>
          </w:tcPr>
          <w:p w14:paraId="7C68F03A" w14:textId="77777777" w:rsidR="00BC195E" w:rsidRPr="00BC195E" w:rsidRDefault="00BC195E" w:rsidP="00BC195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BC195E">
              <w:rPr>
                <w:rFonts w:ascii="Times New Roman" w:eastAsia="Times New Roman" w:hAnsi="Times New Roman" w:cs="Times New Roman"/>
                <w:i/>
                <w:iCs/>
                <w:color w:val="1A1C1E"/>
                <w:kern w:val="0"/>
                <w:sz w:val="22"/>
                <w:szCs w:val="22"/>
                <w:lang w:eastAsia="en-IN"/>
                <w14:ligatures w14:val="none"/>
              </w:rPr>
              <w:t>2.8</w:t>
            </w:r>
          </w:p>
        </w:tc>
        <w:tc>
          <w:tcPr>
            <w:tcW w:w="1782" w:type="dxa"/>
            <w:tcBorders>
              <w:top w:val="nil"/>
              <w:left w:val="nil"/>
              <w:bottom w:val="single" w:sz="4" w:space="0" w:color="auto"/>
              <w:right w:val="single" w:sz="4" w:space="0" w:color="auto"/>
            </w:tcBorders>
            <w:shd w:val="clear" w:color="000000" w:fill="FFFFFF"/>
            <w:vAlign w:val="center"/>
            <w:hideMark/>
          </w:tcPr>
          <w:p w14:paraId="60D4CD0A" w14:textId="74B122AF" w:rsidR="00BC195E" w:rsidRPr="00BC195E" w:rsidRDefault="00BC195E" w:rsidP="00BC195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BC195E">
              <w:rPr>
                <w:rFonts w:ascii="Times New Roman" w:eastAsia="Times New Roman" w:hAnsi="Times New Roman" w:cs="Times New Roman"/>
                <w:i/>
                <w:iCs/>
                <w:color w:val="1A1C1E"/>
                <w:kern w:val="0"/>
                <w:sz w:val="22"/>
                <w:szCs w:val="22"/>
                <w:lang w:eastAsia="en-IN"/>
                <w14:ligatures w14:val="none"/>
              </w:rPr>
              <w:t>1</w:t>
            </w:r>
            <w:r w:rsidR="00A60670">
              <w:rPr>
                <w:rFonts w:ascii="Times New Roman" w:eastAsia="Times New Roman" w:hAnsi="Times New Roman" w:cs="Times New Roman"/>
                <w:i/>
                <w:iCs/>
                <w:color w:val="1A1C1E"/>
                <w:kern w:val="0"/>
                <w:sz w:val="22"/>
                <w:szCs w:val="22"/>
                <w:lang w:eastAsia="en-IN"/>
                <w14:ligatures w14:val="none"/>
              </w:rPr>
              <w:t>.0</w:t>
            </w:r>
          </w:p>
        </w:tc>
      </w:tr>
      <w:tr w:rsidR="00BC195E" w:rsidRPr="00BC195E" w14:paraId="6820D008" w14:textId="77777777" w:rsidTr="00BC195E">
        <w:trPr>
          <w:trHeight w:val="20"/>
        </w:trPr>
        <w:tc>
          <w:tcPr>
            <w:tcW w:w="2254" w:type="dxa"/>
            <w:tcBorders>
              <w:top w:val="nil"/>
              <w:left w:val="single" w:sz="4" w:space="0" w:color="auto"/>
              <w:bottom w:val="single" w:sz="4" w:space="0" w:color="auto"/>
              <w:right w:val="single" w:sz="4" w:space="0" w:color="auto"/>
            </w:tcBorders>
            <w:shd w:val="clear" w:color="000000" w:fill="FFFFFF"/>
            <w:vAlign w:val="center"/>
            <w:hideMark/>
          </w:tcPr>
          <w:p w14:paraId="2A434C3A" w14:textId="77777777" w:rsidR="00BC195E" w:rsidRPr="00BC195E" w:rsidRDefault="00BC195E" w:rsidP="00BC195E">
            <w:pPr>
              <w:spacing w:after="0" w:line="240" w:lineRule="auto"/>
              <w:ind w:firstLineChars="100" w:firstLine="221"/>
              <w:jc w:val="center"/>
              <w:rPr>
                <w:rFonts w:ascii="Times New Roman" w:eastAsia="Times New Roman" w:hAnsi="Times New Roman" w:cs="Times New Roman"/>
                <w:b/>
                <w:bCs/>
                <w:color w:val="1A1C1E"/>
                <w:kern w:val="0"/>
                <w:sz w:val="22"/>
                <w:szCs w:val="22"/>
                <w:lang w:eastAsia="en-IN"/>
                <w14:ligatures w14:val="none"/>
              </w:rPr>
            </w:pPr>
            <w:r w:rsidRPr="00BC195E">
              <w:rPr>
                <w:rFonts w:ascii="Times New Roman" w:eastAsia="Times New Roman" w:hAnsi="Times New Roman" w:cs="Times New Roman"/>
                <w:b/>
                <w:bCs/>
                <w:color w:val="1A1C1E"/>
                <w:kern w:val="0"/>
                <w:sz w:val="22"/>
                <w:szCs w:val="22"/>
                <w:lang w:eastAsia="en-IN"/>
                <w14:ligatures w14:val="none"/>
              </w:rPr>
              <w:t>TOTAL</w:t>
            </w:r>
          </w:p>
        </w:tc>
        <w:tc>
          <w:tcPr>
            <w:tcW w:w="2767" w:type="dxa"/>
            <w:tcBorders>
              <w:top w:val="nil"/>
              <w:left w:val="nil"/>
              <w:bottom w:val="single" w:sz="4" w:space="0" w:color="auto"/>
              <w:right w:val="single" w:sz="4" w:space="0" w:color="auto"/>
            </w:tcBorders>
            <w:shd w:val="clear" w:color="000000" w:fill="FFFFFF"/>
            <w:vAlign w:val="center"/>
            <w:hideMark/>
          </w:tcPr>
          <w:p w14:paraId="72D0251C" w14:textId="77777777" w:rsidR="00BC195E" w:rsidRPr="00BC195E" w:rsidRDefault="00BC195E" w:rsidP="00BC195E">
            <w:pPr>
              <w:spacing w:after="0" w:line="240" w:lineRule="auto"/>
              <w:ind w:firstLineChars="100" w:firstLine="221"/>
              <w:jc w:val="center"/>
              <w:rPr>
                <w:rFonts w:ascii="Times New Roman" w:eastAsia="Times New Roman" w:hAnsi="Times New Roman" w:cs="Times New Roman"/>
                <w:b/>
                <w:bCs/>
                <w:color w:val="1A1C1E"/>
                <w:kern w:val="0"/>
                <w:sz w:val="22"/>
                <w:szCs w:val="22"/>
                <w:lang w:eastAsia="en-IN"/>
                <w14:ligatures w14:val="none"/>
              </w:rPr>
            </w:pPr>
            <w:r w:rsidRPr="00BC195E">
              <w:rPr>
                <w:rFonts w:ascii="Times New Roman" w:eastAsia="Times New Roman" w:hAnsi="Times New Roman" w:cs="Times New Roman"/>
                <w:b/>
                <w:bCs/>
                <w:color w:val="1A1C1E"/>
                <w:kern w:val="0"/>
                <w:sz w:val="22"/>
                <w:szCs w:val="22"/>
                <w:lang w:eastAsia="en-IN"/>
                <w14:ligatures w14:val="none"/>
              </w:rPr>
              <w:t>10079</w:t>
            </w:r>
          </w:p>
        </w:tc>
        <w:tc>
          <w:tcPr>
            <w:tcW w:w="2475" w:type="dxa"/>
            <w:tcBorders>
              <w:top w:val="nil"/>
              <w:left w:val="nil"/>
              <w:bottom w:val="single" w:sz="4" w:space="0" w:color="auto"/>
              <w:right w:val="single" w:sz="4" w:space="0" w:color="auto"/>
            </w:tcBorders>
            <w:shd w:val="clear" w:color="000000" w:fill="FFFFFF"/>
            <w:vAlign w:val="center"/>
            <w:hideMark/>
          </w:tcPr>
          <w:p w14:paraId="362C8D6C" w14:textId="77777777" w:rsidR="00BC195E" w:rsidRPr="00BC195E" w:rsidRDefault="00BC195E" w:rsidP="00BC195E">
            <w:pPr>
              <w:spacing w:after="0" w:line="240" w:lineRule="auto"/>
              <w:ind w:firstLineChars="100" w:firstLine="221"/>
              <w:jc w:val="center"/>
              <w:rPr>
                <w:rFonts w:ascii="Times New Roman" w:eastAsia="Times New Roman" w:hAnsi="Times New Roman" w:cs="Times New Roman"/>
                <w:b/>
                <w:bCs/>
                <w:color w:val="1A1C1E"/>
                <w:kern w:val="0"/>
                <w:sz w:val="22"/>
                <w:szCs w:val="22"/>
                <w:lang w:eastAsia="en-IN"/>
                <w14:ligatures w14:val="none"/>
              </w:rPr>
            </w:pPr>
            <w:r w:rsidRPr="00BC195E">
              <w:rPr>
                <w:rFonts w:ascii="Times New Roman" w:eastAsia="Times New Roman" w:hAnsi="Times New Roman" w:cs="Times New Roman"/>
                <w:b/>
                <w:bCs/>
                <w:color w:val="1A1C1E"/>
                <w:kern w:val="0"/>
                <w:sz w:val="22"/>
                <w:szCs w:val="22"/>
                <w:lang w:eastAsia="en-IN"/>
                <w14:ligatures w14:val="none"/>
              </w:rPr>
              <w:t>3123</w:t>
            </w:r>
          </w:p>
        </w:tc>
        <w:tc>
          <w:tcPr>
            <w:tcW w:w="1490" w:type="dxa"/>
            <w:tcBorders>
              <w:top w:val="nil"/>
              <w:left w:val="nil"/>
              <w:bottom w:val="single" w:sz="4" w:space="0" w:color="auto"/>
              <w:right w:val="single" w:sz="4" w:space="0" w:color="auto"/>
            </w:tcBorders>
            <w:shd w:val="clear" w:color="000000" w:fill="FFFFFF"/>
            <w:vAlign w:val="center"/>
            <w:hideMark/>
          </w:tcPr>
          <w:p w14:paraId="663A3196" w14:textId="77777777" w:rsidR="00BC195E" w:rsidRPr="00BC195E" w:rsidRDefault="00BC195E" w:rsidP="00BC195E">
            <w:pPr>
              <w:spacing w:after="0" w:line="240" w:lineRule="auto"/>
              <w:ind w:firstLineChars="100" w:firstLine="221"/>
              <w:jc w:val="center"/>
              <w:rPr>
                <w:rFonts w:ascii="Times New Roman" w:eastAsia="Times New Roman" w:hAnsi="Times New Roman" w:cs="Times New Roman"/>
                <w:b/>
                <w:bCs/>
                <w:color w:val="1A1C1E"/>
                <w:kern w:val="0"/>
                <w:sz w:val="22"/>
                <w:szCs w:val="22"/>
                <w:lang w:eastAsia="en-IN"/>
                <w14:ligatures w14:val="none"/>
              </w:rPr>
            </w:pPr>
            <w:r w:rsidRPr="00BC195E">
              <w:rPr>
                <w:rFonts w:ascii="Times New Roman" w:eastAsia="Times New Roman" w:hAnsi="Times New Roman" w:cs="Times New Roman"/>
                <w:b/>
                <w:bCs/>
                <w:color w:val="1A1C1E"/>
                <w:kern w:val="0"/>
                <w:sz w:val="22"/>
                <w:szCs w:val="22"/>
                <w:lang w:eastAsia="en-IN"/>
                <w14:ligatures w14:val="none"/>
              </w:rPr>
              <w:t>5180</w:t>
            </w:r>
          </w:p>
        </w:tc>
        <w:tc>
          <w:tcPr>
            <w:tcW w:w="1492" w:type="dxa"/>
            <w:tcBorders>
              <w:top w:val="nil"/>
              <w:left w:val="nil"/>
              <w:bottom w:val="single" w:sz="4" w:space="0" w:color="auto"/>
              <w:right w:val="single" w:sz="4" w:space="0" w:color="auto"/>
            </w:tcBorders>
            <w:shd w:val="clear" w:color="000000" w:fill="FFFFFF"/>
            <w:vAlign w:val="center"/>
            <w:hideMark/>
          </w:tcPr>
          <w:p w14:paraId="618D4106" w14:textId="77777777" w:rsidR="00BC195E" w:rsidRPr="00BC195E" w:rsidRDefault="00BC195E" w:rsidP="00BC195E">
            <w:pPr>
              <w:spacing w:after="0" w:line="240" w:lineRule="auto"/>
              <w:ind w:firstLineChars="100" w:firstLine="221"/>
              <w:jc w:val="center"/>
              <w:rPr>
                <w:rFonts w:ascii="Times New Roman" w:eastAsia="Times New Roman" w:hAnsi="Times New Roman" w:cs="Times New Roman"/>
                <w:b/>
                <w:bCs/>
                <w:color w:val="1A1C1E"/>
                <w:kern w:val="0"/>
                <w:sz w:val="22"/>
                <w:szCs w:val="22"/>
                <w:lang w:eastAsia="en-IN"/>
                <w14:ligatures w14:val="none"/>
              </w:rPr>
            </w:pPr>
            <w:r w:rsidRPr="00BC195E">
              <w:rPr>
                <w:rFonts w:ascii="Times New Roman" w:eastAsia="Times New Roman" w:hAnsi="Times New Roman" w:cs="Times New Roman"/>
                <w:b/>
                <w:bCs/>
                <w:color w:val="1A1C1E"/>
                <w:kern w:val="0"/>
                <w:sz w:val="22"/>
                <w:szCs w:val="22"/>
                <w:lang w:eastAsia="en-IN"/>
                <w14:ligatures w14:val="none"/>
              </w:rPr>
              <w:t>11204</w:t>
            </w:r>
          </w:p>
        </w:tc>
        <w:tc>
          <w:tcPr>
            <w:tcW w:w="2093" w:type="dxa"/>
            <w:tcBorders>
              <w:top w:val="nil"/>
              <w:left w:val="nil"/>
              <w:bottom w:val="single" w:sz="4" w:space="0" w:color="auto"/>
              <w:right w:val="single" w:sz="4" w:space="0" w:color="auto"/>
            </w:tcBorders>
            <w:shd w:val="clear" w:color="000000" w:fill="FFFFFF"/>
            <w:vAlign w:val="center"/>
            <w:hideMark/>
          </w:tcPr>
          <w:p w14:paraId="030474DA" w14:textId="77777777" w:rsidR="00BC195E" w:rsidRPr="00BC195E" w:rsidRDefault="00BC195E" w:rsidP="00BC195E">
            <w:pPr>
              <w:spacing w:after="0" w:line="240" w:lineRule="auto"/>
              <w:ind w:firstLineChars="100" w:firstLine="221"/>
              <w:jc w:val="center"/>
              <w:rPr>
                <w:rFonts w:ascii="Times New Roman" w:eastAsia="Times New Roman" w:hAnsi="Times New Roman" w:cs="Times New Roman"/>
                <w:b/>
                <w:bCs/>
                <w:color w:val="1A1C1E"/>
                <w:kern w:val="0"/>
                <w:sz w:val="22"/>
                <w:szCs w:val="22"/>
                <w:lang w:eastAsia="en-IN"/>
                <w14:ligatures w14:val="none"/>
              </w:rPr>
            </w:pPr>
            <w:r w:rsidRPr="00BC195E">
              <w:rPr>
                <w:rFonts w:ascii="Times New Roman" w:eastAsia="Times New Roman" w:hAnsi="Times New Roman" w:cs="Times New Roman"/>
                <w:b/>
                <w:bCs/>
                <w:color w:val="1A1C1E"/>
                <w:kern w:val="0"/>
                <w:sz w:val="22"/>
                <w:szCs w:val="22"/>
                <w:lang w:eastAsia="en-IN"/>
                <w14:ligatures w14:val="none"/>
              </w:rPr>
              <w:t>5791</w:t>
            </w:r>
          </w:p>
        </w:tc>
        <w:tc>
          <w:tcPr>
            <w:tcW w:w="1782" w:type="dxa"/>
            <w:tcBorders>
              <w:top w:val="nil"/>
              <w:left w:val="nil"/>
              <w:bottom w:val="single" w:sz="4" w:space="0" w:color="auto"/>
              <w:right w:val="single" w:sz="4" w:space="0" w:color="auto"/>
            </w:tcBorders>
            <w:shd w:val="clear" w:color="000000" w:fill="FFFFFF"/>
            <w:vAlign w:val="center"/>
            <w:hideMark/>
          </w:tcPr>
          <w:p w14:paraId="5D03715C" w14:textId="77777777" w:rsidR="00BC195E" w:rsidRPr="00BC195E" w:rsidRDefault="00BC195E" w:rsidP="00BC195E">
            <w:pPr>
              <w:spacing w:after="0" w:line="240" w:lineRule="auto"/>
              <w:ind w:firstLineChars="100" w:firstLine="221"/>
              <w:jc w:val="center"/>
              <w:rPr>
                <w:rFonts w:ascii="Times New Roman" w:eastAsia="Times New Roman" w:hAnsi="Times New Roman" w:cs="Times New Roman"/>
                <w:b/>
                <w:bCs/>
                <w:color w:val="1A1C1E"/>
                <w:kern w:val="0"/>
                <w:sz w:val="22"/>
                <w:szCs w:val="22"/>
                <w:lang w:eastAsia="en-IN"/>
                <w14:ligatures w14:val="none"/>
              </w:rPr>
            </w:pPr>
            <w:r w:rsidRPr="00BC195E">
              <w:rPr>
                <w:rFonts w:ascii="Times New Roman" w:eastAsia="Times New Roman" w:hAnsi="Times New Roman" w:cs="Times New Roman"/>
                <w:b/>
                <w:bCs/>
                <w:color w:val="1A1C1E"/>
                <w:kern w:val="0"/>
                <w:sz w:val="22"/>
                <w:szCs w:val="22"/>
                <w:lang w:eastAsia="en-IN"/>
                <w14:ligatures w14:val="none"/>
              </w:rPr>
              <w:t>2610</w:t>
            </w:r>
          </w:p>
        </w:tc>
      </w:tr>
      <w:tr w:rsidR="00BC195E" w:rsidRPr="00BC195E" w14:paraId="4146203C" w14:textId="77777777" w:rsidTr="00BC195E">
        <w:trPr>
          <w:trHeight w:val="20"/>
        </w:trPr>
        <w:tc>
          <w:tcPr>
            <w:tcW w:w="2254" w:type="dxa"/>
            <w:tcBorders>
              <w:top w:val="nil"/>
              <w:left w:val="single" w:sz="4" w:space="0" w:color="auto"/>
              <w:bottom w:val="single" w:sz="4" w:space="0" w:color="auto"/>
              <w:right w:val="single" w:sz="4" w:space="0" w:color="auto"/>
            </w:tcBorders>
            <w:shd w:val="clear" w:color="000000" w:fill="FFFFFF"/>
            <w:vAlign w:val="center"/>
            <w:hideMark/>
          </w:tcPr>
          <w:p w14:paraId="4DD9AC2E" w14:textId="2D6B6E89" w:rsidR="00BC195E" w:rsidRPr="00BC195E" w:rsidRDefault="00BC195E" w:rsidP="00BC195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p>
        </w:tc>
        <w:tc>
          <w:tcPr>
            <w:tcW w:w="2767" w:type="dxa"/>
            <w:tcBorders>
              <w:top w:val="nil"/>
              <w:left w:val="nil"/>
              <w:bottom w:val="single" w:sz="4" w:space="0" w:color="auto"/>
              <w:right w:val="single" w:sz="4" w:space="0" w:color="auto"/>
            </w:tcBorders>
            <w:shd w:val="clear" w:color="000000" w:fill="FFFFFF"/>
            <w:vAlign w:val="center"/>
            <w:hideMark/>
          </w:tcPr>
          <w:p w14:paraId="32AF426B" w14:textId="77777777" w:rsidR="00BC195E" w:rsidRPr="00BC195E" w:rsidRDefault="00BC195E" w:rsidP="00BC195E">
            <w:pPr>
              <w:spacing w:after="0" w:line="240" w:lineRule="auto"/>
              <w:ind w:firstLineChars="100" w:firstLine="221"/>
              <w:jc w:val="center"/>
              <w:rPr>
                <w:rFonts w:ascii="Times New Roman" w:eastAsia="Times New Roman" w:hAnsi="Times New Roman" w:cs="Times New Roman"/>
                <w:b/>
                <w:bCs/>
                <w:i/>
                <w:iCs/>
                <w:color w:val="1A1C1E"/>
                <w:kern w:val="0"/>
                <w:sz w:val="22"/>
                <w:szCs w:val="22"/>
                <w:lang w:eastAsia="en-IN"/>
                <w14:ligatures w14:val="none"/>
              </w:rPr>
            </w:pPr>
            <w:r w:rsidRPr="00BC195E">
              <w:rPr>
                <w:rFonts w:ascii="Times New Roman" w:eastAsia="Times New Roman" w:hAnsi="Times New Roman" w:cs="Times New Roman"/>
                <w:b/>
                <w:bCs/>
                <w:i/>
                <w:iCs/>
                <w:color w:val="1A1C1E"/>
                <w:kern w:val="0"/>
                <w:sz w:val="22"/>
                <w:szCs w:val="22"/>
                <w:lang w:eastAsia="en-IN"/>
                <w14:ligatures w14:val="none"/>
              </w:rPr>
              <w:t>2.9</w:t>
            </w:r>
          </w:p>
        </w:tc>
        <w:tc>
          <w:tcPr>
            <w:tcW w:w="2475" w:type="dxa"/>
            <w:tcBorders>
              <w:top w:val="nil"/>
              <w:left w:val="nil"/>
              <w:bottom w:val="single" w:sz="4" w:space="0" w:color="auto"/>
              <w:right w:val="single" w:sz="4" w:space="0" w:color="auto"/>
            </w:tcBorders>
            <w:shd w:val="clear" w:color="000000" w:fill="FFFFFF"/>
            <w:vAlign w:val="center"/>
            <w:hideMark/>
          </w:tcPr>
          <w:p w14:paraId="0893D752" w14:textId="77777777" w:rsidR="00BC195E" w:rsidRPr="00BC195E" w:rsidRDefault="00BC195E" w:rsidP="00BC195E">
            <w:pPr>
              <w:spacing w:after="0" w:line="240" w:lineRule="auto"/>
              <w:ind w:firstLineChars="100" w:firstLine="221"/>
              <w:jc w:val="center"/>
              <w:rPr>
                <w:rFonts w:ascii="Times New Roman" w:eastAsia="Times New Roman" w:hAnsi="Times New Roman" w:cs="Times New Roman"/>
                <w:b/>
                <w:bCs/>
                <w:i/>
                <w:iCs/>
                <w:color w:val="1A1C1E"/>
                <w:kern w:val="0"/>
                <w:sz w:val="22"/>
                <w:szCs w:val="22"/>
                <w:lang w:eastAsia="en-IN"/>
                <w14:ligatures w14:val="none"/>
              </w:rPr>
            </w:pPr>
            <w:r w:rsidRPr="00BC195E">
              <w:rPr>
                <w:rFonts w:ascii="Times New Roman" w:eastAsia="Times New Roman" w:hAnsi="Times New Roman" w:cs="Times New Roman"/>
                <w:b/>
                <w:bCs/>
                <w:i/>
                <w:iCs/>
                <w:color w:val="1A1C1E"/>
                <w:kern w:val="0"/>
                <w:sz w:val="22"/>
                <w:szCs w:val="22"/>
                <w:lang w:eastAsia="en-IN"/>
                <w14:ligatures w14:val="none"/>
              </w:rPr>
              <w:t>0.9</w:t>
            </w:r>
          </w:p>
        </w:tc>
        <w:tc>
          <w:tcPr>
            <w:tcW w:w="1490" w:type="dxa"/>
            <w:tcBorders>
              <w:top w:val="nil"/>
              <w:left w:val="nil"/>
              <w:bottom w:val="single" w:sz="4" w:space="0" w:color="auto"/>
              <w:right w:val="single" w:sz="4" w:space="0" w:color="auto"/>
            </w:tcBorders>
            <w:shd w:val="clear" w:color="000000" w:fill="FFFFFF"/>
            <w:vAlign w:val="center"/>
            <w:hideMark/>
          </w:tcPr>
          <w:p w14:paraId="2AB80D1A" w14:textId="77777777" w:rsidR="00BC195E" w:rsidRPr="00BC195E" w:rsidRDefault="00BC195E" w:rsidP="00BC195E">
            <w:pPr>
              <w:spacing w:after="0" w:line="240" w:lineRule="auto"/>
              <w:ind w:firstLineChars="100" w:firstLine="221"/>
              <w:jc w:val="center"/>
              <w:rPr>
                <w:rFonts w:ascii="Times New Roman" w:eastAsia="Times New Roman" w:hAnsi="Times New Roman" w:cs="Times New Roman"/>
                <w:b/>
                <w:bCs/>
                <w:i/>
                <w:iCs/>
                <w:color w:val="1A1C1E"/>
                <w:kern w:val="0"/>
                <w:sz w:val="22"/>
                <w:szCs w:val="22"/>
                <w:lang w:eastAsia="en-IN"/>
                <w14:ligatures w14:val="none"/>
              </w:rPr>
            </w:pPr>
            <w:r w:rsidRPr="00BC195E">
              <w:rPr>
                <w:rFonts w:ascii="Times New Roman" w:eastAsia="Times New Roman" w:hAnsi="Times New Roman" w:cs="Times New Roman"/>
                <w:b/>
                <w:bCs/>
                <w:i/>
                <w:iCs/>
                <w:color w:val="1A1C1E"/>
                <w:kern w:val="0"/>
                <w:sz w:val="22"/>
                <w:szCs w:val="22"/>
                <w:lang w:eastAsia="en-IN"/>
                <w14:ligatures w14:val="none"/>
              </w:rPr>
              <w:t>1.5</w:t>
            </w:r>
          </w:p>
        </w:tc>
        <w:tc>
          <w:tcPr>
            <w:tcW w:w="1492" w:type="dxa"/>
            <w:tcBorders>
              <w:top w:val="nil"/>
              <w:left w:val="nil"/>
              <w:bottom w:val="single" w:sz="4" w:space="0" w:color="auto"/>
              <w:right w:val="single" w:sz="4" w:space="0" w:color="auto"/>
            </w:tcBorders>
            <w:shd w:val="clear" w:color="000000" w:fill="FFFFFF"/>
            <w:vAlign w:val="center"/>
            <w:hideMark/>
          </w:tcPr>
          <w:p w14:paraId="71DB6DA4" w14:textId="77777777" w:rsidR="00BC195E" w:rsidRPr="00BC195E" w:rsidRDefault="00BC195E" w:rsidP="00BC195E">
            <w:pPr>
              <w:spacing w:after="0" w:line="240" w:lineRule="auto"/>
              <w:ind w:firstLineChars="100" w:firstLine="221"/>
              <w:jc w:val="center"/>
              <w:rPr>
                <w:rFonts w:ascii="Times New Roman" w:eastAsia="Times New Roman" w:hAnsi="Times New Roman" w:cs="Times New Roman"/>
                <w:b/>
                <w:bCs/>
                <w:i/>
                <w:iCs/>
                <w:color w:val="1A1C1E"/>
                <w:kern w:val="0"/>
                <w:sz w:val="22"/>
                <w:szCs w:val="22"/>
                <w:lang w:eastAsia="en-IN"/>
                <w14:ligatures w14:val="none"/>
              </w:rPr>
            </w:pPr>
            <w:r w:rsidRPr="00BC195E">
              <w:rPr>
                <w:rFonts w:ascii="Times New Roman" w:eastAsia="Times New Roman" w:hAnsi="Times New Roman" w:cs="Times New Roman"/>
                <w:b/>
                <w:bCs/>
                <w:i/>
                <w:iCs/>
                <w:color w:val="1A1C1E"/>
                <w:kern w:val="0"/>
                <w:sz w:val="22"/>
                <w:szCs w:val="22"/>
                <w:lang w:eastAsia="en-IN"/>
                <w14:ligatures w14:val="none"/>
              </w:rPr>
              <w:t>3.3</w:t>
            </w:r>
          </w:p>
        </w:tc>
        <w:tc>
          <w:tcPr>
            <w:tcW w:w="2093" w:type="dxa"/>
            <w:tcBorders>
              <w:top w:val="nil"/>
              <w:left w:val="nil"/>
              <w:bottom w:val="single" w:sz="4" w:space="0" w:color="auto"/>
              <w:right w:val="single" w:sz="4" w:space="0" w:color="auto"/>
            </w:tcBorders>
            <w:shd w:val="clear" w:color="000000" w:fill="FFFFFF"/>
            <w:vAlign w:val="center"/>
            <w:hideMark/>
          </w:tcPr>
          <w:p w14:paraId="0A0A2C8F" w14:textId="77777777" w:rsidR="00BC195E" w:rsidRPr="00BC195E" w:rsidRDefault="00BC195E" w:rsidP="00BC195E">
            <w:pPr>
              <w:spacing w:after="0" w:line="240" w:lineRule="auto"/>
              <w:ind w:firstLineChars="100" w:firstLine="221"/>
              <w:jc w:val="center"/>
              <w:rPr>
                <w:rFonts w:ascii="Times New Roman" w:eastAsia="Times New Roman" w:hAnsi="Times New Roman" w:cs="Times New Roman"/>
                <w:b/>
                <w:bCs/>
                <w:i/>
                <w:iCs/>
                <w:color w:val="1A1C1E"/>
                <w:kern w:val="0"/>
                <w:sz w:val="22"/>
                <w:szCs w:val="22"/>
                <w:lang w:eastAsia="en-IN"/>
                <w14:ligatures w14:val="none"/>
              </w:rPr>
            </w:pPr>
            <w:r w:rsidRPr="00BC195E">
              <w:rPr>
                <w:rFonts w:ascii="Times New Roman" w:eastAsia="Times New Roman" w:hAnsi="Times New Roman" w:cs="Times New Roman"/>
                <w:b/>
                <w:bCs/>
                <w:i/>
                <w:iCs/>
                <w:color w:val="1A1C1E"/>
                <w:kern w:val="0"/>
                <w:sz w:val="22"/>
                <w:szCs w:val="22"/>
                <w:lang w:eastAsia="en-IN"/>
                <w14:ligatures w14:val="none"/>
              </w:rPr>
              <w:t>1.7</w:t>
            </w:r>
          </w:p>
        </w:tc>
        <w:tc>
          <w:tcPr>
            <w:tcW w:w="1782" w:type="dxa"/>
            <w:tcBorders>
              <w:top w:val="nil"/>
              <w:left w:val="nil"/>
              <w:bottom w:val="single" w:sz="4" w:space="0" w:color="auto"/>
              <w:right w:val="single" w:sz="4" w:space="0" w:color="auto"/>
            </w:tcBorders>
            <w:shd w:val="clear" w:color="000000" w:fill="FFFFFF"/>
            <w:vAlign w:val="center"/>
            <w:hideMark/>
          </w:tcPr>
          <w:p w14:paraId="435C26B7" w14:textId="77777777" w:rsidR="00BC195E" w:rsidRPr="00BC195E" w:rsidRDefault="00BC195E" w:rsidP="00BC195E">
            <w:pPr>
              <w:spacing w:after="0" w:line="240" w:lineRule="auto"/>
              <w:ind w:firstLineChars="100" w:firstLine="221"/>
              <w:jc w:val="center"/>
              <w:rPr>
                <w:rFonts w:ascii="Times New Roman" w:eastAsia="Times New Roman" w:hAnsi="Times New Roman" w:cs="Times New Roman"/>
                <w:b/>
                <w:bCs/>
                <w:i/>
                <w:iCs/>
                <w:color w:val="1A1C1E"/>
                <w:kern w:val="0"/>
                <w:sz w:val="22"/>
                <w:szCs w:val="22"/>
                <w:lang w:eastAsia="en-IN"/>
                <w14:ligatures w14:val="none"/>
              </w:rPr>
            </w:pPr>
            <w:r w:rsidRPr="00BC195E">
              <w:rPr>
                <w:rFonts w:ascii="Times New Roman" w:eastAsia="Times New Roman" w:hAnsi="Times New Roman" w:cs="Times New Roman"/>
                <w:b/>
                <w:bCs/>
                <w:i/>
                <w:iCs/>
                <w:color w:val="1A1C1E"/>
                <w:kern w:val="0"/>
                <w:sz w:val="22"/>
                <w:szCs w:val="22"/>
                <w:lang w:eastAsia="en-IN"/>
                <w14:ligatures w14:val="none"/>
              </w:rPr>
              <w:t>0.8</w:t>
            </w:r>
          </w:p>
        </w:tc>
      </w:tr>
    </w:tbl>
    <w:p w14:paraId="3B00AAA9" w14:textId="18CC7BF7" w:rsidR="00754CB8" w:rsidRPr="005534D4" w:rsidRDefault="00754CB8" w:rsidP="008A141A">
      <w:pPr>
        <w:rPr>
          <w:rFonts w:ascii="Times New Roman" w:hAnsi="Times New Roman" w:cs="Times New Roman"/>
        </w:rPr>
      </w:pPr>
    </w:p>
    <w:p w14:paraId="511774C2" w14:textId="77777777" w:rsidR="00BC195E" w:rsidRDefault="00BC195E">
      <w:pPr>
        <w:rPr>
          <w:rFonts w:ascii="Times New Roman" w:hAnsi="Times New Roman" w:cs="Times New Roman"/>
        </w:rPr>
        <w:sectPr w:rsidR="00BC195E" w:rsidSect="00BC195E">
          <w:pgSz w:w="16838" w:h="11906" w:orient="landscape"/>
          <w:pgMar w:top="1134" w:right="1440" w:bottom="1440" w:left="1440" w:header="709" w:footer="709" w:gutter="0"/>
          <w:cols w:space="708"/>
          <w:docGrid w:linePitch="360"/>
        </w:sectPr>
      </w:pPr>
    </w:p>
    <w:p w14:paraId="1044505C" w14:textId="1BB99D0E" w:rsidR="00BC195E" w:rsidRDefault="00594F40" w:rsidP="0075507D">
      <w:pPr>
        <w:pStyle w:val="Heading3"/>
      </w:pPr>
      <w:bookmarkStart w:id="36" w:name="_Toc221007145"/>
      <w:r w:rsidRPr="005534D4">
        <w:lastRenderedPageBreak/>
        <w:t>8(b).—Amount and Per Capita Expenditure in</w:t>
      </w:r>
      <w:r w:rsidR="00BC195E">
        <w:t xml:space="preserve"> </w:t>
      </w:r>
      <w:r w:rsidR="00BC195E" w:rsidRPr="005534D4">
        <w:t>States on Selected Services—1951-52 (Provisional Figures)</w:t>
      </w:r>
      <w:bookmarkEnd w:id="36"/>
    </w:p>
    <w:p w14:paraId="60708208" w14:textId="30334287" w:rsidR="00594F40" w:rsidRPr="00BC195E" w:rsidRDefault="00594F40" w:rsidP="00BC195E">
      <w:pPr>
        <w:jc w:val="center"/>
        <w:rPr>
          <w:rFonts w:ascii="Times New Roman" w:hAnsi="Times New Roman" w:cs="Times New Roman"/>
        </w:rPr>
      </w:pPr>
      <w:r w:rsidRPr="00BC195E">
        <w:rPr>
          <w:rFonts w:ascii="Times New Roman" w:hAnsi="Times New Roman" w:cs="Times New Roman"/>
        </w:rPr>
        <w:t>Per Capita figures (in rupees) are given in italics</w:t>
      </w:r>
      <w:r w:rsidR="00BC195E" w:rsidRPr="00BC195E">
        <w:rPr>
          <w:rFonts w:ascii="Times New Roman" w:hAnsi="Times New Roman" w:cs="Times New Roman"/>
        </w:rPr>
        <w:t xml:space="preserve"> along-side the figures for Total Expenditure.</w:t>
      </w:r>
    </w:p>
    <w:tbl>
      <w:tblPr>
        <w:tblW w:w="13954" w:type="dxa"/>
        <w:jc w:val="center"/>
        <w:tblLook w:val="04A0" w:firstRow="1" w:lastRow="0" w:firstColumn="1" w:lastColumn="0" w:noHBand="0" w:noVBand="1"/>
      </w:tblPr>
      <w:tblGrid>
        <w:gridCol w:w="2191"/>
        <w:gridCol w:w="2690"/>
        <w:gridCol w:w="2406"/>
        <w:gridCol w:w="1449"/>
        <w:gridCol w:w="1450"/>
        <w:gridCol w:w="2035"/>
        <w:gridCol w:w="1733"/>
      </w:tblGrid>
      <w:tr w:rsidR="00EB43AE" w:rsidRPr="00EB43AE" w14:paraId="58693F51" w14:textId="77777777" w:rsidTr="00EB43AE">
        <w:trPr>
          <w:trHeight w:val="20"/>
          <w:jc w:val="center"/>
        </w:trPr>
        <w:tc>
          <w:tcPr>
            <w:tcW w:w="21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9FC929" w14:textId="77777777" w:rsidR="00EB43AE" w:rsidRPr="00EB43AE" w:rsidRDefault="00EB43AE" w:rsidP="00EB43AE">
            <w:pPr>
              <w:spacing w:after="0" w:line="240" w:lineRule="auto"/>
              <w:ind w:firstLineChars="100" w:firstLine="221"/>
              <w:jc w:val="center"/>
              <w:rPr>
                <w:rFonts w:ascii="Times New Roman" w:eastAsia="Times New Roman" w:hAnsi="Times New Roman" w:cs="Times New Roman"/>
                <w:b/>
                <w:bCs/>
                <w:color w:val="1A1C1E"/>
                <w:kern w:val="0"/>
                <w:sz w:val="22"/>
                <w:szCs w:val="22"/>
                <w:lang w:eastAsia="en-IN"/>
                <w14:ligatures w14:val="none"/>
              </w:rPr>
            </w:pPr>
            <w:r w:rsidRPr="00EB43AE">
              <w:rPr>
                <w:rFonts w:ascii="Times New Roman" w:eastAsia="Times New Roman" w:hAnsi="Times New Roman" w:cs="Times New Roman"/>
                <w:b/>
                <w:bCs/>
                <w:color w:val="1A1C1E"/>
                <w:kern w:val="0"/>
                <w:sz w:val="22"/>
                <w:szCs w:val="22"/>
                <w:lang w:eastAsia="en-IN"/>
                <w14:ligatures w14:val="none"/>
              </w:rPr>
              <w:t>State</w:t>
            </w:r>
          </w:p>
        </w:tc>
        <w:tc>
          <w:tcPr>
            <w:tcW w:w="2690" w:type="dxa"/>
            <w:tcBorders>
              <w:top w:val="single" w:sz="4" w:space="0" w:color="auto"/>
              <w:left w:val="nil"/>
              <w:bottom w:val="single" w:sz="4" w:space="0" w:color="auto"/>
              <w:right w:val="single" w:sz="4" w:space="0" w:color="auto"/>
            </w:tcBorders>
            <w:shd w:val="clear" w:color="000000" w:fill="FFFFFF"/>
            <w:vAlign w:val="center"/>
            <w:hideMark/>
          </w:tcPr>
          <w:p w14:paraId="0DF52DD9" w14:textId="77777777" w:rsidR="00EB43AE" w:rsidRPr="00EB43AE" w:rsidRDefault="00EB43AE" w:rsidP="00EB43AE">
            <w:pPr>
              <w:spacing w:after="0" w:line="240" w:lineRule="auto"/>
              <w:ind w:firstLineChars="100" w:firstLine="221"/>
              <w:jc w:val="center"/>
              <w:rPr>
                <w:rFonts w:ascii="Times New Roman" w:eastAsia="Times New Roman" w:hAnsi="Times New Roman" w:cs="Times New Roman"/>
                <w:b/>
                <w:bCs/>
                <w:color w:val="1A1C1E"/>
                <w:kern w:val="0"/>
                <w:sz w:val="22"/>
                <w:szCs w:val="22"/>
                <w:lang w:eastAsia="en-IN"/>
                <w14:ligatures w14:val="none"/>
              </w:rPr>
            </w:pPr>
            <w:r w:rsidRPr="00EB43AE">
              <w:rPr>
                <w:rFonts w:ascii="Times New Roman" w:eastAsia="Times New Roman" w:hAnsi="Times New Roman" w:cs="Times New Roman"/>
                <w:b/>
                <w:bCs/>
                <w:color w:val="1A1C1E"/>
                <w:kern w:val="0"/>
                <w:sz w:val="22"/>
                <w:szCs w:val="22"/>
                <w:lang w:eastAsia="en-IN"/>
                <w14:ligatures w14:val="none"/>
              </w:rPr>
              <w:t>Administrative Services</w:t>
            </w:r>
          </w:p>
        </w:tc>
        <w:tc>
          <w:tcPr>
            <w:tcW w:w="2406" w:type="dxa"/>
            <w:tcBorders>
              <w:top w:val="single" w:sz="4" w:space="0" w:color="auto"/>
              <w:left w:val="nil"/>
              <w:bottom w:val="single" w:sz="4" w:space="0" w:color="auto"/>
              <w:right w:val="single" w:sz="4" w:space="0" w:color="auto"/>
            </w:tcBorders>
            <w:shd w:val="clear" w:color="000000" w:fill="FFFFFF"/>
            <w:vAlign w:val="center"/>
            <w:hideMark/>
          </w:tcPr>
          <w:p w14:paraId="11EC8C5E" w14:textId="77777777" w:rsidR="00EB43AE" w:rsidRPr="00EB43AE" w:rsidRDefault="00EB43AE" w:rsidP="00EB43AE">
            <w:pPr>
              <w:spacing w:after="0" w:line="240" w:lineRule="auto"/>
              <w:ind w:firstLineChars="100" w:firstLine="221"/>
              <w:jc w:val="center"/>
              <w:rPr>
                <w:rFonts w:ascii="Times New Roman" w:eastAsia="Times New Roman" w:hAnsi="Times New Roman" w:cs="Times New Roman"/>
                <w:b/>
                <w:bCs/>
                <w:color w:val="1A1C1E"/>
                <w:kern w:val="0"/>
                <w:sz w:val="22"/>
                <w:szCs w:val="22"/>
                <w:lang w:eastAsia="en-IN"/>
                <w14:ligatures w14:val="none"/>
              </w:rPr>
            </w:pPr>
            <w:r w:rsidRPr="00EB43AE">
              <w:rPr>
                <w:rFonts w:ascii="Times New Roman" w:eastAsia="Times New Roman" w:hAnsi="Times New Roman" w:cs="Times New Roman"/>
                <w:b/>
                <w:bCs/>
                <w:color w:val="1A1C1E"/>
                <w:kern w:val="0"/>
                <w:sz w:val="22"/>
                <w:szCs w:val="22"/>
                <w:lang w:eastAsia="en-IN"/>
                <w14:ligatures w14:val="none"/>
              </w:rPr>
              <w:t>General Administration</w:t>
            </w:r>
          </w:p>
        </w:tc>
        <w:tc>
          <w:tcPr>
            <w:tcW w:w="1449" w:type="dxa"/>
            <w:tcBorders>
              <w:top w:val="single" w:sz="4" w:space="0" w:color="auto"/>
              <w:left w:val="nil"/>
              <w:bottom w:val="single" w:sz="4" w:space="0" w:color="auto"/>
              <w:right w:val="single" w:sz="4" w:space="0" w:color="auto"/>
            </w:tcBorders>
            <w:shd w:val="clear" w:color="000000" w:fill="FFFFFF"/>
            <w:vAlign w:val="center"/>
            <w:hideMark/>
          </w:tcPr>
          <w:p w14:paraId="3AD19DE8" w14:textId="77777777" w:rsidR="00EB43AE" w:rsidRPr="00EB43AE" w:rsidRDefault="00EB43AE" w:rsidP="00EB43AE">
            <w:pPr>
              <w:spacing w:after="0" w:line="240" w:lineRule="auto"/>
              <w:ind w:firstLineChars="100" w:firstLine="221"/>
              <w:jc w:val="center"/>
              <w:rPr>
                <w:rFonts w:ascii="Times New Roman" w:eastAsia="Times New Roman" w:hAnsi="Times New Roman" w:cs="Times New Roman"/>
                <w:b/>
                <w:bCs/>
                <w:color w:val="1A1C1E"/>
                <w:kern w:val="0"/>
                <w:sz w:val="22"/>
                <w:szCs w:val="22"/>
                <w:lang w:eastAsia="en-IN"/>
                <w14:ligatures w14:val="none"/>
              </w:rPr>
            </w:pPr>
            <w:r w:rsidRPr="00EB43AE">
              <w:rPr>
                <w:rFonts w:ascii="Times New Roman" w:eastAsia="Times New Roman" w:hAnsi="Times New Roman" w:cs="Times New Roman"/>
                <w:b/>
                <w:bCs/>
                <w:color w:val="1A1C1E"/>
                <w:kern w:val="0"/>
                <w:sz w:val="22"/>
                <w:szCs w:val="22"/>
                <w:lang w:eastAsia="en-IN"/>
                <w14:ligatures w14:val="none"/>
              </w:rPr>
              <w:t>Police</w:t>
            </w:r>
          </w:p>
        </w:tc>
        <w:tc>
          <w:tcPr>
            <w:tcW w:w="1450" w:type="dxa"/>
            <w:tcBorders>
              <w:top w:val="single" w:sz="4" w:space="0" w:color="auto"/>
              <w:left w:val="nil"/>
              <w:bottom w:val="single" w:sz="4" w:space="0" w:color="auto"/>
              <w:right w:val="single" w:sz="4" w:space="0" w:color="auto"/>
            </w:tcBorders>
            <w:shd w:val="clear" w:color="000000" w:fill="FFFFFF"/>
            <w:vAlign w:val="center"/>
            <w:hideMark/>
          </w:tcPr>
          <w:p w14:paraId="16A3AA1F" w14:textId="77777777" w:rsidR="00EB43AE" w:rsidRPr="00EB43AE" w:rsidRDefault="00EB43AE" w:rsidP="00EB43AE">
            <w:pPr>
              <w:spacing w:after="0" w:line="240" w:lineRule="auto"/>
              <w:ind w:firstLineChars="100" w:firstLine="221"/>
              <w:jc w:val="center"/>
              <w:rPr>
                <w:rFonts w:ascii="Times New Roman" w:eastAsia="Times New Roman" w:hAnsi="Times New Roman" w:cs="Times New Roman"/>
                <w:b/>
                <w:bCs/>
                <w:color w:val="1A1C1E"/>
                <w:kern w:val="0"/>
                <w:sz w:val="22"/>
                <w:szCs w:val="22"/>
                <w:lang w:eastAsia="en-IN"/>
                <w14:ligatures w14:val="none"/>
              </w:rPr>
            </w:pPr>
            <w:r w:rsidRPr="00EB43AE">
              <w:rPr>
                <w:rFonts w:ascii="Times New Roman" w:eastAsia="Times New Roman" w:hAnsi="Times New Roman" w:cs="Times New Roman"/>
                <w:b/>
                <w:bCs/>
                <w:color w:val="1A1C1E"/>
                <w:kern w:val="0"/>
                <w:sz w:val="22"/>
                <w:szCs w:val="22"/>
                <w:lang w:eastAsia="en-IN"/>
                <w14:ligatures w14:val="none"/>
              </w:rPr>
              <w:t>Social Services</w:t>
            </w:r>
          </w:p>
        </w:tc>
        <w:tc>
          <w:tcPr>
            <w:tcW w:w="2035" w:type="dxa"/>
            <w:tcBorders>
              <w:top w:val="single" w:sz="4" w:space="0" w:color="auto"/>
              <w:left w:val="nil"/>
              <w:bottom w:val="single" w:sz="4" w:space="0" w:color="auto"/>
              <w:right w:val="single" w:sz="4" w:space="0" w:color="auto"/>
            </w:tcBorders>
            <w:shd w:val="clear" w:color="000000" w:fill="FFFFFF"/>
            <w:vAlign w:val="center"/>
            <w:hideMark/>
          </w:tcPr>
          <w:p w14:paraId="1FC21CC3" w14:textId="77777777" w:rsidR="00EB43AE" w:rsidRPr="00EB43AE" w:rsidRDefault="00EB43AE" w:rsidP="00EB43AE">
            <w:pPr>
              <w:spacing w:after="0" w:line="240" w:lineRule="auto"/>
              <w:ind w:firstLineChars="100" w:firstLine="221"/>
              <w:jc w:val="center"/>
              <w:rPr>
                <w:rFonts w:ascii="Times New Roman" w:eastAsia="Times New Roman" w:hAnsi="Times New Roman" w:cs="Times New Roman"/>
                <w:b/>
                <w:bCs/>
                <w:color w:val="1A1C1E"/>
                <w:kern w:val="0"/>
                <w:sz w:val="22"/>
                <w:szCs w:val="22"/>
                <w:lang w:eastAsia="en-IN"/>
                <w14:ligatures w14:val="none"/>
              </w:rPr>
            </w:pPr>
            <w:r w:rsidRPr="00EB43AE">
              <w:rPr>
                <w:rFonts w:ascii="Times New Roman" w:eastAsia="Times New Roman" w:hAnsi="Times New Roman" w:cs="Times New Roman"/>
                <w:b/>
                <w:bCs/>
                <w:color w:val="1A1C1E"/>
                <w:kern w:val="0"/>
                <w:sz w:val="22"/>
                <w:szCs w:val="22"/>
                <w:lang w:eastAsia="en-IN"/>
                <w14:ligatures w14:val="none"/>
              </w:rPr>
              <w:t>Education</w:t>
            </w:r>
          </w:p>
        </w:tc>
        <w:tc>
          <w:tcPr>
            <w:tcW w:w="1733" w:type="dxa"/>
            <w:tcBorders>
              <w:top w:val="single" w:sz="4" w:space="0" w:color="auto"/>
              <w:left w:val="nil"/>
              <w:bottom w:val="single" w:sz="4" w:space="0" w:color="auto"/>
              <w:right w:val="single" w:sz="4" w:space="0" w:color="auto"/>
            </w:tcBorders>
            <w:shd w:val="clear" w:color="000000" w:fill="FFFFFF"/>
            <w:vAlign w:val="center"/>
            <w:hideMark/>
          </w:tcPr>
          <w:p w14:paraId="74D632D6" w14:textId="77777777" w:rsidR="00EB43AE" w:rsidRPr="00EB43AE" w:rsidRDefault="00EB43AE" w:rsidP="00EB43AE">
            <w:pPr>
              <w:spacing w:after="0" w:line="240" w:lineRule="auto"/>
              <w:ind w:firstLineChars="100" w:firstLine="221"/>
              <w:jc w:val="center"/>
              <w:rPr>
                <w:rFonts w:ascii="Times New Roman" w:eastAsia="Times New Roman" w:hAnsi="Times New Roman" w:cs="Times New Roman"/>
                <w:b/>
                <w:bCs/>
                <w:color w:val="1A1C1E"/>
                <w:kern w:val="0"/>
                <w:sz w:val="22"/>
                <w:szCs w:val="22"/>
                <w:lang w:eastAsia="en-IN"/>
                <w14:ligatures w14:val="none"/>
              </w:rPr>
            </w:pPr>
            <w:r w:rsidRPr="00EB43AE">
              <w:rPr>
                <w:rFonts w:ascii="Times New Roman" w:eastAsia="Times New Roman" w:hAnsi="Times New Roman" w:cs="Times New Roman"/>
                <w:b/>
                <w:bCs/>
                <w:color w:val="1A1C1E"/>
                <w:kern w:val="0"/>
                <w:sz w:val="22"/>
                <w:szCs w:val="22"/>
                <w:lang w:eastAsia="en-IN"/>
                <w14:ligatures w14:val="none"/>
              </w:rPr>
              <w:t>Medical and Public Health</w:t>
            </w:r>
          </w:p>
        </w:tc>
      </w:tr>
      <w:tr w:rsidR="00EB43AE" w:rsidRPr="00EB43AE" w14:paraId="2E8A7690" w14:textId="77777777" w:rsidTr="00EB43AE">
        <w:trPr>
          <w:trHeight w:val="20"/>
          <w:jc w:val="center"/>
        </w:trPr>
        <w:tc>
          <w:tcPr>
            <w:tcW w:w="2191" w:type="dxa"/>
            <w:tcBorders>
              <w:top w:val="nil"/>
              <w:left w:val="single" w:sz="4" w:space="0" w:color="auto"/>
              <w:bottom w:val="single" w:sz="4" w:space="0" w:color="auto"/>
              <w:right w:val="single" w:sz="4" w:space="0" w:color="auto"/>
            </w:tcBorders>
            <w:shd w:val="clear" w:color="000000" w:fill="FFFFFF"/>
            <w:vAlign w:val="center"/>
            <w:hideMark/>
          </w:tcPr>
          <w:p w14:paraId="58AEDEC4"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Assam</w:t>
            </w:r>
          </w:p>
        </w:tc>
        <w:tc>
          <w:tcPr>
            <w:tcW w:w="2690" w:type="dxa"/>
            <w:tcBorders>
              <w:top w:val="nil"/>
              <w:left w:val="nil"/>
              <w:bottom w:val="single" w:sz="4" w:space="0" w:color="auto"/>
              <w:right w:val="single" w:sz="4" w:space="0" w:color="auto"/>
            </w:tcBorders>
            <w:shd w:val="clear" w:color="000000" w:fill="FFFFFF"/>
            <w:vAlign w:val="center"/>
            <w:hideMark/>
          </w:tcPr>
          <w:p w14:paraId="47A4E4F6"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222</w:t>
            </w:r>
          </w:p>
        </w:tc>
        <w:tc>
          <w:tcPr>
            <w:tcW w:w="2406" w:type="dxa"/>
            <w:tcBorders>
              <w:top w:val="nil"/>
              <w:left w:val="nil"/>
              <w:bottom w:val="single" w:sz="4" w:space="0" w:color="auto"/>
              <w:right w:val="single" w:sz="4" w:space="0" w:color="auto"/>
            </w:tcBorders>
            <w:shd w:val="clear" w:color="000000" w:fill="FFFFFF"/>
            <w:vAlign w:val="center"/>
            <w:hideMark/>
          </w:tcPr>
          <w:p w14:paraId="1BF09074"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91</w:t>
            </w:r>
          </w:p>
        </w:tc>
        <w:tc>
          <w:tcPr>
            <w:tcW w:w="1449" w:type="dxa"/>
            <w:tcBorders>
              <w:top w:val="nil"/>
              <w:left w:val="nil"/>
              <w:bottom w:val="single" w:sz="4" w:space="0" w:color="auto"/>
              <w:right w:val="single" w:sz="4" w:space="0" w:color="auto"/>
            </w:tcBorders>
            <w:shd w:val="clear" w:color="000000" w:fill="FFFFFF"/>
            <w:vAlign w:val="center"/>
            <w:hideMark/>
          </w:tcPr>
          <w:p w14:paraId="76E278DF"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96</w:t>
            </w:r>
          </w:p>
        </w:tc>
        <w:tc>
          <w:tcPr>
            <w:tcW w:w="1450" w:type="dxa"/>
            <w:tcBorders>
              <w:top w:val="nil"/>
              <w:left w:val="nil"/>
              <w:bottom w:val="single" w:sz="4" w:space="0" w:color="auto"/>
              <w:right w:val="single" w:sz="4" w:space="0" w:color="auto"/>
            </w:tcBorders>
            <w:shd w:val="clear" w:color="000000" w:fill="FFFFFF"/>
            <w:vAlign w:val="center"/>
            <w:hideMark/>
          </w:tcPr>
          <w:p w14:paraId="6943EED5"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330</w:t>
            </w:r>
          </w:p>
        </w:tc>
        <w:tc>
          <w:tcPr>
            <w:tcW w:w="2035" w:type="dxa"/>
            <w:tcBorders>
              <w:top w:val="nil"/>
              <w:left w:val="nil"/>
              <w:bottom w:val="single" w:sz="4" w:space="0" w:color="auto"/>
              <w:right w:val="single" w:sz="4" w:space="0" w:color="auto"/>
            </w:tcBorders>
            <w:shd w:val="clear" w:color="000000" w:fill="FFFFFF"/>
            <w:vAlign w:val="center"/>
            <w:hideMark/>
          </w:tcPr>
          <w:p w14:paraId="6E2E49E7"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172</w:t>
            </w:r>
          </w:p>
        </w:tc>
        <w:tc>
          <w:tcPr>
            <w:tcW w:w="1733" w:type="dxa"/>
            <w:tcBorders>
              <w:top w:val="nil"/>
              <w:left w:val="nil"/>
              <w:bottom w:val="single" w:sz="4" w:space="0" w:color="auto"/>
              <w:right w:val="single" w:sz="4" w:space="0" w:color="auto"/>
            </w:tcBorders>
            <w:shd w:val="clear" w:color="000000" w:fill="FFFFFF"/>
            <w:vAlign w:val="center"/>
            <w:hideMark/>
          </w:tcPr>
          <w:p w14:paraId="00D60BAC"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78</w:t>
            </w:r>
          </w:p>
        </w:tc>
      </w:tr>
      <w:tr w:rsidR="00EB43AE" w:rsidRPr="00EB43AE" w14:paraId="1EC03973" w14:textId="77777777" w:rsidTr="00EB43AE">
        <w:trPr>
          <w:trHeight w:val="20"/>
          <w:jc w:val="center"/>
        </w:trPr>
        <w:tc>
          <w:tcPr>
            <w:tcW w:w="2191" w:type="dxa"/>
            <w:tcBorders>
              <w:top w:val="nil"/>
              <w:left w:val="single" w:sz="4" w:space="0" w:color="auto"/>
              <w:bottom w:val="single" w:sz="4" w:space="0" w:color="auto"/>
              <w:right w:val="single" w:sz="4" w:space="0" w:color="auto"/>
            </w:tcBorders>
            <w:shd w:val="clear" w:color="000000" w:fill="FFFFFF"/>
            <w:vAlign w:val="center"/>
            <w:hideMark/>
          </w:tcPr>
          <w:p w14:paraId="10F34B2F" w14:textId="07FA2622"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p>
        </w:tc>
        <w:tc>
          <w:tcPr>
            <w:tcW w:w="2690" w:type="dxa"/>
            <w:tcBorders>
              <w:top w:val="nil"/>
              <w:left w:val="nil"/>
              <w:bottom w:val="single" w:sz="4" w:space="0" w:color="auto"/>
              <w:right w:val="single" w:sz="4" w:space="0" w:color="auto"/>
            </w:tcBorders>
            <w:shd w:val="clear" w:color="000000" w:fill="FFFFFF"/>
            <w:vAlign w:val="center"/>
            <w:hideMark/>
          </w:tcPr>
          <w:p w14:paraId="6097F305"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B43AE">
              <w:rPr>
                <w:rFonts w:ascii="Times New Roman" w:eastAsia="Times New Roman" w:hAnsi="Times New Roman" w:cs="Times New Roman"/>
                <w:i/>
                <w:iCs/>
                <w:color w:val="1A1C1E"/>
                <w:kern w:val="0"/>
                <w:sz w:val="22"/>
                <w:szCs w:val="22"/>
                <w:lang w:eastAsia="en-IN"/>
                <w14:ligatures w14:val="none"/>
              </w:rPr>
              <w:t>2.5</w:t>
            </w:r>
          </w:p>
        </w:tc>
        <w:tc>
          <w:tcPr>
            <w:tcW w:w="2406" w:type="dxa"/>
            <w:tcBorders>
              <w:top w:val="nil"/>
              <w:left w:val="nil"/>
              <w:bottom w:val="single" w:sz="4" w:space="0" w:color="auto"/>
              <w:right w:val="single" w:sz="4" w:space="0" w:color="auto"/>
            </w:tcBorders>
            <w:shd w:val="clear" w:color="000000" w:fill="FFFFFF"/>
            <w:vAlign w:val="center"/>
            <w:hideMark/>
          </w:tcPr>
          <w:p w14:paraId="4052FE11" w14:textId="328F1B65" w:rsidR="00EB43AE" w:rsidRPr="00EB43AE" w:rsidRDefault="00EB43AE" w:rsidP="00EB43A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B43AE">
              <w:rPr>
                <w:rFonts w:ascii="Times New Roman" w:eastAsia="Times New Roman" w:hAnsi="Times New Roman" w:cs="Times New Roman"/>
                <w:i/>
                <w:iCs/>
                <w:color w:val="1A1C1E"/>
                <w:kern w:val="0"/>
                <w:sz w:val="22"/>
                <w:szCs w:val="22"/>
                <w:lang w:eastAsia="en-IN"/>
                <w14:ligatures w14:val="none"/>
              </w:rPr>
              <w:t>1</w:t>
            </w:r>
            <w:r w:rsidR="00077967">
              <w:rPr>
                <w:rFonts w:ascii="Times New Roman" w:eastAsia="Times New Roman" w:hAnsi="Times New Roman" w:cs="Times New Roman"/>
                <w:i/>
                <w:iCs/>
                <w:color w:val="1A1C1E"/>
                <w:kern w:val="0"/>
                <w:sz w:val="22"/>
                <w:szCs w:val="22"/>
                <w:lang w:eastAsia="en-IN"/>
                <w14:ligatures w14:val="none"/>
              </w:rPr>
              <w:t>.0</w:t>
            </w:r>
          </w:p>
        </w:tc>
        <w:tc>
          <w:tcPr>
            <w:tcW w:w="1449" w:type="dxa"/>
            <w:tcBorders>
              <w:top w:val="nil"/>
              <w:left w:val="nil"/>
              <w:bottom w:val="single" w:sz="4" w:space="0" w:color="auto"/>
              <w:right w:val="single" w:sz="4" w:space="0" w:color="auto"/>
            </w:tcBorders>
            <w:shd w:val="clear" w:color="000000" w:fill="FFFFFF"/>
            <w:vAlign w:val="center"/>
            <w:hideMark/>
          </w:tcPr>
          <w:p w14:paraId="4AE99BE8"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B43AE">
              <w:rPr>
                <w:rFonts w:ascii="Times New Roman" w:eastAsia="Times New Roman" w:hAnsi="Times New Roman" w:cs="Times New Roman"/>
                <w:i/>
                <w:iCs/>
                <w:color w:val="1A1C1E"/>
                <w:kern w:val="0"/>
                <w:sz w:val="22"/>
                <w:szCs w:val="22"/>
                <w:lang w:eastAsia="en-IN"/>
                <w14:ligatures w14:val="none"/>
              </w:rPr>
              <w:t>1.1</w:t>
            </w:r>
          </w:p>
        </w:tc>
        <w:tc>
          <w:tcPr>
            <w:tcW w:w="1450" w:type="dxa"/>
            <w:tcBorders>
              <w:top w:val="nil"/>
              <w:left w:val="nil"/>
              <w:bottom w:val="single" w:sz="4" w:space="0" w:color="auto"/>
              <w:right w:val="single" w:sz="4" w:space="0" w:color="auto"/>
            </w:tcBorders>
            <w:shd w:val="clear" w:color="000000" w:fill="FFFFFF"/>
            <w:vAlign w:val="center"/>
            <w:hideMark/>
          </w:tcPr>
          <w:p w14:paraId="7F0EE2ED"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B43AE">
              <w:rPr>
                <w:rFonts w:ascii="Times New Roman" w:eastAsia="Times New Roman" w:hAnsi="Times New Roman" w:cs="Times New Roman"/>
                <w:i/>
                <w:iCs/>
                <w:color w:val="1A1C1E"/>
                <w:kern w:val="0"/>
                <w:sz w:val="22"/>
                <w:szCs w:val="22"/>
                <w:lang w:eastAsia="en-IN"/>
                <w14:ligatures w14:val="none"/>
              </w:rPr>
              <w:t>3.7</w:t>
            </w:r>
          </w:p>
        </w:tc>
        <w:tc>
          <w:tcPr>
            <w:tcW w:w="2035" w:type="dxa"/>
            <w:tcBorders>
              <w:top w:val="nil"/>
              <w:left w:val="nil"/>
              <w:bottom w:val="single" w:sz="4" w:space="0" w:color="auto"/>
              <w:right w:val="single" w:sz="4" w:space="0" w:color="auto"/>
            </w:tcBorders>
            <w:shd w:val="clear" w:color="000000" w:fill="FFFFFF"/>
            <w:vAlign w:val="center"/>
            <w:hideMark/>
          </w:tcPr>
          <w:p w14:paraId="7924A185"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B43AE">
              <w:rPr>
                <w:rFonts w:ascii="Times New Roman" w:eastAsia="Times New Roman" w:hAnsi="Times New Roman" w:cs="Times New Roman"/>
                <w:i/>
                <w:iCs/>
                <w:color w:val="1A1C1E"/>
                <w:kern w:val="0"/>
                <w:sz w:val="22"/>
                <w:szCs w:val="22"/>
                <w:lang w:eastAsia="en-IN"/>
                <w14:ligatures w14:val="none"/>
              </w:rPr>
              <w:t>1.9</w:t>
            </w:r>
          </w:p>
        </w:tc>
        <w:tc>
          <w:tcPr>
            <w:tcW w:w="1733" w:type="dxa"/>
            <w:tcBorders>
              <w:top w:val="nil"/>
              <w:left w:val="nil"/>
              <w:bottom w:val="single" w:sz="4" w:space="0" w:color="auto"/>
              <w:right w:val="single" w:sz="4" w:space="0" w:color="auto"/>
            </w:tcBorders>
            <w:shd w:val="clear" w:color="000000" w:fill="FFFFFF"/>
            <w:vAlign w:val="center"/>
            <w:hideMark/>
          </w:tcPr>
          <w:p w14:paraId="0D555C3D"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B43AE">
              <w:rPr>
                <w:rFonts w:ascii="Times New Roman" w:eastAsia="Times New Roman" w:hAnsi="Times New Roman" w:cs="Times New Roman"/>
                <w:i/>
                <w:iCs/>
                <w:color w:val="1A1C1E"/>
                <w:kern w:val="0"/>
                <w:sz w:val="22"/>
                <w:szCs w:val="22"/>
                <w:lang w:eastAsia="en-IN"/>
                <w14:ligatures w14:val="none"/>
              </w:rPr>
              <w:t>0.9</w:t>
            </w:r>
          </w:p>
        </w:tc>
      </w:tr>
      <w:tr w:rsidR="00EB43AE" w:rsidRPr="00EB43AE" w14:paraId="4D5AA14D" w14:textId="77777777" w:rsidTr="00EB43AE">
        <w:trPr>
          <w:trHeight w:val="20"/>
          <w:jc w:val="center"/>
        </w:trPr>
        <w:tc>
          <w:tcPr>
            <w:tcW w:w="2191" w:type="dxa"/>
            <w:tcBorders>
              <w:top w:val="nil"/>
              <w:left w:val="single" w:sz="4" w:space="0" w:color="auto"/>
              <w:bottom w:val="single" w:sz="4" w:space="0" w:color="auto"/>
              <w:right w:val="single" w:sz="4" w:space="0" w:color="auto"/>
            </w:tcBorders>
            <w:shd w:val="clear" w:color="000000" w:fill="FFFFFF"/>
            <w:vAlign w:val="center"/>
            <w:hideMark/>
          </w:tcPr>
          <w:p w14:paraId="4F68A779"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Bihar</w:t>
            </w:r>
          </w:p>
        </w:tc>
        <w:tc>
          <w:tcPr>
            <w:tcW w:w="2690" w:type="dxa"/>
            <w:tcBorders>
              <w:top w:val="nil"/>
              <w:left w:val="nil"/>
              <w:bottom w:val="single" w:sz="4" w:space="0" w:color="auto"/>
              <w:right w:val="single" w:sz="4" w:space="0" w:color="auto"/>
            </w:tcBorders>
            <w:shd w:val="clear" w:color="000000" w:fill="FFFFFF"/>
            <w:vAlign w:val="center"/>
            <w:hideMark/>
          </w:tcPr>
          <w:p w14:paraId="7CEDBDB9"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864</w:t>
            </w:r>
          </w:p>
        </w:tc>
        <w:tc>
          <w:tcPr>
            <w:tcW w:w="2406" w:type="dxa"/>
            <w:tcBorders>
              <w:top w:val="nil"/>
              <w:left w:val="nil"/>
              <w:bottom w:val="single" w:sz="4" w:space="0" w:color="auto"/>
              <w:right w:val="single" w:sz="4" w:space="0" w:color="auto"/>
            </w:tcBorders>
            <w:shd w:val="clear" w:color="000000" w:fill="FFFFFF"/>
            <w:vAlign w:val="center"/>
            <w:hideMark/>
          </w:tcPr>
          <w:p w14:paraId="47944A35"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259</w:t>
            </w:r>
          </w:p>
        </w:tc>
        <w:tc>
          <w:tcPr>
            <w:tcW w:w="1449" w:type="dxa"/>
            <w:tcBorders>
              <w:top w:val="nil"/>
              <w:left w:val="nil"/>
              <w:bottom w:val="single" w:sz="4" w:space="0" w:color="auto"/>
              <w:right w:val="single" w:sz="4" w:space="0" w:color="auto"/>
            </w:tcBorders>
            <w:shd w:val="clear" w:color="000000" w:fill="FFFFFF"/>
            <w:vAlign w:val="center"/>
            <w:hideMark/>
          </w:tcPr>
          <w:p w14:paraId="1EEFB197"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409</w:t>
            </w:r>
          </w:p>
        </w:tc>
        <w:tc>
          <w:tcPr>
            <w:tcW w:w="1450" w:type="dxa"/>
            <w:tcBorders>
              <w:top w:val="nil"/>
              <w:left w:val="nil"/>
              <w:bottom w:val="single" w:sz="4" w:space="0" w:color="auto"/>
              <w:right w:val="single" w:sz="4" w:space="0" w:color="auto"/>
            </w:tcBorders>
            <w:shd w:val="clear" w:color="000000" w:fill="FFFFFF"/>
            <w:vAlign w:val="center"/>
            <w:hideMark/>
          </w:tcPr>
          <w:p w14:paraId="6C7CBBA1"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796</w:t>
            </w:r>
          </w:p>
        </w:tc>
        <w:tc>
          <w:tcPr>
            <w:tcW w:w="2035" w:type="dxa"/>
            <w:tcBorders>
              <w:top w:val="nil"/>
              <w:left w:val="nil"/>
              <w:bottom w:val="single" w:sz="4" w:space="0" w:color="auto"/>
              <w:right w:val="single" w:sz="4" w:space="0" w:color="auto"/>
            </w:tcBorders>
            <w:shd w:val="clear" w:color="000000" w:fill="FFFFFF"/>
            <w:vAlign w:val="center"/>
            <w:hideMark/>
          </w:tcPr>
          <w:p w14:paraId="0836FE29"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358</w:t>
            </w:r>
          </w:p>
        </w:tc>
        <w:tc>
          <w:tcPr>
            <w:tcW w:w="1733" w:type="dxa"/>
            <w:tcBorders>
              <w:top w:val="nil"/>
              <w:left w:val="nil"/>
              <w:bottom w:val="single" w:sz="4" w:space="0" w:color="auto"/>
              <w:right w:val="single" w:sz="4" w:space="0" w:color="auto"/>
            </w:tcBorders>
            <w:shd w:val="clear" w:color="000000" w:fill="FFFFFF"/>
            <w:vAlign w:val="center"/>
            <w:hideMark/>
          </w:tcPr>
          <w:p w14:paraId="40C1294F"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201</w:t>
            </w:r>
          </w:p>
        </w:tc>
      </w:tr>
      <w:tr w:rsidR="00EB43AE" w:rsidRPr="00EB43AE" w14:paraId="26222E8D" w14:textId="77777777" w:rsidTr="00EB43AE">
        <w:trPr>
          <w:trHeight w:val="20"/>
          <w:jc w:val="center"/>
        </w:trPr>
        <w:tc>
          <w:tcPr>
            <w:tcW w:w="2191" w:type="dxa"/>
            <w:tcBorders>
              <w:top w:val="nil"/>
              <w:left w:val="single" w:sz="4" w:space="0" w:color="auto"/>
              <w:bottom w:val="single" w:sz="4" w:space="0" w:color="auto"/>
              <w:right w:val="single" w:sz="4" w:space="0" w:color="auto"/>
            </w:tcBorders>
            <w:shd w:val="clear" w:color="000000" w:fill="FFFFFF"/>
            <w:vAlign w:val="center"/>
            <w:hideMark/>
          </w:tcPr>
          <w:p w14:paraId="28EAEC81" w14:textId="2295ACDD"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p>
        </w:tc>
        <w:tc>
          <w:tcPr>
            <w:tcW w:w="2690" w:type="dxa"/>
            <w:tcBorders>
              <w:top w:val="nil"/>
              <w:left w:val="nil"/>
              <w:bottom w:val="single" w:sz="4" w:space="0" w:color="auto"/>
              <w:right w:val="single" w:sz="4" w:space="0" w:color="auto"/>
            </w:tcBorders>
            <w:shd w:val="clear" w:color="000000" w:fill="FFFFFF"/>
            <w:vAlign w:val="center"/>
            <w:hideMark/>
          </w:tcPr>
          <w:p w14:paraId="577FC90F"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B43AE">
              <w:rPr>
                <w:rFonts w:ascii="Times New Roman" w:eastAsia="Times New Roman" w:hAnsi="Times New Roman" w:cs="Times New Roman"/>
                <w:i/>
                <w:iCs/>
                <w:color w:val="1A1C1E"/>
                <w:kern w:val="0"/>
                <w:sz w:val="22"/>
                <w:szCs w:val="22"/>
                <w:lang w:eastAsia="en-IN"/>
                <w14:ligatures w14:val="none"/>
              </w:rPr>
              <w:t>2.1</w:t>
            </w:r>
          </w:p>
        </w:tc>
        <w:tc>
          <w:tcPr>
            <w:tcW w:w="2406" w:type="dxa"/>
            <w:tcBorders>
              <w:top w:val="nil"/>
              <w:left w:val="nil"/>
              <w:bottom w:val="single" w:sz="4" w:space="0" w:color="auto"/>
              <w:right w:val="single" w:sz="4" w:space="0" w:color="auto"/>
            </w:tcBorders>
            <w:shd w:val="clear" w:color="000000" w:fill="FFFFFF"/>
            <w:vAlign w:val="center"/>
            <w:hideMark/>
          </w:tcPr>
          <w:p w14:paraId="5C512721"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B43AE">
              <w:rPr>
                <w:rFonts w:ascii="Times New Roman" w:eastAsia="Times New Roman" w:hAnsi="Times New Roman" w:cs="Times New Roman"/>
                <w:i/>
                <w:iCs/>
                <w:color w:val="1A1C1E"/>
                <w:kern w:val="0"/>
                <w:sz w:val="22"/>
                <w:szCs w:val="22"/>
                <w:lang w:eastAsia="en-IN"/>
                <w14:ligatures w14:val="none"/>
              </w:rPr>
              <w:t>0.6</w:t>
            </w:r>
          </w:p>
        </w:tc>
        <w:tc>
          <w:tcPr>
            <w:tcW w:w="1449" w:type="dxa"/>
            <w:tcBorders>
              <w:top w:val="nil"/>
              <w:left w:val="nil"/>
              <w:bottom w:val="single" w:sz="4" w:space="0" w:color="auto"/>
              <w:right w:val="single" w:sz="4" w:space="0" w:color="auto"/>
            </w:tcBorders>
            <w:shd w:val="clear" w:color="000000" w:fill="FFFFFF"/>
            <w:vAlign w:val="center"/>
            <w:hideMark/>
          </w:tcPr>
          <w:p w14:paraId="3056FF4C" w14:textId="71D3F9D0" w:rsidR="00EB43AE" w:rsidRPr="00EB43AE" w:rsidRDefault="00EB43AE" w:rsidP="00EB43A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B43AE">
              <w:rPr>
                <w:rFonts w:ascii="Times New Roman" w:eastAsia="Times New Roman" w:hAnsi="Times New Roman" w:cs="Times New Roman"/>
                <w:i/>
                <w:iCs/>
                <w:color w:val="1A1C1E"/>
                <w:kern w:val="0"/>
                <w:sz w:val="22"/>
                <w:szCs w:val="22"/>
                <w:lang w:eastAsia="en-IN"/>
                <w14:ligatures w14:val="none"/>
              </w:rPr>
              <w:t>1</w:t>
            </w:r>
            <w:r w:rsidR="00744486">
              <w:rPr>
                <w:rFonts w:ascii="Times New Roman" w:eastAsia="Times New Roman" w:hAnsi="Times New Roman" w:cs="Times New Roman"/>
                <w:i/>
                <w:iCs/>
                <w:color w:val="1A1C1E"/>
                <w:kern w:val="0"/>
                <w:sz w:val="22"/>
                <w:szCs w:val="22"/>
                <w:lang w:eastAsia="en-IN"/>
                <w14:ligatures w14:val="none"/>
              </w:rPr>
              <w:t>.0</w:t>
            </w:r>
          </w:p>
        </w:tc>
        <w:tc>
          <w:tcPr>
            <w:tcW w:w="1450" w:type="dxa"/>
            <w:tcBorders>
              <w:top w:val="nil"/>
              <w:left w:val="nil"/>
              <w:bottom w:val="single" w:sz="4" w:space="0" w:color="auto"/>
              <w:right w:val="single" w:sz="4" w:space="0" w:color="auto"/>
            </w:tcBorders>
            <w:shd w:val="clear" w:color="000000" w:fill="FFFFFF"/>
            <w:vAlign w:val="center"/>
            <w:hideMark/>
          </w:tcPr>
          <w:p w14:paraId="148CC614" w14:textId="0186FD20" w:rsidR="00EB43AE" w:rsidRPr="00EB43AE" w:rsidRDefault="00EB43AE" w:rsidP="00EB43A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B43AE">
              <w:rPr>
                <w:rFonts w:ascii="Times New Roman" w:eastAsia="Times New Roman" w:hAnsi="Times New Roman" w:cs="Times New Roman"/>
                <w:i/>
                <w:iCs/>
                <w:color w:val="1A1C1E"/>
                <w:kern w:val="0"/>
                <w:sz w:val="22"/>
                <w:szCs w:val="22"/>
                <w:lang w:eastAsia="en-IN"/>
                <w14:ligatures w14:val="none"/>
              </w:rPr>
              <w:t>2</w:t>
            </w:r>
            <w:r w:rsidR="00744486">
              <w:rPr>
                <w:rFonts w:ascii="Times New Roman" w:eastAsia="Times New Roman" w:hAnsi="Times New Roman" w:cs="Times New Roman"/>
                <w:i/>
                <w:iCs/>
                <w:color w:val="1A1C1E"/>
                <w:kern w:val="0"/>
                <w:sz w:val="22"/>
                <w:szCs w:val="22"/>
                <w:lang w:eastAsia="en-IN"/>
                <w14:ligatures w14:val="none"/>
              </w:rPr>
              <w:t>.0</w:t>
            </w:r>
          </w:p>
        </w:tc>
        <w:tc>
          <w:tcPr>
            <w:tcW w:w="2035" w:type="dxa"/>
            <w:tcBorders>
              <w:top w:val="nil"/>
              <w:left w:val="nil"/>
              <w:bottom w:val="single" w:sz="4" w:space="0" w:color="auto"/>
              <w:right w:val="single" w:sz="4" w:space="0" w:color="auto"/>
            </w:tcBorders>
            <w:shd w:val="clear" w:color="000000" w:fill="FFFFFF"/>
            <w:vAlign w:val="center"/>
            <w:hideMark/>
          </w:tcPr>
          <w:p w14:paraId="77979AF8"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B43AE">
              <w:rPr>
                <w:rFonts w:ascii="Times New Roman" w:eastAsia="Times New Roman" w:hAnsi="Times New Roman" w:cs="Times New Roman"/>
                <w:i/>
                <w:iCs/>
                <w:color w:val="1A1C1E"/>
                <w:kern w:val="0"/>
                <w:sz w:val="22"/>
                <w:szCs w:val="22"/>
                <w:lang w:eastAsia="en-IN"/>
                <w14:ligatures w14:val="none"/>
              </w:rPr>
              <w:t>0.9</w:t>
            </w:r>
          </w:p>
        </w:tc>
        <w:tc>
          <w:tcPr>
            <w:tcW w:w="1733" w:type="dxa"/>
            <w:tcBorders>
              <w:top w:val="nil"/>
              <w:left w:val="nil"/>
              <w:bottom w:val="single" w:sz="4" w:space="0" w:color="auto"/>
              <w:right w:val="single" w:sz="4" w:space="0" w:color="auto"/>
            </w:tcBorders>
            <w:shd w:val="clear" w:color="000000" w:fill="FFFFFF"/>
            <w:vAlign w:val="center"/>
            <w:hideMark/>
          </w:tcPr>
          <w:p w14:paraId="0E2114A8"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B43AE">
              <w:rPr>
                <w:rFonts w:ascii="Times New Roman" w:eastAsia="Times New Roman" w:hAnsi="Times New Roman" w:cs="Times New Roman"/>
                <w:i/>
                <w:iCs/>
                <w:color w:val="1A1C1E"/>
                <w:kern w:val="0"/>
                <w:sz w:val="22"/>
                <w:szCs w:val="22"/>
                <w:lang w:eastAsia="en-IN"/>
                <w14:ligatures w14:val="none"/>
              </w:rPr>
              <w:t>0.5</w:t>
            </w:r>
          </w:p>
        </w:tc>
      </w:tr>
      <w:tr w:rsidR="00EB43AE" w:rsidRPr="00EB43AE" w14:paraId="51F5158E" w14:textId="77777777" w:rsidTr="00EB43AE">
        <w:trPr>
          <w:trHeight w:val="20"/>
          <w:jc w:val="center"/>
        </w:trPr>
        <w:tc>
          <w:tcPr>
            <w:tcW w:w="2191" w:type="dxa"/>
            <w:tcBorders>
              <w:top w:val="nil"/>
              <w:left w:val="single" w:sz="4" w:space="0" w:color="auto"/>
              <w:bottom w:val="single" w:sz="4" w:space="0" w:color="auto"/>
              <w:right w:val="single" w:sz="4" w:space="0" w:color="auto"/>
            </w:tcBorders>
            <w:shd w:val="clear" w:color="000000" w:fill="FFFFFF"/>
            <w:vAlign w:val="center"/>
            <w:hideMark/>
          </w:tcPr>
          <w:p w14:paraId="08608F93"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Bombay</w:t>
            </w:r>
          </w:p>
        </w:tc>
        <w:tc>
          <w:tcPr>
            <w:tcW w:w="2690" w:type="dxa"/>
            <w:tcBorders>
              <w:top w:val="nil"/>
              <w:left w:val="nil"/>
              <w:bottom w:val="single" w:sz="4" w:space="0" w:color="auto"/>
              <w:right w:val="single" w:sz="4" w:space="0" w:color="auto"/>
            </w:tcBorders>
            <w:shd w:val="clear" w:color="000000" w:fill="FFFFFF"/>
            <w:vAlign w:val="center"/>
            <w:hideMark/>
          </w:tcPr>
          <w:p w14:paraId="7B709E4A"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1672</w:t>
            </w:r>
          </w:p>
        </w:tc>
        <w:tc>
          <w:tcPr>
            <w:tcW w:w="2406" w:type="dxa"/>
            <w:tcBorders>
              <w:top w:val="nil"/>
              <w:left w:val="nil"/>
              <w:bottom w:val="single" w:sz="4" w:space="0" w:color="auto"/>
              <w:right w:val="single" w:sz="4" w:space="0" w:color="auto"/>
            </w:tcBorders>
            <w:shd w:val="clear" w:color="000000" w:fill="FFFFFF"/>
            <w:vAlign w:val="center"/>
            <w:hideMark/>
          </w:tcPr>
          <w:p w14:paraId="2A757D50"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433</w:t>
            </w:r>
          </w:p>
        </w:tc>
        <w:tc>
          <w:tcPr>
            <w:tcW w:w="1449" w:type="dxa"/>
            <w:tcBorders>
              <w:top w:val="nil"/>
              <w:left w:val="nil"/>
              <w:bottom w:val="single" w:sz="4" w:space="0" w:color="auto"/>
              <w:right w:val="single" w:sz="4" w:space="0" w:color="auto"/>
            </w:tcBorders>
            <w:shd w:val="clear" w:color="000000" w:fill="FFFFFF"/>
            <w:vAlign w:val="center"/>
            <w:hideMark/>
          </w:tcPr>
          <w:p w14:paraId="7855266C"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933</w:t>
            </w:r>
          </w:p>
        </w:tc>
        <w:tc>
          <w:tcPr>
            <w:tcW w:w="1450" w:type="dxa"/>
            <w:tcBorders>
              <w:top w:val="nil"/>
              <w:left w:val="nil"/>
              <w:bottom w:val="single" w:sz="4" w:space="0" w:color="auto"/>
              <w:right w:val="single" w:sz="4" w:space="0" w:color="auto"/>
            </w:tcBorders>
            <w:shd w:val="clear" w:color="000000" w:fill="FFFFFF"/>
            <w:vAlign w:val="center"/>
            <w:hideMark/>
          </w:tcPr>
          <w:p w14:paraId="75AFFE8F"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2063</w:t>
            </w:r>
          </w:p>
        </w:tc>
        <w:tc>
          <w:tcPr>
            <w:tcW w:w="2035" w:type="dxa"/>
            <w:tcBorders>
              <w:top w:val="nil"/>
              <w:left w:val="nil"/>
              <w:bottom w:val="single" w:sz="4" w:space="0" w:color="auto"/>
              <w:right w:val="single" w:sz="4" w:space="0" w:color="auto"/>
            </w:tcBorders>
            <w:shd w:val="clear" w:color="000000" w:fill="FFFFFF"/>
            <w:vAlign w:val="center"/>
            <w:hideMark/>
          </w:tcPr>
          <w:p w14:paraId="7BC5A191"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1210</w:t>
            </w:r>
          </w:p>
        </w:tc>
        <w:tc>
          <w:tcPr>
            <w:tcW w:w="1733" w:type="dxa"/>
            <w:tcBorders>
              <w:top w:val="nil"/>
              <w:left w:val="nil"/>
              <w:bottom w:val="single" w:sz="4" w:space="0" w:color="auto"/>
              <w:right w:val="single" w:sz="4" w:space="0" w:color="auto"/>
            </w:tcBorders>
            <w:shd w:val="clear" w:color="000000" w:fill="FFFFFF"/>
            <w:vAlign w:val="center"/>
            <w:hideMark/>
          </w:tcPr>
          <w:p w14:paraId="67D42DFC"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430</w:t>
            </w:r>
          </w:p>
        </w:tc>
      </w:tr>
      <w:tr w:rsidR="00EB43AE" w:rsidRPr="00EB43AE" w14:paraId="655DAC95" w14:textId="77777777" w:rsidTr="00EB43AE">
        <w:trPr>
          <w:trHeight w:val="20"/>
          <w:jc w:val="center"/>
        </w:trPr>
        <w:tc>
          <w:tcPr>
            <w:tcW w:w="2191" w:type="dxa"/>
            <w:tcBorders>
              <w:top w:val="nil"/>
              <w:left w:val="single" w:sz="4" w:space="0" w:color="auto"/>
              <w:bottom w:val="single" w:sz="4" w:space="0" w:color="auto"/>
              <w:right w:val="single" w:sz="4" w:space="0" w:color="auto"/>
            </w:tcBorders>
            <w:shd w:val="clear" w:color="000000" w:fill="FFFFFF"/>
            <w:vAlign w:val="center"/>
            <w:hideMark/>
          </w:tcPr>
          <w:p w14:paraId="4248CFD6" w14:textId="6315565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p>
        </w:tc>
        <w:tc>
          <w:tcPr>
            <w:tcW w:w="2690" w:type="dxa"/>
            <w:tcBorders>
              <w:top w:val="nil"/>
              <w:left w:val="nil"/>
              <w:bottom w:val="single" w:sz="4" w:space="0" w:color="auto"/>
              <w:right w:val="single" w:sz="4" w:space="0" w:color="auto"/>
            </w:tcBorders>
            <w:shd w:val="clear" w:color="000000" w:fill="FFFFFF"/>
            <w:vAlign w:val="center"/>
            <w:hideMark/>
          </w:tcPr>
          <w:p w14:paraId="7E5A2A1E"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B43AE">
              <w:rPr>
                <w:rFonts w:ascii="Times New Roman" w:eastAsia="Times New Roman" w:hAnsi="Times New Roman" w:cs="Times New Roman"/>
                <w:i/>
                <w:iCs/>
                <w:color w:val="1A1C1E"/>
                <w:kern w:val="0"/>
                <w:sz w:val="22"/>
                <w:szCs w:val="22"/>
                <w:lang w:eastAsia="en-IN"/>
                <w14:ligatures w14:val="none"/>
              </w:rPr>
              <w:t>4.6</w:t>
            </w:r>
          </w:p>
        </w:tc>
        <w:tc>
          <w:tcPr>
            <w:tcW w:w="2406" w:type="dxa"/>
            <w:tcBorders>
              <w:top w:val="nil"/>
              <w:left w:val="nil"/>
              <w:bottom w:val="single" w:sz="4" w:space="0" w:color="auto"/>
              <w:right w:val="single" w:sz="4" w:space="0" w:color="auto"/>
            </w:tcBorders>
            <w:shd w:val="clear" w:color="000000" w:fill="FFFFFF"/>
            <w:vAlign w:val="center"/>
            <w:hideMark/>
          </w:tcPr>
          <w:p w14:paraId="640EB7E2"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B43AE">
              <w:rPr>
                <w:rFonts w:ascii="Times New Roman" w:eastAsia="Times New Roman" w:hAnsi="Times New Roman" w:cs="Times New Roman"/>
                <w:i/>
                <w:iCs/>
                <w:color w:val="1A1C1E"/>
                <w:kern w:val="0"/>
                <w:sz w:val="22"/>
                <w:szCs w:val="22"/>
                <w:lang w:eastAsia="en-IN"/>
                <w14:ligatures w14:val="none"/>
              </w:rPr>
              <w:t>1.2</w:t>
            </w:r>
          </w:p>
        </w:tc>
        <w:tc>
          <w:tcPr>
            <w:tcW w:w="1449" w:type="dxa"/>
            <w:tcBorders>
              <w:top w:val="nil"/>
              <w:left w:val="nil"/>
              <w:bottom w:val="single" w:sz="4" w:space="0" w:color="auto"/>
              <w:right w:val="single" w:sz="4" w:space="0" w:color="auto"/>
            </w:tcBorders>
            <w:shd w:val="clear" w:color="000000" w:fill="FFFFFF"/>
            <w:vAlign w:val="center"/>
            <w:hideMark/>
          </w:tcPr>
          <w:p w14:paraId="23B14407"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B43AE">
              <w:rPr>
                <w:rFonts w:ascii="Times New Roman" w:eastAsia="Times New Roman" w:hAnsi="Times New Roman" w:cs="Times New Roman"/>
                <w:i/>
                <w:iCs/>
                <w:color w:val="1A1C1E"/>
                <w:kern w:val="0"/>
                <w:sz w:val="22"/>
                <w:szCs w:val="22"/>
                <w:lang w:eastAsia="en-IN"/>
                <w14:ligatures w14:val="none"/>
              </w:rPr>
              <w:t>2.6</w:t>
            </w:r>
          </w:p>
        </w:tc>
        <w:tc>
          <w:tcPr>
            <w:tcW w:w="1450" w:type="dxa"/>
            <w:tcBorders>
              <w:top w:val="nil"/>
              <w:left w:val="nil"/>
              <w:bottom w:val="single" w:sz="4" w:space="0" w:color="auto"/>
              <w:right w:val="single" w:sz="4" w:space="0" w:color="auto"/>
            </w:tcBorders>
            <w:shd w:val="clear" w:color="000000" w:fill="FFFFFF"/>
            <w:vAlign w:val="center"/>
            <w:hideMark/>
          </w:tcPr>
          <w:p w14:paraId="628B7BBC"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B43AE">
              <w:rPr>
                <w:rFonts w:ascii="Times New Roman" w:eastAsia="Times New Roman" w:hAnsi="Times New Roman" w:cs="Times New Roman"/>
                <w:i/>
                <w:iCs/>
                <w:color w:val="1A1C1E"/>
                <w:kern w:val="0"/>
                <w:sz w:val="22"/>
                <w:szCs w:val="22"/>
                <w:lang w:eastAsia="en-IN"/>
                <w14:ligatures w14:val="none"/>
              </w:rPr>
              <w:t>5.7</w:t>
            </w:r>
          </w:p>
        </w:tc>
        <w:tc>
          <w:tcPr>
            <w:tcW w:w="2035" w:type="dxa"/>
            <w:tcBorders>
              <w:top w:val="nil"/>
              <w:left w:val="nil"/>
              <w:bottom w:val="single" w:sz="4" w:space="0" w:color="auto"/>
              <w:right w:val="single" w:sz="4" w:space="0" w:color="auto"/>
            </w:tcBorders>
            <w:shd w:val="clear" w:color="000000" w:fill="FFFFFF"/>
            <w:vAlign w:val="center"/>
            <w:hideMark/>
          </w:tcPr>
          <w:p w14:paraId="1C16C82C"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B43AE">
              <w:rPr>
                <w:rFonts w:ascii="Times New Roman" w:eastAsia="Times New Roman" w:hAnsi="Times New Roman" w:cs="Times New Roman"/>
                <w:i/>
                <w:iCs/>
                <w:color w:val="1A1C1E"/>
                <w:kern w:val="0"/>
                <w:sz w:val="22"/>
                <w:szCs w:val="22"/>
                <w:lang w:eastAsia="en-IN"/>
                <w14:ligatures w14:val="none"/>
              </w:rPr>
              <w:t>3.4</w:t>
            </w:r>
          </w:p>
        </w:tc>
        <w:tc>
          <w:tcPr>
            <w:tcW w:w="1733" w:type="dxa"/>
            <w:tcBorders>
              <w:top w:val="nil"/>
              <w:left w:val="nil"/>
              <w:bottom w:val="single" w:sz="4" w:space="0" w:color="auto"/>
              <w:right w:val="single" w:sz="4" w:space="0" w:color="auto"/>
            </w:tcBorders>
            <w:shd w:val="clear" w:color="000000" w:fill="FFFFFF"/>
            <w:vAlign w:val="center"/>
            <w:hideMark/>
          </w:tcPr>
          <w:p w14:paraId="3109F08A"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B43AE">
              <w:rPr>
                <w:rFonts w:ascii="Times New Roman" w:eastAsia="Times New Roman" w:hAnsi="Times New Roman" w:cs="Times New Roman"/>
                <w:i/>
                <w:iCs/>
                <w:color w:val="1A1C1E"/>
                <w:kern w:val="0"/>
                <w:sz w:val="22"/>
                <w:szCs w:val="22"/>
                <w:lang w:eastAsia="en-IN"/>
                <w14:ligatures w14:val="none"/>
              </w:rPr>
              <w:t>1.2</w:t>
            </w:r>
          </w:p>
        </w:tc>
      </w:tr>
      <w:tr w:rsidR="00EB43AE" w:rsidRPr="00EB43AE" w14:paraId="432AF289" w14:textId="77777777" w:rsidTr="00EB43AE">
        <w:trPr>
          <w:trHeight w:val="20"/>
          <w:jc w:val="center"/>
        </w:trPr>
        <w:tc>
          <w:tcPr>
            <w:tcW w:w="2191" w:type="dxa"/>
            <w:tcBorders>
              <w:top w:val="nil"/>
              <w:left w:val="single" w:sz="4" w:space="0" w:color="auto"/>
              <w:bottom w:val="single" w:sz="4" w:space="0" w:color="auto"/>
              <w:right w:val="single" w:sz="4" w:space="0" w:color="auto"/>
            </w:tcBorders>
            <w:shd w:val="clear" w:color="000000" w:fill="FFFFFF"/>
            <w:vAlign w:val="center"/>
            <w:hideMark/>
          </w:tcPr>
          <w:p w14:paraId="55B2B0C9"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Madhya Pradesh</w:t>
            </w:r>
          </w:p>
        </w:tc>
        <w:tc>
          <w:tcPr>
            <w:tcW w:w="2690" w:type="dxa"/>
            <w:tcBorders>
              <w:top w:val="nil"/>
              <w:left w:val="nil"/>
              <w:bottom w:val="single" w:sz="4" w:space="0" w:color="auto"/>
              <w:right w:val="single" w:sz="4" w:space="0" w:color="auto"/>
            </w:tcBorders>
            <w:shd w:val="clear" w:color="000000" w:fill="FFFFFF"/>
            <w:vAlign w:val="center"/>
            <w:hideMark/>
          </w:tcPr>
          <w:p w14:paraId="4334F4FF"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504</w:t>
            </w:r>
          </w:p>
        </w:tc>
        <w:tc>
          <w:tcPr>
            <w:tcW w:w="2406" w:type="dxa"/>
            <w:tcBorders>
              <w:top w:val="nil"/>
              <w:left w:val="nil"/>
              <w:bottom w:val="single" w:sz="4" w:space="0" w:color="auto"/>
              <w:right w:val="single" w:sz="4" w:space="0" w:color="auto"/>
            </w:tcBorders>
            <w:shd w:val="clear" w:color="000000" w:fill="FFFFFF"/>
            <w:vAlign w:val="center"/>
            <w:hideMark/>
          </w:tcPr>
          <w:p w14:paraId="61A7BCA4"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183</w:t>
            </w:r>
          </w:p>
        </w:tc>
        <w:tc>
          <w:tcPr>
            <w:tcW w:w="1449" w:type="dxa"/>
            <w:tcBorders>
              <w:top w:val="nil"/>
              <w:left w:val="nil"/>
              <w:bottom w:val="single" w:sz="4" w:space="0" w:color="auto"/>
              <w:right w:val="single" w:sz="4" w:space="0" w:color="auto"/>
            </w:tcBorders>
            <w:shd w:val="clear" w:color="000000" w:fill="FFFFFF"/>
            <w:vAlign w:val="center"/>
            <w:hideMark/>
          </w:tcPr>
          <w:p w14:paraId="7AFCCFE4"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247</w:t>
            </w:r>
          </w:p>
        </w:tc>
        <w:tc>
          <w:tcPr>
            <w:tcW w:w="1450" w:type="dxa"/>
            <w:tcBorders>
              <w:top w:val="nil"/>
              <w:left w:val="nil"/>
              <w:bottom w:val="single" w:sz="4" w:space="0" w:color="auto"/>
              <w:right w:val="single" w:sz="4" w:space="0" w:color="auto"/>
            </w:tcBorders>
            <w:shd w:val="clear" w:color="000000" w:fill="FFFFFF"/>
            <w:vAlign w:val="center"/>
            <w:hideMark/>
          </w:tcPr>
          <w:p w14:paraId="4FC068BF"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508</w:t>
            </w:r>
          </w:p>
        </w:tc>
        <w:tc>
          <w:tcPr>
            <w:tcW w:w="2035" w:type="dxa"/>
            <w:tcBorders>
              <w:top w:val="nil"/>
              <w:left w:val="nil"/>
              <w:bottom w:val="single" w:sz="4" w:space="0" w:color="auto"/>
              <w:right w:val="single" w:sz="4" w:space="0" w:color="auto"/>
            </w:tcBorders>
            <w:shd w:val="clear" w:color="000000" w:fill="FFFFFF"/>
            <w:vAlign w:val="center"/>
            <w:hideMark/>
          </w:tcPr>
          <w:p w14:paraId="237F383D"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293</w:t>
            </w:r>
          </w:p>
        </w:tc>
        <w:tc>
          <w:tcPr>
            <w:tcW w:w="1733" w:type="dxa"/>
            <w:tcBorders>
              <w:top w:val="nil"/>
              <w:left w:val="nil"/>
              <w:bottom w:val="single" w:sz="4" w:space="0" w:color="auto"/>
              <w:right w:val="single" w:sz="4" w:space="0" w:color="auto"/>
            </w:tcBorders>
            <w:shd w:val="clear" w:color="000000" w:fill="FFFFFF"/>
            <w:vAlign w:val="center"/>
            <w:hideMark/>
          </w:tcPr>
          <w:p w14:paraId="629D2F42"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85</w:t>
            </w:r>
          </w:p>
        </w:tc>
      </w:tr>
      <w:tr w:rsidR="00EB43AE" w:rsidRPr="00EB43AE" w14:paraId="071D60E4" w14:textId="77777777" w:rsidTr="00EB43AE">
        <w:trPr>
          <w:trHeight w:val="20"/>
          <w:jc w:val="center"/>
        </w:trPr>
        <w:tc>
          <w:tcPr>
            <w:tcW w:w="2191" w:type="dxa"/>
            <w:tcBorders>
              <w:top w:val="nil"/>
              <w:left w:val="single" w:sz="4" w:space="0" w:color="auto"/>
              <w:bottom w:val="single" w:sz="4" w:space="0" w:color="auto"/>
              <w:right w:val="single" w:sz="4" w:space="0" w:color="auto"/>
            </w:tcBorders>
            <w:shd w:val="clear" w:color="000000" w:fill="FFFFFF"/>
            <w:vAlign w:val="center"/>
            <w:hideMark/>
          </w:tcPr>
          <w:p w14:paraId="61A73966" w14:textId="449E24B4"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p>
        </w:tc>
        <w:tc>
          <w:tcPr>
            <w:tcW w:w="2690" w:type="dxa"/>
            <w:tcBorders>
              <w:top w:val="nil"/>
              <w:left w:val="nil"/>
              <w:bottom w:val="single" w:sz="4" w:space="0" w:color="auto"/>
              <w:right w:val="single" w:sz="4" w:space="0" w:color="auto"/>
            </w:tcBorders>
            <w:shd w:val="clear" w:color="000000" w:fill="FFFFFF"/>
            <w:vAlign w:val="center"/>
            <w:hideMark/>
          </w:tcPr>
          <w:p w14:paraId="6751F0C5"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B43AE">
              <w:rPr>
                <w:rFonts w:ascii="Times New Roman" w:eastAsia="Times New Roman" w:hAnsi="Times New Roman" w:cs="Times New Roman"/>
                <w:i/>
                <w:iCs/>
                <w:color w:val="1A1C1E"/>
                <w:kern w:val="0"/>
                <w:sz w:val="22"/>
                <w:szCs w:val="22"/>
                <w:lang w:eastAsia="en-IN"/>
                <w14:ligatures w14:val="none"/>
              </w:rPr>
              <w:t>2.4</w:t>
            </w:r>
          </w:p>
        </w:tc>
        <w:tc>
          <w:tcPr>
            <w:tcW w:w="2406" w:type="dxa"/>
            <w:tcBorders>
              <w:top w:val="nil"/>
              <w:left w:val="nil"/>
              <w:bottom w:val="single" w:sz="4" w:space="0" w:color="auto"/>
              <w:right w:val="single" w:sz="4" w:space="0" w:color="auto"/>
            </w:tcBorders>
            <w:shd w:val="clear" w:color="000000" w:fill="FFFFFF"/>
            <w:vAlign w:val="center"/>
            <w:hideMark/>
          </w:tcPr>
          <w:p w14:paraId="4D8E92ED"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B43AE">
              <w:rPr>
                <w:rFonts w:ascii="Times New Roman" w:eastAsia="Times New Roman" w:hAnsi="Times New Roman" w:cs="Times New Roman"/>
                <w:i/>
                <w:iCs/>
                <w:color w:val="1A1C1E"/>
                <w:kern w:val="0"/>
                <w:sz w:val="22"/>
                <w:szCs w:val="22"/>
                <w:lang w:eastAsia="en-IN"/>
                <w14:ligatures w14:val="none"/>
              </w:rPr>
              <w:t>0.9</w:t>
            </w:r>
          </w:p>
        </w:tc>
        <w:tc>
          <w:tcPr>
            <w:tcW w:w="1449" w:type="dxa"/>
            <w:tcBorders>
              <w:top w:val="nil"/>
              <w:left w:val="nil"/>
              <w:bottom w:val="single" w:sz="4" w:space="0" w:color="auto"/>
              <w:right w:val="single" w:sz="4" w:space="0" w:color="auto"/>
            </w:tcBorders>
            <w:shd w:val="clear" w:color="000000" w:fill="FFFFFF"/>
            <w:vAlign w:val="center"/>
            <w:hideMark/>
          </w:tcPr>
          <w:p w14:paraId="71A7745F"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B43AE">
              <w:rPr>
                <w:rFonts w:ascii="Times New Roman" w:eastAsia="Times New Roman" w:hAnsi="Times New Roman" w:cs="Times New Roman"/>
                <w:i/>
                <w:iCs/>
                <w:color w:val="1A1C1E"/>
                <w:kern w:val="0"/>
                <w:sz w:val="22"/>
                <w:szCs w:val="22"/>
                <w:lang w:eastAsia="en-IN"/>
                <w14:ligatures w14:val="none"/>
              </w:rPr>
              <w:t>1.2</w:t>
            </w:r>
          </w:p>
        </w:tc>
        <w:tc>
          <w:tcPr>
            <w:tcW w:w="1450" w:type="dxa"/>
            <w:tcBorders>
              <w:top w:val="nil"/>
              <w:left w:val="nil"/>
              <w:bottom w:val="single" w:sz="4" w:space="0" w:color="auto"/>
              <w:right w:val="single" w:sz="4" w:space="0" w:color="auto"/>
            </w:tcBorders>
            <w:shd w:val="clear" w:color="000000" w:fill="FFFFFF"/>
            <w:vAlign w:val="center"/>
            <w:hideMark/>
          </w:tcPr>
          <w:p w14:paraId="40285E64"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B43AE">
              <w:rPr>
                <w:rFonts w:ascii="Times New Roman" w:eastAsia="Times New Roman" w:hAnsi="Times New Roman" w:cs="Times New Roman"/>
                <w:i/>
                <w:iCs/>
                <w:color w:val="1A1C1E"/>
                <w:kern w:val="0"/>
                <w:sz w:val="22"/>
                <w:szCs w:val="22"/>
                <w:lang w:eastAsia="en-IN"/>
                <w14:ligatures w14:val="none"/>
              </w:rPr>
              <w:t>2.4</w:t>
            </w:r>
          </w:p>
        </w:tc>
        <w:tc>
          <w:tcPr>
            <w:tcW w:w="2035" w:type="dxa"/>
            <w:tcBorders>
              <w:top w:val="nil"/>
              <w:left w:val="nil"/>
              <w:bottom w:val="single" w:sz="4" w:space="0" w:color="auto"/>
              <w:right w:val="single" w:sz="4" w:space="0" w:color="auto"/>
            </w:tcBorders>
            <w:shd w:val="clear" w:color="000000" w:fill="FFFFFF"/>
            <w:vAlign w:val="center"/>
            <w:hideMark/>
          </w:tcPr>
          <w:p w14:paraId="67BA0229"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B43AE">
              <w:rPr>
                <w:rFonts w:ascii="Times New Roman" w:eastAsia="Times New Roman" w:hAnsi="Times New Roman" w:cs="Times New Roman"/>
                <w:i/>
                <w:iCs/>
                <w:color w:val="1A1C1E"/>
                <w:kern w:val="0"/>
                <w:sz w:val="22"/>
                <w:szCs w:val="22"/>
                <w:lang w:eastAsia="en-IN"/>
                <w14:ligatures w14:val="none"/>
              </w:rPr>
              <w:t>1.4</w:t>
            </w:r>
          </w:p>
        </w:tc>
        <w:tc>
          <w:tcPr>
            <w:tcW w:w="1733" w:type="dxa"/>
            <w:tcBorders>
              <w:top w:val="nil"/>
              <w:left w:val="nil"/>
              <w:bottom w:val="single" w:sz="4" w:space="0" w:color="auto"/>
              <w:right w:val="single" w:sz="4" w:space="0" w:color="auto"/>
            </w:tcBorders>
            <w:shd w:val="clear" w:color="000000" w:fill="FFFFFF"/>
            <w:vAlign w:val="center"/>
            <w:hideMark/>
          </w:tcPr>
          <w:p w14:paraId="65F1C4F2"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B43AE">
              <w:rPr>
                <w:rFonts w:ascii="Times New Roman" w:eastAsia="Times New Roman" w:hAnsi="Times New Roman" w:cs="Times New Roman"/>
                <w:i/>
                <w:iCs/>
                <w:color w:val="1A1C1E"/>
                <w:kern w:val="0"/>
                <w:sz w:val="22"/>
                <w:szCs w:val="22"/>
                <w:lang w:eastAsia="en-IN"/>
                <w14:ligatures w14:val="none"/>
              </w:rPr>
              <w:t>0.4</w:t>
            </w:r>
          </w:p>
        </w:tc>
      </w:tr>
      <w:tr w:rsidR="00EB43AE" w:rsidRPr="00EB43AE" w14:paraId="28DC59F7" w14:textId="77777777" w:rsidTr="00EB43AE">
        <w:trPr>
          <w:trHeight w:val="20"/>
          <w:jc w:val="center"/>
        </w:trPr>
        <w:tc>
          <w:tcPr>
            <w:tcW w:w="2191" w:type="dxa"/>
            <w:tcBorders>
              <w:top w:val="nil"/>
              <w:left w:val="single" w:sz="4" w:space="0" w:color="auto"/>
              <w:bottom w:val="single" w:sz="4" w:space="0" w:color="auto"/>
              <w:right w:val="single" w:sz="4" w:space="0" w:color="auto"/>
            </w:tcBorders>
            <w:shd w:val="clear" w:color="000000" w:fill="FFFFFF"/>
            <w:vAlign w:val="center"/>
            <w:hideMark/>
          </w:tcPr>
          <w:p w14:paraId="0D1AD0AA"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Madras</w:t>
            </w:r>
          </w:p>
        </w:tc>
        <w:tc>
          <w:tcPr>
            <w:tcW w:w="2690" w:type="dxa"/>
            <w:tcBorders>
              <w:top w:val="nil"/>
              <w:left w:val="nil"/>
              <w:bottom w:val="single" w:sz="4" w:space="0" w:color="auto"/>
              <w:right w:val="single" w:sz="4" w:space="0" w:color="auto"/>
            </w:tcBorders>
            <w:shd w:val="clear" w:color="000000" w:fill="FFFFFF"/>
            <w:vAlign w:val="center"/>
            <w:hideMark/>
          </w:tcPr>
          <w:p w14:paraId="58C3C852"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1777</w:t>
            </w:r>
          </w:p>
        </w:tc>
        <w:tc>
          <w:tcPr>
            <w:tcW w:w="2406" w:type="dxa"/>
            <w:tcBorders>
              <w:top w:val="nil"/>
              <w:left w:val="nil"/>
              <w:bottom w:val="single" w:sz="4" w:space="0" w:color="auto"/>
              <w:right w:val="single" w:sz="4" w:space="0" w:color="auto"/>
            </w:tcBorders>
            <w:shd w:val="clear" w:color="000000" w:fill="FFFFFF"/>
            <w:vAlign w:val="center"/>
            <w:hideMark/>
          </w:tcPr>
          <w:p w14:paraId="69E8E554"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754</w:t>
            </w:r>
          </w:p>
        </w:tc>
        <w:tc>
          <w:tcPr>
            <w:tcW w:w="1449" w:type="dxa"/>
            <w:tcBorders>
              <w:top w:val="nil"/>
              <w:left w:val="nil"/>
              <w:bottom w:val="single" w:sz="4" w:space="0" w:color="auto"/>
              <w:right w:val="single" w:sz="4" w:space="0" w:color="auto"/>
            </w:tcBorders>
            <w:shd w:val="clear" w:color="000000" w:fill="FFFFFF"/>
            <w:vAlign w:val="center"/>
            <w:hideMark/>
          </w:tcPr>
          <w:p w14:paraId="26B2A4CE"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717</w:t>
            </w:r>
          </w:p>
        </w:tc>
        <w:tc>
          <w:tcPr>
            <w:tcW w:w="1450" w:type="dxa"/>
            <w:tcBorders>
              <w:top w:val="nil"/>
              <w:left w:val="nil"/>
              <w:bottom w:val="single" w:sz="4" w:space="0" w:color="auto"/>
              <w:right w:val="single" w:sz="4" w:space="0" w:color="auto"/>
            </w:tcBorders>
            <w:shd w:val="clear" w:color="000000" w:fill="FFFFFF"/>
            <w:vAlign w:val="center"/>
            <w:hideMark/>
          </w:tcPr>
          <w:p w14:paraId="2E692BC8"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2050</w:t>
            </w:r>
          </w:p>
        </w:tc>
        <w:tc>
          <w:tcPr>
            <w:tcW w:w="2035" w:type="dxa"/>
            <w:tcBorders>
              <w:top w:val="nil"/>
              <w:left w:val="nil"/>
              <w:bottom w:val="single" w:sz="4" w:space="0" w:color="auto"/>
              <w:right w:val="single" w:sz="4" w:space="0" w:color="auto"/>
            </w:tcBorders>
            <w:shd w:val="clear" w:color="000000" w:fill="FFFFFF"/>
            <w:vAlign w:val="center"/>
            <w:hideMark/>
          </w:tcPr>
          <w:p w14:paraId="13C1734C"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1096</w:t>
            </w:r>
          </w:p>
        </w:tc>
        <w:tc>
          <w:tcPr>
            <w:tcW w:w="1733" w:type="dxa"/>
            <w:tcBorders>
              <w:top w:val="nil"/>
              <w:left w:val="nil"/>
              <w:bottom w:val="single" w:sz="4" w:space="0" w:color="auto"/>
              <w:right w:val="single" w:sz="4" w:space="0" w:color="auto"/>
            </w:tcBorders>
            <w:shd w:val="clear" w:color="000000" w:fill="FFFFFF"/>
            <w:vAlign w:val="center"/>
            <w:hideMark/>
          </w:tcPr>
          <w:p w14:paraId="7F70E3B4"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500</w:t>
            </w:r>
          </w:p>
        </w:tc>
      </w:tr>
      <w:tr w:rsidR="00EB43AE" w:rsidRPr="00EB43AE" w14:paraId="2844D3E4" w14:textId="77777777" w:rsidTr="00EB43AE">
        <w:trPr>
          <w:trHeight w:val="20"/>
          <w:jc w:val="center"/>
        </w:trPr>
        <w:tc>
          <w:tcPr>
            <w:tcW w:w="2191" w:type="dxa"/>
            <w:tcBorders>
              <w:top w:val="nil"/>
              <w:left w:val="single" w:sz="4" w:space="0" w:color="auto"/>
              <w:bottom w:val="single" w:sz="4" w:space="0" w:color="auto"/>
              <w:right w:val="single" w:sz="4" w:space="0" w:color="auto"/>
            </w:tcBorders>
            <w:shd w:val="clear" w:color="000000" w:fill="FFFFFF"/>
            <w:vAlign w:val="center"/>
            <w:hideMark/>
          </w:tcPr>
          <w:p w14:paraId="28743006" w14:textId="01F2EE80"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p>
        </w:tc>
        <w:tc>
          <w:tcPr>
            <w:tcW w:w="2690" w:type="dxa"/>
            <w:tcBorders>
              <w:top w:val="nil"/>
              <w:left w:val="nil"/>
              <w:bottom w:val="single" w:sz="4" w:space="0" w:color="auto"/>
              <w:right w:val="single" w:sz="4" w:space="0" w:color="auto"/>
            </w:tcBorders>
            <w:shd w:val="clear" w:color="000000" w:fill="FFFFFF"/>
            <w:vAlign w:val="center"/>
            <w:hideMark/>
          </w:tcPr>
          <w:p w14:paraId="0C63211D"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B43AE">
              <w:rPr>
                <w:rFonts w:ascii="Times New Roman" w:eastAsia="Times New Roman" w:hAnsi="Times New Roman" w:cs="Times New Roman"/>
                <w:i/>
                <w:iCs/>
                <w:color w:val="1A1C1E"/>
                <w:kern w:val="0"/>
                <w:sz w:val="22"/>
                <w:szCs w:val="22"/>
                <w:lang w:eastAsia="en-IN"/>
                <w14:ligatures w14:val="none"/>
              </w:rPr>
              <w:t>3.1</w:t>
            </w:r>
          </w:p>
        </w:tc>
        <w:tc>
          <w:tcPr>
            <w:tcW w:w="2406" w:type="dxa"/>
            <w:tcBorders>
              <w:top w:val="nil"/>
              <w:left w:val="nil"/>
              <w:bottom w:val="single" w:sz="4" w:space="0" w:color="auto"/>
              <w:right w:val="single" w:sz="4" w:space="0" w:color="auto"/>
            </w:tcBorders>
            <w:shd w:val="clear" w:color="000000" w:fill="FFFFFF"/>
            <w:vAlign w:val="center"/>
            <w:hideMark/>
          </w:tcPr>
          <w:p w14:paraId="51F9FB39"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B43AE">
              <w:rPr>
                <w:rFonts w:ascii="Times New Roman" w:eastAsia="Times New Roman" w:hAnsi="Times New Roman" w:cs="Times New Roman"/>
                <w:i/>
                <w:iCs/>
                <w:color w:val="1A1C1E"/>
                <w:kern w:val="0"/>
                <w:sz w:val="22"/>
                <w:szCs w:val="22"/>
                <w:lang w:eastAsia="en-IN"/>
                <w14:ligatures w14:val="none"/>
              </w:rPr>
              <w:t>1.3</w:t>
            </w:r>
          </w:p>
        </w:tc>
        <w:tc>
          <w:tcPr>
            <w:tcW w:w="1449" w:type="dxa"/>
            <w:tcBorders>
              <w:top w:val="nil"/>
              <w:left w:val="nil"/>
              <w:bottom w:val="single" w:sz="4" w:space="0" w:color="auto"/>
              <w:right w:val="single" w:sz="4" w:space="0" w:color="auto"/>
            </w:tcBorders>
            <w:shd w:val="clear" w:color="000000" w:fill="FFFFFF"/>
            <w:vAlign w:val="center"/>
            <w:hideMark/>
          </w:tcPr>
          <w:p w14:paraId="7E27A18E"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B43AE">
              <w:rPr>
                <w:rFonts w:ascii="Times New Roman" w:eastAsia="Times New Roman" w:hAnsi="Times New Roman" w:cs="Times New Roman"/>
                <w:i/>
                <w:iCs/>
                <w:color w:val="1A1C1E"/>
                <w:kern w:val="0"/>
                <w:sz w:val="22"/>
                <w:szCs w:val="22"/>
                <w:lang w:eastAsia="en-IN"/>
                <w14:ligatures w14:val="none"/>
              </w:rPr>
              <w:t>1.3</w:t>
            </w:r>
          </w:p>
        </w:tc>
        <w:tc>
          <w:tcPr>
            <w:tcW w:w="1450" w:type="dxa"/>
            <w:tcBorders>
              <w:top w:val="nil"/>
              <w:left w:val="nil"/>
              <w:bottom w:val="single" w:sz="4" w:space="0" w:color="auto"/>
              <w:right w:val="single" w:sz="4" w:space="0" w:color="auto"/>
            </w:tcBorders>
            <w:shd w:val="clear" w:color="000000" w:fill="FFFFFF"/>
            <w:vAlign w:val="center"/>
            <w:hideMark/>
          </w:tcPr>
          <w:p w14:paraId="516DBB59"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B43AE">
              <w:rPr>
                <w:rFonts w:ascii="Times New Roman" w:eastAsia="Times New Roman" w:hAnsi="Times New Roman" w:cs="Times New Roman"/>
                <w:i/>
                <w:iCs/>
                <w:color w:val="1A1C1E"/>
                <w:kern w:val="0"/>
                <w:sz w:val="22"/>
                <w:szCs w:val="22"/>
                <w:lang w:eastAsia="en-IN"/>
                <w14:ligatures w14:val="none"/>
              </w:rPr>
              <w:t>3.6</w:t>
            </w:r>
          </w:p>
        </w:tc>
        <w:tc>
          <w:tcPr>
            <w:tcW w:w="2035" w:type="dxa"/>
            <w:tcBorders>
              <w:top w:val="nil"/>
              <w:left w:val="nil"/>
              <w:bottom w:val="single" w:sz="4" w:space="0" w:color="auto"/>
              <w:right w:val="single" w:sz="4" w:space="0" w:color="auto"/>
            </w:tcBorders>
            <w:shd w:val="clear" w:color="000000" w:fill="FFFFFF"/>
            <w:vAlign w:val="center"/>
            <w:hideMark/>
          </w:tcPr>
          <w:p w14:paraId="79B91B6C"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B43AE">
              <w:rPr>
                <w:rFonts w:ascii="Times New Roman" w:eastAsia="Times New Roman" w:hAnsi="Times New Roman" w:cs="Times New Roman"/>
                <w:i/>
                <w:iCs/>
                <w:color w:val="1A1C1E"/>
                <w:kern w:val="0"/>
                <w:sz w:val="22"/>
                <w:szCs w:val="22"/>
                <w:lang w:eastAsia="en-IN"/>
                <w14:ligatures w14:val="none"/>
              </w:rPr>
              <w:t>1.9</w:t>
            </w:r>
          </w:p>
        </w:tc>
        <w:tc>
          <w:tcPr>
            <w:tcW w:w="1733" w:type="dxa"/>
            <w:tcBorders>
              <w:top w:val="nil"/>
              <w:left w:val="nil"/>
              <w:bottom w:val="single" w:sz="4" w:space="0" w:color="auto"/>
              <w:right w:val="single" w:sz="4" w:space="0" w:color="auto"/>
            </w:tcBorders>
            <w:shd w:val="clear" w:color="000000" w:fill="FFFFFF"/>
            <w:vAlign w:val="center"/>
            <w:hideMark/>
          </w:tcPr>
          <w:p w14:paraId="4D5DF31F"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B43AE">
              <w:rPr>
                <w:rFonts w:ascii="Times New Roman" w:eastAsia="Times New Roman" w:hAnsi="Times New Roman" w:cs="Times New Roman"/>
                <w:i/>
                <w:iCs/>
                <w:color w:val="1A1C1E"/>
                <w:kern w:val="0"/>
                <w:sz w:val="22"/>
                <w:szCs w:val="22"/>
                <w:lang w:eastAsia="en-IN"/>
                <w14:ligatures w14:val="none"/>
              </w:rPr>
              <w:t>0.9</w:t>
            </w:r>
          </w:p>
        </w:tc>
      </w:tr>
      <w:tr w:rsidR="00EB43AE" w:rsidRPr="00EB43AE" w14:paraId="18A6B87C" w14:textId="77777777" w:rsidTr="00EB43AE">
        <w:trPr>
          <w:trHeight w:val="20"/>
          <w:jc w:val="center"/>
        </w:trPr>
        <w:tc>
          <w:tcPr>
            <w:tcW w:w="2191" w:type="dxa"/>
            <w:tcBorders>
              <w:top w:val="nil"/>
              <w:left w:val="single" w:sz="4" w:space="0" w:color="auto"/>
              <w:bottom w:val="single" w:sz="4" w:space="0" w:color="auto"/>
              <w:right w:val="single" w:sz="4" w:space="0" w:color="auto"/>
            </w:tcBorders>
            <w:shd w:val="clear" w:color="000000" w:fill="FFFFFF"/>
            <w:vAlign w:val="center"/>
            <w:hideMark/>
          </w:tcPr>
          <w:p w14:paraId="73818D52"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Orissa</w:t>
            </w:r>
          </w:p>
        </w:tc>
        <w:tc>
          <w:tcPr>
            <w:tcW w:w="2690" w:type="dxa"/>
            <w:tcBorders>
              <w:top w:val="nil"/>
              <w:left w:val="nil"/>
              <w:bottom w:val="single" w:sz="4" w:space="0" w:color="auto"/>
              <w:right w:val="single" w:sz="4" w:space="0" w:color="auto"/>
            </w:tcBorders>
            <w:shd w:val="clear" w:color="000000" w:fill="FFFFFF"/>
            <w:vAlign w:val="center"/>
            <w:hideMark/>
          </w:tcPr>
          <w:p w14:paraId="4C17652B"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303</w:t>
            </w:r>
          </w:p>
        </w:tc>
        <w:tc>
          <w:tcPr>
            <w:tcW w:w="2406" w:type="dxa"/>
            <w:tcBorders>
              <w:top w:val="nil"/>
              <w:left w:val="nil"/>
              <w:bottom w:val="single" w:sz="4" w:space="0" w:color="auto"/>
              <w:right w:val="single" w:sz="4" w:space="0" w:color="auto"/>
            </w:tcBorders>
            <w:shd w:val="clear" w:color="000000" w:fill="FFFFFF"/>
            <w:vAlign w:val="center"/>
            <w:hideMark/>
          </w:tcPr>
          <w:p w14:paraId="38910F7E"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123</w:t>
            </w:r>
          </w:p>
        </w:tc>
        <w:tc>
          <w:tcPr>
            <w:tcW w:w="1449" w:type="dxa"/>
            <w:tcBorders>
              <w:top w:val="nil"/>
              <w:left w:val="nil"/>
              <w:bottom w:val="single" w:sz="4" w:space="0" w:color="auto"/>
              <w:right w:val="single" w:sz="4" w:space="0" w:color="auto"/>
            </w:tcBorders>
            <w:shd w:val="clear" w:color="000000" w:fill="FFFFFF"/>
            <w:vAlign w:val="center"/>
            <w:hideMark/>
          </w:tcPr>
          <w:p w14:paraId="300C2BB1"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137</w:t>
            </w:r>
          </w:p>
        </w:tc>
        <w:tc>
          <w:tcPr>
            <w:tcW w:w="1450" w:type="dxa"/>
            <w:tcBorders>
              <w:top w:val="nil"/>
              <w:left w:val="nil"/>
              <w:bottom w:val="single" w:sz="4" w:space="0" w:color="auto"/>
              <w:right w:val="single" w:sz="4" w:space="0" w:color="auto"/>
            </w:tcBorders>
            <w:shd w:val="clear" w:color="000000" w:fill="FFFFFF"/>
            <w:vAlign w:val="center"/>
            <w:hideMark/>
          </w:tcPr>
          <w:p w14:paraId="5DF4F3C0"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274</w:t>
            </w:r>
          </w:p>
        </w:tc>
        <w:tc>
          <w:tcPr>
            <w:tcW w:w="2035" w:type="dxa"/>
            <w:tcBorders>
              <w:top w:val="nil"/>
              <w:left w:val="nil"/>
              <w:bottom w:val="single" w:sz="4" w:space="0" w:color="auto"/>
              <w:right w:val="single" w:sz="4" w:space="0" w:color="auto"/>
            </w:tcBorders>
            <w:shd w:val="clear" w:color="000000" w:fill="FFFFFF"/>
            <w:vAlign w:val="center"/>
            <w:hideMark/>
          </w:tcPr>
          <w:p w14:paraId="1937ED69"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125</w:t>
            </w:r>
          </w:p>
        </w:tc>
        <w:tc>
          <w:tcPr>
            <w:tcW w:w="1733" w:type="dxa"/>
            <w:tcBorders>
              <w:top w:val="nil"/>
              <w:left w:val="nil"/>
              <w:bottom w:val="single" w:sz="4" w:space="0" w:color="auto"/>
              <w:right w:val="single" w:sz="4" w:space="0" w:color="auto"/>
            </w:tcBorders>
            <w:shd w:val="clear" w:color="000000" w:fill="FFFFFF"/>
            <w:vAlign w:val="center"/>
            <w:hideMark/>
          </w:tcPr>
          <w:p w14:paraId="119B94C3"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68</w:t>
            </w:r>
          </w:p>
        </w:tc>
      </w:tr>
      <w:tr w:rsidR="00EB43AE" w:rsidRPr="00EB43AE" w14:paraId="7CA14137" w14:textId="77777777" w:rsidTr="00EB43AE">
        <w:trPr>
          <w:trHeight w:val="20"/>
          <w:jc w:val="center"/>
        </w:trPr>
        <w:tc>
          <w:tcPr>
            <w:tcW w:w="2191" w:type="dxa"/>
            <w:tcBorders>
              <w:top w:val="nil"/>
              <w:left w:val="single" w:sz="4" w:space="0" w:color="auto"/>
              <w:bottom w:val="single" w:sz="4" w:space="0" w:color="auto"/>
              <w:right w:val="single" w:sz="4" w:space="0" w:color="auto"/>
            </w:tcBorders>
            <w:shd w:val="clear" w:color="000000" w:fill="FFFFFF"/>
            <w:vAlign w:val="center"/>
            <w:hideMark/>
          </w:tcPr>
          <w:p w14:paraId="4F003700" w14:textId="5FB4678F"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p>
        </w:tc>
        <w:tc>
          <w:tcPr>
            <w:tcW w:w="2690" w:type="dxa"/>
            <w:tcBorders>
              <w:top w:val="nil"/>
              <w:left w:val="nil"/>
              <w:bottom w:val="single" w:sz="4" w:space="0" w:color="auto"/>
              <w:right w:val="single" w:sz="4" w:space="0" w:color="auto"/>
            </w:tcBorders>
            <w:shd w:val="clear" w:color="000000" w:fill="FFFFFF"/>
            <w:vAlign w:val="center"/>
            <w:hideMark/>
          </w:tcPr>
          <w:p w14:paraId="564ADF8D"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B43AE">
              <w:rPr>
                <w:rFonts w:ascii="Times New Roman" w:eastAsia="Times New Roman" w:hAnsi="Times New Roman" w:cs="Times New Roman"/>
                <w:i/>
                <w:iCs/>
                <w:color w:val="1A1C1E"/>
                <w:kern w:val="0"/>
                <w:sz w:val="22"/>
                <w:szCs w:val="22"/>
                <w:lang w:eastAsia="en-IN"/>
                <w14:ligatures w14:val="none"/>
              </w:rPr>
              <w:t>2.1</w:t>
            </w:r>
          </w:p>
        </w:tc>
        <w:tc>
          <w:tcPr>
            <w:tcW w:w="2406" w:type="dxa"/>
            <w:tcBorders>
              <w:top w:val="nil"/>
              <w:left w:val="nil"/>
              <w:bottom w:val="single" w:sz="4" w:space="0" w:color="auto"/>
              <w:right w:val="single" w:sz="4" w:space="0" w:color="auto"/>
            </w:tcBorders>
            <w:shd w:val="clear" w:color="000000" w:fill="FFFFFF"/>
            <w:vAlign w:val="center"/>
            <w:hideMark/>
          </w:tcPr>
          <w:p w14:paraId="116F1B49"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B43AE">
              <w:rPr>
                <w:rFonts w:ascii="Times New Roman" w:eastAsia="Times New Roman" w:hAnsi="Times New Roman" w:cs="Times New Roman"/>
                <w:i/>
                <w:iCs/>
                <w:color w:val="1A1C1E"/>
                <w:kern w:val="0"/>
                <w:sz w:val="22"/>
                <w:szCs w:val="22"/>
                <w:lang w:eastAsia="en-IN"/>
                <w14:ligatures w14:val="none"/>
              </w:rPr>
              <w:t>0.8</w:t>
            </w:r>
          </w:p>
        </w:tc>
        <w:tc>
          <w:tcPr>
            <w:tcW w:w="1449" w:type="dxa"/>
            <w:tcBorders>
              <w:top w:val="nil"/>
              <w:left w:val="nil"/>
              <w:bottom w:val="single" w:sz="4" w:space="0" w:color="auto"/>
              <w:right w:val="single" w:sz="4" w:space="0" w:color="auto"/>
            </w:tcBorders>
            <w:shd w:val="clear" w:color="000000" w:fill="FFFFFF"/>
            <w:vAlign w:val="center"/>
            <w:hideMark/>
          </w:tcPr>
          <w:p w14:paraId="6E768B0B"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B43AE">
              <w:rPr>
                <w:rFonts w:ascii="Times New Roman" w:eastAsia="Times New Roman" w:hAnsi="Times New Roman" w:cs="Times New Roman"/>
                <w:i/>
                <w:iCs/>
                <w:color w:val="1A1C1E"/>
                <w:kern w:val="0"/>
                <w:sz w:val="22"/>
                <w:szCs w:val="22"/>
                <w:lang w:eastAsia="en-IN"/>
                <w14:ligatures w14:val="none"/>
              </w:rPr>
              <w:t>0.9</w:t>
            </w:r>
          </w:p>
        </w:tc>
        <w:tc>
          <w:tcPr>
            <w:tcW w:w="1450" w:type="dxa"/>
            <w:tcBorders>
              <w:top w:val="nil"/>
              <w:left w:val="nil"/>
              <w:bottom w:val="single" w:sz="4" w:space="0" w:color="auto"/>
              <w:right w:val="single" w:sz="4" w:space="0" w:color="auto"/>
            </w:tcBorders>
            <w:shd w:val="clear" w:color="000000" w:fill="FFFFFF"/>
            <w:vAlign w:val="center"/>
            <w:hideMark/>
          </w:tcPr>
          <w:p w14:paraId="54C128CB"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B43AE">
              <w:rPr>
                <w:rFonts w:ascii="Times New Roman" w:eastAsia="Times New Roman" w:hAnsi="Times New Roman" w:cs="Times New Roman"/>
                <w:i/>
                <w:iCs/>
                <w:color w:val="1A1C1E"/>
                <w:kern w:val="0"/>
                <w:sz w:val="22"/>
                <w:szCs w:val="22"/>
                <w:lang w:eastAsia="en-IN"/>
                <w14:ligatures w14:val="none"/>
              </w:rPr>
              <w:t>1.9</w:t>
            </w:r>
          </w:p>
        </w:tc>
        <w:tc>
          <w:tcPr>
            <w:tcW w:w="2035" w:type="dxa"/>
            <w:tcBorders>
              <w:top w:val="nil"/>
              <w:left w:val="nil"/>
              <w:bottom w:val="single" w:sz="4" w:space="0" w:color="auto"/>
              <w:right w:val="single" w:sz="4" w:space="0" w:color="auto"/>
            </w:tcBorders>
            <w:shd w:val="clear" w:color="000000" w:fill="FFFFFF"/>
            <w:vAlign w:val="center"/>
            <w:hideMark/>
          </w:tcPr>
          <w:p w14:paraId="1146E112"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B43AE">
              <w:rPr>
                <w:rFonts w:ascii="Times New Roman" w:eastAsia="Times New Roman" w:hAnsi="Times New Roman" w:cs="Times New Roman"/>
                <w:i/>
                <w:iCs/>
                <w:color w:val="1A1C1E"/>
                <w:kern w:val="0"/>
                <w:sz w:val="22"/>
                <w:szCs w:val="22"/>
                <w:lang w:eastAsia="en-IN"/>
                <w14:ligatures w14:val="none"/>
              </w:rPr>
              <w:t>0.9</w:t>
            </w:r>
          </w:p>
        </w:tc>
        <w:tc>
          <w:tcPr>
            <w:tcW w:w="1733" w:type="dxa"/>
            <w:tcBorders>
              <w:top w:val="nil"/>
              <w:left w:val="nil"/>
              <w:bottom w:val="single" w:sz="4" w:space="0" w:color="auto"/>
              <w:right w:val="single" w:sz="4" w:space="0" w:color="auto"/>
            </w:tcBorders>
            <w:shd w:val="clear" w:color="000000" w:fill="FFFFFF"/>
            <w:vAlign w:val="center"/>
            <w:hideMark/>
          </w:tcPr>
          <w:p w14:paraId="6735238A"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B43AE">
              <w:rPr>
                <w:rFonts w:ascii="Times New Roman" w:eastAsia="Times New Roman" w:hAnsi="Times New Roman" w:cs="Times New Roman"/>
                <w:i/>
                <w:iCs/>
                <w:color w:val="1A1C1E"/>
                <w:kern w:val="0"/>
                <w:sz w:val="22"/>
                <w:szCs w:val="22"/>
                <w:lang w:eastAsia="en-IN"/>
                <w14:ligatures w14:val="none"/>
              </w:rPr>
              <w:t>0.5</w:t>
            </w:r>
          </w:p>
        </w:tc>
      </w:tr>
      <w:tr w:rsidR="00EB43AE" w:rsidRPr="00EB43AE" w14:paraId="46284736" w14:textId="77777777" w:rsidTr="00EB43AE">
        <w:trPr>
          <w:trHeight w:val="20"/>
          <w:jc w:val="center"/>
        </w:trPr>
        <w:tc>
          <w:tcPr>
            <w:tcW w:w="2191" w:type="dxa"/>
            <w:tcBorders>
              <w:top w:val="nil"/>
              <w:left w:val="single" w:sz="4" w:space="0" w:color="auto"/>
              <w:bottom w:val="single" w:sz="4" w:space="0" w:color="auto"/>
              <w:right w:val="single" w:sz="4" w:space="0" w:color="auto"/>
            </w:tcBorders>
            <w:shd w:val="clear" w:color="000000" w:fill="FFFFFF"/>
            <w:vAlign w:val="center"/>
            <w:hideMark/>
          </w:tcPr>
          <w:p w14:paraId="514FE440"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Punjab</w:t>
            </w:r>
          </w:p>
        </w:tc>
        <w:tc>
          <w:tcPr>
            <w:tcW w:w="2690" w:type="dxa"/>
            <w:tcBorders>
              <w:top w:val="nil"/>
              <w:left w:val="nil"/>
              <w:bottom w:val="single" w:sz="4" w:space="0" w:color="auto"/>
              <w:right w:val="single" w:sz="4" w:space="0" w:color="auto"/>
            </w:tcBorders>
            <w:shd w:val="clear" w:color="000000" w:fill="FFFFFF"/>
            <w:vAlign w:val="center"/>
            <w:hideMark/>
          </w:tcPr>
          <w:p w14:paraId="00F43C1A"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504</w:t>
            </w:r>
          </w:p>
        </w:tc>
        <w:tc>
          <w:tcPr>
            <w:tcW w:w="2406" w:type="dxa"/>
            <w:tcBorders>
              <w:top w:val="nil"/>
              <w:left w:val="nil"/>
              <w:bottom w:val="single" w:sz="4" w:space="0" w:color="auto"/>
              <w:right w:val="single" w:sz="4" w:space="0" w:color="auto"/>
            </w:tcBorders>
            <w:shd w:val="clear" w:color="000000" w:fill="FFFFFF"/>
            <w:vAlign w:val="center"/>
            <w:hideMark/>
          </w:tcPr>
          <w:p w14:paraId="34B2648C"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156</w:t>
            </w:r>
          </w:p>
        </w:tc>
        <w:tc>
          <w:tcPr>
            <w:tcW w:w="1449" w:type="dxa"/>
            <w:tcBorders>
              <w:top w:val="nil"/>
              <w:left w:val="nil"/>
              <w:bottom w:val="single" w:sz="4" w:space="0" w:color="auto"/>
              <w:right w:val="single" w:sz="4" w:space="0" w:color="auto"/>
            </w:tcBorders>
            <w:shd w:val="clear" w:color="000000" w:fill="FFFFFF"/>
            <w:vAlign w:val="center"/>
            <w:hideMark/>
          </w:tcPr>
          <w:p w14:paraId="3AC8240E"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268</w:t>
            </w:r>
          </w:p>
        </w:tc>
        <w:tc>
          <w:tcPr>
            <w:tcW w:w="1450" w:type="dxa"/>
            <w:tcBorders>
              <w:top w:val="nil"/>
              <w:left w:val="nil"/>
              <w:bottom w:val="single" w:sz="4" w:space="0" w:color="auto"/>
              <w:right w:val="single" w:sz="4" w:space="0" w:color="auto"/>
            </w:tcBorders>
            <w:shd w:val="clear" w:color="000000" w:fill="FFFFFF"/>
            <w:vAlign w:val="center"/>
            <w:hideMark/>
          </w:tcPr>
          <w:p w14:paraId="2B1C0038"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374</w:t>
            </w:r>
          </w:p>
        </w:tc>
        <w:tc>
          <w:tcPr>
            <w:tcW w:w="2035" w:type="dxa"/>
            <w:tcBorders>
              <w:top w:val="nil"/>
              <w:left w:val="nil"/>
              <w:bottom w:val="single" w:sz="4" w:space="0" w:color="auto"/>
              <w:right w:val="single" w:sz="4" w:space="0" w:color="auto"/>
            </w:tcBorders>
            <w:shd w:val="clear" w:color="000000" w:fill="FFFFFF"/>
            <w:vAlign w:val="center"/>
            <w:hideMark/>
          </w:tcPr>
          <w:p w14:paraId="6C413F4E"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188</w:t>
            </w:r>
          </w:p>
        </w:tc>
        <w:tc>
          <w:tcPr>
            <w:tcW w:w="1733" w:type="dxa"/>
            <w:tcBorders>
              <w:top w:val="nil"/>
              <w:left w:val="nil"/>
              <w:bottom w:val="single" w:sz="4" w:space="0" w:color="auto"/>
              <w:right w:val="single" w:sz="4" w:space="0" w:color="auto"/>
            </w:tcBorders>
            <w:shd w:val="clear" w:color="000000" w:fill="FFFFFF"/>
            <w:vAlign w:val="center"/>
            <w:hideMark/>
          </w:tcPr>
          <w:p w14:paraId="1E2680CF"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85</w:t>
            </w:r>
          </w:p>
        </w:tc>
      </w:tr>
      <w:tr w:rsidR="00EB43AE" w:rsidRPr="00EB43AE" w14:paraId="1DFFD636" w14:textId="77777777" w:rsidTr="00EB43AE">
        <w:trPr>
          <w:trHeight w:val="20"/>
          <w:jc w:val="center"/>
        </w:trPr>
        <w:tc>
          <w:tcPr>
            <w:tcW w:w="2191" w:type="dxa"/>
            <w:tcBorders>
              <w:top w:val="nil"/>
              <w:left w:val="single" w:sz="4" w:space="0" w:color="auto"/>
              <w:bottom w:val="single" w:sz="4" w:space="0" w:color="auto"/>
              <w:right w:val="single" w:sz="4" w:space="0" w:color="auto"/>
            </w:tcBorders>
            <w:shd w:val="clear" w:color="000000" w:fill="FFFFFF"/>
            <w:vAlign w:val="center"/>
            <w:hideMark/>
          </w:tcPr>
          <w:p w14:paraId="1240BD6F" w14:textId="26F5C899"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p>
        </w:tc>
        <w:tc>
          <w:tcPr>
            <w:tcW w:w="2690" w:type="dxa"/>
            <w:tcBorders>
              <w:top w:val="nil"/>
              <w:left w:val="nil"/>
              <w:bottom w:val="single" w:sz="4" w:space="0" w:color="auto"/>
              <w:right w:val="single" w:sz="4" w:space="0" w:color="auto"/>
            </w:tcBorders>
            <w:shd w:val="clear" w:color="000000" w:fill="FFFFFF"/>
            <w:vAlign w:val="center"/>
            <w:hideMark/>
          </w:tcPr>
          <w:p w14:paraId="58B0047E" w14:textId="09C1BF1C" w:rsidR="00EB43AE" w:rsidRPr="00EB43AE" w:rsidRDefault="00EB43AE" w:rsidP="00EB43A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B43AE">
              <w:rPr>
                <w:rFonts w:ascii="Times New Roman" w:eastAsia="Times New Roman" w:hAnsi="Times New Roman" w:cs="Times New Roman"/>
                <w:i/>
                <w:iCs/>
                <w:color w:val="1A1C1E"/>
                <w:kern w:val="0"/>
                <w:sz w:val="22"/>
                <w:szCs w:val="22"/>
                <w:lang w:eastAsia="en-IN"/>
                <w14:ligatures w14:val="none"/>
              </w:rPr>
              <w:t>4</w:t>
            </w:r>
            <w:r w:rsidR="00534676">
              <w:rPr>
                <w:rFonts w:ascii="Times New Roman" w:eastAsia="Times New Roman" w:hAnsi="Times New Roman" w:cs="Times New Roman"/>
                <w:i/>
                <w:iCs/>
                <w:color w:val="1A1C1E"/>
                <w:kern w:val="0"/>
                <w:sz w:val="22"/>
                <w:szCs w:val="22"/>
                <w:lang w:eastAsia="en-IN"/>
                <w14:ligatures w14:val="none"/>
              </w:rPr>
              <w:t>.0</w:t>
            </w:r>
          </w:p>
        </w:tc>
        <w:tc>
          <w:tcPr>
            <w:tcW w:w="2406" w:type="dxa"/>
            <w:tcBorders>
              <w:top w:val="nil"/>
              <w:left w:val="nil"/>
              <w:bottom w:val="single" w:sz="4" w:space="0" w:color="auto"/>
              <w:right w:val="single" w:sz="4" w:space="0" w:color="auto"/>
            </w:tcBorders>
            <w:shd w:val="clear" w:color="000000" w:fill="FFFFFF"/>
            <w:vAlign w:val="center"/>
            <w:hideMark/>
          </w:tcPr>
          <w:p w14:paraId="73A94650"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B43AE">
              <w:rPr>
                <w:rFonts w:ascii="Times New Roman" w:eastAsia="Times New Roman" w:hAnsi="Times New Roman" w:cs="Times New Roman"/>
                <w:i/>
                <w:iCs/>
                <w:color w:val="1A1C1E"/>
                <w:kern w:val="0"/>
                <w:sz w:val="22"/>
                <w:szCs w:val="22"/>
                <w:lang w:eastAsia="en-IN"/>
                <w14:ligatures w14:val="none"/>
              </w:rPr>
              <w:t>1.2</w:t>
            </w:r>
          </w:p>
        </w:tc>
        <w:tc>
          <w:tcPr>
            <w:tcW w:w="1449" w:type="dxa"/>
            <w:tcBorders>
              <w:top w:val="nil"/>
              <w:left w:val="nil"/>
              <w:bottom w:val="single" w:sz="4" w:space="0" w:color="auto"/>
              <w:right w:val="single" w:sz="4" w:space="0" w:color="auto"/>
            </w:tcBorders>
            <w:shd w:val="clear" w:color="000000" w:fill="FFFFFF"/>
            <w:vAlign w:val="center"/>
            <w:hideMark/>
          </w:tcPr>
          <w:p w14:paraId="3FFB6486"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B43AE">
              <w:rPr>
                <w:rFonts w:ascii="Times New Roman" w:eastAsia="Times New Roman" w:hAnsi="Times New Roman" w:cs="Times New Roman"/>
                <w:i/>
                <w:iCs/>
                <w:color w:val="1A1C1E"/>
                <w:kern w:val="0"/>
                <w:sz w:val="22"/>
                <w:szCs w:val="22"/>
                <w:lang w:eastAsia="en-IN"/>
                <w14:ligatures w14:val="none"/>
              </w:rPr>
              <w:t>2.1</w:t>
            </w:r>
          </w:p>
        </w:tc>
        <w:tc>
          <w:tcPr>
            <w:tcW w:w="1450" w:type="dxa"/>
            <w:tcBorders>
              <w:top w:val="nil"/>
              <w:left w:val="nil"/>
              <w:bottom w:val="single" w:sz="4" w:space="0" w:color="auto"/>
              <w:right w:val="single" w:sz="4" w:space="0" w:color="auto"/>
            </w:tcBorders>
            <w:shd w:val="clear" w:color="000000" w:fill="FFFFFF"/>
            <w:vAlign w:val="center"/>
            <w:hideMark/>
          </w:tcPr>
          <w:p w14:paraId="2A4C2D17" w14:textId="25AA1A8A" w:rsidR="00EB43AE" w:rsidRPr="00EB43AE" w:rsidRDefault="00EB43AE" w:rsidP="00EB43A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B43AE">
              <w:rPr>
                <w:rFonts w:ascii="Times New Roman" w:eastAsia="Times New Roman" w:hAnsi="Times New Roman" w:cs="Times New Roman"/>
                <w:i/>
                <w:iCs/>
                <w:color w:val="1A1C1E"/>
                <w:kern w:val="0"/>
                <w:sz w:val="22"/>
                <w:szCs w:val="22"/>
                <w:lang w:eastAsia="en-IN"/>
                <w14:ligatures w14:val="none"/>
              </w:rPr>
              <w:t>3</w:t>
            </w:r>
            <w:r w:rsidR="00744486">
              <w:rPr>
                <w:rFonts w:ascii="Times New Roman" w:eastAsia="Times New Roman" w:hAnsi="Times New Roman" w:cs="Times New Roman"/>
                <w:i/>
                <w:iCs/>
                <w:color w:val="1A1C1E"/>
                <w:kern w:val="0"/>
                <w:sz w:val="22"/>
                <w:szCs w:val="22"/>
                <w:lang w:eastAsia="en-IN"/>
                <w14:ligatures w14:val="none"/>
              </w:rPr>
              <w:t>.0</w:t>
            </w:r>
          </w:p>
        </w:tc>
        <w:tc>
          <w:tcPr>
            <w:tcW w:w="2035" w:type="dxa"/>
            <w:tcBorders>
              <w:top w:val="nil"/>
              <w:left w:val="nil"/>
              <w:bottom w:val="single" w:sz="4" w:space="0" w:color="auto"/>
              <w:right w:val="single" w:sz="4" w:space="0" w:color="auto"/>
            </w:tcBorders>
            <w:shd w:val="clear" w:color="000000" w:fill="FFFFFF"/>
            <w:vAlign w:val="center"/>
            <w:hideMark/>
          </w:tcPr>
          <w:p w14:paraId="476A9EFA"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B43AE">
              <w:rPr>
                <w:rFonts w:ascii="Times New Roman" w:eastAsia="Times New Roman" w:hAnsi="Times New Roman" w:cs="Times New Roman"/>
                <w:i/>
                <w:iCs/>
                <w:color w:val="1A1C1E"/>
                <w:kern w:val="0"/>
                <w:sz w:val="22"/>
                <w:szCs w:val="22"/>
                <w:lang w:eastAsia="en-IN"/>
                <w14:ligatures w14:val="none"/>
              </w:rPr>
              <w:t>1.5</w:t>
            </w:r>
          </w:p>
        </w:tc>
        <w:tc>
          <w:tcPr>
            <w:tcW w:w="1733" w:type="dxa"/>
            <w:tcBorders>
              <w:top w:val="nil"/>
              <w:left w:val="nil"/>
              <w:bottom w:val="single" w:sz="4" w:space="0" w:color="auto"/>
              <w:right w:val="single" w:sz="4" w:space="0" w:color="auto"/>
            </w:tcBorders>
            <w:shd w:val="clear" w:color="000000" w:fill="FFFFFF"/>
            <w:vAlign w:val="center"/>
            <w:hideMark/>
          </w:tcPr>
          <w:p w14:paraId="6061AB91"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B43AE">
              <w:rPr>
                <w:rFonts w:ascii="Times New Roman" w:eastAsia="Times New Roman" w:hAnsi="Times New Roman" w:cs="Times New Roman"/>
                <w:i/>
                <w:iCs/>
                <w:color w:val="1A1C1E"/>
                <w:kern w:val="0"/>
                <w:sz w:val="22"/>
                <w:szCs w:val="22"/>
                <w:lang w:eastAsia="en-IN"/>
                <w14:ligatures w14:val="none"/>
              </w:rPr>
              <w:t>0.7</w:t>
            </w:r>
          </w:p>
        </w:tc>
      </w:tr>
      <w:tr w:rsidR="00EB43AE" w:rsidRPr="00EB43AE" w14:paraId="0039A6D7" w14:textId="77777777" w:rsidTr="00EB43AE">
        <w:trPr>
          <w:trHeight w:val="20"/>
          <w:jc w:val="center"/>
        </w:trPr>
        <w:tc>
          <w:tcPr>
            <w:tcW w:w="2191" w:type="dxa"/>
            <w:tcBorders>
              <w:top w:val="nil"/>
              <w:left w:val="single" w:sz="4" w:space="0" w:color="auto"/>
              <w:bottom w:val="single" w:sz="4" w:space="0" w:color="auto"/>
              <w:right w:val="single" w:sz="4" w:space="0" w:color="auto"/>
            </w:tcBorders>
            <w:shd w:val="clear" w:color="000000" w:fill="FFFFFF"/>
            <w:vAlign w:val="center"/>
            <w:hideMark/>
          </w:tcPr>
          <w:p w14:paraId="7AC984BE"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Uttar Pradesh</w:t>
            </w:r>
          </w:p>
        </w:tc>
        <w:tc>
          <w:tcPr>
            <w:tcW w:w="2690" w:type="dxa"/>
            <w:tcBorders>
              <w:top w:val="nil"/>
              <w:left w:val="nil"/>
              <w:bottom w:val="single" w:sz="4" w:space="0" w:color="auto"/>
              <w:right w:val="single" w:sz="4" w:space="0" w:color="auto"/>
            </w:tcBorders>
            <w:shd w:val="clear" w:color="000000" w:fill="FFFFFF"/>
            <w:vAlign w:val="center"/>
            <w:hideMark/>
          </w:tcPr>
          <w:p w14:paraId="1FF676E5"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1469</w:t>
            </w:r>
          </w:p>
        </w:tc>
        <w:tc>
          <w:tcPr>
            <w:tcW w:w="2406" w:type="dxa"/>
            <w:tcBorders>
              <w:top w:val="nil"/>
              <w:left w:val="nil"/>
              <w:bottom w:val="single" w:sz="4" w:space="0" w:color="auto"/>
              <w:right w:val="single" w:sz="4" w:space="0" w:color="auto"/>
            </w:tcBorders>
            <w:shd w:val="clear" w:color="000000" w:fill="FFFFFF"/>
            <w:vAlign w:val="center"/>
            <w:hideMark/>
          </w:tcPr>
          <w:p w14:paraId="4D3BEB0F"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487</w:t>
            </w:r>
          </w:p>
        </w:tc>
        <w:tc>
          <w:tcPr>
            <w:tcW w:w="1449" w:type="dxa"/>
            <w:tcBorders>
              <w:top w:val="nil"/>
              <w:left w:val="nil"/>
              <w:bottom w:val="single" w:sz="4" w:space="0" w:color="auto"/>
              <w:right w:val="single" w:sz="4" w:space="0" w:color="auto"/>
            </w:tcBorders>
            <w:shd w:val="clear" w:color="000000" w:fill="FFFFFF"/>
            <w:vAlign w:val="center"/>
            <w:hideMark/>
          </w:tcPr>
          <w:p w14:paraId="0EB57D50"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729</w:t>
            </w:r>
          </w:p>
        </w:tc>
        <w:tc>
          <w:tcPr>
            <w:tcW w:w="1450" w:type="dxa"/>
            <w:tcBorders>
              <w:top w:val="nil"/>
              <w:left w:val="nil"/>
              <w:bottom w:val="single" w:sz="4" w:space="0" w:color="auto"/>
              <w:right w:val="single" w:sz="4" w:space="0" w:color="auto"/>
            </w:tcBorders>
            <w:shd w:val="clear" w:color="000000" w:fill="FFFFFF"/>
            <w:vAlign w:val="center"/>
            <w:hideMark/>
          </w:tcPr>
          <w:p w14:paraId="639517E3"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1530</w:t>
            </w:r>
          </w:p>
        </w:tc>
        <w:tc>
          <w:tcPr>
            <w:tcW w:w="2035" w:type="dxa"/>
            <w:tcBorders>
              <w:top w:val="nil"/>
              <w:left w:val="nil"/>
              <w:bottom w:val="single" w:sz="4" w:space="0" w:color="auto"/>
              <w:right w:val="single" w:sz="4" w:space="0" w:color="auto"/>
            </w:tcBorders>
            <w:shd w:val="clear" w:color="000000" w:fill="FFFFFF"/>
            <w:vAlign w:val="center"/>
            <w:hideMark/>
          </w:tcPr>
          <w:p w14:paraId="69C257A6"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745</w:t>
            </w:r>
          </w:p>
        </w:tc>
        <w:tc>
          <w:tcPr>
            <w:tcW w:w="1733" w:type="dxa"/>
            <w:tcBorders>
              <w:top w:val="nil"/>
              <w:left w:val="nil"/>
              <w:bottom w:val="single" w:sz="4" w:space="0" w:color="auto"/>
              <w:right w:val="single" w:sz="4" w:space="0" w:color="auto"/>
            </w:tcBorders>
            <w:shd w:val="clear" w:color="000000" w:fill="FFFFFF"/>
            <w:vAlign w:val="center"/>
            <w:hideMark/>
          </w:tcPr>
          <w:p w14:paraId="5FA962A1"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305</w:t>
            </w:r>
          </w:p>
        </w:tc>
      </w:tr>
      <w:tr w:rsidR="00EB43AE" w:rsidRPr="00EB43AE" w14:paraId="21363D3F" w14:textId="77777777" w:rsidTr="00EB43AE">
        <w:trPr>
          <w:trHeight w:val="20"/>
          <w:jc w:val="center"/>
        </w:trPr>
        <w:tc>
          <w:tcPr>
            <w:tcW w:w="2191" w:type="dxa"/>
            <w:tcBorders>
              <w:top w:val="nil"/>
              <w:left w:val="single" w:sz="4" w:space="0" w:color="auto"/>
              <w:bottom w:val="single" w:sz="4" w:space="0" w:color="auto"/>
              <w:right w:val="single" w:sz="4" w:space="0" w:color="auto"/>
            </w:tcBorders>
            <w:shd w:val="clear" w:color="000000" w:fill="FFFFFF"/>
            <w:vAlign w:val="center"/>
            <w:hideMark/>
          </w:tcPr>
          <w:p w14:paraId="3EC22C3F" w14:textId="3E1D526D"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p>
        </w:tc>
        <w:tc>
          <w:tcPr>
            <w:tcW w:w="2690" w:type="dxa"/>
            <w:tcBorders>
              <w:top w:val="nil"/>
              <w:left w:val="nil"/>
              <w:bottom w:val="single" w:sz="4" w:space="0" w:color="auto"/>
              <w:right w:val="single" w:sz="4" w:space="0" w:color="auto"/>
            </w:tcBorders>
            <w:shd w:val="clear" w:color="000000" w:fill="FFFFFF"/>
            <w:vAlign w:val="center"/>
            <w:hideMark/>
          </w:tcPr>
          <w:p w14:paraId="3A2831D3"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B43AE">
              <w:rPr>
                <w:rFonts w:ascii="Times New Roman" w:eastAsia="Times New Roman" w:hAnsi="Times New Roman" w:cs="Times New Roman"/>
                <w:i/>
                <w:iCs/>
                <w:color w:val="1A1C1E"/>
                <w:kern w:val="0"/>
                <w:sz w:val="22"/>
                <w:szCs w:val="22"/>
                <w:lang w:eastAsia="en-IN"/>
                <w14:ligatures w14:val="none"/>
              </w:rPr>
              <w:t>2.3</w:t>
            </w:r>
          </w:p>
        </w:tc>
        <w:tc>
          <w:tcPr>
            <w:tcW w:w="2406" w:type="dxa"/>
            <w:tcBorders>
              <w:top w:val="nil"/>
              <w:left w:val="nil"/>
              <w:bottom w:val="single" w:sz="4" w:space="0" w:color="auto"/>
              <w:right w:val="single" w:sz="4" w:space="0" w:color="auto"/>
            </w:tcBorders>
            <w:shd w:val="clear" w:color="000000" w:fill="FFFFFF"/>
            <w:vAlign w:val="center"/>
            <w:hideMark/>
          </w:tcPr>
          <w:p w14:paraId="330C31B6"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B43AE">
              <w:rPr>
                <w:rFonts w:ascii="Times New Roman" w:eastAsia="Times New Roman" w:hAnsi="Times New Roman" w:cs="Times New Roman"/>
                <w:i/>
                <w:iCs/>
                <w:color w:val="1A1C1E"/>
                <w:kern w:val="0"/>
                <w:sz w:val="22"/>
                <w:szCs w:val="22"/>
                <w:lang w:eastAsia="en-IN"/>
                <w14:ligatures w14:val="none"/>
              </w:rPr>
              <w:t>0.8</w:t>
            </w:r>
          </w:p>
        </w:tc>
        <w:tc>
          <w:tcPr>
            <w:tcW w:w="1449" w:type="dxa"/>
            <w:tcBorders>
              <w:top w:val="nil"/>
              <w:left w:val="nil"/>
              <w:bottom w:val="single" w:sz="4" w:space="0" w:color="auto"/>
              <w:right w:val="single" w:sz="4" w:space="0" w:color="auto"/>
            </w:tcBorders>
            <w:shd w:val="clear" w:color="000000" w:fill="FFFFFF"/>
            <w:vAlign w:val="center"/>
            <w:hideMark/>
          </w:tcPr>
          <w:p w14:paraId="75DBE696"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B43AE">
              <w:rPr>
                <w:rFonts w:ascii="Times New Roman" w:eastAsia="Times New Roman" w:hAnsi="Times New Roman" w:cs="Times New Roman"/>
                <w:i/>
                <w:iCs/>
                <w:color w:val="1A1C1E"/>
                <w:kern w:val="0"/>
                <w:sz w:val="22"/>
                <w:szCs w:val="22"/>
                <w:lang w:eastAsia="en-IN"/>
                <w14:ligatures w14:val="none"/>
              </w:rPr>
              <w:t>1.2</w:t>
            </w:r>
          </w:p>
        </w:tc>
        <w:tc>
          <w:tcPr>
            <w:tcW w:w="1450" w:type="dxa"/>
            <w:tcBorders>
              <w:top w:val="nil"/>
              <w:left w:val="nil"/>
              <w:bottom w:val="single" w:sz="4" w:space="0" w:color="auto"/>
              <w:right w:val="single" w:sz="4" w:space="0" w:color="auto"/>
            </w:tcBorders>
            <w:shd w:val="clear" w:color="000000" w:fill="FFFFFF"/>
            <w:vAlign w:val="center"/>
            <w:hideMark/>
          </w:tcPr>
          <w:p w14:paraId="1029EFAC"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B43AE">
              <w:rPr>
                <w:rFonts w:ascii="Times New Roman" w:eastAsia="Times New Roman" w:hAnsi="Times New Roman" w:cs="Times New Roman"/>
                <w:i/>
                <w:iCs/>
                <w:color w:val="1A1C1E"/>
                <w:kern w:val="0"/>
                <w:sz w:val="22"/>
                <w:szCs w:val="22"/>
                <w:lang w:eastAsia="en-IN"/>
                <w14:ligatures w14:val="none"/>
              </w:rPr>
              <w:t>2.4</w:t>
            </w:r>
          </w:p>
        </w:tc>
        <w:tc>
          <w:tcPr>
            <w:tcW w:w="2035" w:type="dxa"/>
            <w:tcBorders>
              <w:top w:val="nil"/>
              <w:left w:val="nil"/>
              <w:bottom w:val="single" w:sz="4" w:space="0" w:color="auto"/>
              <w:right w:val="single" w:sz="4" w:space="0" w:color="auto"/>
            </w:tcBorders>
            <w:shd w:val="clear" w:color="000000" w:fill="FFFFFF"/>
            <w:vAlign w:val="center"/>
            <w:hideMark/>
          </w:tcPr>
          <w:p w14:paraId="33DC519B"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B43AE">
              <w:rPr>
                <w:rFonts w:ascii="Times New Roman" w:eastAsia="Times New Roman" w:hAnsi="Times New Roman" w:cs="Times New Roman"/>
                <w:i/>
                <w:iCs/>
                <w:color w:val="1A1C1E"/>
                <w:kern w:val="0"/>
                <w:sz w:val="22"/>
                <w:szCs w:val="22"/>
                <w:lang w:eastAsia="en-IN"/>
                <w14:ligatures w14:val="none"/>
              </w:rPr>
              <w:t>1.2</w:t>
            </w:r>
          </w:p>
        </w:tc>
        <w:tc>
          <w:tcPr>
            <w:tcW w:w="1733" w:type="dxa"/>
            <w:tcBorders>
              <w:top w:val="nil"/>
              <w:left w:val="nil"/>
              <w:bottom w:val="single" w:sz="4" w:space="0" w:color="auto"/>
              <w:right w:val="single" w:sz="4" w:space="0" w:color="auto"/>
            </w:tcBorders>
            <w:shd w:val="clear" w:color="000000" w:fill="FFFFFF"/>
            <w:vAlign w:val="center"/>
            <w:hideMark/>
          </w:tcPr>
          <w:p w14:paraId="26338306"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B43AE">
              <w:rPr>
                <w:rFonts w:ascii="Times New Roman" w:eastAsia="Times New Roman" w:hAnsi="Times New Roman" w:cs="Times New Roman"/>
                <w:i/>
                <w:iCs/>
                <w:color w:val="1A1C1E"/>
                <w:kern w:val="0"/>
                <w:sz w:val="22"/>
                <w:szCs w:val="22"/>
                <w:lang w:eastAsia="en-IN"/>
                <w14:ligatures w14:val="none"/>
              </w:rPr>
              <w:t>0.5</w:t>
            </w:r>
          </w:p>
        </w:tc>
      </w:tr>
      <w:tr w:rsidR="00EB43AE" w:rsidRPr="00EB43AE" w14:paraId="4CD83C51" w14:textId="77777777" w:rsidTr="00EB43AE">
        <w:trPr>
          <w:trHeight w:val="20"/>
          <w:jc w:val="center"/>
        </w:trPr>
        <w:tc>
          <w:tcPr>
            <w:tcW w:w="2191" w:type="dxa"/>
            <w:tcBorders>
              <w:top w:val="nil"/>
              <w:left w:val="single" w:sz="4" w:space="0" w:color="auto"/>
              <w:bottom w:val="single" w:sz="4" w:space="0" w:color="auto"/>
              <w:right w:val="single" w:sz="4" w:space="0" w:color="auto"/>
            </w:tcBorders>
            <w:shd w:val="clear" w:color="000000" w:fill="FFFFFF"/>
            <w:vAlign w:val="center"/>
            <w:hideMark/>
          </w:tcPr>
          <w:p w14:paraId="38D858FA"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West Bengal</w:t>
            </w:r>
          </w:p>
        </w:tc>
        <w:tc>
          <w:tcPr>
            <w:tcW w:w="2690" w:type="dxa"/>
            <w:tcBorders>
              <w:top w:val="nil"/>
              <w:left w:val="nil"/>
              <w:bottom w:val="single" w:sz="4" w:space="0" w:color="auto"/>
              <w:right w:val="single" w:sz="4" w:space="0" w:color="auto"/>
            </w:tcBorders>
            <w:shd w:val="clear" w:color="000000" w:fill="FFFFFF"/>
            <w:vAlign w:val="center"/>
            <w:hideMark/>
          </w:tcPr>
          <w:p w14:paraId="5EDA4669"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1031</w:t>
            </w:r>
          </w:p>
        </w:tc>
        <w:tc>
          <w:tcPr>
            <w:tcW w:w="2406" w:type="dxa"/>
            <w:tcBorders>
              <w:top w:val="nil"/>
              <w:left w:val="nil"/>
              <w:bottom w:val="single" w:sz="4" w:space="0" w:color="auto"/>
              <w:right w:val="single" w:sz="4" w:space="0" w:color="auto"/>
            </w:tcBorders>
            <w:shd w:val="clear" w:color="000000" w:fill="FFFFFF"/>
            <w:vAlign w:val="center"/>
            <w:hideMark/>
          </w:tcPr>
          <w:p w14:paraId="76CC10F1"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247</w:t>
            </w:r>
          </w:p>
        </w:tc>
        <w:tc>
          <w:tcPr>
            <w:tcW w:w="1449" w:type="dxa"/>
            <w:tcBorders>
              <w:top w:val="nil"/>
              <w:left w:val="nil"/>
              <w:bottom w:val="single" w:sz="4" w:space="0" w:color="auto"/>
              <w:right w:val="single" w:sz="4" w:space="0" w:color="auto"/>
            </w:tcBorders>
            <w:shd w:val="clear" w:color="000000" w:fill="FFFFFF"/>
            <w:vAlign w:val="center"/>
            <w:hideMark/>
          </w:tcPr>
          <w:p w14:paraId="0DB2F5D9"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576</w:t>
            </w:r>
          </w:p>
        </w:tc>
        <w:tc>
          <w:tcPr>
            <w:tcW w:w="1450" w:type="dxa"/>
            <w:tcBorders>
              <w:top w:val="nil"/>
              <w:left w:val="nil"/>
              <w:bottom w:val="single" w:sz="4" w:space="0" w:color="auto"/>
              <w:right w:val="single" w:sz="4" w:space="0" w:color="auto"/>
            </w:tcBorders>
            <w:shd w:val="clear" w:color="000000" w:fill="FFFFFF"/>
            <w:vAlign w:val="center"/>
            <w:hideMark/>
          </w:tcPr>
          <w:p w14:paraId="258E48E5"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1025</w:t>
            </w:r>
          </w:p>
        </w:tc>
        <w:tc>
          <w:tcPr>
            <w:tcW w:w="2035" w:type="dxa"/>
            <w:tcBorders>
              <w:top w:val="nil"/>
              <w:left w:val="nil"/>
              <w:bottom w:val="single" w:sz="4" w:space="0" w:color="auto"/>
              <w:right w:val="single" w:sz="4" w:space="0" w:color="auto"/>
            </w:tcBorders>
            <w:shd w:val="clear" w:color="000000" w:fill="FFFFFF"/>
            <w:vAlign w:val="center"/>
            <w:hideMark/>
          </w:tcPr>
          <w:p w14:paraId="5E8F4278"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336</w:t>
            </w:r>
          </w:p>
        </w:tc>
        <w:tc>
          <w:tcPr>
            <w:tcW w:w="1733" w:type="dxa"/>
            <w:tcBorders>
              <w:top w:val="nil"/>
              <w:left w:val="nil"/>
              <w:bottom w:val="single" w:sz="4" w:space="0" w:color="auto"/>
              <w:right w:val="single" w:sz="4" w:space="0" w:color="auto"/>
            </w:tcBorders>
            <w:shd w:val="clear" w:color="000000" w:fill="FFFFFF"/>
            <w:vAlign w:val="center"/>
            <w:hideMark/>
          </w:tcPr>
          <w:p w14:paraId="38F5E829"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430</w:t>
            </w:r>
          </w:p>
        </w:tc>
      </w:tr>
      <w:tr w:rsidR="00EB43AE" w:rsidRPr="00EB43AE" w14:paraId="5EA91AC2" w14:textId="77777777" w:rsidTr="00EB43AE">
        <w:trPr>
          <w:trHeight w:val="20"/>
          <w:jc w:val="center"/>
        </w:trPr>
        <w:tc>
          <w:tcPr>
            <w:tcW w:w="2191" w:type="dxa"/>
            <w:tcBorders>
              <w:top w:val="nil"/>
              <w:left w:val="single" w:sz="4" w:space="0" w:color="auto"/>
              <w:bottom w:val="single" w:sz="4" w:space="0" w:color="auto"/>
              <w:right w:val="single" w:sz="4" w:space="0" w:color="auto"/>
            </w:tcBorders>
            <w:shd w:val="clear" w:color="000000" w:fill="FFFFFF"/>
            <w:vAlign w:val="center"/>
            <w:hideMark/>
          </w:tcPr>
          <w:p w14:paraId="1E8EDDF3" w14:textId="05EFE5F6"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p>
        </w:tc>
        <w:tc>
          <w:tcPr>
            <w:tcW w:w="2690" w:type="dxa"/>
            <w:tcBorders>
              <w:top w:val="nil"/>
              <w:left w:val="nil"/>
              <w:bottom w:val="single" w:sz="4" w:space="0" w:color="auto"/>
              <w:right w:val="single" w:sz="4" w:space="0" w:color="auto"/>
            </w:tcBorders>
            <w:shd w:val="clear" w:color="000000" w:fill="FFFFFF"/>
            <w:vAlign w:val="center"/>
            <w:hideMark/>
          </w:tcPr>
          <w:p w14:paraId="69E563AE"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B43AE">
              <w:rPr>
                <w:rFonts w:ascii="Times New Roman" w:eastAsia="Times New Roman" w:hAnsi="Times New Roman" w:cs="Times New Roman"/>
                <w:i/>
                <w:iCs/>
                <w:color w:val="1A1C1E"/>
                <w:kern w:val="0"/>
                <w:sz w:val="22"/>
                <w:szCs w:val="22"/>
                <w:lang w:eastAsia="en-IN"/>
                <w14:ligatures w14:val="none"/>
              </w:rPr>
              <w:t>4.2</w:t>
            </w:r>
          </w:p>
        </w:tc>
        <w:tc>
          <w:tcPr>
            <w:tcW w:w="2406" w:type="dxa"/>
            <w:tcBorders>
              <w:top w:val="nil"/>
              <w:left w:val="nil"/>
              <w:bottom w:val="single" w:sz="4" w:space="0" w:color="auto"/>
              <w:right w:val="single" w:sz="4" w:space="0" w:color="auto"/>
            </w:tcBorders>
            <w:shd w:val="clear" w:color="000000" w:fill="FFFFFF"/>
            <w:vAlign w:val="center"/>
            <w:hideMark/>
          </w:tcPr>
          <w:p w14:paraId="202DF117" w14:textId="1A358FA0" w:rsidR="00EB43AE" w:rsidRPr="00EB43AE" w:rsidRDefault="00EB43AE" w:rsidP="00EB43A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B43AE">
              <w:rPr>
                <w:rFonts w:ascii="Times New Roman" w:eastAsia="Times New Roman" w:hAnsi="Times New Roman" w:cs="Times New Roman"/>
                <w:i/>
                <w:iCs/>
                <w:color w:val="1A1C1E"/>
                <w:kern w:val="0"/>
                <w:sz w:val="22"/>
                <w:szCs w:val="22"/>
                <w:lang w:eastAsia="en-IN"/>
                <w14:ligatures w14:val="none"/>
              </w:rPr>
              <w:t>1</w:t>
            </w:r>
            <w:r w:rsidR="00077967">
              <w:rPr>
                <w:rFonts w:ascii="Times New Roman" w:eastAsia="Times New Roman" w:hAnsi="Times New Roman" w:cs="Times New Roman"/>
                <w:i/>
                <w:iCs/>
                <w:color w:val="1A1C1E"/>
                <w:kern w:val="0"/>
                <w:sz w:val="22"/>
                <w:szCs w:val="22"/>
                <w:lang w:eastAsia="en-IN"/>
                <w14:ligatures w14:val="none"/>
              </w:rPr>
              <w:t>.0</w:t>
            </w:r>
          </w:p>
        </w:tc>
        <w:tc>
          <w:tcPr>
            <w:tcW w:w="1449" w:type="dxa"/>
            <w:tcBorders>
              <w:top w:val="nil"/>
              <w:left w:val="nil"/>
              <w:bottom w:val="single" w:sz="4" w:space="0" w:color="auto"/>
              <w:right w:val="single" w:sz="4" w:space="0" w:color="auto"/>
            </w:tcBorders>
            <w:shd w:val="clear" w:color="000000" w:fill="FFFFFF"/>
            <w:vAlign w:val="center"/>
            <w:hideMark/>
          </w:tcPr>
          <w:p w14:paraId="1D86C1E5"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B43AE">
              <w:rPr>
                <w:rFonts w:ascii="Times New Roman" w:eastAsia="Times New Roman" w:hAnsi="Times New Roman" w:cs="Times New Roman"/>
                <w:i/>
                <w:iCs/>
                <w:color w:val="1A1C1E"/>
                <w:kern w:val="0"/>
                <w:sz w:val="22"/>
                <w:szCs w:val="22"/>
                <w:lang w:eastAsia="en-IN"/>
                <w14:ligatures w14:val="none"/>
              </w:rPr>
              <w:t>2.3</w:t>
            </w:r>
          </w:p>
        </w:tc>
        <w:tc>
          <w:tcPr>
            <w:tcW w:w="1450" w:type="dxa"/>
            <w:tcBorders>
              <w:top w:val="nil"/>
              <w:left w:val="nil"/>
              <w:bottom w:val="single" w:sz="4" w:space="0" w:color="auto"/>
              <w:right w:val="single" w:sz="4" w:space="0" w:color="auto"/>
            </w:tcBorders>
            <w:shd w:val="clear" w:color="000000" w:fill="FFFFFF"/>
            <w:vAlign w:val="center"/>
            <w:hideMark/>
          </w:tcPr>
          <w:p w14:paraId="55C92D0E"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B43AE">
              <w:rPr>
                <w:rFonts w:ascii="Times New Roman" w:eastAsia="Times New Roman" w:hAnsi="Times New Roman" w:cs="Times New Roman"/>
                <w:i/>
                <w:iCs/>
                <w:color w:val="1A1C1E"/>
                <w:kern w:val="0"/>
                <w:sz w:val="22"/>
                <w:szCs w:val="22"/>
                <w:lang w:eastAsia="en-IN"/>
                <w14:ligatures w14:val="none"/>
              </w:rPr>
              <w:t>4.1</w:t>
            </w:r>
          </w:p>
        </w:tc>
        <w:tc>
          <w:tcPr>
            <w:tcW w:w="2035" w:type="dxa"/>
            <w:tcBorders>
              <w:top w:val="nil"/>
              <w:left w:val="nil"/>
              <w:bottom w:val="single" w:sz="4" w:space="0" w:color="auto"/>
              <w:right w:val="single" w:sz="4" w:space="0" w:color="auto"/>
            </w:tcBorders>
            <w:shd w:val="clear" w:color="000000" w:fill="FFFFFF"/>
            <w:vAlign w:val="center"/>
            <w:hideMark/>
          </w:tcPr>
          <w:p w14:paraId="21D25B23"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B43AE">
              <w:rPr>
                <w:rFonts w:ascii="Times New Roman" w:eastAsia="Times New Roman" w:hAnsi="Times New Roman" w:cs="Times New Roman"/>
                <w:i/>
                <w:iCs/>
                <w:color w:val="1A1C1E"/>
                <w:kern w:val="0"/>
                <w:sz w:val="22"/>
                <w:szCs w:val="22"/>
                <w:lang w:eastAsia="en-IN"/>
                <w14:ligatures w14:val="none"/>
              </w:rPr>
              <w:t>1.4</w:t>
            </w:r>
          </w:p>
        </w:tc>
        <w:tc>
          <w:tcPr>
            <w:tcW w:w="1733" w:type="dxa"/>
            <w:tcBorders>
              <w:top w:val="nil"/>
              <w:left w:val="nil"/>
              <w:bottom w:val="single" w:sz="4" w:space="0" w:color="auto"/>
              <w:right w:val="single" w:sz="4" w:space="0" w:color="auto"/>
            </w:tcBorders>
            <w:shd w:val="clear" w:color="000000" w:fill="FFFFFF"/>
            <w:vAlign w:val="center"/>
            <w:hideMark/>
          </w:tcPr>
          <w:p w14:paraId="1DFF1A85"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B43AE">
              <w:rPr>
                <w:rFonts w:ascii="Times New Roman" w:eastAsia="Times New Roman" w:hAnsi="Times New Roman" w:cs="Times New Roman"/>
                <w:i/>
                <w:iCs/>
                <w:color w:val="1A1C1E"/>
                <w:kern w:val="0"/>
                <w:sz w:val="22"/>
                <w:szCs w:val="22"/>
                <w:lang w:eastAsia="en-IN"/>
                <w14:ligatures w14:val="none"/>
              </w:rPr>
              <w:t>1.7</w:t>
            </w:r>
          </w:p>
        </w:tc>
      </w:tr>
      <w:tr w:rsidR="00EB43AE" w:rsidRPr="00EB43AE" w14:paraId="6F6BBA07" w14:textId="77777777" w:rsidTr="00EB43AE">
        <w:trPr>
          <w:trHeight w:val="20"/>
          <w:jc w:val="center"/>
        </w:trPr>
        <w:tc>
          <w:tcPr>
            <w:tcW w:w="2191" w:type="dxa"/>
            <w:tcBorders>
              <w:top w:val="nil"/>
              <w:left w:val="single" w:sz="4" w:space="0" w:color="auto"/>
              <w:bottom w:val="single" w:sz="4" w:space="0" w:color="auto"/>
              <w:right w:val="single" w:sz="4" w:space="0" w:color="auto"/>
            </w:tcBorders>
            <w:shd w:val="clear" w:color="000000" w:fill="FFFFFF"/>
            <w:vAlign w:val="center"/>
            <w:hideMark/>
          </w:tcPr>
          <w:p w14:paraId="18747865"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Hyderabad</w:t>
            </w:r>
          </w:p>
        </w:tc>
        <w:tc>
          <w:tcPr>
            <w:tcW w:w="2690" w:type="dxa"/>
            <w:tcBorders>
              <w:top w:val="nil"/>
              <w:left w:val="nil"/>
              <w:bottom w:val="single" w:sz="4" w:space="0" w:color="auto"/>
              <w:right w:val="single" w:sz="4" w:space="0" w:color="auto"/>
            </w:tcBorders>
            <w:shd w:val="clear" w:color="000000" w:fill="FFFFFF"/>
            <w:vAlign w:val="center"/>
            <w:hideMark/>
          </w:tcPr>
          <w:p w14:paraId="473B6E18"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703</w:t>
            </w:r>
          </w:p>
        </w:tc>
        <w:tc>
          <w:tcPr>
            <w:tcW w:w="2406" w:type="dxa"/>
            <w:tcBorders>
              <w:top w:val="nil"/>
              <w:left w:val="nil"/>
              <w:bottom w:val="single" w:sz="4" w:space="0" w:color="auto"/>
              <w:right w:val="single" w:sz="4" w:space="0" w:color="auto"/>
            </w:tcBorders>
            <w:shd w:val="clear" w:color="000000" w:fill="FFFFFF"/>
            <w:vAlign w:val="center"/>
            <w:hideMark/>
          </w:tcPr>
          <w:p w14:paraId="4DFB596C"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104</w:t>
            </w:r>
          </w:p>
        </w:tc>
        <w:tc>
          <w:tcPr>
            <w:tcW w:w="1449" w:type="dxa"/>
            <w:tcBorders>
              <w:top w:val="nil"/>
              <w:left w:val="nil"/>
              <w:bottom w:val="single" w:sz="4" w:space="0" w:color="auto"/>
              <w:right w:val="single" w:sz="4" w:space="0" w:color="auto"/>
            </w:tcBorders>
            <w:shd w:val="clear" w:color="000000" w:fill="FFFFFF"/>
            <w:vAlign w:val="center"/>
            <w:hideMark/>
          </w:tcPr>
          <w:p w14:paraId="3EA261BF"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519</w:t>
            </w:r>
          </w:p>
        </w:tc>
        <w:tc>
          <w:tcPr>
            <w:tcW w:w="1450" w:type="dxa"/>
            <w:tcBorders>
              <w:top w:val="nil"/>
              <w:left w:val="nil"/>
              <w:bottom w:val="single" w:sz="4" w:space="0" w:color="auto"/>
              <w:right w:val="single" w:sz="4" w:space="0" w:color="auto"/>
            </w:tcBorders>
            <w:shd w:val="clear" w:color="000000" w:fill="FFFFFF"/>
            <w:vAlign w:val="center"/>
            <w:hideMark/>
          </w:tcPr>
          <w:p w14:paraId="768CAA3C"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672</w:t>
            </w:r>
          </w:p>
        </w:tc>
        <w:tc>
          <w:tcPr>
            <w:tcW w:w="2035" w:type="dxa"/>
            <w:tcBorders>
              <w:top w:val="nil"/>
              <w:left w:val="nil"/>
              <w:bottom w:val="single" w:sz="4" w:space="0" w:color="auto"/>
              <w:right w:val="single" w:sz="4" w:space="0" w:color="auto"/>
            </w:tcBorders>
            <w:shd w:val="clear" w:color="000000" w:fill="FFFFFF"/>
            <w:vAlign w:val="center"/>
            <w:hideMark/>
          </w:tcPr>
          <w:p w14:paraId="0D6BB570"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403</w:t>
            </w:r>
          </w:p>
        </w:tc>
        <w:tc>
          <w:tcPr>
            <w:tcW w:w="1733" w:type="dxa"/>
            <w:tcBorders>
              <w:top w:val="nil"/>
              <w:left w:val="nil"/>
              <w:bottom w:val="single" w:sz="4" w:space="0" w:color="auto"/>
              <w:right w:val="single" w:sz="4" w:space="0" w:color="auto"/>
            </w:tcBorders>
            <w:shd w:val="clear" w:color="000000" w:fill="FFFFFF"/>
            <w:vAlign w:val="center"/>
            <w:hideMark/>
          </w:tcPr>
          <w:p w14:paraId="781C440E"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149</w:t>
            </w:r>
          </w:p>
        </w:tc>
      </w:tr>
      <w:tr w:rsidR="00EB43AE" w:rsidRPr="00EB43AE" w14:paraId="6D77806B" w14:textId="77777777" w:rsidTr="00EB43AE">
        <w:trPr>
          <w:trHeight w:val="20"/>
          <w:jc w:val="center"/>
        </w:trPr>
        <w:tc>
          <w:tcPr>
            <w:tcW w:w="2191" w:type="dxa"/>
            <w:tcBorders>
              <w:top w:val="nil"/>
              <w:left w:val="single" w:sz="4" w:space="0" w:color="auto"/>
              <w:bottom w:val="single" w:sz="4" w:space="0" w:color="auto"/>
              <w:right w:val="single" w:sz="4" w:space="0" w:color="auto"/>
            </w:tcBorders>
            <w:shd w:val="clear" w:color="000000" w:fill="FFFFFF"/>
            <w:vAlign w:val="center"/>
            <w:hideMark/>
          </w:tcPr>
          <w:p w14:paraId="12CCA2F2" w14:textId="5F55B0FC"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p>
        </w:tc>
        <w:tc>
          <w:tcPr>
            <w:tcW w:w="2690" w:type="dxa"/>
            <w:tcBorders>
              <w:top w:val="nil"/>
              <w:left w:val="nil"/>
              <w:bottom w:val="single" w:sz="4" w:space="0" w:color="auto"/>
              <w:right w:val="single" w:sz="4" w:space="0" w:color="auto"/>
            </w:tcBorders>
            <w:shd w:val="clear" w:color="000000" w:fill="FFFFFF"/>
            <w:vAlign w:val="center"/>
            <w:hideMark/>
          </w:tcPr>
          <w:p w14:paraId="4F93CFE4"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B43AE">
              <w:rPr>
                <w:rFonts w:ascii="Times New Roman" w:eastAsia="Times New Roman" w:hAnsi="Times New Roman" w:cs="Times New Roman"/>
                <w:i/>
                <w:iCs/>
                <w:color w:val="1A1C1E"/>
                <w:kern w:val="0"/>
                <w:sz w:val="22"/>
                <w:szCs w:val="22"/>
                <w:lang w:eastAsia="en-IN"/>
                <w14:ligatures w14:val="none"/>
              </w:rPr>
              <w:t>3.8</w:t>
            </w:r>
          </w:p>
        </w:tc>
        <w:tc>
          <w:tcPr>
            <w:tcW w:w="2406" w:type="dxa"/>
            <w:tcBorders>
              <w:top w:val="nil"/>
              <w:left w:val="nil"/>
              <w:bottom w:val="single" w:sz="4" w:space="0" w:color="auto"/>
              <w:right w:val="single" w:sz="4" w:space="0" w:color="auto"/>
            </w:tcBorders>
            <w:shd w:val="clear" w:color="000000" w:fill="FFFFFF"/>
            <w:vAlign w:val="center"/>
            <w:hideMark/>
          </w:tcPr>
          <w:p w14:paraId="749B3D95"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B43AE">
              <w:rPr>
                <w:rFonts w:ascii="Times New Roman" w:eastAsia="Times New Roman" w:hAnsi="Times New Roman" w:cs="Times New Roman"/>
                <w:i/>
                <w:iCs/>
                <w:color w:val="1A1C1E"/>
                <w:kern w:val="0"/>
                <w:sz w:val="22"/>
                <w:szCs w:val="22"/>
                <w:lang w:eastAsia="en-IN"/>
                <w14:ligatures w14:val="none"/>
              </w:rPr>
              <w:t>0.6</w:t>
            </w:r>
          </w:p>
        </w:tc>
        <w:tc>
          <w:tcPr>
            <w:tcW w:w="1449" w:type="dxa"/>
            <w:tcBorders>
              <w:top w:val="nil"/>
              <w:left w:val="nil"/>
              <w:bottom w:val="single" w:sz="4" w:space="0" w:color="auto"/>
              <w:right w:val="single" w:sz="4" w:space="0" w:color="auto"/>
            </w:tcBorders>
            <w:shd w:val="clear" w:color="000000" w:fill="FFFFFF"/>
            <w:vAlign w:val="center"/>
            <w:hideMark/>
          </w:tcPr>
          <w:p w14:paraId="02968295"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B43AE">
              <w:rPr>
                <w:rFonts w:ascii="Times New Roman" w:eastAsia="Times New Roman" w:hAnsi="Times New Roman" w:cs="Times New Roman"/>
                <w:i/>
                <w:iCs/>
                <w:color w:val="1A1C1E"/>
                <w:kern w:val="0"/>
                <w:sz w:val="22"/>
                <w:szCs w:val="22"/>
                <w:lang w:eastAsia="en-IN"/>
                <w14:ligatures w14:val="none"/>
              </w:rPr>
              <w:t>2.8</w:t>
            </w:r>
          </w:p>
        </w:tc>
        <w:tc>
          <w:tcPr>
            <w:tcW w:w="1450" w:type="dxa"/>
            <w:tcBorders>
              <w:top w:val="nil"/>
              <w:left w:val="nil"/>
              <w:bottom w:val="single" w:sz="4" w:space="0" w:color="auto"/>
              <w:right w:val="single" w:sz="4" w:space="0" w:color="auto"/>
            </w:tcBorders>
            <w:shd w:val="clear" w:color="000000" w:fill="FFFFFF"/>
            <w:vAlign w:val="center"/>
            <w:hideMark/>
          </w:tcPr>
          <w:p w14:paraId="631C2E92"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B43AE">
              <w:rPr>
                <w:rFonts w:ascii="Times New Roman" w:eastAsia="Times New Roman" w:hAnsi="Times New Roman" w:cs="Times New Roman"/>
                <w:i/>
                <w:iCs/>
                <w:color w:val="1A1C1E"/>
                <w:kern w:val="0"/>
                <w:sz w:val="22"/>
                <w:szCs w:val="22"/>
                <w:lang w:eastAsia="en-IN"/>
                <w14:ligatures w14:val="none"/>
              </w:rPr>
              <w:t>3.6</w:t>
            </w:r>
          </w:p>
        </w:tc>
        <w:tc>
          <w:tcPr>
            <w:tcW w:w="2035" w:type="dxa"/>
            <w:tcBorders>
              <w:top w:val="nil"/>
              <w:left w:val="nil"/>
              <w:bottom w:val="single" w:sz="4" w:space="0" w:color="auto"/>
              <w:right w:val="single" w:sz="4" w:space="0" w:color="auto"/>
            </w:tcBorders>
            <w:shd w:val="clear" w:color="000000" w:fill="FFFFFF"/>
            <w:vAlign w:val="center"/>
            <w:hideMark/>
          </w:tcPr>
          <w:p w14:paraId="4B3389D5"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B43AE">
              <w:rPr>
                <w:rFonts w:ascii="Times New Roman" w:eastAsia="Times New Roman" w:hAnsi="Times New Roman" w:cs="Times New Roman"/>
                <w:i/>
                <w:iCs/>
                <w:color w:val="1A1C1E"/>
                <w:kern w:val="0"/>
                <w:sz w:val="22"/>
                <w:szCs w:val="22"/>
                <w:lang w:eastAsia="en-IN"/>
                <w14:ligatures w14:val="none"/>
              </w:rPr>
              <w:t>2.2</w:t>
            </w:r>
          </w:p>
        </w:tc>
        <w:tc>
          <w:tcPr>
            <w:tcW w:w="1733" w:type="dxa"/>
            <w:tcBorders>
              <w:top w:val="nil"/>
              <w:left w:val="nil"/>
              <w:bottom w:val="single" w:sz="4" w:space="0" w:color="auto"/>
              <w:right w:val="single" w:sz="4" w:space="0" w:color="auto"/>
            </w:tcBorders>
            <w:shd w:val="clear" w:color="000000" w:fill="FFFFFF"/>
            <w:vAlign w:val="center"/>
            <w:hideMark/>
          </w:tcPr>
          <w:p w14:paraId="133B855A"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B43AE">
              <w:rPr>
                <w:rFonts w:ascii="Times New Roman" w:eastAsia="Times New Roman" w:hAnsi="Times New Roman" w:cs="Times New Roman"/>
                <w:i/>
                <w:iCs/>
                <w:color w:val="1A1C1E"/>
                <w:kern w:val="0"/>
                <w:sz w:val="22"/>
                <w:szCs w:val="22"/>
                <w:lang w:eastAsia="en-IN"/>
                <w14:ligatures w14:val="none"/>
              </w:rPr>
              <w:t>0.8</w:t>
            </w:r>
          </w:p>
        </w:tc>
      </w:tr>
      <w:tr w:rsidR="00EB43AE" w:rsidRPr="00EB43AE" w14:paraId="711CD5DA" w14:textId="77777777" w:rsidTr="00EB43AE">
        <w:trPr>
          <w:trHeight w:val="20"/>
          <w:jc w:val="center"/>
        </w:trPr>
        <w:tc>
          <w:tcPr>
            <w:tcW w:w="2191" w:type="dxa"/>
            <w:tcBorders>
              <w:top w:val="nil"/>
              <w:left w:val="single" w:sz="4" w:space="0" w:color="auto"/>
              <w:bottom w:val="single" w:sz="4" w:space="0" w:color="auto"/>
              <w:right w:val="single" w:sz="4" w:space="0" w:color="auto"/>
            </w:tcBorders>
            <w:shd w:val="clear" w:color="000000" w:fill="FFFFFF"/>
            <w:vAlign w:val="center"/>
            <w:hideMark/>
          </w:tcPr>
          <w:p w14:paraId="1C8687F4"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Madhya Bharat</w:t>
            </w:r>
          </w:p>
        </w:tc>
        <w:tc>
          <w:tcPr>
            <w:tcW w:w="2690" w:type="dxa"/>
            <w:tcBorders>
              <w:top w:val="nil"/>
              <w:left w:val="nil"/>
              <w:bottom w:val="single" w:sz="4" w:space="0" w:color="auto"/>
              <w:right w:val="single" w:sz="4" w:space="0" w:color="auto"/>
            </w:tcBorders>
            <w:shd w:val="clear" w:color="000000" w:fill="FFFFFF"/>
            <w:vAlign w:val="center"/>
            <w:hideMark/>
          </w:tcPr>
          <w:p w14:paraId="701A5183"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304</w:t>
            </w:r>
          </w:p>
        </w:tc>
        <w:tc>
          <w:tcPr>
            <w:tcW w:w="2406" w:type="dxa"/>
            <w:tcBorders>
              <w:top w:val="nil"/>
              <w:left w:val="nil"/>
              <w:bottom w:val="single" w:sz="4" w:space="0" w:color="auto"/>
              <w:right w:val="single" w:sz="4" w:space="0" w:color="auto"/>
            </w:tcBorders>
            <w:shd w:val="clear" w:color="000000" w:fill="FFFFFF"/>
            <w:vAlign w:val="center"/>
            <w:hideMark/>
          </w:tcPr>
          <w:p w14:paraId="3CB5FF6F"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96</w:t>
            </w:r>
          </w:p>
        </w:tc>
        <w:tc>
          <w:tcPr>
            <w:tcW w:w="1449" w:type="dxa"/>
            <w:tcBorders>
              <w:top w:val="nil"/>
              <w:left w:val="nil"/>
              <w:bottom w:val="single" w:sz="4" w:space="0" w:color="auto"/>
              <w:right w:val="single" w:sz="4" w:space="0" w:color="auto"/>
            </w:tcBorders>
            <w:shd w:val="clear" w:color="000000" w:fill="FFFFFF"/>
            <w:vAlign w:val="center"/>
            <w:hideMark/>
          </w:tcPr>
          <w:p w14:paraId="2D150E15"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159</w:t>
            </w:r>
          </w:p>
        </w:tc>
        <w:tc>
          <w:tcPr>
            <w:tcW w:w="1450" w:type="dxa"/>
            <w:tcBorders>
              <w:top w:val="nil"/>
              <w:left w:val="nil"/>
              <w:bottom w:val="single" w:sz="4" w:space="0" w:color="auto"/>
              <w:right w:val="single" w:sz="4" w:space="0" w:color="auto"/>
            </w:tcBorders>
            <w:shd w:val="clear" w:color="000000" w:fill="FFFFFF"/>
            <w:vAlign w:val="center"/>
            <w:hideMark/>
          </w:tcPr>
          <w:p w14:paraId="1BC9FD6B"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334</w:t>
            </w:r>
          </w:p>
        </w:tc>
        <w:tc>
          <w:tcPr>
            <w:tcW w:w="2035" w:type="dxa"/>
            <w:tcBorders>
              <w:top w:val="nil"/>
              <w:left w:val="nil"/>
              <w:bottom w:val="single" w:sz="4" w:space="0" w:color="auto"/>
              <w:right w:val="single" w:sz="4" w:space="0" w:color="auto"/>
            </w:tcBorders>
            <w:shd w:val="clear" w:color="000000" w:fill="FFFFFF"/>
            <w:vAlign w:val="center"/>
            <w:hideMark/>
          </w:tcPr>
          <w:p w14:paraId="2F0BB7C8"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159</w:t>
            </w:r>
          </w:p>
        </w:tc>
        <w:tc>
          <w:tcPr>
            <w:tcW w:w="1733" w:type="dxa"/>
            <w:tcBorders>
              <w:top w:val="nil"/>
              <w:left w:val="nil"/>
              <w:bottom w:val="single" w:sz="4" w:space="0" w:color="auto"/>
              <w:right w:val="single" w:sz="4" w:space="0" w:color="auto"/>
            </w:tcBorders>
            <w:shd w:val="clear" w:color="000000" w:fill="FFFFFF"/>
            <w:vAlign w:val="center"/>
            <w:hideMark/>
          </w:tcPr>
          <w:p w14:paraId="6F963930"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103</w:t>
            </w:r>
          </w:p>
        </w:tc>
      </w:tr>
      <w:tr w:rsidR="00EB43AE" w:rsidRPr="00EB43AE" w14:paraId="42B06F3E" w14:textId="77777777" w:rsidTr="00EB43AE">
        <w:trPr>
          <w:trHeight w:val="20"/>
          <w:jc w:val="center"/>
        </w:trPr>
        <w:tc>
          <w:tcPr>
            <w:tcW w:w="2191" w:type="dxa"/>
            <w:tcBorders>
              <w:top w:val="nil"/>
              <w:left w:val="single" w:sz="4" w:space="0" w:color="auto"/>
              <w:bottom w:val="single" w:sz="4" w:space="0" w:color="auto"/>
              <w:right w:val="single" w:sz="4" w:space="0" w:color="auto"/>
            </w:tcBorders>
            <w:shd w:val="clear" w:color="000000" w:fill="FFFFFF"/>
            <w:vAlign w:val="center"/>
            <w:hideMark/>
          </w:tcPr>
          <w:p w14:paraId="7A45104A" w14:textId="75738A3C"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p>
        </w:tc>
        <w:tc>
          <w:tcPr>
            <w:tcW w:w="2690" w:type="dxa"/>
            <w:tcBorders>
              <w:top w:val="nil"/>
              <w:left w:val="nil"/>
              <w:bottom w:val="single" w:sz="4" w:space="0" w:color="auto"/>
              <w:right w:val="single" w:sz="4" w:space="0" w:color="auto"/>
            </w:tcBorders>
            <w:shd w:val="clear" w:color="000000" w:fill="FFFFFF"/>
            <w:vAlign w:val="center"/>
            <w:hideMark/>
          </w:tcPr>
          <w:p w14:paraId="468EF014"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B43AE">
              <w:rPr>
                <w:rFonts w:ascii="Times New Roman" w:eastAsia="Times New Roman" w:hAnsi="Times New Roman" w:cs="Times New Roman"/>
                <w:i/>
                <w:iCs/>
                <w:color w:val="1A1C1E"/>
                <w:kern w:val="0"/>
                <w:sz w:val="22"/>
                <w:szCs w:val="22"/>
                <w:lang w:eastAsia="en-IN"/>
                <w14:ligatures w14:val="none"/>
              </w:rPr>
              <w:t>3.8</w:t>
            </w:r>
          </w:p>
        </w:tc>
        <w:tc>
          <w:tcPr>
            <w:tcW w:w="2406" w:type="dxa"/>
            <w:tcBorders>
              <w:top w:val="nil"/>
              <w:left w:val="nil"/>
              <w:bottom w:val="single" w:sz="4" w:space="0" w:color="auto"/>
              <w:right w:val="single" w:sz="4" w:space="0" w:color="auto"/>
            </w:tcBorders>
            <w:shd w:val="clear" w:color="000000" w:fill="FFFFFF"/>
            <w:vAlign w:val="center"/>
            <w:hideMark/>
          </w:tcPr>
          <w:p w14:paraId="749CF938"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B43AE">
              <w:rPr>
                <w:rFonts w:ascii="Times New Roman" w:eastAsia="Times New Roman" w:hAnsi="Times New Roman" w:cs="Times New Roman"/>
                <w:i/>
                <w:iCs/>
                <w:color w:val="1A1C1E"/>
                <w:kern w:val="0"/>
                <w:sz w:val="22"/>
                <w:szCs w:val="22"/>
                <w:lang w:eastAsia="en-IN"/>
                <w14:ligatures w14:val="none"/>
              </w:rPr>
              <w:t>1.2</w:t>
            </w:r>
          </w:p>
        </w:tc>
        <w:tc>
          <w:tcPr>
            <w:tcW w:w="1449" w:type="dxa"/>
            <w:tcBorders>
              <w:top w:val="nil"/>
              <w:left w:val="nil"/>
              <w:bottom w:val="single" w:sz="4" w:space="0" w:color="auto"/>
              <w:right w:val="single" w:sz="4" w:space="0" w:color="auto"/>
            </w:tcBorders>
            <w:shd w:val="clear" w:color="000000" w:fill="FFFFFF"/>
            <w:vAlign w:val="center"/>
            <w:hideMark/>
          </w:tcPr>
          <w:p w14:paraId="4511BDE6" w14:textId="2999E1E4" w:rsidR="00EB43AE" w:rsidRPr="00EB43AE" w:rsidRDefault="00EB43AE" w:rsidP="00EB43A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B43AE">
              <w:rPr>
                <w:rFonts w:ascii="Times New Roman" w:eastAsia="Times New Roman" w:hAnsi="Times New Roman" w:cs="Times New Roman"/>
                <w:i/>
                <w:iCs/>
                <w:color w:val="1A1C1E"/>
                <w:kern w:val="0"/>
                <w:sz w:val="22"/>
                <w:szCs w:val="22"/>
                <w:lang w:eastAsia="en-IN"/>
                <w14:ligatures w14:val="none"/>
              </w:rPr>
              <w:t>2</w:t>
            </w:r>
            <w:r w:rsidR="00744486">
              <w:rPr>
                <w:rFonts w:ascii="Times New Roman" w:eastAsia="Times New Roman" w:hAnsi="Times New Roman" w:cs="Times New Roman"/>
                <w:i/>
                <w:iCs/>
                <w:color w:val="1A1C1E"/>
                <w:kern w:val="0"/>
                <w:sz w:val="22"/>
                <w:szCs w:val="22"/>
                <w:lang w:eastAsia="en-IN"/>
                <w14:ligatures w14:val="none"/>
              </w:rPr>
              <w:t>.0</w:t>
            </w:r>
          </w:p>
        </w:tc>
        <w:tc>
          <w:tcPr>
            <w:tcW w:w="1450" w:type="dxa"/>
            <w:tcBorders>
              <w:top w:val="nil"/>
              <w:left w:val="nil"/>
              <w:bottom w:val="single" w:sz="4" w:space="0" w:color="auto"/>
              <w:right w:val="single" w:sz="4" w:space="0" w:color="auto"/>
            </w:tcBorders>
            <w:shd w:val="clear" w:color="000000" w:fill="FFFFFF"/>
            <w:vAlign w:val="center"/>
            <w:hideMark/>
          </w:tcPr>
          <w:p w14:paraId="54AEF167"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B43AE">
              <w:rPr>
                <w:rFonts w:ascii="Times New Roman" w:eastAsia="Times New Roman" w:hAnsi="Times New Roman" w:cs="Times New Roman"/>
                <w:i/>
                <w:iCs/>
                <w:color w:val="1A1C1E"/>
                <w:kern w:val="0"/>
                <w:sz w:val="22"/>
                <w:szCs w:val="22"/>
                <w:lang w:eastAsia="en-IN"/>
                <w14:ligatures w14:val="none"/>
              </w:rPr>
              <w:t>4.2</w:t>
            </w:r>
          </w:p>
        </w:tc>
        <w:tc>
          <w:tcPr>
            <w:tcW w:w="2035" w:type="dxa"/>
            <w:tcBorders>
              <w:top w:val="nil"/>
              <w:left w:val="nil"/>
              <w:bottom w:val="single" w:sz="4" w:space="0" w:color="auto"/>
              <w:right w:val="single" w:sz="4" w:space="0" w:color="auto"/>
            </w:tcBorders>
            <w:shd w:val="clear" w:color="000000" w:fill="FFFFFF"/>
            <w:vAlign w:val="center"/>
            <w:hideMark/>
          </w:tcPr>
          <w:p w14:paraId="566FD5E2" w14:textId="78C56544" w:rsidR="00EB43AE" w:rsidRPr="00EB43AE" w:rsidRDefault="00EB43AE" w:rsidP="00EB43A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B43AE">
              <w:rPr>
                <w:rFonts w:ascii="Times New Roman" w:eastAsia="Times New Roman" w:hAnsi="Times New Roman" w:cs="Times New Roman"/>
                <w:i/>
                <w:iCs/>
                <w:color w:val="1A1C1E"/>
                <w:kern w:val="0"/>
                <w:sz w:val="22"/>
                <w:szCs w:val="22"/>
                <w:lang w:eastAsia="en-IN"/>
                <w14:ligatures w14:val="none"/>
              </w:rPr>
              <w:t>2</w:t>
            </w:r>
            <w:r w:rsidR="00744486">
              <w:rPr>
                <w:rFonts w:ascii="Times New Roman" w:eastAsia="Times New Roman" w:hAnsi="Times New Roman" w:cs="Times New Roman"/>
                <w:i/>
                <w:iCs/>
                <w:color w:val="1A1C1E"/>
                <w:kern w:val="0"/>
                <w:sz w:val="22"/>
                <w:szCs w:val="22"/>
                <w:lang w:eastAsia="en-IN"/>
                <w14:ligatures w14:val="none"/>
              </w:rPr>
              <w:t>.0</w:t>
            </w:r>
          </w:p>
        </w:tc>
        <w:tc>
          <w:tcPr>
            <w:tcW w:w="1733" w:type="dxa"/>
            <w:tcBorders>
              <w:top w:val="nil"/>
              <w:left w:val="nil"/>
              <w:bottom w:val="single" w:sz="4" w:space="0" w:color="auto"/>
              <w:right w:val="single" w:sz="4" w:space="0" w:color="auto"/>
            </w:tcBorders>
            <w:shd w:val="clear" w:color="000000" w:fill="FFFFFF"/>
            <w:vAlign w:val="center"/>
            <w:hideMark/>
          </w:tcPr>
          <w:p w14:paraId="1B6D144C"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B43AE">
              <w:rPr>
                <w:rFonts w:ascii="Times New Roman" w:eastAsia="Times New Roman" w:hAnsi="Times New Roman" w:cs="Times New Roman"/>
                <w:i/>
                <w:iCs/>
                <w:color w:val="1A1C1E"/>
                <w:kern w:val="0"/>
                <w:sz w:val="22"/>
                <w:szCs w:val="22"/>
                <w:lang w:eastAsia="en-IN"/>
                <w14:ligatures w14:val="none"/>
              </w:rPr>
              <w:t>1.3</w:t>
            </w:r>
          </w:p>
        </w:tc>
      </w:tr>
      <w:tr w:rsidR="00EB43AE" w:rsidRPr="00EB43AE" w14:paraId="08587EC5" w14:textId="77777777" w:rsidTr="00EB43AE">
        <w:trPr>
          <w:trHeight w:val="20"/>
          <w:jc w:val="center"/>
        </w:trPr>
        <w:tc>
          <w:tcPr>
            <w:tcW w:w="2191" w:type="dxa"/>
            <w:tcBorders>
              <w:top w:val="nil"/>
              <w:left w:val="single" w:sz="4" w:space="0" w:color="auto"/>
              <w:bottom w:val="single" w:sz="4" w:space="0" w:color="auto"/>
              <w:right w:val="single" w:sz="4" w:space="0" w:color="auto"/>
            </w:tcBorders>
            <w:shd w:val="clear" w:color="000000" w:fill="FFFFFF"/>
            <w:vAlign w:val="center"/>
            <w:hideMark/>
          </w:tcPr>
          <w:p w14:paraId="05A869E1"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Mysore</w:t>
            </w:r>
          </w:p>
        </w:tc>
        <w:tc>
          <w:tcPr>
            <w:tcW w:w="2690" w:type="dxa"/>
            <w:tcBorders>
              <w:top w:val="nil"/>
              <w:left w:val="nil"/>
              <w:bottom w:val="single" w:sz="4" w:space="0" w:color="auto"/>
              <w:right w:val="single" w:sz="4" w:space="0" w:color="auto"/>
            </w:tcBorders>
            <w:shd w:val="clear" w:color="000000" w:fill="FFFFFF"/>
            <w:vAlign w:val="center"/>
            <w:hideMark/>
          </w:tcPr>
          <w:p w14:paraId="28F293BD"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200</w:t>
            </w:r>
          </w:p>
        </w:tc>
        <w:tc>
          <w:tcPr>
            <w:tcW w:w="2406" w:type="dxa"/>
            <w:tcBorders>
              <w:top w:val="nil"/>
              <w:left w:val="nil"/>
              <w:bottom w:val="single" w:sz="4" w:space="0" w:color="auto"/>
              <w:right w:val="single" w:sz="4" w:space="0" w:color="auto"/>
            </w:tcBorders>
            <w:shd w:val="clear" w:color="000000" w:fill="FFFFFF"/>
            <w:vAlign w:val="center"/>
            <w:hideMark/>
          </w:tcPr>
          <w:p w14:paraId="7D1A7992"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82</w:t>
            </w:r>
          </w:p>
        </w:tc>
        <w:tc>
          <w:tcPr>
            <w:tcW w:w="1449" w:type="dxa"/>
            <w:tcBorders>
              <w:top w:val="nil"/>
              <w:left w:val="nil"/>
              <w:bottom w:val="single" w:sz="4" w:space="0" w:color="auto"/>
              <w:right w:val="single" w:sz="4" w:space="0" w:color="auto"/>
            </w:tcBorders>
            <w:shd w:val="clear" w:color="000000" w:fill="FFFFFF"/>
            <w:vAlign w:val="center"/>
            <w:hideMark/>
          </w:tcPr>
          <w:p w14:paraId="7BB6D3EA"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89</w:t>
            </w:r>
          </w:p>
        </w:tc>
        <w:tc>
          <w:tcPr>
            <w:tcW w:w="1450" w:type="dxa"/>
            <w:tcBorders>
              <w:top w:val="nil"/>
              <w:left w:val="nil"/>
              <w:bottom w:val="single" w:sz="4" w:space="0" w:color="auto"/>
              <w:right w:val="single" w:sz="4" w:space="0" w:color="auto"/>
            </w:tcBorders>
            <w:shd w:val="clear" w:color="000000" w:fill="FFFFFF"/>
            <w:vAlign w:val="center"/>
            <w:hideMark/>
          </w:tcPr>
          <w:p w14:paraId="2FECBE35"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515</w:t>
            </w:r>
          </w:p>
        </w:tc>
        <w:tc>
          <w:tcPr>
            <w:tcW w:w="2035" w:type="dxa"/>
            <w:tcBorders>
              <w:top w:val="nil"/>
              <w:left w:val="nil"/>
              <w:bottom w:val="single" w:sz="4" w:space="0" w:color="auto"/>
              <w:right w:val="single" w:sz="4" w:space="0" w:color="auto"/>
            </w:tcBorders>
            <w:shd w:val="clear" w:color="000000" w:fill="FFFFFF"/>
            <w:vAlign w:val="center"/>
            <w:hideMark/>
          </w:tcPr>
          <w:p w14:paraId="2849B705"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284</w:t>
            </w:r>
          </w:p>
        </w:tc>
        <w:tc>
          <w:tcPr>
            <w:tcW w:w="1733" w:type="dxa"/>
            <w:tcBorders>
              <w:top w:val="nil"/>
              <w:left w:val="nil"/>
              <w:bottom w:val="single" w:sz="4" w:space="0" w:color="auto"/>
              <w:right w:val="single" w:sz="4" w:space="0" w:color="auto"/>
            </w:tcBorders>
            <w:shd w:val="clear" w:color="000000" w:fill="FFFFFF"/>
            <w:vAlign w:val="center"/>
            <w:hideMark/>
          </w:tcPr>
          <w:p w14:paraId="2EFF0466"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108</w:t>
            </w:r>
          </w:p>
        </w:tc>
      </w:tr>
      <w:tr w:rsidR="00EB43AE" w:rsidRPr="00EB43AE" w14:paraId="78D6D78A" w14:textId="77777777" w:rsidTr="00EB43AE">
        <w:trPr>
          <w:trHeight w:val="20"/>
          <w:jc w:val="center"/>
        </w:trPr>
        <w:tc>
          <w:tcPr>
            <w:tcW w:w="2191" w:type="dxa"/>
            <w:tcBorders>
              <w:top w:val="nil"/>
              <w:left w:val="single" w:sz="4" w:space="0" w:color="auto"/>
              <w:bottom w:val="single" w:sz="4" w:space="0" w:color="auto"/>
              <w:right w:val="single" w:sz="4" w:space="0" w:color="auto"/>
            </w:tcBorders>
            <w:shd w:val="clear" w:color="000000" w:fill="FFFFFF"/>
            <w:vAlign w:val="center"/>
            <w:hideMark/>
          </w:tcPr>
          <w:p w14:paraId="46040A82" w14:textId="6C8B2611"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p>
        </w:tc>
        <w:tc>
          <w:tcPr>
            <w:tcW w:w="2690" w:type="dxa"/>
            <w:tcBorders>
              <w:top w:val="nil"/>
              <w:left w:val="nil"/>
              <w:bottom w:val="single" w:sz="4" w:space="0" w:color="auto"/>
              <w:right w:val="single" w:sz="4" w:space="0" w:color="auto"/>
            </w:tcBorders>
            <w:shd w:val="clear" w:color="000000" w:fill="FFFFFF"/>
            <w:vAlign w:val="center"/>
            <w:hideMark/>
          </w:tcPr>
          <w:p w14:paraId="2413E6E2"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B43AE">
              <w:rPr>
                <w:rFonts w:ascii="Times New Roman" w:eastAsia="Times New Roman" w:hAnsi="Times New Roman" w:cs="Times New Roman"/>
                <w:i/>
                <w:iCs/>
                <w:color w:val="1A1C1E"/>
                <w:kern w:val="0"/>
                <w:sz w:val="22"/>
                <w:szCs w:val="22"/>
                <w:lang w:eastAsia="en-IN"/>
                <w14:ligatures w14:val="none"/>
              </w:rPr>
              <w:t>2.2</w:t>
            </w:r>
          </w:p>
        </w:tc>
        <w:tc>
          <w:tcPr>
            <w:tcW w:w="2406" w:type="dxa"/>
            <w:tcBorders>
              <w:top w:val="nil"/>
              <w:left w:val="nil"/>
              <w:bottom w:val="single" w:sz="4" w:space="0" w:color="auto"/>
              <w:right w:val="single" w:sz="4" w:space="0" w:color="auto"/>
            </w:tcBorders>
            <w:shd w:val="clear" w:color="000000" w:fill="FFFFFF"/>
            <w:vAlign w:val="center"/>
            <w:hideMark/>
          </w:tcPr>
          <w:p w14:paraId="2A8D34C9"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B43AE">
              <w:rPr>
                <w:rFonts w:ascii="Times New Roman" w:eastAsia="Times New Roman" w:hAnsi="Times New Roman" w:cs="Times New Roman"/>
                <w:i/>
                <w:iCs/>
                <w:color w:val="1A1C1E"/>
                <w:kern w:val="0"/>
                <w:sz w:val="22"/>
                <w:szCs w:val="22"/>
                <w:lang w:eastAsia="en-IN"/>
                <w14:ligatures w14:val="none"/>
              </w:rPr>
              <w:t>0.9</w:t>
            </w:r>
          </w:p>
        </w:tc>
        <w:tc>
          <w:tcPr>
            <w:tcW w:w="1449" w:type="dxa"/>
            <w:tcBorders>
              <w:top w:val="nil"/>
              <w:left w:val="nil"/>
              <w:bottom w:val="single" w:sz="4" w:space="0" w:color="auto"/>
              <w:right w:val="single" w:sz="4" w:space="0" w:color="auto"/>
            </w:tcBorders>
            <w:shd w:val="clear" w:color="000000" w:fill="FFFFFF"/>
            <w:vAlign w:val="center"/>
            <w:hideMark/>
          </w:tcPr>
          <w:p w14:paraId="062EBDD8" w14:textId="180CA274" w:rsidR="00EB43AE" w:rsidRPr="00EB43AE" w:rsidRDefault="00EB43AE" w:rsidP="00EB43A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B43AE">
              <w:rPr>
                <w:rFonts w:ascii="Times New Roman" w:eastAsia="Times New Roman" w:hAnsi="Times New Roman" w:cs="Times New Roman"/>
                <w:i/>
                <w:iCs/>
                <w:color w:val="1A1C1E"/>
                <w:kern w:val="0"/>
                <w:sz w:val="22"/>
                <w:szCs w:val="22"/>
                <w:lang w:eastAsia="en-IN"/>
                <w14:ligatures w14:val="none"/>
              </w:rPr>
              <w:t>1</w:t>
            </w:r>
            <w:r w:rsidR="00744486">
              <w:rPr>
                <w:rFonts w:ascii="Times New Roman" w:eastAsia="Times New Roman" w:hAnsi="Times New Roman" w:cs="Times New Roman"/>
                <w:i/>
                <w:iCs/>
                <w:color w:val="1A1C1E"/>
                <w:kern w:val="0"/>
                <w:sz w:val="22"/>
                <w:szCs w:val="22"/>
                <w:lang w:eastAsia="en-IN"/>
                <w14:ligatures w14:val="none"/>
              </w:rPr>
              <w:t>.0</w:t>
            </w:r>
          </w:p>
        </w:tc>
        <w:tc>
          <w:tcPr>
            <w:tcW w:w="1450" w:type="dxa"/>
            <w:tcBorders>
              <w:top w:val="nil"/>
              <w:left w:val="nil"/>
              <w:bottom w:val="single" w:sz="4" w:space="0" w:color="auto"/>
              <w:right w:val="single" w:sz="4" w:space="0" w:color="auto"/>
            </w:tcBorders>
            <w:shd w:val="clear" w:color="000000" w:fill="FFFFFF"/>
            <w:vAlign w:val="center"/>
            <w:hideMark/>
          </w:tcPr>
          <w:p w14:paraId="4A35AB22"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B43AE">
              <w:rPr>
                <w:rFonts w:ascii="Times New Roman" w:eastAsia="Times New Roman" w:hAnsi="Times New Roman" w:cs="Times New Roman"/>
                <w:i/>
                <w:iCs/>
                <w:color w:val="1A1C1E"/>
                <w:kern w:val="0"/>
                <w:sz w:val="22"/>
                <w:szCs w:val="22"/>
                <w:lang w:eastAsia="en-IN"/>
                <w14:ligatures w14:val="none"/>
              </w:rPr>
              <w:t>5.7</w:t>
            </w:r>
          </w:p>
        </w:tc>
        <w:tc>
          <w:tcPr>
            <w:tcW w:w="2035" w:type="dxa"/>
            <w:tcBorders>
              <w:top w:val="nil"/>
              <w:left w:val="nil"/>
              <w:bottom w:val="single" w:sz="4" w:space="0" w:color="auto"/>
              <w:right w:val="single" w:sz="4" w:space="0" w:color="auto"/>
            </w:tcBorders>
            <w:shd w:val="clear" w:color="000000" w:fill="FFFFFF"/>
            <w:vAlign w:val="center"/>
            <w:hideMark/>
          </w:tcPr>
          <w:p w14:paraId="07F322E1"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B43AE">
              <w:rPr>
                <w:rFonts w:ascii="Times New Roman" w:eastAsia="Times New Roman" w:hAnsi="Times New Roman" w:cs="Times New Roman"/>
                <w:i/>
                <w:iCs/>
                <w:color w:val="1A1C1E"/>
                <w:kern w:val="0"/>
                <w:sz w:val="22"/>
                <w:szCs w:val="22"/>
                <w:lang w:eastAsia="en-IN"/>
                <w14:ligatures w14:val="none"/>
              </w:rPr>
              <w:t>3.1</w:t>
            </w:r>
          </w:p>
        </w:tc>
        <w:tc>
          <w:tcPr>
            <w:tcW w:w="1733" w:type="dxa"/>
            <w:tcBorders>
              <w:top w:val="nil"/>
              <w:left w:val="nil"/>
              <w:bottom w:val="single" w:sz="4" w:space="0" w:color="auto"/>
              <w:right w:val="single" w:sz="4" w:space="0" w:color="auto"/>
            </w:tcBorders>
            <w:shd w:val="clear" w:color="000000" w:fill="FFFFFF"/>
            <w:vAlign w:val="center"/>
            <w:hideMark/>
          </w:tcPr>
          <w:p w14:paraId="158DB7F4"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B43AE">
              <w:rPr>
                <w:rFonts w:ascii="Times New Roman" w:eastAsia="Times New Roman" w:hAnsi="Times New Roman" w:cs="Times New Roman"/>
                <w:i/>
                <w:iCs/>
                <w:color w:val="1A1C1E"/>
                <w:kern w:val="0"/>
                <w:sz w:val="22"/>
                <w:szCs w:val="22"/>
                <w:lang w:eastAsia="en-IN"/>
                <w14:ligatures w14:val="none"/>
              </w:rPr>
              <w:t>1.3</w:t>
            </w:r>
          </w:p>
        </w:tc>
      </w:tr>
      <w:tr w:rsidR="00EB43AE" w:rsidRPr="00EB43AE" w14:paraId="3814E862" w14:textId="77777777" w:rsidTr="00EB43AE">
        <w:trPr>
          <w:trHeight w:val="20"/>
          <w:jc w:val="center"/>
        </w:trPr>
        <w:tc>
          <w:tcPr>
            <w:tcW w:w="2191" w:type="dxa"/>
            <w:tcBorders>
              <w:top w:val="nil"/>
              <w:left w:val="single" w:sz="4" w:space="0" w:color="auto"/>
              <w:bottom w:val="single" w:sz="4" w:space="0" w:color="auto"/>
              <w:right w:val="single" w:sz="4" w:space="0" w:color="auto"/>
            </w:tcBorders>
            <w:shd w:val="clear" w:color="000000" w:fill="FFFFFF"/>
            <w:vAlign w:val="center"/>
            <w:hideMark/>
          </w:tcPr>
          <w:p w14:paraId="6517C968"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Patiala and East Punjab States Union</w:t>
            </w:r>
          </w:p>
        </w:tc>
        <w:tc>
          <w:tcPr>
            <w:tcW w:w="2690" w:type="dxa"/>
            <w:tcBorders>
              <w:top w:val="nil"/>
              <w:left w:val="nil"/>
              <w:bottom w:val="single" w:sz="4" w:space="0" w:color="auto"/>
              <w:right w:val="single" w:sz="4" w:space="0" w:color="auto"/>
            </w:tcBorders>
            <w:shd w:val="clear" w:color="000000" w:fill="FFFFFF"/>
            <w:vAlign w:val="center"/>
            <w:hideMark/>
          </w:tcPr>
          <w:p w14:paraId="5C9699C9"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150</w:t>
            </w:r>
          </w:p>
        </w:tc>
        <w:tc>
          <w:tcPr>
            <w:tcW w:w="2406" w:type="dxa"/>
            <w:tcBorders>
              <w:top w:val="nil"/>
              <w:left w:val="nil"/>
              <w:bottom w:val="single" w:sz="4" w:space="0" w:color="auto"/>
              <w:right w:val="single" w:sz="4" w:space="0" w:color="auto"/>
            </w:tcBorders>
            <w:shd w:val="clear" w:color="000000" w:fill="FFFFFF"/>
            <w:vAlign w:val="center"/>
            <w:hideMark/>
          </w:tcPr>
          <w:p w14:paraId="1896894A"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47</w:t>
            </w:r>
          </w:p>
        </w:tc>
        <w:tc>
          <w:tcPr>
            <w:tcW w:w="1449" w:type="dxa"/>
            <w:tcBorders>
              <w:top w:val="nil"/>
              <w:left w:val="nil"/>
              <w:bottom w:val="single" w:sz="4" w:space="0" w:color="auto"/>
              <w:right w:val="single" w:sz="4" w:space="0" w:color="auto"/>
            </w:tcBorders>
            <w:shd w:val="clear" w:color="000000" w:fill="FFFFFF"/>
            <w:vAlign w:val="center"/>
            <w:hideMark/>
          </w:tcPr>
          <w:p w14:paraId="621DAA7B"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76</w:t>
            </w:r>
          </w:p>
        </w:tc>
        <w:tc>
          <w:tcPr>
            <w:tcW w:w="1450" w:type="dxa"/>
            <w:tcBorders>
              <w:top w:val="nil"/>
              <w:left w:val="nil"/>
              <w:bottom w:val="single" w:sz="4" w:space="0" w:color="auto"/>
              <w:right w:val="single" w:sz="4" w:space="0" w:color="auto"/>
            </w:tcBorders>
            <w:shd w:val="clear" w:color="000000" w:fill="FFFFFF"/>
            <w:vAlign w:val="center"/>
            <w:hideMark/>
          </w:tcPr>
          <w:p w14:paraId="27221F48"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114</w:t>
            </w:r>
          </w:p>
        </w:tc>
        <w:tc>
          <w:tcPr>
            <w:tcW w:w="2035" w:type="dxa"/>
            <w:tcBorders>
              <w:top w:val="nil"/>
              <w:left w:val="nil"/>
              <w:bottom w:val="single" w:sz="4" w:space="0" w:color="auto"/>
              <w:right w:val="single" w:sz="4" w:space="0" w:color="auto"/>
            </w:tcBorders>
            <w:shd w:val="clear" w:color="000000" w:fill="FFFFFF"/>
            <w:vAlign w:val="center"/>
            <w:hideMark/>
          </w:tcPr>
          <w:p w14:paraId="6316C487"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60</w:t>
            </w:r>
          </w:p>
        </w:tc>
        <w:tc>
          <w:tcPr>
            <w:tcW w:w="1733" w:type="dxa"/>
            <w:tcBorders>
              <w:top w:val="nil"/>
              <w:left w:val="nil"/>
              <w:bottom w:val="single" w:sz="4" w:space="0" w:color="auto"/>
              <w:right w:val="single" w:sz="4" w:space="0" w:color="auto"/>
            </w:tcBorders>
            <w:shd w:val="clear" w:color="000000" w:fill="FFFFFF"/>
            <w:vAlign w:val="center"/>
            <w:hideMark/>
          </w:tcPr>
          <w:p w14:paraId="7B7E51CC"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32</w:t>
            </w:r>
          </w:p>
        </w:tc>
      </w:tr>
      <w:tr w:rsidR="00EB43AE" w:rsidRPr="00EB43AE" w14:paraId="3A2803BB" w14:textId="77777777" w:rsidTr="00EB43AE">
        <w:trPr>
          <w:trHeight w:val="20"/>
          <w:jc w:val="center"/>
        </w:trPr>
        <w:tc>
          <w:tcPr>
            <w:tcW w:w="2191" w:type="dxa"/>
            <w:tcBorders>
              <w:top w:val="nil"/>
              <w:left w:val="single" w:sz="4" w:space="0" w:color="auto"/>
              <w:bottom w:val="single" w:sz="4" w:space="0" w:color="auto"/>
              <w:right w:val="single" w:sz="4" w:space="0" w:color="auto"/>
            </w:tcBorders>
            <w:shd w:val="clear" w:color="000000" w:fill="FFFFFF"/>
            <w:vAlign w:val="center"/>
            <w:hideMark/>
          </w:tcPr>
          <w:p w14:paraId="1523D963" w14:textId="31404733"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p>
        </w:tc>
        <w:tc>
          <w:tcPr>
            <w:tcW w:w="2690" w:type="dxa"/>
            <w:tcBorders>
              <w:top w:val="nil"/>
              <w:left w:val="nil"/>
              <w:bottom w:val="single" w:sz="4" w:space="0" w:color="auto"/>
              <w:right w:val="single" w:sz="4" w:space="0" w:color="auto"/>
            </w:tcBorders>
            <w:shd w:val="clear" w:color="000000" w:fill="FFFFFF"/>
            <w:vAlign w:val="center"/>
            <w:hideMark/>
          </w:tcPr>
          <w:p w14:paraId="1B576004"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B43AE">
              <w:rPr>
                <w:rFonts w:ascii="Times New Roman" w:eastAsia="Times New Roman" w:hAnsi="Times New Roman" w:cs="Times New Roman"/>
                <w:i/>
                <w:iCs/>
                <w:color w:val="1A1C1E"/>
                <w:kern w:val="0"/>
                <w:sz w:val="22"/>
                <w:szCs w:val="22"/>
                <w:lang w:eastAsia="en-IN"/>
                <w14:ligatures w14:val="none"/>
              </w:rPr>
              <w:t>4.3</w:t>
            </w:r>
          </w:p>
        </w:tc>
        <w:tc>
          <w:tcPr>
            <w:tcW w:w="2406" w:type="dxa"/>
            <w:tcBorders>
              <w:top w:val="nil"/>
              <w:left w:val="nil"/>
              <w:bottom w:val="single" w:sz="4" w:space="0" w:color="auto"/>
              <w:right w:val="single" w:sz="4" w:space="0" w:color="auto"/>
            </w:tcBorders>
            <w:shd w:val="clear" w:color="000000" w:fill="FFFFFF"/>
            <w:vAlign w:val="center"/>
            <w:hideMark/>
          </w:tcPr>
          <w:p w14:paraId="020B4403"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B43AE">
              <w:rPr>
                <w:rFonts w:ascii="Times New Roman" w:eastAsia="Times New Roman" w:hAnsi="Times New Roman" w:cs="Times New Roman"/>
                <w:i/>
                <w:iCs/>
                <w:color w:val="1A1C1E"/>
                <w:kern w:val="0"/>
                <w:sz w:val="22"/>
                <w:szCs w:val="22"/>
                <w:lang w:eastAsia="en-IN"/>
                <w14:ligatures w14:val="none"/>
              </w:rPr>
              <w:t>1.3</w:t>
            </w:r>
          </w:p>
        </w:tc>
        <w:tc>
          <w:tcPr>
            <w:tcW w:w="1449" w:type="dxa"/>
            <w:tcBorders>
              <w:top w:val="nil"/>
              <w:left w:val="nil"/>
              <w:bottom w:val="single" w:sz="4" w:space="0" w:color="auto"/>
              <w:right w:val="single" w:sz="4" w:space="0" w:color="auto"/>
            </w:tcBorders>
            <w:shd w:val="clear" w:color="000000" w:fill="FFFFFF"/>
            <w:vAlign w:val="center"/>
            <w:hideMark/>
          </w:tcPr>
          <w:p w14:paraId="053CD04E"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B43AE">
              <w:rPr>
                <w:rFonts w:ascii="Times New Roman" w:eastAsia="Times New Roman" w:hAnsi="Times New Roman" w:cs="Times New Roman"/>
                <w:i/>
                <w:iCs/>
                <w:color w:val="1A1C1E"/>
                <w:kern w:val="0"/>
                <w:sz w:val="22"/>
                <w:szCs w:val="22"/>
                <w:lang w:eastAsia="en-IN"/>
                <w14:ligatures w14:val="none"/>
              </w:rPr>
              <w:t>2.2</w:t>
            </w:r>
          </w:p>
        </w:tc>
        <w:tc>
          <w:tcPr>
            <w:tcW w:w="1450" w:type="dxa"/>
            <w:tcBorders>
              <w:top w:val="nil"/>
              <w:left w:val="nil"/>
              <w:bottom w:val="single" w:sz="4" w:space="0" w:color="auto"/>
              <w:right w:val="single" w:sz="4" w:space="0" w:color="auto"/>
            </w:tcBorders>
            <w:shd w:val="clear" w:color="000000" w:fill="FFFFFF"/>
            <w:vAlign w:val="center"/>
            <w:hideMark/>
          </w:tcPr>
          <w:p w14:paraId="090FF012"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B43AE">
              <w:rPr>
                <w:rFonts w:ascii="Times New Roman" w:eastAsia="Times New Roman" w:hAnsi="Times New Roman" w:cs="Times New Roman"/>
                <w:i/>
                <w:iCs/>
                <w:color w:val="1A1C1E"/>
                <w:kern w:val="0"/>
                <w:sz w:val="22"/>
                <w:szCs w:val="22"/>
                <w:lang w:eastAsia="en-IN"/>
                <w14:ligatures w14:val="none"/>
              </w:rPr>
              <w:t>3.3</w:t>
            </w:r>
          </w:p>
        </w:tc>
        <w:tc>
          <w:tcPr>
            <w:tcW w:w="2035" w:type="dxa"/>
            <w:tcBorders>
              <w:top w:val="nil"/>
              <w:left w:val="nil"/>
              <w:bottom w:val="single" w:sz="4" w:space="0" w:color="auto"/>
              <w:right w:val="single" w:sz="4" w:space="0" w:color="auto"/>
            </w:tcBorders>
            <w:shd w:val="clear" w:color="000000" w:fill="FFFFFF"/>
            <w:vAlign w:val="center"/>
            <w:hideMark/>
          </w:tcPr>
          <w:p w14:paraId="4379A1B2"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B43AE">
              <w:rPr>
                <w:rFonts w:ascii="Times New Roman" w:eastAsia="Times New Roman" w:hAnsi="Times New Roman" w:cs="Times New Roman"/>
                <w:i/>
                <w:iCs/>
                <w:color w:val="1A1C1E"/>
                <w:kern w:val="0"/>
                <w:sz w:val="22"/>
                <w:szCs w:val="22"/>
                <w:lang w:eastAsia="en-IN"/>
                <w14:ligatures w14:val="none"/>
              </w:rPr>
              <w:t>1.7</w:t>
            </w:r>
          </w:p>
        </w:tc>
        <w:tc>
          <w:tcPr>
            <w:tcW w:w="1733" w:type="dxa"/>
            <w:tcBorders>
              <w:top w:val="nil"/>
              <w:left w:val="nil"/>
              <w:bottom w:val="single" w:sz="4" w:space="0" w:color="auto"/>
              <w:right w:val="single" w:sz="4" w:space="0" w:color="auto"/>
            </w:tcBorders>
            <w:shd w:val="clear" w:color="000000" w:fill="FFFFFF"/>
            <w:vAlign w:val="center"/>
            <w:hideMark/>
          </w:tcPr>
          <w:p w14:paraId="2C3CF8F8"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B43AE">
              <w:rPr>
                <w:rFonts w:ascii="Times New Roman" w:eastAsia="Times New Roman" w:hAnsi="Times New Roman" w:cs="Times New Roman"/>
                <w:i/>
                <w:iCs/>
                <w:color w:val="1A1C1E"/>
                <w:kern w:val="0"/>
                <w:sz w:val="22"/>
                <w:szCs w:val="22"/>
                <w:lang w:eastAsia="en-IN"/>
                <w14:ligatures w14:val="none"/>
              </w:rPr>
              <w:t>0.9</w:t>
            </w:r>
          </w:p>
        </w:tc>
      </w:tr>
      <w:tr w:rsidR="00EB43AE" w:rsidRPr="00EB43AE" w14:paraId="495AC446" w14:textId="77777777" w:rsidTr="00EB43AE">
        <w:trPr>
          <w:trHeight w:val="20"/>
          <w:jc w:val="center"/>
        </w:trPr>
        <w:tc>
          <w:tcPr>
            <w:tcW w:w="2191" w:type="dxa"/>
            <w:tcBorders>
              <w:top w:val="nil"/>
              <w:left w:val="single" w:sz="4" w:space="0" w:color="auto"/>
              <w:bottom w:val="single" w:sz="4" w:space="0" w:color="auto"/>
              <w:right w:val="single" w:sz="4" w:space="0" w:color="auto"/>
            </w:tcBorders>
            <w:shd w:val="clear" w:color="000000" w:fill="FFFFFF"/>
            <w:vAlign w:val="center"/>
            <w:hideMark/>
          </w:tcPr>
          <w:p w14:paraId="2C23FB45"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Rajasthan</w:t>
            </w:r>
          </w:p>
        </w:tc>
        <w:tc>
          <w:tcPr>
            <w:tcW w:w="2690" w:type="dxa"/>
            <w:tcBorders>
              <w:top w:val="nil"/>
              <w:left w:val="nil"/>
              <w:bottom w:val="single" w:sz="4" w:space="0" w:color="auto"/>
              <w:right w:val="single" w:sz="4" w:space="0" w:color="auto"/>
            </w:tcBorders>
            <w:shd w:val="clear" w:color="000000" w:fill="FFFFFF"/>
            <w:vAlign w:val="center"/>
            <w:hideMark/>
          </w:tcPr>
          <w:p w14:paraId="7B6B53D7"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462</w:t>
            </w:r>
          </w:p>
        </w:tc>
        <w:tc>
          <w:tcPr>
            <w:tcW w:w="2406" w:type="dxa"/>
            <w:tcBorders>
              <w:top w:val="nil"/>
              <w:left w:val="nil"/>
              <w:bottom w:val="single" w:sz="4" w:space="0" w:color="auto"/>
              <w:right w:val="single" w:sz="4" w:space="0" w:color="auto"/>
            </w:tcBorders>
            <w:shd w:val="clear" w:color="000000" w:fill="FFFFFF"/>
            <w:vAlign w:val="center"/>
            <w:hideMark/>
          </w:tcPr>
          <w:p w14:paraId="5F7C4DC6"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174</w:t>
            </w:r>
          </w:p>
        </w:tc>
        <w:tc>
          <w:tcPr>
            <w:tcW w:w="1449" w:type="dxa"/>
            <w:tcBorders>
              <w:top w:val="nil"/>
              <w:left w:val="nil"/>
              <w:bottom w:val="single" w:sz="4" w:space="0" w:color="auto"/>
              <w:right w:val="single" w:sz="4" w:space="0" w:color="auto"/>
            </w:tcBorders>
            <w:shd w:val="clear" w:color="000000" w:fill="FFFFFF"/>
            <w:vAlign w:val="center"/>
            <w:hideMark/>
          </w:tcPr>
          <w:p w14:paraId="3EC089B5"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234</w:t>
            </w:r>
          </w:p>
        </w:tc>
        <w:tc>
          <w:tcPr>
            <w:tcW w:w="1450" w:type="dxa"/>
            <w:tcBorders>
              <w:top w:val="nil"/>
              <w:left w:val="nil"/>
              <w:bottom w:val="single" w:sz="4" w:space="0" w:color="auto"/>
              <w:right w:val="single" w:sz="4" w:space="0" w:color="auto"/>
            </w:tcBorders>
            <w:shd w:val="clear" w:color="000000" w:fill="FFFFFF"/>
            <w:vAlign w:val="center"/>
            <w:hideMark/>
          </w:tcPr>
          <w:p w14:paraId="7B6FCA5A"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425</w:t>
            </w:r>
          </w:p>
        </w:tc>
        <w:tc>
          <w:tcPr>
            <w:tcW w:w="2035" w:type="dxa"/>
            <w:tcBorders>
              <w:top w:val="nil"/>
              <w:left w:val="nil"/>
              <w:bottom w:val="single" w:sz="4" w:space="0" w:color="auto"/>
              <w:right w:val="single" w:sz="4" w:space="0" w:color="auto"/>
            </w:tcBorders>
            <w:shd w:val="clear" w:color="000000" w:fill="FFFFFF"/>
            <w:vAlign w:val="center"/>
            <w:hideMark/>
          </w:tcPr>
          <w:p w14:paraId="0AB2EA97"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229</w:t>
            </w:r>
          </w:p>
        </w:tc>
        <w:tc>
          <w:tcPr>
            <w:tcW w:w="1733" w:type="dxa"/>
            <w:tcBorders>
              <w:top w:val="nil"/>
              <w:left w:val="nil"/>
              <w:bottom w:val="single" w:sz="4" w:space="0" w:color="auto"/>
              <w:right w:val="single" w:sz="4" w:space="0" w:color="auto"/>
            </w:tcBorders>
            <w:shd w:val="clear" w:color="000000" w:fill="FFFFFF"/>
            <w:vAlign w:val="center"/>
            <w:hideMark/>
          </w:tcPr>
          <w:p w14:paraId="0CDE5B21"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137</w:t>
            </w:r>
          </w:p>
        </w:tc>
      </w:tr>
      <w:tr w:rsidR="00EB43AE" w:rsidRPr="00EB43AE" w14:paraId="41945C5E" w14:textId="77777777" w:rsidTr="00EB43AE">
        <w:trPr>
          <w:trHeight w:val="20"/>
          <w:jc w:val="center"/>
        </w:trPr>
        <w:tc>
          <w:tcPr>
            <w:tcW w:w="2191" w:type="dxa"/>
            <w:tcBorders>
              <w:top w:val="nil"/>
              <w:left w:val="single" w:sz="4" w:space="0" w:color="auto"/>
              <w:bottom w:val="single" w:sz="4" w:space="0" w:color="auto"/>
              <w:right w:val="single" w:sz="4" w:space="0" w:color="auto"/>
            </w:tcBorders>
            <w:shd w:val="clear" w:color="000000" w:fill="FFFFFF"/>
            <w:vAlign w:val="center"/>
            <w:hideMark/>
          </w:tcPr>
          <w:p w14:paraId="3A288F9D" w14:textId="09F82E19"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p>
        </w:tc>
        <w:tc>
          <w:tcPr>
            <w:tcW w:w="2690" w:type="dxa"/>
            <w:tcBorders>
              <w:top w:val="nil"/>
              <w:left w:val="nil"/>
              <w:bottom w:val="single" w:sz="4" w:space="0" w:color="auto"/>
              <w:right w:val="single" w:sz="4" w:space="0" w:color="auto"/>
            </w:tcBorders>
            <w:shd w:val="clear" w:color="000000" w:fill="FFFFFF"/>
            <w:vAlign w:val="center"/>
            <w:hideMark/>
          </w:tcPr>
          <w:p w14:paraId="411A603D" w14:textId="2709D2BC" w:rsidR="00EB43AE" w:rsidRPr="00EB43AE" w:rsidRDefault="00EB43AE" w:rsidP="00EB43A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B43AE">
              <w:rPr>
                <w:rFonts w:ascii="Times New Roman" w:eastAsia="Times New Roman" w:hAnsi="Times New Roman" w:cs="Times New Roman"/>
                <w:i/>
                <w:iCs/>
                <w:color w:val="1A1C1E"/>
                <w:kern w:val="0"/>
                <w:sz w:val="22"/>
                <w:szCs w:val="22"/>
                <w:lang w:eastAsia="en-IN"/>
                <w14:ligatures w14:val="none"/>
              </w:rPr>
              <w:t>3</w:t>
            </w:r>
            <w:r w:rsidR="00534676">
              <w:rPr>
                <w:rFonts w:ascii="Times New Roman" w:eastAsia="Times New Roman" w:hAnsi="Times New Roman" w:cs="Times New Roman"/>
                <w:i/>
                <w:iCs/>
                <w:color w:val="1A1C1E"/>
                <w:kern w:val="0"/>
                <w:sz w:val="22"/>
                <w:szCs w:val="22"/>
                <w:lang w:eastAsia="en-IN"/>
                <w14:ligatures w14:val="none"/>
              </w:rPr>
              <w:t>.0</w:t>
            </w:r>
          </w:p>
        </w:tc>
        <w:tc>
          <w:tcPr>
            <w:tcW w:w="2406" w:type="dxa"/>
            <w:tcBorders>
              <w:top w:val="nil"/>
              <w:left w:val="nil"/>
              <w:bottom w:val="single" w:sz="4" w:space="0" w:color="auto"/>
              <w:right w:val="single" w:sz="4" w:space="0" w:color="auto"/>
            </w:tcBorders>
            <w:shd w:val="clear" w:color="000000" w:fill="FFFFFF"/>
            <w:vAlign w:val="center"/>
            <w:hideMark/>
          </w:tcPr>
          <w:p w14:paraId="2BEAD4B6"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B43AE">
              <w:rPr>
                <w:rFonts w:ascii="Times New Roman" w:eastAsia="Times New Roman" w:hAnsi="Times New Roman" w:cs="Times New Roman"/>
                <w:i/>
                <w:iCs/>
                <w:color w:val="1A1C1E"/>
                <w:kern w:val="0"/>
                <w:sz w:val="22"/>
                <w:szCs w:val="22"/>
                <w:lang w:eastAsia="en-IN"/>
                <w14:ligatures w14:val="none"/>
              </w:rPr>
              <w:t>1.1</w:t>
            </w:r>
          </w:p>
        </w:tc>
        <w:tc>
          <w:tcPr>
            <w:tcW w:w="1449" w:type="dxa"/>
            <w:tcBorders>
              <w:top w:val="nil"/>
              <w:left w:val="nil"/>
              <w:bottom w:val="single" w:sz="4" w:space="0" w:color="auto"/>
              <w:right w:val="single" w:sz="4" w:space="0" w:color="auto"/>
            </w:tcBorders>
            <w:shd w:val="clear" w:color="000000" w:fill="FFFFFF"/>
            <w:vAlign w:val="center"/>
            <w:hideMark/>
          </w:tcPr>
          <w:p w14:paraId="6AEF07B5"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B43AE">
              <w:rPr>
                <w:rFonts w:ascii="Times New Roman" w:eastAsia="Times New Roman" w:hAnsi="Times New Roman" w:cs="Times New Roman"/>
                <w:i/>
                <w:iCs/>
                <w:color w:val="1A1C1E"/>
                <w:kern w:val="0"/>
                <w:sz w:val="22"/>
                <w:szCs w:val="22"/>
                <w:lang w:eastAsia="en-IN"/>
                <w14:ligatures w14:val="none"/>
              </w:rPr>
              <w:t>1.5</w:t>
            </w:r>
          </w:p>
        </w:tc>
        <w:tc>
          <w:tcPr>
            <w:tcW w:w="1450" w:type="dxa"/>
            <w:tcBorders>
              <w:top w:val="nil"/>
              <w:left w:val="nil"/>
              <w:bottom w:val="single" w:sz="4" w:space="0" w:color="auto"/>
              <w:right w:val="single" w:sz="4" w:space="0" w:color="auto"/>
            </w:tcBorders>
            <w:shd w:val="clear" w:color="000000" w:fill="FFFFFF"/>
            <w:vAlign w:val="center"/>
            <w:hideMark/>
          </w:tcPr>
          <w:p w14:paraId="6F07906E"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B43AE">
              <w:rPr>
                <w:rFonts w:ascii="Times New Roman" w:eastAsia="Times New Roman" w:hAnsi="Times New Roman" w:cs="Times New Roman"/>
                <w:i/>
                <w:iCs/>
                <w:color w:val="1A1C1E"/>
                <w:kern w:val="0"/>
                <w:sz w:val="22"/>
                <w:szCs w:val="22"/>
                <w:lang w:eastAsia="en-IN"/>
                <w14:ligatures w14:val="none"/>
              </w:rPr>
              <w:t>2.8</w:t>
            </w:r>
          </w:p>
        </w:tc>
        <w:tc>
          <w:tcPr>
            <w:tcW w:w="2035" w:type="dxa"/>
            <w:tcBorders>
              <w:top w:val="nil"/>
              <w:left w:val="nil"/>
              <w:bottom w:val="single" w:sz="4" w:space="0" w:color="auto"/>
              <w:right w:val="single" w:sz="4" w:space="0" w:color="auto"/>
            </w:tcBorders>
            <w:shd w:val="clear" w:color="000000" w:fill="FFFFFF"/>
            <w:vAlign w:val="center"/>
            <w:hideMark/>
          </w:tcPr>
          <w:p w14:paraId="103CB889"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B43AE">
              <w:rPr>
                <w:rFonts w:ascii="Times New Roman" w:eastAsia="Times New Roman" w:hAnsi="Times New Roman" w:cs="Times New Roman"/>
                <w:i/>
                <w:iCs/>
                <w:color w:val="1A1C1E"/>
                <w:kern w:val="0"/>
                <w:sz w:val="22"/>
                <w:szCs w:val="22"/>
                <w:lang w:eastAsia="en-IN"/>
                <w14:ligatures w14:val="none"/>
              </w:rPr>
              <w:t>1.5</w:t>
            </w:r>
          </w:p>
        </w:tc>
        <w:tc>
          <w:tcPr>
            <w:tcW w:w="1733" w:type="dxa"/>
            <w:tcBorders>
              <w:top w:val="nil"/>
              <w:left w:val="nil"/>
              <w:bottom w:val="single" w:sz="4" w:space="0" w:color="auto"/>
              <w:right w:val="single" w:sz="4" w:space="0" w:color="auto"/>
            </w:tcBorders>
            <w:shd w:val="clear" w:color="000000" w:fill="FFFFFF"/>
            <w:vAlign w:val="center"/>
            <w:hideMark/>
          </w:tcPr>
          <w:p w14:paraId="04801AE4"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B43AE">
              <w:rPr>
                <w:rFonts w:ascii="Times New Roman" w:eastAsia="Times New Roman" w:hAnsi="Times New Roman" w:cs="Times New Roman"/>
                <w:i/>
                <w:iCs/>
                <w:color w:val="1A1C1E"/>
                <w:kern w:val="0"/>
                <w:sz w:val="22"/>
                <w:szCs w:val="22"/>
                <w:lang w:eastAsia="en-IN"/>
                <w14:ligatures w14:val="none"/>
              </w:rPr>
              <w:t>0.9</w:t>
            </w:r>
          </w:p>
        </w:tc>
      </w:tr>
      <w:tr w:rsidR="00EB43AE" w:rsidRPr="00EB43AE" w14:paraId="13DC990B" w14:textId="77777777" w:rsidTr="00EB43AE">
        <w:trPr>
          <w:trHeight w:val="20"/>
          <w:jc w:val="center"/>
        </w:trPr>
        <w:tc>
          <w:tcPr>
            <w:tcW w:w="2191" w:type="dxa"/>
            <w:tcBorders>
              <w:top w:val="nil"/>
              <w:left w:val="single" w:sz="4" w:space="0" w:color="auto"/>
              <w:bottom w:val="single" w:sz="4" w:space="0" w:color="auto"/>
              <w:right w:val="single" w:sz="4" w:space="0" w:color="auto"/>
            </w:tcBorders>
            <w:shd w:val="clear" w:color="000000" w:fill="FFFFFF"/>
            <w:vAlign w:val="center"/>
            <w:hideMark/>
          </w:tcPr>
          <w:p w14:paraId="73A85D2F"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lastRenderedPageBreak/>
              <w:t>Saurashtra</w:t>
            </w:r>
          </w:p>
        </w:tc>
        <w:tc>
          <w:tcPr>
            <w:tcW w:w="2690" w:type="dxa"/>
            <w:tcBorders>
              <w:top w:val="nil"/>
              <w:left w:val="nil"/>
              <w:bottom w:val="single" w:sz="4" w:space="0" w:color="auto"/>
              <w:right w:val="single" w:sz="4" w:space="0" w:color="auto"/>
            </w:tcBorders>
            <w:shd w:val="clear" w:color="000000" w:fill="FFFFFF"/>
            <w:vAlign w:val="center"/>
            <w:hideMark/>
          </w:tcPr>
          <w:p w14:paraId="1D0BC884"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278</w:t>
            </w:r>
          </w:p>
        </w:tc>
        <w:tc>
          <w:tcPr>
            <w:tcW w:w="2406" w:type="dxa"/>
            <w:tcBorders>
              <w:top w:val="nil"/>
              <w:left w:val="nil"/>
              <w:bottom w:val="single" w:sz="4" w:space="0" w:color="auto"/>
              <w:right w:val="single" w:sz="4" w:space="0" w:color="auto"/>
            </w:tcBorders>
            <w:shd w:val="clear" w:color="000000" w:fill="FFFFFF"/>
            <w:vAlign w:val="center"/>
            <w:hideMark/>
          </w:tcPr>
          <w:p w14:paraId="68182DEB"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92</w:t>
            </w:r>
          </w:p>
        </w:tc>
        <w:tc>
          <w:tcPr>
            <w:tcW w:w="1449" w:type="dxa"/>
            <w:tcBorders>
              <w:top w:val="nil"/>
              <w:left w:val="nil"/>
              <w:bottom w:val="single" w:sz="4" w:space="0" w:color="auto"/>
              <w:right w:val="single" w:sz="4" w:space="0" w:color="auto"/>
            </w:tcBorders>
            <w:shd w:val="clear" w:color="000000" w:fill="FFFFFF"/>
            <w:vAlign w:val="center"/>
            <w:hideMark/>
          </w:tcPr>
          <w:p w14:paraId="02A67288"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117</w:t>
            </w:r>
          </w:p>
        </w:tc>
        <w:tc>
          <w:tcPr>
            <w:tcW w:w="1450" w:type="dxa"/>
            <w:tcBorders>
              <w:top w:val="nil"/>
              <w:left w:val="nil"/>
              <w:bottom w:val="single" w:sz="4" w:space="0" w:color="auto"/>
              <w:right w:val="single" w:sz="4" w:space="0" w:color="auto"/>
            </w:tcBorders>
            <w:shd w:val="clear" w:color="000000" w:fill="FFFFFF"/>
            <w:vAlign w:val="center"/>
            <w:hideMark/>
          </w:tcPr>
          <w:p w14:paraId="46847CEF"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210</w:t>
            </w:r>
          </w:p>
        </w:tc>
        <w:tc>
          <w:tcPr>
            <w:tcW w:w="2035" w:type="dxa"/>
            <w:tcBorders>
              <w:top w:val="nil"/>
              <w:left w:val="nil"/>
              <w:bottom w:val="single" w:sz="4" w:space="0" w:color="auto"/>
              <w:right w:val="single" w:sz="4" w:space="0" w:color="auto"/>
            </w:tcBorders>
            <w:shd w:val="clear" w:color="000000" w:fill="FFFFFF"/>
            <w:vAlign w:val="center"/>
            <w:hideMark/>
          </w:tcPr>
          <w:p w14:paraId="63B9B923"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113</w:t>
            </w:r>
          </w:p>
        </w:tc>
        <w:tc>
          <w:tcPr>
            <w:tcW w:w="1733" w:type="dxa"/>
            <w:tcBorders>
              <w:top w:val="nil"/>
              <w:left w:val="nil"/>
              <w:bottom w:val="single" w:sz="4" w:space="0" w:color="auto"/>
              <w:right w:val="single" w:sz="4" w:space="0" w:color="auto"/>
            </w:tcBorders>
            <w:shd w:val="clear" w:color="000000" w:fill="FFFFFF"/>
            <w:vAlign w:val="center"/>
            <w:hideMark/>
          </w:tcPr>
          <w:p w14:paraId="67005C2A"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62</w:t>
            </w:r>
          </w:p>
        </w:tc>
      </w:tr>
      <w:tr w:rsidR="00EB43AE" w:rsidRPr="00EB43AE" w14:paraId="155743B8" w14:textId="77777777" w:rsidTr="00EB43AE">
        <w:trPr>
          <w:trHeight w:val="20"/>
          <w:jc w:val="center"/>
        </w:trPr>
        <w:tc>
          <w:tcPr>
            <w:tcW w:w="2191" w:type="dxa"/>
            <w:tcBorders>
              <w:top w:val="nil"/>
              <w:left w:val="single" w:sz="4" w:space="0" w:color="auto"/>
              <w:bottom w:val="single" w:sz="4" w:space="0" w:color="auto"/>
              <w:right w:val="single" w:sz="4" w:space="0" w:color="auto"/>
            </w:tcBorders>
            <w:shd w:val="clear" w:color="000000" w:fill="FFFFFF"/>
            <w:vAlign w:val="center"/>
            <w:hideMark/>
          </w:tcPr>
          <w:p w14:paraId="10E7F00C" w14:textId="110D1BE6"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p>
        </w:tc>
        <w:tc>
          <w:tcPr>
            <w:tcW w:w="2690" w:type="dxa"/>
            <w:tcBorders>
              <w:top w:val="nil"/>
              <w:left w:val="nil"/>
              <w:bottom w:val="single" w:sz="4" w:space="0" w:color="auto"/>
              <w:right w:val="single" w:sz="4" w:space="0" w:color="auto"/>
            </w:tcBorders>
            <w:shd w:val="clear" w:color="000000" w:fill="FFFFFF"/>
            <w:vAlign w:val="center"/>
            <w:hideMark/>
          </w:tcPr>
          <w:p w14:paraId="2CF0C6EA"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B43AE">
              <w:rPr>
                <w:rFonts w:ascii="Times New Roman" w:eastAsia="Times New Roman" w:hAnsi="Times New Roman" w:cs="Times New Roman"/>
                <w:i/>
                <w:iCs/>
                <w:color w:val="1A1C1E"/>
                <w:kern w:val="0"/>
                <w:sz w:val="22"/>
                <w:szCs w:val="22"/>
                <w:lang w:eastAsia="en-IN"/>
                <w14:ligatures w14:val="none"/>
              </w:rPr>
              <w:t>6.8</w:t>
            </w:r>
          </w:p>
        </w:tc>
        <w:tc>
          <w:tcPr>
            <w:tcW w:w="2406" w:type="dxa"/>
            <w:tcBorders>
              <w:top w:val="nil"/>
              <w:left w:val="nil"/>
              <w:bottom w:val="single" w:sz="4" w:space="0" w:color="auto"/>
              <w:right w:val="single" w:sz="4" w:space="0" w:color="auto"/>
            </w:tcBorders>
            <w:shd w:val="clear" w:color="000000" w:fill="FFFFFF"/>
            <w:vAlign w:val="center"/>
            <w:hideMark/>
          </w:tcPr>
          <w:p w14:paraId="2C0BCE95"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B43AE">
              <w:rPr>
                <w:rFonts w:ascii="Times New Roman" w:eastAsia="Times New Roman" w:hAnsi="Times New Roman" w:cs="Times New Roman"/>
                <w:i/>
                <w:iCs/>
                <w:color w:val="1A1C1E"/>
                <w:kern w:val="0"/>
                <w:sz w:val="22"/>
                <w:szCs w:val="22"/>
                <w:lang w:eastAsia="en-IN"/>
                <w14:ligatures w14:val="none"/>
              </w:rPr>
              <w:t>2.2</w:t>
            </w:r>
          </w:p>
        </w:tc>
        <w:tc>
          <w:tcPr>
            <w:tcW w:w="1449" w:type="dxa"/>
            <w:tcBorders>
              <w:top w:val="nil"/>
              <w:left w:val="nil"/>
              <w:bottom w:val="single" w:sz="4" w:space="0" w:color="auto"/>
              <w:right w:val="single" w:sz="4" w:space="0" w:color="auto"/>
            </w:tcBorders>
            <w:shd w:val="clear" w:color="000000" w:fill="FFFFFF"/>
            <w:vAlign w:val="center"/>
            <w:hideMark/>
          </w:tcPr>
          <w:p w14:paraId="5C010038"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B43AE">
              <w:rPr>
                <w:rFonts w:ascii="Times New Roman" w:eastAsia="Times New Roman" w:hAnsi="Times New Roman" w:cs="Times New Roman"/>
                <w:i/>
                <w:iCs/>
                <w:color w:val="1A1C1E"/>
                <w:kern w:val="0"/>
                <w:sz w:val="22"/>
                <w:szCs w:val="22"/>
                <w:lang w:eastAsia="en-IN"/>
                <w14:ligatures w14:val="none"/>
              </w:rPr>
              <w:t>2.9</w:t>
            </w:r>
          </w:p>
        </w:tc>
        <w:tc>
          <w:tcPr>
            <w:tcW w:w="1450" w:type="dxa"/>
            <w:tcBorders>
              <w:top w:val="nil"/>
              <w:left w:val="nil"/>
              <w:bottom w:val="single" w:sz="4" w:space="0" w:color="auto"/>
              <w:right w:val="single" w:sz="4" w:space="0" w:color="auto"/>
            </w:tcBorders>
            <w:shd w:val="clear" w:color="000000" w:fill="FFFFFF"/>
            <w:vAlign w:val="center"/>
            <w:hideMark/>
          </w:tcPr>
          <w:p w14:paraId="2D72593C"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B43AE">
              <w:rPr>
                <w:rFonts w:ascii="Times New Roman" w:eastAsia="Times New Roman" w:hAnsi="Times New Roman" w:cs="Times New Roman"/>
                <w:i/>
                <w:iCs/>
                <w:color w:val="1A1C1E"/>
                <w:kern w:val="0"/>
                <w:sz w:val="22"/>
                <w:szCs w:val="22"/>
                <w:lang w:eastAsia="en-IN"/>
                <w14:ligatures w14:val="none"/>
              </w:rPr>
              <w:t>5.1</w:t>
            </w:r>
          </w:p>
        </w:tc>
        <w:tc>
          <w:tcPr>
            <w:tcW w:w="2035" w:type="dxa"/>
            <w:tcBorders>
              <w:top w:val="nil"/>
              <w:left w:val="nil"/>
              <w:bottom w:val="single" w:sz="4" w:space="0" w:color="auto"/>
              <w:right w:val="single" w:sz="4" w:space="0" w:color="auto"/>
            </w:tcBorders>
            <w:shd w:val="clear" w:color="000000" w:fill="FFFFFF"/>
            <w:vAlign w:val="center"/>
            <w:hideMark/>
          </w:tcPr>
          <w:p w14:paraId="16D61410"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B43AE">
              <w:rPr>
                <w:rFonts w:ascii="Times New Roman" w:eastAsia="Times New Roman" w:hAnsi="Times New Roman" w:cs="Times New Roman"/>
                <w:i/>
                <w:iCs/>
                <w:color w:val="1A1C1E"/>
                <w:kern w:val="0"/>
                <w:sz w:val="22"/>
                <w:szCs w:val="22"/>
                <w:lang w:eastAsia="en-IN"/>
                <w14:ligatures w14:val="none"/>
              </w:rPr>
              <w:t>2.8</w:t>
            </w:r>
          </w:p>
        </w:tc>
        <w:tc>
          <w:tcPr>
            <w:tcW w:w="1733" w:type="dxa"/>
            <w:tcBorders>
              <w:top w:val="nil"/>
              <w:left w:val="nil"/>
              <w:bottom w:val="single" w:sz="4" w:space="0" w:color="auto"/>
              <w:right w:val="single" w:sz="4" w:space="0" w:color="auto"/>
            </w:tcBorders>
            <w:shd w:val="clear" w:color="000000" w:fill="FFFFFF"/>
            <w:vAlign w:val="center"/>
            <w:hideMark/>
          </w:tcPr>
          <w:p w14:paraId="2DCC654F"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B43AE">
              <w:rPr>
                <w:rFonts w:ascii="Times New Roman" w:eastAsia="Times New Roman" w:hAnsi="Times New Roman" w:cs="Times New Roman"/>
                <w:i/>
                <w:iCs/>
                <w:color w:val="1A1C1E"/>
                <w:kern w:val="0"/>
                <w:sz w:val="22"/>
                <w:szCs w:val="22"/>
                <w:lang w:eastAsia="en-IN"/>
                <w14:ligatures w14:val="none"/>
              </w:rPr>
              <w:t>1.5</w:t>
            </w:r>
          </w:p>
        </w:tc>
      </w:tr>
      <w:tr w:rsidR="00EB43AE" w:rsidRPr="00EB43AE" w14:paraId="52D848AD" w14:textId="77777777" w:rsidTr="00EB43AE">
        <w:trPr>
          <w:trHeight w:val="20"/>
          <w:jc w:val="center"/>
        </w:trPr>
        <w:tc>
          <w:tcPr>
            <w:tcW w:w="2191" w:type="dxa"/>
            <w:tcBorders>
              <w:top w:val="nil"/>
              <w:left w:val="single" w:sz="4" w:space="0" w:color="auto"/>
              <w:bottom w:val="single" w:sz="4" w:space="0" w:color="auto"/>
              <w:right w:val="single" w:sz="4" w:space="0" w:color="auto"/>
            </w:tcBorders>
            <w:shd w:val="clear" w:color="000000" w:fill="FFFFFF"/>
            <w:vAlign w:val="center"/>
            <w:hideMark/>
          </w:tcPr>
          <w:p w14:paraId="4FCDB047"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Travancore-Cochin</w:t>
            </w:r>
          </w:p>
        </w:tc>
        <w:tc>
          <w:tcPr>
            <w:tcW w:w="2690" w:type="dxa"/>
            <w:tcBorders>
              <w:top w:val="nil"/>
              <w:left w:val="nil"/>
              <w:bottom w:val="single" w:sz="4" w:space="0" w:color="auto"/>
              <w:right w:val="single" w:sz="4" w:space="0" w:color="auto"/>
            </w:tcBorders>
            <w:shd w:val="clear" w:color="000000" w:fill="FFFFFF"/>
            <w:vAlign w:val="center"/>
            <w:hideMark/>
          </w:tcPr>
          <w:p w14:paraId="20F063BE"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166</w:t>
            </w:r>
          </w:p>
        </w:tc>
        <w:tc>
          <w:tcPr>
            <w:tcW w:w="2406" w:type="dxa"/>
            <w:tcBorders>
              <w:top w:val="nil"/>
              <w:left w:val="nil"/>
              <w:bottom w:val="single" w:sz="4" w:space="0" w:color="auto"/>
              <w:right w:val="single" w:sz="4" w:space="0" w:color="auto"/>
            </w:tcBorders>
            <w:shd w:val="clear" w:color="000000" w:fill="FFFFFF"/>
            <w:vAlign w:val="center"/>
            <w:hideMark/>
          </w:tcPr>
          <w:p w14:paraId="412F4298"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56</w:t>
            </w:r>
          </w:p>
        </w:tc>
        <w:tc>
          <w:tcPr>
            <w:tcW w:w="1449" w:type="dxa"/>
            <w:tcBorders>
              <w:top w:val="nil"/>
              <w:left w:val="nil"/>
              <w:bottom w:val="single" w:sz="4" w:space="0" w:color="auto"/>
              <w:right w:val="single" w:sz="4" w:space="0" w:color="auto"/>
            </w:tcBorders>
            <w:shd w:val="clear" w:color="000000" w:fill="FFFFFF"/>
            <w:vAlign w:val="center"/>
            <w:hideMark/>
          </w:tcPr>
          <w:p w14:paraId="4D1AA180"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65</w:t>
            </w:r>
          </w:p>
        </w:tc>
        <w:tc>
          <w:tcPr>
            <w:tcW w:w="1450" w:type="dxa"/>
            <w:tcBorders>
              <w:top w:val="nil"/>
              <w:left w:val="nil"/>
              <w:bottom w:val="single" w:sz="4" w:space="0" w:color="auto"/>
              <w:right w:val="single" w:sz="4" w:space="0" w:color="auto"/>
            </w:tcBorders>
            <w:shd w:val="clear" w:color="000000" w:fill="FFFFFF"/>
            <w:vAlign w:val="center"/>
            <w:hideMark/>
          </w:tcPr>
          <w:p w14:paraId="11B29501"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406</w:t>
            </w:r>
          </w:p>
        </w:tc>
        <w:tc>
          <w:tcPr>
            <w:tcW w:w="2035" w:type="dxa"/>
            <w:tcBorders>
              <w:top w:val="nil"/>
              <w:left w:val="nil"/>
              <w:bottom w:val="single" w:sz="4" w:space="0" w:color="auto"/>
              <w:right w:val="single" w:sz="4" w:space="0" w:color="auto"/>
            </w:tcBorders>
            <w:shd w:val="clear" w:color="000000" w:fill="FFFFFF"/>
            <w:vAlign w:val="center"/>
            <w:hideMark/>
          </w:tcPr>
          <w:p w14:paraId="0B0AF140"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247</w:t>
            </w:r>
          </w:p>
        </w:tc>
        <w:tc>
          <w:tcPr>
            <w:tcW w:w="1733" w:type="dxa"/>
            <w:tcBorders>
              <w:top w:val="nil"/>
              <w:left w:val="nil"/>
              <w:bottom w:val="single" w:sz="4" w:space="0" w:color="auto"/>
              <w:right w:val="single" w:sz="4" w:space="0" w:color="auto"/>
            </w:tcBorders>
            <w:shd w:val="clear" w:color="000000" w:fill="FFFFFF"/>
            <w:vAlign w:val="center"/>
            <w:hideMark/>
          </w:tcPr>
          <w:p w14:paraId="3DD5EC55"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B43AE">
              <w:rPr>
                <w:rFonts w:ascii="Times New Roman" w:eastAsia="Times New Roman" w:hAnsi="Times New Roman" w:cs="Times New Roman"/>
                <w:color w:val="1A1C1E"/>
                <w:kern w:val="0"/>
                <w:sz w:val="22"/>
                <w:szCs w:val="22"/>
                <w:lang w:eastAsia="en-IN"/>
                <w14:ligatures w14:val="none"/>
              </w:rPr>
              <w:t>115</w:t>
            </w:r>
          </w:p>
        </w:tc>
      </w:tr>
      <w:tr w:rsidR="00EB43AE" w:rsidRPr="00EB43AE" w14:paraId="573CA11B" w14:textId="77777777" w:rsidTr="00EB43AE">
        <w:trPr>
          <w:trHeight w:val="20"/>
          <w:jc w:val="center"/>
        </w:trPr>
        <w:tc>
          <w:tcPr>
            <w:tcW w:w="2191" w:type="dxa"/>
            <w:tcBorders>
              <w:top w:val="nil"/>
              <w:left w:val="single" w:sz="4" w:space="0" w:color="auto"/>
              <w:bottom w:val="single" w:sz="4" w:space="0" w:color="auto"/>
              <w:right w:val="single" w:sz="4" w:space="0" w:color="auto"/>
            </w:tcBorders>
            <w:shd w:val="clear" w:color="000000" w:fill="FFFFFF"/>
            <w:vAlign w:val="center"/>
            <w:hideMark/>
          </w:tcPr>
          <w:p w14:paraId="4E68FFD8" w14:textId="3EF3FD7A" w:rsidR="00EB43AE" w:rsidRPr="00EB43AE"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p>
        </w:tc>
        <w:tc>
          <w:tcPr>
            <w:tcW w:w="2690" w:type="dxa"/>
            <w:tcBorders>
              <w:top w:val="nil"/>
              <w:left w:val="nil"/>
              <w:bottom w:val="single" w:sz="4" w:space="0" w:color="auto"/>
              <w:right w:val="single" w:sz="4" w:space="0" w:color="auto"/>
            </w:tcBorders>
            <w:shd w:val="clear" w:color="000000" w:fill="FFFFFF"/>
            <w:vAlign w:val="center"/>
            <w:hideMark/>
          </w:tcPr>
          <w:p w14:paraId="2D2BE9FF"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B43AE">
              <w:rPr>
                <w:rFonts w:ascii="Times New Roman" w:eastAsia="Times New Roman" w:hAnsi="Times New Roman" w:cs="Times New Roman"/>
                <w:i/>
                <w:iCs/>
                <w:color w:val="1A1C1E"/>
                <w:kern w:val="0"/>
                <w:sz w:val="22"/>
                <w:szCs w:val="22"/>
                <w:lang w:eastAsia="en-IN"/>
                <w14:ligatures w14:val="none"/>
              </w:rPr>
              <w:t>1.8</w:t>
            </w:r>
          </w:p>
        </w:tc>
        <w:tc>
          <w:tcPr>
            <w:tcW w:w="2406" w:type="dxa"/>
            <w:tcBorders>
              <w:top w:val="nil"/>
              <w:left w:val="nil"/>
              <w:bottom w:val="single" w:sz="4" w:space="0" w:color="auto"/>
              <w:right w:val="single" w:sz="4" w:space="0" w:color="auto"/>
            </w:tcBorders>
            <w:shd w:val="clear" w:color="000000" w:fill="FFFFFF"/>
            <w:vAlign w:val="center"/>
            <w:hideMark/>
          </w:tcPr>
          <w:p w14:paraId="08BC9E07"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B43AE">
              <w:rPr>
                <w:rFonts w:ascii="Times New Roman" w:eastAsia="Times New Roman" w:hAnsi="Times New Roman" w:cs="Times New Roman"/>
                <w:i/>
                <w:iCs/>
                <w:color w:val="1A1C1E"/>
                <w:kern w:val="0"/>
                <w:sz w:val="22"/>
                <w:szCs w:val="22"/>
                <w:lang w:eastAsia="en-IN"/>
                <w14:ligatures w14:val="none"/>
              </w:rPr>
              <w:t>0.6</w:t>
            </w:r>
          </w:p>
        </w:tc>
        <w:tc>
          <w:tcPr>
            <w:tcW w:w="1449" w:type="dxa"/>
            <w:tcBorders>
              <w:top w:val="nil"/>
              <w:left w:val="nil"/>
              <w:bottom w:val="single" w:sz="4" w:space="0" w:color="auto"/>
              <w:right w:val="single" w:sz="4" w:space="0" w:color="auto"/>
            </w:tcBorders>
            <w:shd w:val="clear" w:color="000000" w:fill="FFFFFF"/>
            <w:vAlign w:val="center"/>
            <w:hideMark/>
          </w:tcPr>
          <w:p w14:paraId="47072379"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B43AE">
              <w:rPr>
                <w:rFonts w:ascii="Times New Roman" w:eastAsia="Times New Roman" w:hAnsi="Times New Roman" w:cs="Times New Roman"/>
                <w:i/>
                <w:iCs/>
                <w:color w:val="1A1C1E"/>
                <w:kern w:val="0"/>
                <w:sz w:val="22"/>
                <w:szCs w:val="22"/>
                <w:lang w:eastAsia="en-IN"/>
                <w14:ligatures w14:val="none"/>
              </w:rPr>
              <w:t>0.7</w:t>
            </w:r>
          </w:p>
        </w:tc>
        <w:tc>
          <w:tcPr>
            <w:tcW w:w="1450" w:type="dxa"/>
            <w:tcBorders>
              <w:top w:val="nil"/>
              <w:left w:val="nil"/>
              <w:bottom w:val="single" w:sz="4" w:space="0" w:color="auto"/>
              <w:right w:val="single" w:sz="4" w:space="0" w:color="auto"/>
            </w:tcBorders>
            <w:shd w:val="clear" w:color="000000" w:fill="FFFFFF"/>
            <w:vAlign w:val="center"/>
            <w:hideMark/>
          </w:tcPr>
          <w:p w14:paraId="77E8A3E2"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B43AE">
              <w:rPr>
                <w:rFonts w:ascii="Times New Roman" w:eastAsia="Times New Roman" w:hAnsi="Times New Roman" w:cs="Times New Roman"/>
                <w:i/>
                <w:iCs/>
                <w:color w:val="1A1C1E"/>
                <w:kern w:val="0"/>
                <w:sz w:val="22"/>
                <w:szCs w:val="22"/>
                <w:lang w:eastAsia="en-IN"/>
                <w14:ligatures w14:val="none"/>
              </w:rPr>
              <w:t>4.4</w:t>
            </w:r>
          </w:p>
        </w:tc>
        <w:tc>
          <w:tcPr>
            <w:tcW w:w="2035" w:type="dxa"/>
            <w:tcBorders>
              <w:top w:val="nil"/>
              <w:left w:val="nil"/>
              <w:bottom w:val="single" w:sz="4" w:space="0" w:color="auto"/>
              <w:right w:val="single" w:sz="4" w:space="0" w:color="auto"/>
            </w:tcBorders>
            <w:shd w:val="clear" w:color="000000" w:fill="FFFFFF"/>
            <w:vAlign w:val="center"/>
            <w:hideMark/>
          </w:tcPr>
          <w:p w14:paraId="32E40785"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B43AE">
              <w:rPr>
                <w:rFonts w:ascii="Times New Roman" w:eastAsia="Times New Roman" w:hAnsi="Times New Roman" w:cs="Times New Roman"/>
                <w:i/>
                <w:iCs/>
                <w:color w:val="1A1C1E"/>
                <w:kern w:val="0"/>
                <w:sz w:val="22"/>
                <w:szCs w:val="22"/>
                <w:lang w:eastAsia="en-IN"/>
                <w14:ligatures w14:val="none"/>
              </w:rPr>
              <w:t>2.7</w:t>
            </w:r>
          </w:p>
        </w:tc>
        <w:tc>
          <w:tcPr>
            <w:tcW w:w="1733" w:type="dxa"/>
            <w:tcBorders>
              <w:top w:val="nil"/>
              <w:left w:val="nil"/>
              <w:bottom w:val="single" w:sz="4" w:space="0" w:color="auto"/>
              <w:right w:val="single" w:sz="4" w:space="0" w:color="auto"/>
            </w:tcBorders>
            <w:shd w:val="clear" w:color="000000" w:fill="FFFFFF"/>
            <w:vAlign w:val="center"/>
            <w:hideMark/>
          </w:tcPr>
          <w:p w14:paraId="71013AE0" w14:textId="77777777" w:rsidR="00EB43AE" w:rsidRPr="00EB43AE" w:rsidRDefault="00EB43AE" w:rsidP="00EB43A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B43AE">
              <w:rPr>
                <w:rFonts w:ascii="Times New Roman" w:eastAsia="Times New Roman" w:hAnsi="Times New Roman" w:cs="Times New Roman"/>
                <w:i/>
                <w:iCs/>
                <w:color w:val="1A1C1E"/>
                <w:kern w:val="0"/>
                <w:sz w:val="22"/>
                <w:szCs w:val="22"/>
                <w:lang w:eastAsia="en-IN"/>
                <w14:ligatures w14:val="none"/>
              </w:rPr>
              <w:t>1.2</w:t>
            </w:r>
          </w:p>
        </w:tc>
      </w:tr>
      <w:tr w:rsidR="00EB43AE" w:rsidRPr="00EB43AE" w14:paraId="31CC3F05" w14:textId="77777777" w:rsidTr="00EB43AE">
        <w:trPr>
          <w:trHeight w:val="20"/>
          <w:jc w:val="center"/>
        </w:trPr>
        <w:tc>
          <w:tcPr>
            <w:tcW w:w="2191" w:type="dxa"/>
            <w:tcBorders>
              <w:top w:val="nil"/>
              <w:left w:val="single" w:sz="4" w:space="0" w:color="auto"/>
              <w:bottom w:val="single" w:sz="4" w:space="0" w:color="auto"/>
              <w:right w:val="single" w:sz="4" w:space="0" w:color="auto"/>
            </w:tcBorders>
            <w:shd w:val="clear" w:color="000000" w:fill="FFFFFF"/>
            <w:vAlign w:val="center"/>
            <w:hideMark/>
          </w:tcPr>
          <w:p w14:paraId="4BFD5ADB" w14:textId="77777777" w:rsidR="00EB43AE" w:rsidRPr="00E02C8A"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02C8A">
              <w:rPr>
                <w:rFonts w:ascii="Times New Roman" w:eastAsia="Times New Roman" w:hAnsi="Times New Roman" w:cs="Times New Roman"/>
                <w:color w:val="1A1C1E"/>
                <w:kern w:val="0"/>
                <w:sz w:val="22"/>
                <w:szCs w:val="22"/>
                <w:lang w:eastAsia="en-IN"/>
                <w14:ligatures w14:val="none"/>
              </w:rPr>
              <w:t>TOTAL</w:t>
            </w:r>
          </w:p>
        </w:tc>
        <w:tc>
          <w:tcPr>
            <w:tcW w:w="2690" w:type="dxa"/>
            <w:tcBorders>
              <w:top w:val="nil"/>
              <w:left w:val="nil"/>
              <w:bottom w:val="single" w:sz="4" w:space="0" w:color="auto"/>
              <w:right w:val="single" w:sz="4" w:space="0" w:color="auto"/>
            </w:tcBorders>
            <w:shd w:val="clear" w:color="000000" w:fill="FFFFFF"/>
            <w:vAlign w:val="center"/>
            <w:hideMark/>
          </w:tcPr>
          <w:p w14:paraId="5193596D" w14:textId="77777777" w:rsidR="00EB43AE" w:rsidRPr="00E02C8A"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02C8A">
              <w:rPr>
                <w:rFonts w:ascii="Times New Roman" w:eastAsia="Times New Roman" w:hAnsi="Times New Roman" w:cs="Times New Roman"/>
                <w:color w:val="1A1C1E"/>
                <w:kern w:val="0"/>
                <w:sz w:val="22"/>
                <w:szCs w:val="22"/>
                <w:lang w:eastAsia="en-IN"/>
                <w14:ligatures w14:val="none"/>
              </w:rPr>
              <w:t>10609</w:t>
            </w:r>
          </w:p>
        </w:tc>
        <w:tc>
          <w:tcPr>
            <w:tcW w:w="2406" w:type="dxa"/>
            <w:tcBorders>
              <w:top w:val="nil"/>
              <w:left w:val="nil"/>
              <w:bottom w:val="single" w:sz="4" w:space="0" w:color="auto"/>
              <w:right w:val="single" w:sz="4" w:space="0" w:color="auto"/>
            </w:tcBorders>
            <w:shd w:val="clear" w:color="000000" w:fill="FFFFFF"/>
            <w:vAlign w:val="center"/>
            <w:hideMark/>
          </w:tcPr>
          <w:p w14:paraId="1CDA8A95" w14:textId="77777777" w:rsidR="00EB43AE" w:rsidRPr="00E02C8A"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02C8A">
              <w:rPr>
                <w:rFonts w:ascii="Times New Roman" w:eastAsia="Times New Roman" w:hAnsi="Times New Roman" w:cs="Times New Roman"/>
                <w:color w:val="1A1C1E"/>
                <w:kern w:val="0"/>
                <w:sz w:val="22"/>
                <w:szCs w:val="22"/>
                <w:lang w:eastAsia="en-IN"/>
                <w14:ligatures w14:val="none"/>
              </w:rPr>
              <w:t>3384</w:t>
            </w:r>
          </w:p>
        </w:tc>
        <w:tc>
          <w:tcPr>
            <w:tcW w:w="1449" w:type="dxa"/>
            <w:tcBorders>
              <w:top w:val="nil"/>
              <w:left w:val="nil"/>
              <w:bottom w:val="single" w:sz="4" w:space="0" w:color="auto"/>
              <w:right w:val="single" w:sz="4" w:space="0" w:color="auto"/>
            </w:tcBorders>
            <w:shd w:val="clear" w:color="000000" w:fill="FFFFFF"/>
            <w:vAlign w:val="center"/>
            <w:hideMark/>
          </w:tcPr>
          <w:p w14:paraId="070343C2" w14:textId="77777777" w:rsidR="00EB43AE" w:rsidRPr="00E02C8A"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02C8A">
              <w:rPr>
                <w:rFonts w:ascii="Times New Roman" w:eastAsia="Times New Roman" w:hAnsi="Times New Roman" w:cs="Times New Roman"/>
                <w:color w:val="1A1C1E"/>
                <w:kern w:val="0"/>
                <w:sz w:val="22"/>
                <w:szCs w:val="22"/>
                <w:lang w:eastAsia="en-IN"/>
                <w14:ligatures w14:val="none"/>
              </w:rPr>
              <w:t>5371</w:t>
            </w:r>
          </w:p>
        </w:tc>
        <w:tc>
          <w:tcPr>
            <w:tcW w:w="1450" w:type="dxa"/>
            <w:tcBorders>
              <w:top w:val="nil"/>
              <w:left w:val="nil"/>
              <w:bottom w:val="single" w:sz="4" w:space="0" w:color="auto"/>
              <w:right w:val="single" w:sz="4" w:space="0" w:color="auto"/>
            </w:tcBorders>
            <w:shd w:val="clear" w:color="000000" w:fill="FFFFFF"/>
            <w:vAlign w:val="center"/>
            <w:hideMark/>
          </w:tcPr>
          <w:p w14:paraId="234B23D9" w14:textId="77777777" w:rsidR="00EB43AE" w:rsidRPr="00E02C8A"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02C8A">
              <w:rPr>
                <w:rFonts w:ascii="Times New Roman" w:eastAsia="Times New Roman" w:hAnsi="Times New Roman" w:cs="Times New Roman"/>
                <w:color w:val="1A1C1E"/>
                <w:kern w:val="0"/>
                <w:sz w:val="22"/>
                <w:szCs w:val="22"/>
                <w:lang w:eastAsia="en-IN"/>
                <w14:ligatures w14:val="none"/>
              </w:rPr>
              <w:t>11626</w:t>
            </w:r>
          </w:p>
        </w:tc>
        <w:tc>
          <w:tcPr>
            <w:tcW w:w="2035" w:type="dxa"/>
            <w:tcBorders>
              <w:top w:val="nil"/>
              <w:left w:val="nil"/>
              <w:bottom w:val="single" w:sz="4" w:space="0" w:color="auto"/>
              <w:right w:val="single" w:sz="4" w:space="0" w:color="auto"/>
            </w:tcBorders>
            <w:shd w:val="clear" w:color="000000" w:fill="FFFFFF"/>
            <w:vAlign w:val="center"/>
            <w:hideMark/>
          </w:tcPr>
          <w:p w14:paraId="14AB026B" w14:textId="77777777" w:rsidR="00EB43AE" w:rsidRPr="00E02C8A"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02C8A">
              <w:rPr>
                <w:rFonts w:ascii="Times New Roman" w:eastAsia="Times New Roman" w:hAnsi="Times New Roman" w:cs="Times New Roman"/>
                <w:color w:val="1A1C1E"/>
                <w:kern w:val="0"/>
                <w:sz w:val="22"/>
                <w:szCs w:val="22"/>
                <w:lang w:eastAsia="en-IN"/>
                <w14:ligatures w14:val="none"/>
              </w:rPr>
              <w:t>6018</w:t>
            </w:r>
          </w:p>
        </w:tc>
        <w:tc>
          <w:tcPr>
            <w:tcW w:w="1733" w:type="dxa"/>
            <w:tcBorders>
              <w:top w:val="nil"/>
              <w:left w:val="nil"/>
              <w:bottom w:val="single" w:sz="4" w:space="0" w:color="auto"/>
              <w:right w:val="single" w:sz="4" w:space="0" w:color="auto"/>
            </w:tcBorders>
            <w:shd w:val="clear" w:color="000000" w:fill="FFFFFF"/>
            <w:vAlign w:val="center"/>
            <w:hideMark/>
          </w:tcPr>
          <w:p w14:paraId="7F887A64" w14:textId="77777777" w:rsidR="00EB43AE" w:rsidRPr="00E02C8A"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02C8A">
              <w:rPr>
                <w:rFonts w:ascii="Times New Roman" w:eastAsia="Times New Roman" w:hAnsi="Times New Roman" w:cs="Times New Roman"/>
                <w:color w:val="1A1C1E"/>
                <w:kern w:val="0"/>
                <w:sz w:val="22"/>
                <w:szCs w:val="22"/>
                <w:lang w:eastAsia="en-IN"/>
                <w14:ligatures w14:val="none"/>
              </w:rPr>
              <w:t>2888</w:t>
            </w:r>
          </w:p>
        </w:tc>
      </w:tr>
      <w:tr w:rsidR="00EB43AE" w:rsidRPr="00EB43AE" w14:paraId="223B81B3" w14:textId="77777777" w:rsidTr="00EB43AE">
        <w:trPr>
          <w:trHeight w:val="20"/>
          <w:jc w:val="center"/>
        </w:trPr>
        <w:tc>
          <w:tcPr>
            <w:tcW w:w="2191" w:type="dxa"/>
            <w:tcBorders>
              <w:top w:val="nil"/>
              <w:left w:val="single" w:sz="4" w:space="0" w:color="auto"/>
              <w:bottom w:val="single" w:sz="4" w:space="0" w:color="auto"/>
              <w:right w:val="single" w:sz="4" w:space="0" w:color="auto"/>
            </w:tcBorders>
            <w:shd w:val="clear" w:color="000000" w:fill="FFFFFF"/>
            <w:vAlign w:val="center"/>
            <w:hideMark/>
          </w:tcPr>
          <w:p w14:paraId="039A83DA" w14:textId="315010A1" w:rsidR="00EB43AE" w:rsidRPr="00E02C8A" w:rsidRDefault="00EB43AE" w:rsidP="00EB43AE">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p>
        </w:tc>
        <w:tc>
          <w:tcPr>
            <w:tcW w:w="2690" w:type="dxa"/>
            <w:tcBorders>
              <w:top w:val="nil"/>
              <w:left w:val="nil"/>
              <w:bottom w:val="single" w:sz="4" w:space="0" w:color="auto"/>
              <w:right w:val="single" w:sz="4" w:space="0" w:color="auto"/>
            </w:tcBorders>
            <w:shd w:val="clear" w:color="000000" w:fill="FFFFFF"/>
            <w:vAlign w:val="center"/>
            <w:hideMark/>
          </w:tcPr>
          <w:p w14:paraId="59C0FE49" w14:textId="77777777" w:rsidR="00EB43AE" w:rsidRPr="00E02C8A" w:rsidRDefault="00EB43AE" w:rsidP="00EB43A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02C8A">
              <w:rPr>
                <w:rFonts w:ascii="Times New Roman" w:eastAsia="Times New Roman" w:hAnsi="Times New Roman" w:cs="Times New Roman"/>
                <w:i/>
                <w:iCs/>
                <w:color w:val="1A1C1E"/>
                <w:kern w:val="0"/>
                <w:sz w:val="22"/>
                <w:szCs w:val="22"/>
                <w:lang w:eastAsia="en-IN"/>
                <w14:ligatures w14:val="none"/>
              </w:rPr>
              <w:t>3.1</w:t>
            </w:r>
          </w:p>
        </w:tc>
        <w:tc>
          <w:tcPr>
            <w:tcW w:w="2406" w:type="dxa"/>
            <w:tcBorders>
              <w:top w:val="nil"/>
              <w:left w:val="nil"/>
              <w:bottom w:val="single" w:sz="4" w:space="0" w:color="auto"/>
              <w:right w:val="single" w:sz="4" w:space="0" w:color="auto"/>
            </w:tcBorders>
            <w:shd w:val="clear" w:color="000000" w:fill="FFFFFF"/>
            <w:vAlign w:val="center"/>
            <w:hideMark/>
          </w:tcPr>
          <w:p w14:paraId="5BE82A48" w14:textId="3877691C" w:rsidR="00EB43AE" w:rsidRPr="00E02C8A" w:rsidRDefault="00EB43AE" w:rsidP="00EB43A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02C8A">
              <w:rPr>
                <w:rFonts w:ascii="Times New Roman" w:eastAsia="Times New Roman" w:hAnsi="Times New Roman" w:cs="Times New Roman"/>
                <w:i/>
                <w:iCs/>
                <w:color w:val="1A1C1E"/>
                <w:kern w:val="0"/>
                <w:sz w:val="22"/>
                <w:szCs w:val="22"/>
                <w:lang w:eastAsia="en-IN"/>
                <w14:ligatures w14:val="none"/>
              </w:rPr>
              <w:t>1</w:t>
            </w:r>
            <w:r w:rsidR="00077967" w:rsidRPr="00E02C8A">
              <w:rPr>
                <w:rFonts w:ascii="Times New Roman" w:eastAsia="Times New Roman" w:hAnsi="Times New Roman" w:cs="Times New Roman"/>
                <w:i/>
                <w:iCs/>
                <w:color w:val="1A1C1E"/>
                <w:kern w:val="0"/>
                <w:sz w:val="22"/>
                <w:szCs w:val="22"/>
                <w:lang w:eastAsia="en-IN"/>
                <w14:ligatures w14:val="none"/>
              </w:rPr>
              <w:t>.0</w:t>
            </w:r>
          </w:p>
        </w:tc>
        <w:tc>
          <w:tcPr>
            <w:tcW w:w="1449" w:type="dxa"/>
            <w:tcBorders>
              <w:top w:val="nil"/>
              <w:left w:val="nil"/>
              <w:bottom w:val="single" w:sz="4" w:space="0" w:color="auto"/>
              <w:right w:val="single" w:sz="4" w:space="0" w:color="auto"/>
            </w:tcBorders>
            <w:shd w:val="clear" w:color="000000" w:fill="FFFFFF"/>
            <w:vAlign w:val="center"/>
            <w:hideMark/>
          </w:tcPr>
          <w:p w14:paraId="74AAFE58" w14:textId="77777777" w:rsidR="00EB43AE" w:rsidRPr="00E02C8A" w:rsidRDefault="00EB43AE" w:rsidP="00EB43A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02C8A">
              <w:rPr>
                <w:rFonts w:ascii="Times New Roman" w:eastAsia="Times New Roman" w:hAnsi="Times New Roman" w:cs="Times New Roman"/>
                <w:i/>
                <w:iCs/>
                <w:color w:val="1A1C1E"/>
                <w:kern w:val="0"/>
                <w:sz w:val="22"/>
                <w:szCs w:val="22"/>
                <w:lang w:eastAsia="en-IN"/>
                <w14:ligatures w14:val="none"/>
              </w:rPr>
              <w:t>1.5</w:t>
            </w:r>
          </w:p>
        </w:tc>
        <w:tc>
          <w:tcPr>
            <w:tcW w:w="1450" w:type="dxa"/>
            <w:tcBorders>
              <w:top w:val="nil"/>
              <w:left w:val="nil"/>
              <w:bottom w:val="single" w:sz="4" w:space="0" w:color="auto"/>
              <w:right w:val="single" w:sz="4" w:space="0" w:color="auto"/>
            </w:tcBorders>
            <w:shd w:val="clear" w:color="000000" w:fill="FFFFFF"/>
            <w:vAlign w:val="center"/>
            <w:hideMark/>
          </w:tcPr>
          <w:p w14:paraId="5EEC6F47" w14:textId="77777777" w:rsidR="00EB43AE" w:rsidRPr="00E02C8A" w:rsidRDefault="00EB43AE" w:rsidP="00EB43A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02C8A">
              <w:rPr>
                <w:rFonts w:ascii="Times New Roman" w:eastAsia="Times New Roman" w:hAnsi="Times New Roman" w:cs="Times New Roman"/>
                <w:i/>
                <w:iCs/>
                <w:color w:val="1A1C1E"/>
                <w:kern w:val="0"/>
                <w:sz w:val="22"/>
                <w:szCs w:val="22"/>
                <w:lang w:eastAsia="en-IN"/>
                <w14:ligatures w14:val="none"/>
              </w:rPr>
              <w:t>3.4</w:t>
            </w:r>
          </w:p>
        </w:tc>
        <w:tc>
          <w:tcPr>
            <w:tcW w:w="2035" w:type="dxa"/>
            <w:tcBorders>
              <w:top w:val="nil"/>
              <w:left w:val="nil"/>
              <w:bottom w:val="single" w:sz="4" w:space="0" w:color="auto"/>
              <w:right w:val="single" w:sz="4" w:space="0" w:color="auto"/>
            </w:tcBorders>
            <w:shd w:val="clear" w:color="000000" w:fill="FFFFFF"/>
            <w:vAlign w:val="center"/>
            <w:hideMark/>
          </w:tcPr>
          <w:p w14:paraId="2F75D3A1" w14:textId="77777777" w:rsidR="00EB43AE" w:rsidRPr="00E02C8A" w:rsidRDefault="00EB43AE" w:rsidP="00EB43A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02C8A">
              <w:rPr>
                <w:rFonts w:ascii="Times New Roman" w:eastAsia="Times New Roman" w:hAnsi="Times New Roman" w:cs="Times New Roman"/>
                <w:i/>
                <w:iCs/>
                <w:color w:val="1A1C1E"/>
                <w:kern w:val="0"/>
                <w:sz w:val="22"/>
                <w:szCs w:val="22"/>
                <w:lang w:eastAsia="en-IN"/>
                <w14:ligatures w14:val="none"/>
              </w:rPr>
              <w:t>1.7</w:t>
            </w:r>
          </w:p>
        </w:tc>
        <w:tc>
          <w:tcPr>
            <w:tcW w:w="1733" w:type="dxa"/>
            <w:tcBorders>
              <w:top w:val="nil"/>
              <w:left w:val="nil"/>
              <w:bottom w:val="single" w:sz="4" w:space="0" w:color="auto"/>
              <w:right w:val="single" w:sz="4" w:space="0" w:color="auto"/>
            </w:tcBorders>
            <w:shd w:val="clear" w:color="000000" w:fill="FFFFFF"/>
            <w:vAlign w:val="center"/>
            <w:hideMark/>
          </w:tcPr>
          <w:p w14:paraId="5644A359" w14:textId="77777777" w:rsidR="00EB43AE" w:rsidRPr="00E02C8A" w:rsidRDefault="00EB43AE" w:rsidP="00EB43AE">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02C8A">
              <w:rPr>
                <w:rFonts w:ascii="Times New Roman" w:eastAsia="Times New Roman" w:hAnsi="Times New Roman" w:cs="Times New Roman"/>
                <w:i/>
                <w:iCs/>
                <w:color w:val="1A1C1E"/>
                <w:kern w:val="0"/>
                <w:sz w:val="22"/>
                <w:szCs w:val="22"/>
                <w:lang w:eastAsia="en-IN"/>
                <w14:ligatures w14:val="none"/>
              </w:rPr>
              <w:t>0.8</w:t>
            </w:r>
          </w:p>
        </w:tc>
      </w:tr>
    </w:tbl>
    <w:p w14:paraId="6207D205" w14:textId="20E026F8" w:rsidR="00594F40" w:rsidRPr="005534D4" w:rsidRDefault="00594F40" w:rsidP="008A141A">
      <w:pPr>
        <w:rPr>
          <w:rFonts w:ascii="Times New Roman" w:hAnsi="Times New Roman" w:cs="Times New Roman"/>
        </w:rPr>
      </w:pPr>
    </w:p>
    <w:p w14:paraId="017887B0" w14:textId="77777777" w:rsidR="00EB43AE" w:rsidRDefault="00EB43AE">
      <w:pPr>
        <w:rPr>
          <w:rFonts w:ascii="Times New Roman" w:hAnsi="Times New Roman" w:cs="Times New Roman"/>
        </w:rPr>
        <w:sectPr w:rsidR="00EB43AE" w:rsidSect="00EB43AE">
          <w:pgSz w:w="16838" w:h="11906" w:orient="landscape"/>
          <w:pgMar w:top="1134" w:right="1440" w:bottom="1440" w:left="1440" w:header="709" w:footer="709" w:gutter="0"/>
          <w:cols w:space="708"/>
          <w:docGrid w:linePitch="360"/>
        </w:sectPr>
      </w:pPr>
    </w:p>
    <w:p w14:paraId="33B3A3A6" w14:textId="77777777" w:rsidR="00EA4590" w:rsidRDefault="00594F40" w:rsidP="0075507D">
      <w:pPr>
        <w:pStyle w:val="Heading3"/>
      </w:pPr>
      <w:bookmarkStart w:id="37" w:name="_Toc221007146"/>
      <w:r w:rsidRPr="00EA4590">
        <w:rPr>
          <w:rStyle w:val="Heading2Char"/>
          <w:b/>
          <w:bCs/>
        </w:rPr>
        <w:lastRenderedPageBreak/>
        <w:t>8(c).—Amount and Per Capita Expenditure in</w:t>
      </w:r>
      <w:r w:rsidR="00EA4590" w:rsidRPr="00EA4590">
        <w:rPr>
          <w:rStyle w:val="Heading2Char"/>
          <w:b/>
          <w:bCs/>
        </w:rPr>
        <w:t xml:space="preserve"> States on Selected Services—1952-53</w:t>
      </w:r>
      <w:bookmarkEnd w:id="37"/>
    </w:p>
    <w:p w14:paraId="000718CF" w14:textId="6FBC0492" w:rsidR="00594F40" w:rsidRDefault="00594F40" w:rsidP="00EA4590">
      <w:pPr>
        <w:jc w:val="center"/>
        <w:rPr>
          <w:rFonts w:ascii="Times New Roman" w:hAnsi="Times New Roman" w:cs="Times New Roman"/>
        </w:rPr>
      </w:pPr>
      <w:r w:rsidRPr="00EA4590">
        <w:rPr>
          <w:rFonts w:ascii="Times New Roman" w:hAnsi="Times New Roman" w:cs="Times New Roman"/>
        </w:rPr>
        <w:t>Per Capita figures (in rupees) are given in italics</w:t>
      </w:r>
      <w:r w:rsidR="00103886">
        <w:rPr>
          <w:rFonts w:ascii="Times New Roman" w:hAnsi="Times New Roman" w:cs="Times New Roman"/>
        </w:rPr>
        <w:t xml:space="preserve"> </w:t>
      </w:r>
      <w:r w:rsidR="00EA4590" w:rsidRPr="00EA4590">
        <w:rPr>
          <w:rFonts w:ascii="Times New Roman" w:hAnsi="Times New Roman" w:cs="Times New Roman"/>
        </w:rPr>
        <w:t>along-side the figures for Total Expenditure.</w:t>
      </w:r>
    </w:p>
    <w:tbl>
      <w:tblPr>
        <w:tblW w:w="14460" w:type="dxa"/>
        <w:jc w:val="center"/>
        <w:tblLook w:val="04A0" w:firstRow="1" w:lastRow="0" w:firstColumn="1" w:lastColumn="0" w:noHBand="0" w:noVBand="1"/>
      </w:tblPr>
      <w:tblGrid>
        <w:gridCol w:w="2271"/>
        <w:gridCol w:w="2788"/>
        <w:gridCol w:w="2493"/>
        <w:gridCol w:w="1501"/>
        <w:gridCol w:w="1503"/>
        <w:gridCol w:w="2108"/>
        <w:gridCol w:w="1796"/>
      </w:tblGrid>
      <w:tr w:rsidR="004C14FC" w:rsidRPr="004C14FC" w14:paraId="556F6F27" w14:textId="77777777" w:rsidTr="004C14FC">
        <w:trPr>
          <w:trHeight w:val="20"/>
          <w:jc w:val="center"/>
        </w:trPr>
        <w:tc>
          <w:tcPr>
            <w:tcW w:w="22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75F8E0" w14:textId="77777777" w:rsidR="004C14FC" w:rsidRPr="004C14FC" w:rsidRDefault="004C14FC" w:rsidP="004C14FC">
            <w:pPr>
              <w:spacing w:after="0" w:line="240" w:lineRule="auto"/>
              <w:ind w:firstLineChars="100" w:firstLine="221"/>
              <w:jc w:val="center"/>
              <w:rPr>
                <w:rFonts w:ascii="Times New Roman" w:eastAsia="Times New Roman" w:hAnsi="Times New Roman" w:cs="Times New Roman"/>
                <w:b/>
                <w:bCs/>
                <w:color w:val="1A1C1E"/>
                <w:kern w:val="0"/>
                <w:sz w:val="22"/>
                <w:szCs w:val="22"/>
                <w:lang w:eastAsia="en-IN"/>
                <w14:ligatures w14:val="none"/>
              </w:rPr>
            </w:pPr>
            <w:r w:rsidRPr="004C14FC">
              <w:rPr>
                <w:rFonts w:ascii="Times New Roman" w:eastAsia="Times New Roman" w:hAnsi="Times New Roman" w:cs="Times New Roman"/>
                <w:b/>
                <w:bCs/>
                <w:color w:val="1A1C1E"/>
                <w:kern w:val="0"/>
                <w:sz w:val="22"/>
                <w:szCs w:val="22"/>
                <w:lang w:eastAsia="en-IN"/>
                <w14:ligatures w14:val="none"/>
              </w:rPr>
              <w:t>State</w:t>
            </w:r>
          </w:p>
        </w:tc>
        <w:tc>
          <w:tcPr>
            <w:tcW w:w="2788" w:type="dxa"/>
            <w:tcBorders>
              <w:top w:val="single" w:sz="4" w:space="0" w:color="auto"/>
              <w:left w:val="nil"/>
              <w:bottom w:val="single" w:sz="4" w:space="0" w:color="auto"/>
              <w:right w:val="single" w:sz="4" w:space="0" w:color="auto"/>
            </w:tcBorders>
            <w:shd w:val="clear" w:color="000000" w:fill="FFFFFF"/>
            <w:vAlign w:val="center"/>
            <w:hideMark/>
          </w:tcPr>
          <w:p w14:paraId="1BD995E0" w14:textId="77777777" w:rsidR="004C14FC" w:rsidRPr="004C14FC" w:rsidRDefault="004C14FC" w:rsidP="004C14FC">
            <w:pPr>
              <w:spacing w:after="0" w:line="240" w:lineRule="auto"/>
              <w:ind w:firstLineChars="100" w:firstLine="221"/>
              <w:jc w:val="center"/>
              <w:rPr>
                <w:rFonts w:ascii="Times New Roman" w:eastAsia="Times New Roman" w:hAnsi="Times New Roman" w:cs="Times New Roman"/>
                <w:b/>
                <w:bCs/>
                <w:color w:val="1A1C1E"/>
                <w:kern w:val="0"/>
                <w:sz w:val="22"/>
                <w:szCs w:val="22"/>
                <w:lang w:eastAsia="en-IN"/>
                <w14:ligatures w14:val="none"/>
              </w:rPr>
            </w:pPr>
            <w:r w:rsidRPr="004C14FC">
              <w:rPr>
                <w:rFonts w:ascii="Times New Roman" w:eastAsia="Times New Roman" w:hAnsi="Times New Roman" w:cs="Times New Roman"/>
                <w:b/>
                <w:bCs/>
                <w:color w:val="1A1C1E"/>
                <w:kern w:val="0"/>
                <w:sz w:val="22"/>
                <w:szCs w:val="22"/>
                <w:lang w:eastAsia="en-IN"/>
                <w14:ligatures w14:val="none"/>
              </w:rPr>
              <w:t>Administrative Services</w:t>
            </w:r>
          </w:p>
        </w:tc>
        <w:tc>
          <w:tcPr>
            <w:tcW w:w="2493" w:type="dxa"/>
            <w:tcBorders>
              <w:top w:val="single" w:sz="4" w:space="0" w:color="auto"/>
              <w:left w:val="nil"/>
              <w:bottom w:val="single" w:sz="4" w:space="0" w:color="auto"/>
              <w:right w:val="single" w:sz="4" w:space="0" w:color="auto"/>
            </w:tcBorders>
            <w:shd w:val="clear" w:color="000000" w:fill="FFFFFF"/>
            <w:vAlign w:val="center"/>
            <w:hideMark/>
          </w:tcPr>
          <w:p w14:paraId="05576674" w14:textId="77777777" w:rsidR="004C14FC" w:rsidRPr="004C14FC" w:rsidRDefault="004C14FC" w:rsidP="004C14FC">
            <w:pPr>
              <w:spacing w:after="0" w:line="240" w:lineRule="auto"/>
              <w:ind w:firstLineChars="100" w:firstLine="221"/>
              <w:jc w:val="center"/>
              <w:rPr>
                <w:rFonts w:ascii="Times New Roman" w:eastAsia="Times New Roman" w:hAnsi="Times New Roman" w:cs="Times New Roman"/>
                <w:b/>
                <w:bCs/>
                <w:color w:val="1A1C1E"/>
                <w:kern w:val="0"/>
                <w:sz w:val="22"/>
                <w:szCs w:val="22"/>
                <w:lang w:eastAsia="en-IN"/>
                <w14:ligatures w14:val="none"/>
              </w:rPr>
            </w:pPr>
            <w:r w:rsidRPr="004C14FC">
              <w:rPr>
                <w:rFonts w:ascii="Times New Roman" w:eastAsia="Times New Roman" w:hAnsi="Times New Roman" w:cs="Times New Roman"/>
                <w:b/>
                <w:bCs/>
                <w:color w:val="1A1C1E"/>
                <w:kern w:val="0"/>
                <w:sz w:val="22"/>
                <w:szCs w:val="22"/>
                <w:lang w:eastAsia="en-IN"/>
                <w14:ligatures w14:val="none"/>
              </w:rPr>
              <w:t>General Administration</w:t>
            </w:r>
          </w:p>
        </w:tc>
        <w:tc>
          <w:tcPr>
            <w:tcW w:w="1501" w:type="dxa"/>
            <w:tcBorders>
              <w:top w:val="single" w:sz="4" w:space="0" w:color="auto"/>
              <w:left w:val="nil"/>
              <w:bottom w:val="single" w:sz="4" w:space="0" w:color="auto"/>
              <w:right w:val="single" w:sz="4" w:space="0" w:color="auto"/>
            </w:tcBorders>
            <w:shd w:val="clear" w:color="000000" w:fill="FFFFFF"/>
            <w:vAlign w:val="center"/>
            <w:hideMark/>
          </w:tcPr>
          <w:p w14:paraId="05022CD6" w14:textId="77777777" w:rsidR="004C14FC" w:rsidRPr="004C14FC" w:rsidRDefault="004C14FC" w:rsidP="004C14FC">
            <w:pPr>
              <w:spacing w:after="0" w:line="240" w:lineRule="auto"/>
              <w:ind w:firstLineChars="100" w:firstLine="221"/>
              <w:jc w:val="center"/>
              <w:rPr>
                <w:rFonts w:ascii="Times New Roman" w:eastAsia="Times New Roman" w:hAnsi="Times New Roman" w:cs="Times New Roman"/>
                <w:b/>
                <w:bCs/>
                <w:color w:val="1A1C1E"/>
                <w:kern w:val="0"/>
                <w:sz w:val="22"/>
                <w:szCs w:val="22"/>
                <w:lang w:eastAsia="en-IN"/>
                <w14:ligatures w14:val="none"/>
              </w:rPr>
            </w:pPr>
            <w:r w:rsidRPr="004C14FC">
              <w:rPr>
                <w:rFonts w:ascii="Times New Roman" w:eastAsia="Times New Roman" w:hAnsi="Times New Roman" w:cs="Times New Roman"/>
                <w:b/>
                <w:bCs/>
                <w:color w:val="1A1C1E"/>
                <w:kern w:val="0"/>
                <w:sz w:val="22"/>
                <w:szCs w:val="22"/>
                <w:lang w:eastAsia="en-IN"/>
                <w14:ligatures w14:val="none"/>
              </w:rPr>
              <w:t>Police</w:t>
            </w:r>
          </w:p>
        </w:tc>
        <w:tc>
          <w:tcPr>
            <w:tcW w:w="1503" w:type="dxa"/>
            <w:tcBorders>
              <w:top w:val="single" w:sz="4" w:space="0" w:color="auto"/>
              <w:left w:val="nil"/>
              <w:bottom w:val="single" w:sz="4" w:space="0" w:color="auto"/>
              <w:right w:val="single" w:sz="4" w:space="0" w:color="auto"/>
            </w:tcBorders>
            <w:shd w:val="clear" w:color="000000" w:fill="FFFFFF"/>
            <w:vAlign w:val="center"/>
            <w:hideMark/>
          </w:tcPr>
          <w:p w14:paraId="3F7EC62A" w14:textId="77777777" w:rsidR="004C14FC" w:rsidRPr="004C14FC" w:rsidRDefault="004C14FC" w:rsidP="004C14FC">
            <w:pPr>
              <w:spacing w:after="0" w:line="240" w:lineRule="auto"/>
              <w:ind w:firstLineChars="100" w:firstLine="221"/>
              <w:jc w:val="center"/>
              <w:rPr>
                <w:rFonts w:ascii="Times New Roman" w:eastAsia="Times New Roman" w:hAnsi="Times New Roman" w:cs="Times New Roman"/>
                <w:b/>
                <w:bCs/>
                <w:color w:val="1A1C1E"/>
                <w:kern w:val="0"/>
                <w:sz w:val="22"/>
                <w:szCs w:val="22"/>
                <w:lang w:eastAsia="en-IN"/>
                <w14:ligatures w14:val="none"/>
              </w:rPr>
            </w:pPr>
            <w:r w:rsidRPr="004C14FC">
              <w:rPr>
                <w:rFonts w:ascii="Times New Roman" w:eastAsia="Times New Roman" w:hAnsi="Times New Roman" w:cs="Times New Roman"/>
                <w:b/>
                <w:bCs/>
                <w:color w:val="1A1C1E"/>
                <w:kern w:val="0"/>
                <w:sz w:val="22"/>
                <w:szCs w:val="22"/>
                <w:lang w:eastAsia="en-IN"/>
                <w14:ligatures w14:val="none"/>
              </w:rPr>
              <w:t>Social Services</w:t>
            </w:r>
          </w:p>
        </w:tc>
        <w:tc>
          <w:tcPr>
            <w:tcW w:w="2108" w:type="dxa"/>
            <w:tcBorders>
              <w:top w:val="single" w:sz="4" w:space="0" w:color="auto"/>
              <w:left w:val="nil"/>
              <w:bottom w:val="single" w:sz="4" w:space="0" w:color="auto"/>
              <w:right w:val="single" w:sz="4" w:space="0" w:color="auto"/>
            </w:tcBorders>
            <w:shd w:val="clear" w:color="000000" w:fill="FFFFFF"/>
            <w:vAlign w:val="center"/>
            <w:hideMark/>
          </w:tcPr>
          <w:p w14:paraId="7D850A7A" w14:textId="77777777" w:rsidR="004C14FC" w:rsidRPr="004C14FC" w:rsidRDefault="004C14FC" w:rsidP="004C14FC">
            <w:pPr>
              <w:spacing w:after="0" w:line="240" w:lineRule="auto"/>
              <w:ind w:firstLineChars="100" w:firstLine="221"/>
              <w:jc w:val="center"/>
              <w:rPr>
                <w:rFonts w:ascii="Times New Roman" w:eastAsia="Times New Roman" w:hAnsi="Times New Roman" w:cs="Times New Roman"/>
                <w:b/>
                <w:bCs/>
                <w:color w:val="1A1C1E"/>
                <w:kern w:val="0"/>
                <w:sz w:val="22"/>
                <w:szCs w:val="22"/>
                <w:lang w:eastAsia="en-IN"/>
                <w14:ligatures w14:val="none"/>
              </w:rPr>
            </w:pPr>
            <w:r w:rsidRPr="004C14FC">
              <w:rPr>
                <w:rFonts w:ascii="Times New Roman" w:eastAsia="Times New Roman" w:hAnsi="Times New Roman" w:cs="Times New Roman"/>
                <w:b/>
                <w:bCs/>
                <w:color w:val="1A1C1E"/>
                <w:kern w:val="0"/>
                <w:sz w:val="22"/>
                <w:szCs w:val="22"/>
                <w:lang w:eastAsia="en-IN"/>
                <w14:ligatures w14:val="none"/>
              </w:rPr>
              <w:t>Education</w:t>
            </w:r>
          </w:p>
        </w:tc>
        <w:tc>
          <w:tcPr>
            <w:tcW w:w="1796" w:type="dxa"/>
            <w:tcBorders>
              <w:top w:val="single" w:sz="4" w:space="0" w:color="auto"/>
              <w:left w:val="nil"/>
              <w:bottom w:val="single" w:sz="4" w:space="0" w:color="auto"/>
              <w:right w:val="single" w:sz="4" w:space="0" w:color="auto"/>
            </w:tcBorders>
            <w:shd w:val="clear" w:color="000000" w:fill="FFFFFF"/>
            <w:vAlign w:val="center"/>
            <w:hideMark/>
          </w:tcPr>
          <w:p w14:paraId="73EFE6A0" w14:textId="77777777" w:rsidR="004C14FC" w:rsidRPr="004C14FC" w:rsidRDefault="004C14FC" w:rsidP="004C14FC">
            <w:pPr>
              <w:spacing w:after="0" w:line="240" w:lineRule="auto"/>
              <w:ind w:firstLineChars="100" w:firstLine="221"/>
              <w:jc w:val="center"/>
              <w:rPr>
                <w:rFonts w:ascii="Times New Roman" w:eastAsia="Times New Roman" w:hAnsi="Times New Roman" w:cs="Times New Roman"/>
                <w:b/>
                <w:bCs/>
                <w:color w:val="1A1C1E"/>
                <w:kern w:val="0"/>
                <w:sz w:val="22"/>
                <w:szCs w:val="22"/>
                <w:lang w:eastAsia="en-IN"/>
                <w14:ligatures w14:val="none"/>
              </w:rPr>
            </w:pPr>
            <w:r w:rsidRPr="004C14FC">
              <w:rPr>
                <w:rFonts w:ascii="Times New Roman" w:eastAsia="Times New Roman" w:hAnsi="Times New Roman" w:cs="Times New Roman"/>
                <w:b/>
                <w:bCs/>
                <w:color w:val="1A1C1E"/>
                <w:kern w:val="0"/>
                <w:sz w:val="22"/>
                <w:szCs w:val="22"/>
                <w:lang w:eastAsia="en-IN"/>
                <w14:ligatures w14:val="none"/>
              </w:rPr>
              <w:t>Medical and Public Health</w:t>
            </w:r>
          </w:p>
        </w:tc>
      </w:tr>
      <w:tr w:rsidR="004C14FC" w:rsidRPr="004C14FC" w14:paraId="268C721B" w14:textId="77777777" w:rsidTr="004C14FC">
        <w:trPr>
          <w:trHeight w:val="20"/>
          <w:jc w:val="center"/>
        </w:trPr>
        <w:tc>
          <w:tcPr>
            <w:tcW w:w="2271" w:type="dxa"/>
            <w:tcBorders>
              <w:top w:val="nil"/>
              <w:left w:val="single" w:sz="4" w:space="0" w:color="auto"/>
              <w:bottom w:val="single" w:sz="4" w:space="0" w:color="auto"/>
              <w:right w:val="single" w:sz="4" w:space="0" w:color="auto"/>
            </w:tcBorders>
            <w:shd w:val="clear" w:color="000000" w:fill="FFFFFF"/>
            <w:vAlign w:val="center"/>
            <w:hideMark/>
          </w:tcPr>
          <w:p w14:paraId="2F07FBB8"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Assam</w:t>
            </w:r>
          </w:p>
        </w:tc>
        <w:tc>
          <w:tcPr>
            <w:tcW w:w="2788" w:type="dxa"/>
            <w:tcBorders>
              <w:top w:val="nil"/>
              <w:left w:val="nil"/>
              <w:bottom w:val="single" w:sz="4" w:space="0" w:color="auto"/>
              <w:right w:val="single" w:sz="4" w:space="0" w:color="auto"/>
            </w:tcBorders>
            <w:shd w:val="clear" w:color="000000" w:fill="FFFFFF"/>
            <w:vAlign w:val="center"/>
            <w:hideMark/>
          </w:tcPr>
          <w:p w14:paraId="60507F6F"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210</w:t>
            </w:r>
          </w:p>
        </w:tc>
        <w:tc>
          <w:tcPr>
            <w:tcW w:w="2493" w:type="dxa"/>
            <w:tcBorders>
              <w:top w:val="nil"/>
              <w:left w:val="nil"/>
              <w:bottom w:val="single" w:sz="4" w:space="0" w:color="auto"/>
              <w:right w:val="single" w:sz="4" w:space="0" w:color="auto"/>
            </w:tcBorders>
            <w:shd w:val="clear" w:color="000000" w:fill="FFFFFF"/>
            <w:vAlign w:val="center"/>
            <w:hideMark/>
          </w:tcPr>
          <w:p w14:paraId="0B35AB01"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69</w:t>
            </w:r>
          </w:p>
        </w:tc>
        <w:tc>
          <w:tcPr>
            <w:tcW w:w="1501" w:type="dxa"/>
            <w:tcBorders>
              <w:top w:val="nil"/>
              <w:left w:val="nil"/>
              <w:bottom w:val="single" w:sz="4" w:space="0" w:color="auto"/>
              <w:right w:val="single" w:sz="4" w:space="0" w:color="auto"/>
            </w:tcBorders>
            <w:shd w:val="clear" w:color="000000" w:fill="FFFFFF"/>
            <w:vAlign w:val="center"/>
            <w:hideMark/>
          </w:tcPr>
          <w:p w14:paraId="24EE0B80"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105</w:t>
            </w:r>
          </w:p>
        </w:tc>
        <w:tc>
          <w:tcPr>
            <w:tcW w:w="1503" w:type="dxa"/>
            <w:tcBorders>
              <w:top w:val="nil"/>
              <w:left w:val="nil"/>
              <w:bottom w:val="single" w:sz="4" w:space="0" w:color="auto"/>
              <w:right w:val="single" w:sz="4" w:space="0" w:color="auto"/>
            </w:tcBorders>
            <w:shd w:val="clear" w:color="000000" w:fill="FFFFFF"/>
            <w:vAlign w:val="center"/>
            <w:hideMark/>
          </w:tcPr>
          <w:p w14:paraId="5B3BE193"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356</w:t>
            </w:r>
          </w:p>
        </w:tc>
        <w:tc>
          <w:tcPr>
            <w:tcW w:w="2108" w:type="dxa"/>
            <w:tcBorders>
              <w:top w:val="nil"/>
              <w:left w:val="nil"/>
              <w:bottom w:val="single" w:sz="4" w:space="0" w:color="auto"/>
              <w:right w:val="single" w:sz="4" w:space="0" w:color="auto"/>
            </w:tcBorders>
            <w:shd w:val="clear" w:color="000000" w:fill="FFFFFF"/>
            <w:vAlign w:val="center"/>
            <w:hideMark/>
          </w:tcPr>
          <w:p w14:paraId="2349A776"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185</w:t>
            </w:r>
          </w:p>
        </w:tc>
        <w:tc>
          <w:tcPr>
            <w:tcW w:w="1796" w:type="dxa"/>
            <w:tcBorders>
              <w:top w:val="nil"/>
              <w:left w:val="nil"/>
              <w:bottom w:val="single" w:sz="4" w:space="0" w:color="auto"/>
              <w:right w:val="single" w:sz="4" w:space="0" w:color="auto"/>
            </w:tcBorders>
            <w:shd w:val="clear" w:color="000000" w:fill="FFFFFF"/>
            <w:vAlign w:val="center"/>
            <w:hideMark/>
          </w:tcPr>
          <w:p w14:paraId="5BAA1249"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81</w:t>
            </w:r>
          </w:p>
        </w:tc>
      </w:tr>
      <w:tr w:rsidR="004C14FC" w:rsidRPr="004C14FC" w14:paraId="6AF60D26" w14:textId="77777777" w:rsidTr="004C14FC">
        <w:trPr>
          <w:trHeight w:val="20"/>
          <w:jc w:val="center"/>
        </w:trPr>
        <w:tc>
          <w:tcPr>
            <w:tcW w:w="2271" w:type="dxa"/>
            <w:tcBorders>
              <w:top w:val="nil"/>
              <w:left w:val="single" w:sz="4" w:space="0" w:color="auto"/>
              <w:bottom w:val="single" w:sz="4" w:space="0" w:color="auto"/>
              <w:right w:val="single" w:sz="4" w:space="0" w:color="auto"/>
            </w:tcBorders>
            <w:shd w:val="clear" w:color="000000" w:fill="FFFFFF"/>
            <w:vAlign w:val="center"/>
            <w:hideMark/>
          </w:tcPr>
          <w:p w14:paraId="75024BC0" w14:textId="64A09548"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p>
        </w:tc>
        <w:tc>
          <w:tcPr>
            <w:tcW w:w="2788" w:type="dxa"/>
            <w:tcBorders>
              <w:top w:val="nil"/>
              <w:left w:val="nil"/>
              <w:bottom w:val="single" w:sz="4" w:space="0" w:color="auto"/>
              <w:right w:val="single" w:sz="4" w:space="0" w:color="auto"/>
            </w:tcBorders>
            <w:shd w:val="clear" w:color="000000" w:fill="FFFFFF"/>
            <w:vAlign w:val="center"/>
            <w:hideMark/>
          </w:tcPr>
          <w:p w14:paraId="7420EBB3"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4C14FC">
              <w:rPr>
                <w:rFonts w:ascii="Times New Roman" w:eastAsia="Times New Roman" w:hAnsi="Times New Roman" w:cs="Times New Roman"/>
                <w:i/>
                <w:iCs/>
                <w:color w:val="1A1C1E"/>
                <w:kern w:val="0"/>
                <w:sz w:val="22"/>
                <w:szCs w:val="22"/>
                <w:lang w:eastAsia="en-IN"/>
                <w14:ligatures w14:val="none"/>
              </w:rPr>
              <w:t>2.8</w:t>
            </w:r>
          </w:p>
        </w:tc>
        <w:tc>
          <w:tcPr>
            <w:tcW w:w="2493" w:type="dxa"/>
            <w:tcBorders>
              <w:top w:val="nil"/>
              <w:left w:val="nil"/>
              <w:bottom w:val="single" w:sz="4" w:space="0" w:color="auto"/>
              <w:right w:val="single" w:sz="4" w:space="0" w:color="auto"/>
            </w:tcBorders>
            <w:shd w:val="clear" w:color="000000" w:fill="FFFFFF"/>
            <w:vAlign w:val="center"/>
            <w:hideMark/>
          </w:tcPr>
          <w:p w14:paraId="2DFF220C"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4C14FC">
              <w:rPr>
                <w:rFonts w:ascii="Times New Roman" w:eastAsia="Times New Roman" w:hAnsi="Times New Roman" w:cs="Times New Roman"/>
                <w:i/>
                <w:iCs/>
                <w:color w:val="1A1C1E"/>
                <w:kern w:val="0"/>
                <w:sz w:val="22"/>
                <w:szCs w:val="22"/>
                <w:lang w:eastAsia="en-IN"/>
                <w14:ligatures w14:val="none"/>
              </w:rPr>
              <w:t>0.8</w:t>
            </w:r>
          </w:p>
        </w:tc>
        <w:tc>
          <w:tcPr>
            <w:tcW w:w="1501" w:type="dxa"/>
            <w:tcBorders>
              <w:top w:val="nil"/>
              <w:left w:val="nil"/>
              <w:bottom w:val="single" w:sz="4" w:space="0" w:color="auto"/>
              <w:right w:val="single" w:sz="4" w:space="0" w:color="auto"/>
            </w:tcBorders>
            <w:shd w:val="clear" w:color="000000" w:fill="FFFFFF"/>
            <w:vAlign w:val="center"/>
            <w:hideMark/>
          </w:tcPr>
          <w:p w14:paraId="2FC9EF1E"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4C14FC">
              <w:rPr>
                <w:rFonts w:ascii="Times New Roman" w:eastAsia="Times New Roman" w:hAnsi="Times New Roman" w:cs="Times New Roman"/>
                <w:i/>
                <w:iCs/>
                <w:color w:val="1A1C1E"/>
                <w:kern w:val="0"/>
                <w:sz w:val="22"/>
                <w:szCs w:val="22"/>
                <w:lang w:eastAsia="en-IN"/>
                <w14:ligatures w14:val="none"/>
              </w:rPr>
              <w:t>1.2</w:t>
            </w:r>
          </w:p>
        </w:tc>
        <w:tc>
          <w:tcPr>
            <w:tcW w:w="1503" w:type="dxa"/>
            <w:tcBorders>
              <w:top w:val="nil"/>
              <w:left w:val="nil"/>
              <w:bottom w:val="single" w:sz="4" w:space="0" w:color="auto"/>
              <w:right w:val="single" w:sz="4" w:space="0" w:color="auto"/>
            </w:tcBorders>
            <w:shd w:val="clear" w:color="000000" w:fill="FFFFFF"/>
            <w:vAlign w:val="center"/>
            <w:hideMark/>
          </w:tcPr>
          <w:p w14:paraId="70E713AF" w14:textId="0CF40F28" w:rsidR="004C14FC" w:rsidRPr="004C14FC" w:rsidRDefault="004C14FC" w:rsidP="004C14FC">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4C14FC">
              <w:rPr>
                <w:rFonts w:ascii="Times New Roman" w:eastAsia="Times New Roman" w:hAnsi="Times New Roman" w:cs="Times New Roman"/>
                <w:i/>
                <w:iCs/>
                <w:color w:val="1A1C1E"/>
                <w:kern w:val="0"/>
                <w:sz w:val="22"/>
                <w:szCs w:val="22"/>
                <w:lang w:eastAsia="en-IN"/>
                <w14:ligatures w14:val="none"/>
              </w:rPr>
              <w:t>4</w:t>
            </w:r>
            <w:r w:rsidR="0086673A">
              <w:rPr>
                <w:rFonts w:ascii="Times New Roman" w:eastAsia="Times New Roman" w:hAnsi="Times New Roman" w:cs="Times New Roman"/>
                <w:i/>
                <w:iCs/>
                <w:color w:val="1A1C1E"/>
                <w:kern w:val="0"/>
                <w:sz w:val="22"/>
                <w:szCs w:val="22"/>
                <w:lang w:eastAsia="en-IN"/>
                <w14:ligatures w14:val="none"/>
              </w:rPr>
              <w:t>.0</w:t>
            </w:r>
          </w:p>
        </w:tc>
        <w:tc>
          <w:tcPr>
            <w:tcW w:w="2108" w:type="dxa"/>
            <w:tcBorders>
              <w:top w:val="nil"/>
              <w:left w:val="nil"/>
              <w:bottom w:val="single" w:sz="4" w:space="0" w:color="auto"/>
              <w:right w:val="single" w:sz="4" w:space="0" w:color="auto"/>
            </w:tcBorders>
            <w:shd w:val="clear" w:color="000000" w:fill="FFFFFF"/>
            <w:vAlign w:val="center"/>
            <w:hideMark/>
          </w:tcPr>
          <w:p w14:paraId="6BEB0CD8"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4C14FC">
              <w:rPr>
                <w:rFonts w:ascii="Times New Roman" w:eastAsia="Times New Roman" w:hAnsi="Times New Roman" w:cs="Times New Roman"/>
                <w:i/>
                <w:iCs/>
                <w:color w:val="1A1C1E"/>
                <w:kern w:val="0"/>
                <w:sz w:val="22"/>
                <w:szCs w:val="22"/>
                <w:lang w:eastAsia="en-IN"/>
                <w14:ligatures w14:val="none"/>
              </w:rPr>
              <w:t>2.1</w:t>
            </w:r>
          </w:p>
        </w:tc>
        <w:tc>
          <w:tcPr>
            <w:tcW w:w="1796" w:type="dxa"/>
            <w:tcBorders>
              <w:top w:val="nil"/>
              <w:left w:val="nil"/>
              <w:bottom w:val="single" w:sz="4" w:space="0" w:color="auto"/>
              <w:right w:val="single" w:sz="4" w:space="0" w:color="auto"/>
            </w:tcBorders>
            <w:shd w:val="clear" w:color="000000" w:fill="FFFFFF"/>
            <w:vAlign w:val="center"/>
            <w:hideMark/>
          </w:tcPr>
          <w:p w14:paraId="3358A671"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4C14FC">
              <w:rPr>
                <w:rFonts w:ascii="Times New Roman" w:eastAsia="Times New Roman" w:hAnsi="Times New Roman" w:cs="Times New Roman"/>
                <w:i/>
                <w:iCs/>
                <w:color w:val="1A1C1E"/>
                <w:kern w:val="0"/>
                <w:sz w:val="22"/>
                <w:szCs w:val="22"/>
                <w:lang w:eastAsia="en-IN"/>
                <w14:ligatures w14:val="none"/>
              </w:rPr>
              <w:t>0.9</w:t>
            </w:r>
          </w:p>
        </w:tc>
      </w:tr>
      <w:tr w:rsidR="004C14FC" w:rsidRPr="004C14FC" w14:paraId="509D1B01" w14:textId="77777777" w:rsidTr="004C14FC">
        <w:trPr>
          <w:trHeight w:val="20"/>
          <w:jc w:val="center"/>
        </w:trPr>
        <w:tc>
          <w:tcPr>
            <w:tcW w:w="2271" w:type="dxa"/>
            <w:tcBorders>
              <w:top w:val="nil"/>
              <w:left w:val="single" w:sz="4" w:space="0" w:color="auto"/>
              <w:bottom w:val="single" w:sz="4" w:space="0" w:color="auto"/>
              <w:right w:val="single" w:sz="4" w:space="0" w:color="auto"/>
            </w:tcBorders>
            <w:shd w:val="clear" w:color="000000" w:fill="FFFFFF"/>
            <w:vAlign w:val="center"/>
            <w:hideMark/>
          </w:tcPr>
          <w:p w14:paraId="7C634B4F"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Bihar</w:t>
            </w:r>
          </w:p>
        </w:tc>
        <w:tc>
          <w:tcPr>
            <w:tcW w:w="2788" w:type="dxa"/>
            <w:tcBorders>
              <w:top w:val="nil"/>
              <w:left w:val="nil"/>
              <w:bottom w:val="single" w:sz="4" w:space="0" w:color="auto"/>
              <w:right w:val="single" w:sz="4" w:space="0" w:color="auto"/>
            </w:tcBorders>
            <w:shd w:val="clear" w:color="000000" w:fill="FFFFFF"/>
            <w:vAlign w:val="center"/>
            <w:hideMark/>
          </w:tcPr>
          <w:p w14:paraId="084D141B"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757</w:t>
            </w:r>
          </w:p>
        </w:tc>
        <w:tc>
          <w:tcPr>
            <w:tcW w:w="2493" w:type="dxa"/>
            <w:tcBorders>
              <w:top w:val="nil"/>
              <w:left w:val="nil"/>
              <w:bottom w:val="single" w:sz="4" w:space="0" w:color="auto"/>
              <w:right w:val="single" w:sz="4" w:space="0" w:color="auto"/>
            </w:tcBorders>
            <w:shd w:val="clear" w:color="000000" w:fill="FFFFFF"/>
            <w:vAlign w:val="center"/>
            <w:hideMark/>
          </w:tcPr>
          <w:p w14:paraId="100913C6"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201</w:t>
            </w:r>
          </w:p>
        </w:tc>
        <w:tc>
          <w:tcPr>
            <w:tcW w:w="1501" w:type="dxa"/>
            <w:tcBorders>
              <w:top w:val="nil"/>
              <w:left w:val="nil"/>
              <w:bottom w:val="single" w:sz="4" w:space="0" w:color="auto"/>
              <w:right w:val="single" w:sz="4" w:space="0" w:color="auto"/>
            </w:tcBorders>
            <w:shd w:val="clear" w:color="000000" w:fill="FFFFFF"/>
            <w:vAlign w:val="center"/>
            <w:hideMark/>
          </w:tcPr>
          <w:p w14:paraId="47483CBD"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382</w:t>
            </w:r>
          </w:p>
        </w:tc>
        <w:tc>
          <w:tcPr>
            <w:tcW w:w="1503" w:type="dxa"/>
            <w:tcBorders>
              <w:top w:val="nil"/>
              <w:left w:val="nil"/>
              <w:bottom w:val="single" w:sz="4" w:space="0" w:color="auto"/>
              <w:right w:val="single" w:sz="4" w:space="0" w:color="auto"/>
            </w:tcBorders>
            <w:shd w:val="clear" w:color="000000" w:fill="FFFFFF"/>
            <w:vAlign w:val="center"/>
            <w:hideMark/>
          </w:tcPr>
          <w:p w14:paraId="394F0623"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841</w:t>
            </w:r>
          </w:p>
        </w:tc>
        <w:tc>
          <w:tcPr>
            <w:tcW w:w="2108" w:type="dxa"/>
            <w:tcBorders>
              <w:top w:val="nil"/>
              <w:left w:val="nil"/>
              <w:bottom w:val="single" w:sz="4" w:space="0" w:color="auto"/>
              <w:right w:val="single" w:sz="4" w:space="0" w:color="auto"/>
            </w:tcBorders>
            <w:shd w:val="clear" w:color="000000" w:fill="FFFFFF"/>
            <w:vAlign w:val="center"/>
            <w:hideMark/>
          </w:tcPr>
          <w:p w14:paraId="27AB40A3"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412</w:t>
            </w:r>
          </w:p>
        </w:tc>
        <w:tc>
          <w:tcPr>
            <w:tcW w:w="1796" w:type="dxa"/>
            <w:tcBorders>
              <w:top w:val="nil"/>
              <w:left w:val="nil"/>
              <w:bottom w:val="single" w:sz="4" w:space="0" w:color="auto"/>
              <w:right w:val="single" w:sz="4" w:space="0" w:color="auto"/>
            </w:tcBorders>
            <w:shd w:val="clear" w:color="000000" w:fill="FFFFFF"/>
            <w:vAlign w:val="center"/>
            <w:hideMark/>
          </w:tcPr>
          <w:p w14:paraId="6FDB7179"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202</w:t>
            </w:r>
          </w:p>
        </w:tc>
      </w:tr>
      <w:tr w:rsidR="004C14FC" w:rsidRPr="004C14FC" w14:paraId="1972E771" w14:textId="77777777" w:rsidTr="004C14FC">
        <w:trPr>
          <w:trHeight w:val="20"/>
          <w:jc w:val="center"/>
        </w:trPr>
        <w:tc>
          <w:tcPr>
            <w:tcW w:w="2271" w:type="dxa"/>
            <w:tcBorders>
              <w:top w:val="nil"/>
              <w:left w:val="single" w:sz="4" w:space="0" w:color="auto"/>
              <w:bottom w:val="single" w:sz="4" w:space="0" w:color="auto"/>
              <w:right w:val="single" w:sz="4" w:space="0" w:color="auto"/>
            </w:tcBorders>
            <w:shd w:val="clear" w:color="000000" w:fill="FFFFFF"/>
            <w:vAlign w:val="center"/>
            <w:hideMark/>
          </w:tcPr>
          <w:p w14:paraId="3621CC81" w14:textId="7F8BE1C4"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p>
        </w:tc>
        <w:tc>
          <w:tcPr>
            <w:tcW w:w="2788" w:type="dxa"/>
            <w:tcBorders>
              <w:top w:val="nil"/>
              <w:left w:val="nil"/>
              <w:bottom w:val="single" w:sz="4" w:space="0" w:color="auto"/>
              <w:right w:val="single" w:sz="4" w:space="0" w:color="auto"/>
            </w:tcBorders>
            <w:shd w:val="clear" w:color="000000" w:fill="FFFFFF"/>
            <w:vAlign w:val="center"/>
            <w:hideMark/>
          </w:tcPr>
          <w:p w14:paraId="49AF5438"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4C14FC">
              <w:rPr>
                <w:rFonts w:ascii="Times New Roman" w:eastAsia="Times New Roman" w:hAnsi="Times New Roman" w:cs="Times New Roman"/>
                <w:i/>
                <w:iCs/>
                <w:color w:val="1A1C1E"/>
                <w:kern w:val="0"/>
                <w:sz w:val="22"/>
                <w:szCs w:val="22"/>
                <w:lang w:eastAsia="en-IN"/>
                <w14:ligatures w14:val="none"/>
              </w:rPr>
              <w:t>1.9</w:t>
            </w:r>
          </w:p>
        </w:tc>
        <w:tc>
          <w:tcPr>
            <w:tcW w:w="2493" w:type="dxa"/>
            <w:tcBorders>
              <w:top w:val="nil"/>
              <w:left w:val="nil"/>
              <w:bottom w:val="single" w:sz="4" w:space="0" w:color="auto"/>
              <w:right w:val="single" w:sz="4" w:space="0" w:color="auto"/>
            </w:tcBorders>
            <w:shd w:val="clear" w:color="000000" w:fill="FFFFFF"/>
            <w:vAlign w:val="center"/>
            <w:hideMark/>
          </w:tcPr>
          <w:p w14:paraId="663EBCA3"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4C14FC">
              <w:rPr>
                <w:rFonts w:ascii="Times New Roman" w:eastAsia="Times New Roman" w:hAnsi="Times New Roman" w:cs="Times New Roman"/>
                <w:i/>
                <w:iCs/>
                <w:color w:val="1A1C1E"/>
                <w:kern w:val="0"/>
                <w:sz w:val="22"/>
                <w:szCs w:val="22"/>
                <w:lang w:eastAsia="en-IN"/>
                <w14:ligatures w14:val="none"/>
              </w:rPr>
              <w:t>0.5</w:t>
            </w:r>
          </w:p>
        </w:tc>
        <w:tc>
          <w:tcPr>
            <w:tcW w:w="1501" w:type="dxa"/>
            <w:tcBorders>
              <w:top w:val="nil"/>
              <w:left w:val="nil"/>
              <w:bottom w:val="single" w:sz="4" w:space="0" w:color="auto"/>
              <w:right w:val="single" w:sz="4" w:space="0" w:color="auto"/>
            </w:tcBorders>
            <w:shd w:val="clear" w:color="000000" w:fill="FFFFFF"/>
            <w:vAlign w:val="center"/>
            <w:hideMark/>
          </w:tcPr>
          <w:p w14:paraId="0FD7A052" w14:textId="3EA7DB24" w:rsidR="004C14FC" w:rsidRPr="004C14FC" w:rsidRDefault="004C14FC" w:rsidP="004C14FC">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4C14FC">
              <w:rPr>
                <w:rFonts w:ascii="Times New Roman" w:eastAsia="Times New Roman" w:hAnsi="Times New Roman" w:cs="Times New Roman"/>
                <w:i/>
                <w:iCs/>
                <w:color w:val="1A1C1E"/>
                <w:kern w:val="0"/>
                <w:sz w:val="22"/>
                <w:szCs w:val="22"/>
                <w:lang w:eastAsia="en-IN"/>
                <w14:ligatures w14:val="none"/>
              </w:rPr>
              <w:t>1</w:t>
            </w:r>
            <w:r w:rsidR="0086673A">
              <w:rPr>
                <w:rFonts w:ascii="Times New Roman" w:eastAsia="Times New Roman" w:hAnsi="Times New Roman" w:cs="Times New Roman"/>
                <w:i/>
                <w:iCs/>
                <w:color w:val="1A1C1E"/>
                <w:kern w:val="0"/>
                <w:sz w:val="22"/>
                <w:szCs w:val="22"/>
                <w:lang w:eastAsia="en-IN"/>
                <w14:ligatures w14:val="none"/>
              </w:rPr>
              <w:t>.0</w:t>
            </w:r>
          </w:p>
        </w:tc>
        <w:tc>
          <w:tcPr>
            <w:tcW w:w="1503" w:type="dxa"/>
            <w:tcBorders>
              <w:top w:val="nil"/>
              <w:left w:val="nil"/>
              <w:bottom w:val="single" w:sz="4" w:space="0" w:color="auto"/>
              <w:right w:val="single" w:sz="4" w:space="0" w:color="auto"/>
            </w:tcBorders>
            <w:shd w:val="clear" w:color="000000" w:fill="FFFFFF"/>
            <w:vAlign w:val="center"/>
            <w:hideMark/>
          </w:tcPr>
          <w:p w14:paraId="5E2E1ADE"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4C14FC">
              <w:rPr>
                <w:rFonts w:ascii="Times New Roman" w:eastAsia="Times New Roman" w:hAnsi="Times New Roman" w:cs="Times New Roman"/>
                <w:i/>
                <w:iCs/>
                <w:color w:val="1A1C1E"/>
                <w:kern w:val="0"/>
                <w:sz w:val="22"/>
                <w:szCs w:val="22"/>
                <w:lang w:eastAsia="en-IN"/>
                <w14:ligatures w14:val="none"/>
              </w:rPr>
              <w:t>2.1</w:t>
            </w:r>
          </w:p>
        </w:tc>
        <w:tc>
          <w:tcPr>
            <w:tcW w:w="2108" w:type="dxa"/>
            <w:tcBorders>
              <w:top w:val="nil"/>
              <w:left w:val="nil"/>
              <w:bottom w:val="single" w:sz="4" w:space="0" w:color="auto"/>
              <w:right w:val="single" w:sz="4" w:space="0" w:color="auto"/>
            </w:tcBorders>
            <w:shd w:val="clear" w:color="000000" w:fill="FFFFFF"/>
            <w:vAlign w:val="center"/>
            <w:hideMark/>
          </w:tcPr>
          <w:p w14:paraId="29C98F84" w14:textId="0B270416" w:rsidR="004C14FC" w:rsidRPr="004C14FC" w:rsidRDefault="004C14FC" w:rsidP="004C14FC">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4C14FC">
              <w:rPr>
                <w:rFonts w:ascii="Times New Roman" w:eastAsia="Times New Roman" w:hAnsi="Times New Roman" w:cs="Times New Roman"/>
                <w:i/>
                <w:iCs/>
                <w:color w:val="1A1C1E"/>
                <w:kern w:val="0"/>
                <w:sz w:val="22"/>
                <w:szCs w:val="22"/>
                <w:lang w:eastAsia="en-IN"/>
                <w14:ligatures w14:val="none"/>
              </w:rPr>
              <w:t>1</w:t>
            </w:r>
            <w:r w:rsidR="00900B42">
              <w:rPr>
                <w:rFonts w:ascii="Times New Roman" w:eastAsia="Times New Roman" w:hAnsi="Times New Roman" w:cs="Times New Roman"/>
                <w:i/>
                <w:iCs/>
                <w:color w:val="1A1C1E"/>
                <w:kern w:val="0"/>
                <w:sz w:val="22"/>
                <w:szCs w:val="22"/>
                <w:lang w:eastAsia="en-IN"/>
                <w14:ligatures w14:val="none"/>
              </w:rPr>
              <w:t>.0</w:t>
            </w:r>
          </w:p>
        </w:tc>
        <w:tc>
          <w:tcPr>
            <w:tcW w:w="1796" w:type="dxa"/>
            <w:tcBorders>
              <w:top w:val="nil"/>
              <w:left w:val="nil"/>
              <w:bottom w:val="single" w:sz="4" w:space="0" w:color="auto"/>
              <w:right w:val="single" w:sz="4" w:space="0" w:color="auto"/>
            </w:tcBorders>
            <w:shd w:val="clear" w:color="000000" w:fill="FFFFFF"/>
            <w:vAlign w:val="center"/>
            <w:hideMark/>
          </w:tcPr>
          <w:p w14:paraId="34937EC4"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4C14FC">
              <w:rPr>
                <w:rFonts w:ascii="Times New Roman" w:eastAsia="Times New Roman" w:hAnsi="Times New Roman" w:cs="Times New Roman"/>
                <w:i/>
                <w:iCs/>
                <w:color w:val="1A1C1E"/>
                <w:kern w:val="0"/>
                <w:sz w:val="22"/>
                <w:szCs w:val="22"/>
                <w:lang w:eastAsia="en-IN"/>
                <w14:ligatures w14:val="none"/>
              </w:rPr>
              <w:t>0.5</w:t>
            </w:r>
          </w:p>
        </w:tc>
      </w:tr>
      <w:tr w:rsidR="004C14FC" w:rsidRPr="004C14FC" w14:paraId="6A5BF9C9" w14:textId="77777777" w:rsidTr="004C14FC">
        <w:trPr>
          <w:trHeight w:val="20"/>
          <w:jc w:val="center"/>
        </w:trPr>
        <w:tc>
          <w:tcPr>
            <w:tcW w:w="2271" w:type="dxa"/>
            <w:tcBorders>
              <w:top w:val="nil"/>
              <w:left w:val="single" w:sz="4" w:space="0" w:color="auto"/>
              <w:bottom w:val="single" w:sz="4" w:space="0" w:color="auto"/>
              <w:right w:val="single" w:sz="4" w:space="0" w:color="auto"/>
            </w:tcBorders>
            <w:shd w:val="clear" w:color="000000" w:fill="FFFFFF"/>
            <w:vAlign w:val="center"/>
            <w:hideMark/>
          </w:tcPr>
          <w:p w14:paraId="6825A367"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Bombay</w:t>
            </w:r>
          </w:p>
        </w:tc>
        <w:tc>
          <w:tcPr>
            <w:tcW w:w="2788" w:type="dxa"/>
            <w:tcBorders>
              <w:top w:val="nil"/>
              <w:left w:val="nil"/>
              <w:bottom w:val="single" w:sz="4" w:space="0" w:color="auto"/>
              <w:right w:val="single" w:sz="4" w:space="0" w:color="auto"/>
            </w:tcBorders>
            <w:shd w:val="clear" w:color="000000" w:fill="FFFFFF"/>
            <w:vAlign w:val="center"/>
            <w:hideMark/>
          </w:tcPr>
          <w:p w14:paraId="06FA9FF5"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1637</w:t>
            </w:r>
          </w:p>
        </w:tc>
        <w:tc>
          <w:tcPr>
            <w:tcW w:w="2493" w:type="dxa"/>
            <w:tcBorders>
              <w:top w:val="nil"/>
              <w:left w:val="nil"/>
              <w:bottom w:val="single" w:sz="4" w:space="0" w:color="auto"/>
              <w:right w:val="single" w:sz="4" w:space="0" w:color="auto"/>
            </w:tcBorders>
            <w:shd w:val="clear" w:color="000000" w:fill="FFFFFF"/>
            <w:vAlign w:val="center"/>
            <w:hideMark/>
          </w:tcPr>
          <w:p w14:paraId="57D71EF1"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422</w:t>
            </w:r>
          </w:p>
        </w:tc>
        <w:tc>
          <w:tcPr>
            <w:tcW w:w="1501" w:type="dxa"/>
            <w:tcBorders>
              <w:top w:val="nil"/>
              <w:left w:val="nil"/>
              <w:bottom w:val="single" w:sz="4" w:space="0" w:color="auto"/>
              <w:right w:val="single" w:sz="4" w:space="0" w:color="auto"/>
            </w:tcBorders>
            <w:shd w:val="clear" w:color="000000" w:fill="FFFFFF"/>
            <w:vAlign w:val="center"/>
            <w:hideMark/>
          </w:tcPr>
          <w:p w14:paraId="72CAF271"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924</w:t>
            </w:r>
          </w:p>
        </w:tc>
        <w:tc>
          <w:tcPr>
            <w:tcW w:w="1503" w:type="dxa"/>
            <w:tcBorders>
              <w:top w:val="nil"/>
              <w:left w:val="nil"/>
              <w:bottom w:val="single" w:sz="4" w:space="0" w:color="auto"/>
              <w:right w:val="single" w:sz="4" w:space="0" w:color="auto"/>
            </w:tcBorders>
            <w:shd w:val="clear" w:color="000000" w:fill="FFFFFF"/>
            <w:vAlign w:val="center"/>
            <w:hideMark/>
          </w:tcPr>
          <w:p w14:paraId="6EC3D2A8"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2151</w:t>
            </w:r>
          </w:p>
        </w:tc>
        <w:tc>
          <w:tcPr>
            <w:tcW w:w="2108" w:type="dxa"/>
            <w:tcBorders>
              <w:top w:val="nil"/>
              <w:left w:val="nil"/>
              <w:bottom w:val="single" w:sz="4" w:space="0" w:color="auto"/>
              <w:right w:val="single" w:sz="4" w:space="0" w:color="auto"/>
            </w:tcBorders>
            <w:shd w:val="clear" w:color="000000" w:fill="FFFFFF"/>
            <w:vAlign w:val="center"/>
            <w:hideMark/>
          </w:tcPr>
          <w:p w14:paraId="69756FBD"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1290</w:t>
            </w:r>
          </w:p>
        </w:tc>
        <w:tc>
          <w:tcPr>
            <w:tcW w:w="1796" w:type="dxa"/>
            <w:tcBorders>
              <w:top w:val="nil"/>
              <w:left w:val="nil"/>
              <w:bottom w:val="single" w:sz="4" w:space="0" w:color="auto"/>
              <w:right w:val="single" w:sz="4" w:space="0" w:color="auto"/>
            </w:tcBorders>
            <w:shd w:val="clear" w:color="000000" w:fill="FFFFFF"/>
            <w:vAlign w:val="center"/>
            <w:hideMark/>
          </w:tcPr>
          <w:p w14:paraId="594C977A"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465</w:t>
            </w:r>
          </w:p>
        </w:tc>
      </w:tr>
      <w:tr w:rsidR="004C14FC" w:rsidRPr="004C14FC" w14:paraId="216C2E4F" w14:textId="77777777" w:rsidTr="004C14FC">
        <w:trPr>
          <w:trHeight w:val="20"/>
          <w:jc w:val="center"/>
        </w:trPr>
        <w:tc>
          <w:tcPr>
            <w:tcW w:w="2271" w:type="dxa"/>
            <w:tcBorders>
              <w:top w:val="nil"/>
              <w:left w:val="single" w:sz="4" w:space="0" w:color="auto"/>
              <w:bottom w:val="single" w:sz="4" w:space="0" w:color="auto"/>
              <w:right w:val="single" w:sz="4" w:space="0" w:color="auto"/>
            </w:tcBorders>
            <w:shd w:val="clear" w:color="000000" w:fill="FFFFFF"/>
            <w:vAlign w:val="center"/>
            <w:hideMark/>
          </w:tcPr>
          <w:p w14:paraId="658A8562" w14:textId="34610AA6"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p>
        </w:tc>
        <w:tc>
          <w:tcPr>
            <w:tcW w:w="2788" w:type="dxa"/>
            <w:tcBorders>
              <w:top w:val="nil"/>
              <w:left w:val="nil"/>
              <w:bottom w:val="single" w:sz="4" w:space="0" w:color="auto"/>
              <w:right w:val="single" w:sz="4" w:space="0" w:color="auto"/>
            </w:tcBorders>
            <w:shd w:val="clear" w:color="000000" w:fill="FFFFFF"/>
            <w:vAlign w:val="center"/>
            <w:hideMark/>
          </w:tcPr>
          <w:p w14:paraId="0E2BF9FD"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4C14FC">
              <w:rPr>
                <w:rFonts w:ascii="Times New Roman" w:eastAsia="Times New Roman" w:hAnsi="Times New Roman" w:cs="Times New Roman"/>
                <w:i/>
                <w:iCs/>
                <w:color w:val="1A1C1E"/>
                <w:kern w:val="0"/>
                <w:sz w:val="22"/>
                <w:szCs w:val="22"/>
                <w:lang w:eastAsia="en-IN"/>
                <w14:ligatures w14:val="none"/>
              </w:rPr>
              <w:t>4.5</w:t>
            </w:r>
          </w:p>
        </w:tc>
        <w:tc>
          <w:tcPr>
            <w:tcW w:w="2493" w:type="dxa"/>
            <w:tcBorders>
              <w:top w:val="nil"/>
              <w:left w:val="nil"/>
              <w:bottom w:val="single" w:sz="4" w:space="0" w:color="auto"/>
              <w:right w:val="single" w:sz="4" w:space="0" w:color="auto"/>
            </w:tcBorders>
            <w:shd w:val="clear" w:color="000000" w:fill="FFFFFF"/>
            <w:vAlign w:val="center"/>
            <w:hideMark/>
          </w:tcPr>
          <w:p w14:paraId="48221C47"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4C14FC">
              <w:rPr>
                <w:rFonts w:ascii="Times New Roman" w:eastAsia="Times New Roman" w:hAnsi="Times New Roman" w:cs="Times New Roman"/>
                <w:i/>
                <w:iCs/>
                <w:color w:val="1A1C1E"/>
                <w:kern w:val="0"/>
                <w:sz w:val="22"/>
                <w:szCs w:val="22"/>
                <w:lang w:eastAsia="en-IN"/>
                <w14:ligatures w14:val="none"/>
              </w:rPr>
              <w:t>1.2</w:t>
            </w:r>
          </w:p>
        </w:tc>
        <w:tc>
          <w:tcPr>
            <w:tcW w:w="1501" w:type="dxa"/>
            <w:tcBorders>
              <w:top w:val="nil"/>
              <w:left w:val="nil"/>
              <w:bottom w:val="single" w:sz="4" w:space="0" w:color="auto"/>
              <w:right w:val="single" w:sz="4" w:space="0" w:color="auto"/>
            </w:tcBorders>
            <w:shd w:val="clear" w:color="000000" w:fill="FFFFFF"/>
            <w:vAlign w:val="center"/>
            <w:hideMark/>
          </w:tcPr>
          <w:p w14:paraId="5FA3A090"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4C14FC">
              <w:rPr>
                <w:rFonts w:ascii="Times New Roman" w:eastAsia="Times New Roman" w:hAnsi="Times New Roman" w:cs="Times New Roman"/>
                <w:i/>
                <w:iCs/>
                <w:color w:val="1A1C1E"/>
                <w:kern w:val="0"/>
                <w:sz w:val="22"/>
                <w:szCs w:val="22"/>
                <w:lang w:eastAsia="en-IN"/>
                <w14:ligatures w14:val="none"/>
              </w:rPr>
              <w:t>2.6</w:t>
            </w:r>
          </w:p>
        </w:tc>
        <w:tc>
          <w:tcPr>
            <w:tcW w:w="1503" w:type="dxa"/>
            <w:tcBorders>
              <w:top w:val="nil"/>
              <w:left w:val="nil"/>
              <w:bottom w:val="single" w:sz="4" w:space="0" w:color="auto"/>
              <w:right w:val="single" w:sz="4" w:space="0" w:color="auto"/>
            </w:tcBorders>
            <w:shd w:val="clear" w:color="000000" w:fill="FFFFFF"/>
            <w:vAlign w:val="center"/>
            <w:hideMark/>
          </w:tcPr>
          <w:p w14:paraId="2353AD2D" w14:textId="40FF8608" w:rsidR="004C14FC" w:rsidRPr="004C14FC" w:rsidRDefault="004C14FC" w:rsidP="004C14FC">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4C14FC">
              <w:rPr>
                <w:rFonts w:ascii="Times New Roman" w:eastAsia="Times New Roman" w:hAnsi="Times New Roman" w:cs="Times New Roman"/>
                <w:i/>
                <w:iCs/>
                <w:color w:val="1A1C1E"/>
                <w:kern w:val="0"/>
                <w:sz w:val="22"/>
                <w:szCs w:val="22"/>
                <w:lang w:eastAsia="en-IN"/>
                <w14:ligatures w14:val="none"/>
              </w:rPr>
              <w:t>6</w:t>
            </w:r>
            <w:r w:rsidR="0086673A">
              <w:rPr>
                <w:rFonts w:ascii="Times New Roman" w:eastAsia="Times New Roman" w:hAnsi="Times New Roman" w:cs="Times New Roman"/>
                <w:i/>
                <w:iCs/>
                <w:color w:val="1A1C1E"/>
                <w:kern w:val="0"/>
                <w:sz w:val="22"/>
                <w:szCs w:val="22"/>
                <w:lang w:eastAsia="en-IN"/>
                <w14:ligatures w14:val="none"/>
              </w:rPr>
              <w:t>.0</w:t>
            </w:r>
          </w:p>
        </w:tc>
        <w:tc>
          <w:tcPr>
            <w:tcW w:w="2108" w:type="dxa"/>
            <w:tcBorders>
              <w:top w:val="nil"/>
              <w:left w:val="nil"/>
              <w:bottom w:val="single" w:sz="4" w:space="0" w:color="auto"/>
              <w:right w:val="single" w:sz="4" w:space="0" w:color="auto"/>
            </w:tcBorders>
            <w:shd w:val="clear" w:color="000000" w:fill="FFFFFF"/>
            <w:vAlign w:val="center"/>
            <w:hideMark/>
          </w:tcPr>
          <w:p w14:paraId="5C274A4C"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4C14FC">
              <w:rPr>
                <w:rFonts w:ascii="Times New Roman" w:eastAsia="Times New Roman" w:hAnsi="Times New Roman" w:cs="Times New Roman"/>
                <w:i/>
                <w:iCs/>
                <w:color w:val="1A1C1E"/>
                <w:kern w:val="0"/>
                <w:sz w:val="22"/>
                <w:szCs w:val="22"/>
                <w:lang w:eastAsia="en-IN"/>
                <w14:ligatures w14:val="none"/>
              </w:rPr>
              <w:t>3.6</w:t>
            </w:r>
          </w:p>
        </w:tc>
        <w:tc>
          <w:tcPr>
            <w:tcW w:w="1796" w:type="dxa"/>
            <w:tcBorders>
              <w:top w:val="nil"/>
              <w:left w:val="nil"/>
              <w:bottom w:val="single" w:sz="4" w:space="0" w:color="auto"/>
              <w:right w:val="single" w:sz="4" w:space="0" w:color="auto"/>
            </w:tcBorders>
            <w:shd w:val="clear" w:color="000000" w:fill="FFFFFF"/>
            <w:vAlign w:val="center"/>
            <w:hideMark/>
          </w:tcPr>
          <w:p w14:paraId="6A5A333A"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4C14FC">
              <w:rPr>
                <w:rFonts w:ascii="Times New Roman" w:eastAsia="Times New Roman" w:hAnsi="Times New Roman" w:cs="Times New Roman"/>
                <w:i/>
                <w:iCs/>
                <w:color w:val="1A1C1E"/>
                <w:kern w:val="0"/>
                <w:sz w:val="22"/>
                <w:szCs w:val="22"/>
                <w:lang w:eastAsia="en-IN"/>
                <w14:ligatures w14:val="none"/>
              </w:rPr>
              <w:t>1.3</w:t>
            </w:r>
          </w:p>
        </w:tc>
      </w:tr>
      <w:tr w:rsidR="004C14FC" w:rsidRPr="004C14FC" w14:paraId="2B4075D2" w14:textId="77777777" w:rsidTr="004C14FC">
        <w:trPr>
          <w:trHeight w:val="20"/>
          <w:jc w:val="center"/>
        </w:trPr>
        <w:tc>
          <w:tcPr>
            <w:tcW w:w="2271" w:type="dxa"/>
            <w:tcBorders>
              <w:top w:val="nil"/>
              <w:left w:val="single" w:sz="4" w:space="0" w:color="auto"/>
              <w:bottom w:val="single" w:sz="4" w:space="0" w:color="auto"/>
              <w:right w:val="single" w:sz="4" w:space="0" w:color="auto"/>
            </w:tcBorders>
            <w:shd w:val="clear" w:color="000000" w:fill="FFFFFF"/>
            <w:vAlign w:val="center"/>
            <w:hideMark/>
          </w:tcPr>
          <w:p w14:paraId="4E39584D"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Madhya Pradesh</w:t>
            </w:r>
          </w:p>
        </w:tc>
        <w:tc>
          <w:tcPr>
            <w:tcW w:w="2788" w:type="dxa"/>
            <w:tcBorders>
              <w:top w:val="nil"/>
              <w:left w:val="nil"/>
              <w:bottom w:val="single" w:sz="4" w:space="0" w:color="auto"/>
              <w:right w:val="single" w:sz="4" w:space="0" w:color="auto"/>
            </w:tcBorders>
            <w:shd w:val="clear" w:color="000000" w:fill="FFFFFF"/>
            <w:vAlign w:val="center"/>
            <w:hideMark/>
          </w:tcPr>
          <w:p w14:paraId="08FD6661"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479</w:t>
            </w:r>
          </w:p>
        </w:tc>
        <w:tc>
          <w:tcPr>
            <w:tcW w:w="2493" w:type="dxa"/>
            <w:tcBorders>
              <w:top w:val="nil"/>
              <w:left w:val="nil"/>
              <w:bottom w:val="single" w:sz="4" w:space="0" w:color="auto"/>
              <w:right w:val="single" w:sz="4" w:space="0" w:color="auto"/>
            </w:tcBorders>
            <w:shd w:val="clear" w:color="000000" w:fill="FFFFFF"/>
            <w:vAlign w:val="center"/>
            <w:hideMark/>
          </w:tcPr>
          <w:p w14:paraId="7C4D59FF"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172</w:t>
            </w:r>
          </w:p>
        </w:tc>
        <w:tc>
          <w:tcPr>
            <w:tcW w:w="1501" w:type="dxa"/>
            <w:tcBorders>
              <w:top w:val="nil"/>
              <w:left w:val="nil"/>
              <w:bottom w:val="single" w:sz="4" w:space="0" w:color="auto"/>
              <w:right w:val="single" w:sz="4" w:space="0" w:color="auto"/>
            </w:tcBorders>
            <w:shd w:val="clear" w:color="000000" w:fill="FFFFFF"/>
            <w:vAlign w:val="center"/>
            <w:hideMark/>
          </w:tcPr>
          <w:p w14:paraId="3E8285C5"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236</w:t>
            </w:r>
          </w:p>
        </w:tc>
        <w:tc>
          <w:tcPr>
            <w:tcW w:w="1503" w:type="dxa"/>
            <w:tcBorders>
              <w:top w:val="nil"/>
              <w:left w:val="nil"/>
              <w:bottom w:val="single" w:sz="4" w:space="0" w:color="auto"/>
              <w:right w:val="single" w:sz="4" w:space="0" w:color="auto"/>
            </w:tcBorders>
            <w:shd w:val="clear" w:color="000000" w:fill="FFFFFF"/>
            <w:vAlign w:val="center"/>
            <w:hideMark/>
          </w:tcPr>
          <w:p w14:paraId="3052B367"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623</w:t>
            </w:r>
          </w:p>
        </w:tc>
        <w:tc>
          <w:tcPr>
            <w:tcW w:w="2108" w:type="dxa"/>
            <w:tcBorders>
              <w:top w:val="nil"/>
              <w:left w:val="nil"/>
              <w:bottom w:val="single" w:sz="4" w:space="0" w:color="auto"/>
              <w:right w:val="single" w:sz="4" w:space="0" w:color="auto"/>
            </w:tcBorders>
            <w:shd w:val="clear" w:color="000000" w:fill="FFFFFF"/>
            <w:vAlign w:val="center"/>
            <w:hideMark/>
          </w:tcPr>
          <w:p w14:paraId="6FB95247"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345</w:t>
            </w:r>
          </w:p>
        </w:tc>
        <w:tc>
          <w:tcPr>
            <w:tcW w:w="1796" w:type="dxa"/>
            <w:tcBorders>
              <w:top w:val="nil"/>
              <w:left w:val="nil"/>
              <w:bottom w:val="single" w:sz="4" w:space="0" w:color="auto"/>
              <w:right w:val="single" w:sz="4" w:space="0" w:color="auto"/>
            </w:tcBorders>
            <w:shd w:val="clear" w:color="000000" w:fill="FFFFFF"/>
            <w:vAlign w:val="center"/>
            <w:hideMark/>
          </w:tcPr>
          <w:p w14:paraId="33966228"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106</w:t>
            </w:r>
          </w:p>
        </w:tc>
      </w:tr>
      <w:tr w:rsidR="004C14FC" w:rsidRPr="004C14FC" w14:paraId="26CB2506" w14:textId="77777777" w:rsidTr="004C14FC">
        <w:trPr>
          <w:trHeight w:val="20"/>
          <w:jc w:val="center"/>
        </w:trPr>
        <w:tc>
          <w:tcPr>
            <w:tcW w:w="2271" w:type="dxa"/>
            <w:tcBorders>
              <w:top w:val="nil"/>
              <w:left w:val="single" w:sz="4" w:space="0" w:color="auto"/>
              <w:bottom w:val="single" w:sz="4" w:space="0" w:color="auto"/>
              <w:right w:val="single" w:sz="4" w:space="0" w:color="auto"/>
            </w:tcBorders>
            <w:shd w:val="clear" w:color="000000" w:fill="FFFFFF"/>
            <w:vAlign w:val="center"/>
            <w:hideMark/>
          </w:tcPr>
          <w:p w14:paraId="62F4B23C" w14:textId="09E25242"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p>
        </w:tc>
        <w:tc>
          <w:tcPr>
            <w:tcW w:w="2788" w:type="dxa"/>
            <w:tcBorders>
              <w:top w:val="nil"/>
              <w:left w:val="nil"/>
              <w:bottom w:val="single" w:sz="4" w:space="0" w:color="auto"/>
              <w:right w:val="single" w:sz="4" w:space="0" w:color="auto"/>
            </w:tcBorders>
            <w:shd w:val="clear" w:color="000000" w:fill="FFFFFF"/>
            <w:vAlign w:val="center"/>
            <w:hideMark/>
          </w:tcPr>
          <w:p w14:paraId="6066836F"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4C14FC">
              <w:rPr>
                <w:rFonts w:ascii="Times New Roman" w:eastAsia="Times New Roman" w:hAnsi="Times New Roman" w:cs="Times New Roman"/>
                <w:i/>
                <w:iCs/>
                <w:color w:val="1A1C1E"/>
                <w:kern w:val="0"/>
                <w:sz w:val="22"/>
                <w:szCs w:val="22"/>
                <w:lang w:eastAsia="en-IN"/>
                <w14:ligatures w14:val="none"/>
              </w:rPr>
              <w:t>2.3</w:t>
            </w:r>
          </w:p>
        </w:tc>
        <w:tc>
          <w:tcPr>
            <w:tcW w:w="2493" w:type="dxa"/>
            <w:tcBorders>
              <w:top w:val="nil"/>
              <w:left w:val="nil"/>
              <w:bottom w:val="single" w:sz="4" w:space="0" w:color="auto"/>
              <w:right w:val="single" w:sz="4" w:space="0" w:color="auto"/>
            </w:tcBorders>
            <w:shd w:val="clear" w:color="000000" w:fill="FFFFFF"/>
            <w:vAlign w:val="center"/>
            <w:hideMark/>
          </w:tcPr>
          <w:p w14:paraId="57CD18C8"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4C14FC">
              <w:rPr>
                <w:rFonts w:ascii="Times New Roman" w:eastAsia="Times New Roman" w:hAnsi="Times New Roman" w:cs="Times New Roman"/>
                <w:i/>
                <w:iCs/>
                <w:color w:val="1A1C1E"/>
                <w:kern w:val="0"/>
                <w:sz w:val="22"/>
                <w:szCs w:val="22"/>
                <w:lang w:eastAsia="en-IN"/>
                <w14:ligatures w14:val="none"/>
              </w:rPr>
              <w:t>0.8</w:t>
            </w:r>
          </w:p>
        </w:tc>
        <w:tc>
          <w:tcPr>
            <w:tcW w:w="1501" w:type="dxa"/>
            <w:tcBorders>
              <w:top w:val="nil"/>
              <w:left w:val="nil"/>
              <w:bottom w:val="single" w:sz="4" w:space="0" w:color="auto"/>
              <w:right w:val="single" w:sz="4" w:space="0" w:color="auto"/>
            </w:tcBorders>
            <w:shd w:val="clear" w:color="000000" w:fill="FFFFFF"/>
            <w:vAlign w:val="center"/>
            <w:hideMark/>
          </w:tcPr>
          <w:p w14:paraId="723C9A3A"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4C14FC">
              <w:rPr>
                <w:rFonts w:ascii="Times New Roman" w:eastAsia="Times New Roman" w:hAnsi="Times New Roman" w:cs="Times New Roman"/>
                <w:i/>
                <w:iCs/>
                <w:color w:val="1A1C1E"/>
                <w:kern w:val="0"/>
                <w:sz w:val="22"/>
                <w:szCs w:val="22"/>
                <w:lang w:eastAsia="en-IN"/>
                <w14:ligatures w14:val="none"/>
              </w:rPr>
              <w:t>1.1</w:t>
            </w:r>
          </w:p>
        </w:tc>
        <w:tc>
          <w:tcPr>
            <w:tcW w:w="1503" w:type="dxa"/>
            <w:tcBorders>
              <w:top w:val="nil"/>
              <w:left w:val="nil"/>
              <w:bottom w:val="single" w:sz="4" w:space="0" w:color="auto"/>
              <w:right w:val="single" w:sz="4" w:space="0" w:color="auto"/>
            </w:tcBorders>
            <w:shd w:val="clear" w:color="000000" w:fill="FFFFFF"/>
            <w:vAlign w:val="center"/>
            <w:hideMark/>
          </w:tcPr>
          <w:p w14:paraId="19F5A0A7"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4C14FC">
              <w:rPr>
                <w:rFonts w:ascii="Times New Roman" w:eastAsia="Times New Roman" w:hAnsi="Times New Roman" w:cs="Times New Roman"/>
                <w:i/>
                <w:iCs/>
                <w:color w:val="1A1C1E"/>
                <w:kern w:val="0"/>
                <w:sz w:val="22"/>
                <w:szCs w:val="22"/>
                <w:lang w:eastAsia="en-IN"/>
                <w14:ligatures w14:val="none"/>
              </w:rPr>
              <w:t>2.9</w:t>
            </w:r>
          </w:p>
        </w:tc>
        <w:tc>
          <w:tcPr>
            <w:tcW w:w="2108" w:type="dxa"/>
            <w:tcBorders>
              <w:top w:val="nil"/>
              <w:left w:val="nil"/>
              <w:bottom w:val="single" w:sz="4" w:space="0" w:color="auto"/>
              <w:right w:val="single" w:sz="4" w:space="0" w:color="auto"/>
            </w:tcBorders>
            <w:shd w:val="clear" w:color="000000" w:fill="FFFFFF"/>
            <w:vAlign w:val="center"/>
            <w:hideMark/>
          </w:tcPr>
          <w:p w14:paraId="7F20EAA0"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4C14FC">
              <w:rPr>
                <w:rFonts w:ascii="Times New Roman" w:eastAsia="Times New Roman" w:hAnsi="Times New Roman" w:cs="Times New Roman"/>
                <w:i/>
                <w:iCs/>
                <w:color w:val="1A1C1E"/>
                <w:kern w:val="0"/>
                <w:sz w:val="22"/>
                <w:szCs w:val="22"/>
                <w:lang w:eastAsia="en-IN"/>
                <w14:ligatures w14:val="none"/>
              </w:rPr>
              <w:t>1.6</w:t>
            </w:r>
          </w:p>
        </w:tc>
        <w:tc>
          <w:tcPr>
            <w:tcW w:w="1796" w:type="dxa"/>
            <w:tcBorders>
              <w:top w:val="nil"/>
              <w:left w:val="nil"/>
              <w:bottom w:val="single" w:sz="4" w:space="0" w:color="auto"/>
              <w:right w:val="single" w:sz="4" w:space="0" w:color="auto"/>
            </w:tcBorders>
            <w:shd w:val="clear" w:color="000000" w:fill="FFFFFF"/>
            <w:vAlign w:val="center"/>
            <w:hideMark/>
          </w:tcPr>
          <w:p w14:paraId="2CD5F2AA"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4C14FC">
              <w:rPr>
                <w:rFonts w:ascii="Times New Roman" w:eastAsia="Times New Roman" w:hAnsi="Times New Roman" w:cs="Times New Roman"/>
                <w:i/>
                <w:iCs/>
                <w:color w:val="1A1C1E"/>
                <w:kern w:val="0"/>
                <w:sz w:val="22"/>
                <w:szCs w:val="22"/>
                <w:lang w:eastAsia="en-IN"/>
                <w14:ligatures w14:val="none"/>
              </w:rPr>
              <w:t>0.5</w:t>
            </w:r>
          </w:p>
        </w:tc>
      </w:tr>
      <w:tr w:rsidR="004C14FC" w:rsidRPr="004C14FC" w14:paraId="668FDF9C" w14:textId="77777777" w:rsidTr="004C14FC">
        <w:trPr>
          <w:trHeight w:val="20"/>
          <w:jc w:val="center"/>
        </w:trPr>
        <w:tc>
          <w:tcPr>
            <w:tcW w:w="2271" w:type="dxa"/>
            <w:tcBorders>
              <w:top w:val="nil"/>
              <w:left w:val="single" w:sz="4" w:space="0" w:color="auto"/>
              <w:bottom w:val="single" w:sz="4" w:space="0" w:color="auto"/>
              <w:right w:val="single" w:sz="4" w:space="0" w:color="auto"/>
            </w:tcBorders>
            <w:shd w:val="clear" w:color="000000" w:fill="FFFFFF"/>
            <w:vAlign w:val="center"/>
            <w:hideMark/>
          </w:tcPr>
          <w:p w14:paraId="5A5812AC"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Madras</w:t>
            </w:r>
          </w:p>
        </w:tc>
        <w:tc>
          <w:tcPr>
            <w:tcW w:w="2788" w:type="dxa"/>
            <w:tcBorders>
              <w:top w:val="nil"/>
              <w:left w:val="nil"/>
              <w:bottom w:val="single" w:sz="4" w:space="0" w:color="auto"/>
              <w:right w:val="single" w:sz="4" w:space="0" w:color="auto"/>
            </w:tcBorders>
            <w:shd w:val="clear" w:color="000000" w:fill="FFFFFF"/>
            <w:vAlign w:val="center"/>
            <w:hideMark/>
          </w:tcPr>
          <w:p w14:paraId="7FD132DD"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1675</w:t>
            </w:r>
          </w:p>
        </w:tc>
        <w:tc>
          <w:tcPr>
            <w:tcW w:w="2493" w:type="dxa"/>
            <w:tcBorders>
              <w:top w:val="nil"/>
              <w:left w:val="nil"/>
              <w:bottom w:val="single" w:sz="4" w:space="0" w:color="auto"/>
              <w:right w:val="single" w:sz="4" w:space="0" w:color="auto"/>
            </w:tcBorders>
            <w:shd w:val="clear" w:color="000000" w:fill="FFFFFF"/>
            <w:vAlign w:val="center"/>
            <w:hideMark/>
          </w:tcPr>
          <w:p w14:paraId="17993515"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712</w:t>
            </w:r>
          </w:p>
        </w:tc>
        <w:tc>
          <w:tcPr>
            <w:tcW w:w="1501" w:type="dxa"/>
            <w:tcBorders>
              <w:top w:val="nil"/>
              <w:left w:val="nil"/>
              <w:bottom w:val="single" w:sz="4" w:space="0" w:color="auto"/>
              <w:right w:val="single" w:sz="4" w:space="0" w:color="auto"/>
            </w:tcBorders>
            <w:shd w:val="clear" w:color="000000" w:fill="FFFFFF"/>
            <w:vAlign w:val="center"/>
            <w:hideMark/>
          </w:tcPr>
          <w:p w14:paraId="6B963693"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668</w:t>
            </w:r>
          </w:p>
        </w:tc>
        <w:tc>
          <w:tcPr>
            <w:tcW w:w="1503" w:type="dxa"/>
            <w:tcBorders>
              <w:top w:val="nil"/>
              <w:left w:val="nil"/>
              <w:bottom w:val="single" w:sz="4" w:space="0" w:color="auto"/>
              <w:right w:val="single" w:sz="4" w:space="0" w:color="auto"/>
            </w:tcBorders>
            <w:shd w:val="clear" w:color="000000" w:fill="FFFFFF"/>
            <w:vAlign w:val="center"/>
            <w:hideMark/>
          </w:tcPr>
          <w:p w14:paraId="7CB89E55"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2193</w:t>
            </w:r>
          </w:p>
        </w:tc>
        <w:tc>
          <w:tcPr>
            <w:tcW w:w="2108" w:type="dxa"/>
            <w:tcBorders>
              <w:top w:val="nil"/>
              <w:left w:val="nil"/>
              <w:bottom w:val="single" w:sz="4" w:space="0" w:color="auto"/>
              <w:right w:val="single" w:sz="4" w:space="0" w:color="auto"/>
            </w:tcBorders>
            <w:shd w:val="clear" w:color="000000" w:fill="FFFFFF"/>
            <w:vAlign w:val="center"/>
            <w:hideMark/>
          </w:tcPr>
          <w:p w14:paraId="519F29AD"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1180</w:t>
            </w:r>
          </w:p>
        </w:tc>
        <w:tc>
          <w:tcPr>
            <w:tcW w:w="1796" w:type="dxa"/>
            <w:tcBorders>
              <w:top w:val="nil"/>
              <w:left w:val="nil"/>
              <w:bottom w:val="single" w:sz="4" w:space="0" w:color="auto"/>
              <w:right w:val="single" w:sz="4" w:space="0" w:color="auto"/>
            </w:tcBorders>
            <w:shd w:val="clear" w:color="000000" w:fill="FFFFFF"/>
            <w:vAlign w:val="center"/>
            <w:hideMark/>
          </w:tcPr>
          <w:p w14:paraId="620EA2FE"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483</w:t>
            </w:r>
          </w:p>
        </w:tc>
      </w:tr>
      <w:tr w:rsidR="004C14FC" w:rsidRPr="004C14FC" w14:paraId="3D5DAD9E" w14:textId="77777777" w:rsidTr="004C14FC">
        <w:trPr>
          <w:trHeight w:val="20"/>
          <w:jc w:val="center"/>
        </w:trPr>
        <w:tc>
          <w:tcPr>
            <w:tcW w:w="2271" w:type="dxa"/>
            <w:tcBorders>
              <w:top w:val="nil"/>
              <w:left w:val="single" w:sz="4" w:space="0" w:color="auto"/>
              <w:bottom w:val="single" w:sz="4" w:space="0" w:color="auto"/>
              <w:right w:val="single" w:sz="4" w:space="0" w:color="auto"/>
            </w:tcBorders>
            <w:shd w:val="clear" w:color="000000" w:fill="FFFFFF"/>
            <w:vAlign w:val="center"/>
            <w:hideMark/>
          </w:tcPr>
          <w:p w14:paraId="38824EBF" w14:textId="4A7A5A2F"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p>
        </w:tc>
        <w:tc>
          <w:tcPr>
            <w:tcW w:w="2788" w:type="dxa"/>
            <w:tcBorders>
              <w:top w:val="nil"/>
              <w:left w:val="nil"/>
              <w:bottom w:val="single" w:sz="4" w:space="0" w:color="auto"/>
              <w:right w:val="single" w:sz="4" w:space="0" w:color="auto"/>
            </w:tcBorders>
            <w:shd w:val="clear" w:color="000000" w:fill="FFFFFF"/>
            <w:vAlign w:val="center"/>
            <w:hideMark/>
          </w:tcPr>
          <w:p w14:paraId="7A13BE83"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4C14FC">
              <w:rPr>
                <w:rFonts w:ascii="Times New Roman" w:eastAsia="Times New Roman" w:hAnsi="Times New Roman" w:cs="Times New Roman"/>
                <w:i/>
                <w:iCs/>
                <w:color w:val="1A1C1E"/>
                <w:kern w:val="0"/>
                <w:sz w:val="22"/>
                <w:szCs w:val="22"/>
                <w:lang w:eastAsia="en-IN"/>
                <w14:ligatures w14:val="none"/>
              </w:rPr>
              <w:t>2.9</w:t>
            </w:r>
          </w:p>
        </w:tc>
        <w:tc>
          <w:tcPr>
            <w:tcW w:w="2493" w:type="dxa"/>
            <w:tcBorders>
              <w:top w:val="nil"/>
              <w:left w:val="nil"/>
              <w:bottom w:val="single" w:sz="4" w:space="0" w:color="auto"/>
              <w:right w:val="single" w:sz="4" w:space="0" w:color="auto"/>
            </w:tcBorders>
            <w:shd w:val="clear" w:color="000000" w:fill="FFFFFF"/>
            <w:vAlign w:val="center"/>
            <w:hideMark/>
          </w:tcPr>
          <w:p w14:paraId="6280B294"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4C14FC">
              <w:rPr>
                <w:rFonts w:ascii="Times New Roman" w:eastAsia="Times New Roman" w:hAnsi="Times New Roman" w:cs="Times New Roman"/>
                <w:i/>
                <w:iCs/>
                <w:color w:val="1A1C1E"/>
                <w:kern w:val="0"/>
                <w:sz w:val="22"/>
                <w:szCs w:val="22"/>
                <w:lang w:eastAsia="en-IN"/>
                <w14:ligatures w14:val="none"/>
              </w:rPr>
              <w:t>1.2</w:t>
            </w:r>
          </w:p>
        </w:tc>
        <w:tc>
          <w:tcPr>
            <w:tcW w:w="1501" w:type="dxa"/>
            <w:tcBorders>
              <w:top w:val="nil"/>
              <w:left w:val="nil"/>
              <w:bottom w:val="single" w:sz="4" w:space="0" w:color="auto"/>
              <w:right w:val="single" w:sz="4" w:space="0" w:color="auto"/>
            </w:tcBorders>
            <w:shd w:val="clear" w:color="000000" w:fill="FFFFFF"/>
            <w:vAlign w:val="center"/>
            <w:hideMark/>
          </w:tcPr>
          <w:p w14:paraId="7E4FD5DE"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4C14FC">
              <w:rPr>
                <w:rFonts w:ascii="Times New Roman" w:eastAsia="Times New Roman" w:hAnsi="Times New Roman" w:cs="Times New Roman"/>
                <w:i/>
                <w:iCs/>
                <w:color w:val="1A1C1E"/>
                <w:kern w:val="0"/>
                <w:sz w:val="22"/>
                <w:szCs w:val="22"/>
                <w:lang w:eastAsia="en-IN"/>
                <w14:ligatures w14:val="none"/>
              </w:rPr>
              <w:t>1.2</w:t>
            </w:r>
          </w:p>
        </w:tc>
        <w:tc>
          <w:tcPr>
            <w:tcW w:w="1503" w:type="dxa"/>
            <w:tcBorders>
              <w:top w:val="nil"/>
              <w:left w:val="nil"/>
              <w:bottom w:val="single" w:sz="4" w:space="0" w:color="auto"/>
              <w:right w:val="single" w:sz="4" w:space="0" w:color="auto"/>
            </w:tcBorders>
            <w:shd w:val="clear" w:color="000000" w:fill="FFFFFF"/>
            <w:vAlign w:val="center"/>
            <w:hideMark/>
          </w:tcPr>
          <w:p w14:paraId="57CC9A63"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4C14FC">
              <w:rPr>
                <w:rFonts w:ascii="Times New Roman" w:eastAsia="Times New Roman" w:hAnsi="Times New Roman" w:cs="Times New Roman"/>
                <w:i/>
                <w:iCs/>
                <w:color w:val="1A1C1E"/>
                <w:kern w:val="0"/>
                <w:sz w:val="22"/>
                <w:szCs w:val="22"/>
                <w:lang w:eastAsia="en-IN"/>
                <w14:ligatures w14:val="none"/>
              </w:rPr>
              <w:t>3.8</w:t>
            </w:r>
          </w:p>
        </w:tc>
        <w:tc>
          <w:tcPr>
            <w:tcW w:w="2108" w:type="dxa"/>
            <w:tcBorders>
              <w:top w:val="nil"/>
              <w:left w:val="nil"/>
              <w:bottom w:val="single" w:sz="4" w:space="0" w:color="auto"/>
              <w:right w:val="single" w:sz="4" w:space="0" w:color="auto"/>
            </w:tcBorders>
            <w:shd w:val="clear" w:color="000000" w:fill="FFFFFF"/>
            <w:vAlign w:val="center"/>
            <w:hideMark/>
          </w:tcPr>
          <w:p w14:paraId="5F4BA1CD"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4C14FC">
              <w:rPr>
                <w:rFonts w:ascii="Times New Roman" w:eastAsia="Times New Roman" w:hAnsi="Times New Roman" w:cs="Times New Roman"/>
                <w:i/>
                <w:iCs/>
                <w:color w:val="1A1C1E"/>
                <w:kern w:val="0"/>
                <w:sz w:val="22"/>
                <w:szCs w:val="22"/>
                <w:lang w:eastAsia="en-IN"/>
                <w14:ligatures w14:val="none"/>
              </w:rPr>
              <w:t>2.1</w:t>
            </w:r>
          </w:p>
        </w:tc>
        <w:tc>
          <w:tcPr>
            <w:tcW w:w="1796" w:type="dxa"/>
            <w:tcBorders>
              <w:top w:val="nil"/>
              <w:left w:val="nil"/>
              <w:bottom w:val="single" w:sz="4" w:space="0" w:color="auto"/>
              <w:right w:val="single" w:sz="4" w:space="0" w:color="auto"/>
            </w:tcBorders>
            <w:shd w:val="clear" w:color="000000" w:fill="FFFFFF"/>
            <w:vAlign w:val="center"/>
            <w:hideMark/>
          </w:tcPr>
          <w:p w14:paraId="738B2D81"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4C14FC">
              <w:rPr>
                <w:rFonts w:ascii="Times New Roman" w:eastAsia="Times New Roman" w:hAnsi="Times New Roman" w:cs="Times New Roman"/>
                <w:i/>
                <w:iCs/>
                <w:color w:val="1A1C1E"/>
                <w:kern w:val="0"/>
                <w:sz w:val="22"/>
                <w:szCs w:val="22"/>
                <w:lang w:eastAsia="en-IN"/>
                <w14:ligatures w14:val="none"/>
              </w:rPr>
              <w:t>0.8</w:t>
            </w:r>
          </w:p>
        </w:tc>
      </w:tr>
      <w:tr w:rsidR="004C14FC" w:rsidRPr="004C14FC" w14:paraId="5C9EDF40" w14:textId="77777777" w:rsidTr="004C14FC">
        <w:trPr>
          <w:trHeight w:val="20"/>
          <w:jc w:val="center"/>
        </w:trPr>
        <w:tc>
          <w:tcPr>
            <w:tcW w:w="2271" w:type="dxa"/>
            <w:tcBorders>
              <w:top w:val="nil"/>
              <w:left w:val="single" w:sz="4" w:space="0" w:color="auto"/>
              <w:bottom w:val="single" w:sz="4" w:space="0" w:color="auto"/>
              <w:right w:val="single" w:sz="4" w:space="0" w:color="auto"/>
            </w:tcBorders>
            <w:shd w:val="clear" w:color="000000" w:fill="FFFFFF"/>
            <w:vAlign w:val="center"/>
            <w:hideMark/>
          </w:tcPr>
          <w:p w14:paraId="4DDA54B3"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Orissa</w:t>
            </w:r>
          </w:p>
        </w:tc>
        <w:tc>
          <w:tcPr>
            <w:tcW w:w="2788" w:type="dxa"/>
            <w:tcBorders>
              <w:top w:val="nil"/>
              <w:left w:val="nil"/>
              <w:bottom w:val="single" w:sz="4" w:space="0" w:color="auto"/>
              <w:right w:val="single" w:sz="4" w:space="0" w:color="auto"/>
            </w:tcBorders>
            <w:shd w:val="clear" w:color="000000" w:fill="FFFFFF"/>
            <w:vAlign w:val="center"/>
            <w:hideMark/>
          </w:tcPr>
          <w:p w14:paraId="4BF029BF"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307</w:t>
            </w:r>
          </w:p>
        </w:tc>
        <w:tc>
          <w:tcPr>
            <w:tcW w:w="2493" w:type="dxa"/>
            <w:tcBorders>
              <w:top w:val="nil"/>
              <w:left w:val="nil"/>
              <w:bottom w:val="single" w:sz="4" w:space="0" w:color="auto"/>
              <w:right w:val="single" w:sz="4" w:space="0" w:color="auto"/>
            </w:tcBorders>
            <w:shd w:val="clear" w:color="000000" w:fill="FFFFFF"/>
            <w:vAlign w:val="center"/>
            <w:hideMark/>
          </w:tcPr>
          <w:p w14:paraId="577E729B"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119</w:t>
            </w:r>
          </w:p>
        </w:tc>
        <w:tc>
          <w:tcPr>
            <w:tcW w:w="1501" w:type="dxa"/>
            <w:tcBorders>
              <w:top w:val="nil"/>
              <w:left w:val="nil"/>
              <w:bottom w:val="single" w:sz="4" w:space="0" w:color="auto"/>
              <w:right w:val="single" w:sz="4" w:space="0" w:color="auto"/>
            </w:tcBorders>
            <w:shd w:val="clear" w:color="000000" w:fill="FFFFFF"/>
            <w:vAlign w:val="center"/>
            <w:hideMark/>
          </w:tcPr>
          <w:p w14:paraId="28FF8591"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144</w:t>
            </w:r>
          </w:p>
        </w:tc>
        <w:tc>
          <w:tcPr>
            <w:tcW w:w="1503" w:type="dxa"/>
            <w:tcBorders>
              <w:top w:val="nil"/>
              <w:left w:val="nil"/>
              <w:bottom w:val="single" w:sz="4" w:space="0" w:color="auto"/>
              <w:right w:val="single" w:sz="4" w:space="0" w:color="auto"/>
            </w:tcBorders>
            <w:shd w:val="clear" w:color="000000" w:fill="FFFFFF"/>
            <w:vAlign w:val="center"/>
            <w:hideMark/>
          </w:tcPr>
          <w:p w14:paraId="6DB3DCAC"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299</w:t>
            </w:r>
          </w:p>
        </w:tc>
        <w:tc>
          <w:tcPr>
            <w:tcW w:w="2108" w:type="dxa"/>
            <w:tcBorders>
              <w:top w:val="nil"/>
              <w:left w:val="nil"/>
              <w:bottom w:val="single" w:sz="4" w:space="0" w:color="auto"/>
              <w:right w:val="single" w:sz="4" w:space="0" w:color="auto"/>
            </w:tcBorders>
            <w:shd w:val="clear" w:color="000000" w:fill="FFFFFF"/>
            <w:vAlign w:val="center"/>
            <w:hideMark/>
          </w:tcPr>
          <w:p w14:paraId="282599E3"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139</w:t>
            </w:r>
          </w:p>
        </w:tc>
        <w:tc>
          <w:tcPr>
            <w:tcW w:w="1796" w:type="dxa"/>
            <w:tcBorders>
              <w:top w:val="nil"/>
              <w:left w:val="nil"/>
              <w:bottom w:val="single" w:sz="4" w:space="0" w:color="auto"/>
              <w:right w:val="single" w:sz="4" w:space="0" w:color="auto"/>
            </w:tcBorders>
            <w:shd w:val="clear" w:color="000000" w:fill="FFFFFF"/>
            <w:vAlign w:val="center"/>
            <w:hideMark/>
          </w:tcPr>
          <w:p w14:paraId="458D666B"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72</w:t>
            </w:r>
          </w:p>
        </w:tc>
      </w:tr>
      <w:tr w:rsidR="004C14FC" w:rsidRPr="004C14FC" w14:paraId="55D29011" w14:textId="77777777" w:rsidTr="004C14FC">
        <w:trPr>
          <w:trHeight w:val="20"/>
          <w:jc w:val="center"/>
        </w:trPr>
        <w:tc>
          <w:tcPr>
            <w:tcW w:w="2271" w:type="dxa"/>
            <w:tcBorders>
              <w:top w:val="nil"/>
              <w:left w:val="single" w:sz="4" w:space="0" w:color="auto"/>
              <w:bottom w:val="single" w:sz="4" w:space="0" w:color="auto"/>
              <w:right w:val="single" w:sz="4" w:space="0" w:color="auto"/>
            </w:tcBorders>
            <w:shd w:val="clear" w:color="000000" w:fill="FFFFFF"/>
            <w:vAlign w:val="center"/>
            <w:hideMark/>
          </w:tcPr>
          <w:p w14:paraId="55E785EC" w14:textId="52E29D5B"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p>
        </w:tc>
        <w:tc>
          <w:tcPr>
            <w:tcW w:w="2788" w:type="dxa"/>
            <w:tcBorders>
              <w:top w:val="nil"/>
              <w:left w:val="nil"/>
              <w:bottom w:val="single" w:sz="4" w:space="0" w:color="auto"/>
              <w:right w:val="single" w:sz="4" w:space="0" w:color="auto"/>
            </w:tcBorders>
            <w:shd w:val="clear" w:color="000000" w:fill="FFFFFF"/>
            <w:vAlign w:val="center"/>
            <w:hideMark/>
          </w:tcPr>
          <w:p w14:paraId="2E098940"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4C14FC">
              <w:rPr>
                <w:rFonts w:ascii="Times New Roman" w:eastAsia="Times New Roman" w:hAnsi="Times New Roman" w:cs="Times New Roman"/>
                <w:i/>
                <w:iCs/>
                <w:color w:val="1A1C1E"/>
                <w:kern w:val="0"/>
                <w:sz w:val="22"/>
                <w:szCs w:val="22"/>
                <w:lang w:eastAsia="en-IN"/>
                <w14:ligatures w14:val="none"/>
              </w:rPr>
              <w:t>2.1</w:t>
            </w:r>
          </w:p>
        </w:tc>
        <w:tc>
          <w:tcPr>
            <w:tcW w:w="2493" w:type="dxa"/>
            <w:tcBorders>
              <w:top w:val="nil"/>
              <w:left w:val="nil"/>
              <w:bottom w:val="single" w:sz="4" w:space="0" w:color="auto"/>
              <w:right w:val="single" w:sz="4" w:space="0" w:color="auto"/>
            </w:tcBorders>
            <w:shd w:val="clear" w:color="000000" w:fill="FFFFFF"/>
            <w:vAlign w:val="center"/>
            <w:hideMark/>
          </w:tcPr>
          <w:p w14:paraId="3EE31FE9"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4C14FC">
              <w:rPr>
                <w:rFonts w:ascii="Times New Roman" w:eastAsia="Times New Roman" w:hAnsi="Times New Roman" w:cs="Times New Roman"/>
                <w:i/>
                <w:iCs/>
                <w:color w:val="1A1C1E"/>
                <w:kern w:val="0"/>
                <w:sz w:val="22"/>
                <w:szCs w:val="22"/>
                <w:lang w:eastAsia="en-IN"/>
                <w14:ligatures w14:val="none"/>
              </w:rPr>
              <w:t>0.3</w:t>
            </w:r>
          </w:p>
        </w:tc>
        <w:tc>
          <w:tcPr>
            <w:tcW w:w="1501" w:type="dxa"/>
            <w:tcBorders>
              <w:top w:val="nil"/>
              <w:left w:val="nil"/>
              <w:bottom w:val="single" w:sz="4" w:space="0" w:color="auto"/>
              <w:right w:val="single" w:sz="4" w:space="0" w:color="auto"/>
            </w:tcBorders>
            <w:shd w:val="clear" w:color="000000" w:fill="FFFFFF"/>
            <w:vAlign w:val="center"/>
            <w:hideMark/>
          </w:tcPr>
          <w:p w14:paraId="2A4C084F" w14:textId="266525BD" w:rsidR="004C14FC" w:rsidRPr="004C14FC" w:rsidRDefault="004C14FC" w:rsidP="004C14FC">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4C14FC">
              <w:rPr>
                <w:rFonts w:ascii="Times New Roman" w:eastAsia="Times New Roman" w:hAnsi="Times New Roman" w:cs="Times New Roman"/>
                <w:i/>
                <w:iCs/>
                <w:color w:val="1A1C1E"/>
                <w:kern w:val="0"/>
                <w:sz w:val="22"/>
                <w:szCs w:val="22"/>
                <w:lang w:eastAsia="en-IN"/>
                <w14:ligatures w14:val="none"/>
              </w:rPr>
              <w:t>1</w:t>
            </w:r>
            <w:r w:rsidR="0086673A">
              <w:rPr>
                <w:rFonts w:ascii="Times New Roman" w:eastAsia="Times New Roman" w:hAnsi="Times New Roman" w:cs="Times New Roman"/>
                <w:i/>
                <w:iCs/>
                <w:color w:val="1A1C1E"/>
                <w:kern w:val="0"/>
                <w:sz w:val="22"/>
                <w:szCs w:val="22"/>
                <w:lang w:eastAsia="en-IN"/>
                <w14:ligatures w14:val="none"/>
              </w:rPr>
              <w:t>.0</w:t>
            </w:r>
          </w:p>
        </w:tc>
        <w:tc>
          <w:tcPr>
            <w:tcW w:w="1503" w:type="dxa"/>
            <w:tcBorders>
              <w:top w:val="nil"/>
              <w:left w:val="nil"/>
              <w:bottom w:val="single" w:sz="4" w:space="0" w:color="auto"/>
              <w:right w:val="single" w:sz="4" w:space="0" w:color="auto"/>
            </w:tcBorders>
            <w:shd w:val="clear" w:color="000000" w:fill="FFFFFF"/>
            <w:vAlign w:val="center"/>
            <w:hideMark/>
          </w:tcPr>
          <w:p w14:paraId="41E7904C" w14:textId="2C60B128" w:rsidR="004C14FC" w:rsidRPr="004C14FC" w:rsidRDefault="004C14FC" w:rsidP="004C14FC">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4C14FC">
              <w:rPr>
                <w:rFonts w:ascii="Times New Roman" w:eastAsia="Times New Roman" w:hAnsi="Times New Roman" w:cs="Times New Roman"/>
                <w:i/>
                <w:iCs/>
                <w:color w:val="1A1C1E"/>
                <w:kern w:val="0"/>
                <w:sz w:val="22"/>
                <w:szCs w:val="22"/>
                <w:lang w:eastAsia="en-IN"/>
                <w14:ligatures w14:val="none"/>
              </w:rPr>
              <w:t>2</w:t>
            </w:r>
            <w:r w:rsidR="0086673A">
              <w:rPr>
                <w:rFonts w:ascii="Times New Roman" w:eastAsia="Times New Roman" w:hAnsi="Times New Roman" w:cs="Times New Roman"/>
                <w:i/>
                <w:iCs/>
                <w:color w:val="1A1C1E"/>
                <w:kern w:val="0"/>
                <w:sz w:val="22"/>
                <w:szCs w:val="22"/>
                <w:lang w:eastAsia="en-IN"/>
                <w14:ligatures w14:val="none"/>
              </w:rPr>
              <w:t>.0</w:t>
            </w:r>
          </w:p>
        </w:tc>
        <w:tc>
          <w:tcPr>
            <w:tcW w:w="2108" w:type="dxa"/>
            <w:tcBorders>
              <w:top w:val="nil"/>
              <w:left w:val="nil"/>
              <w:bottom w:val="single" w:sz="4" w:space="0" w:color="auto"/>
              <w:right w:val="single" w:sz="4" w:space="0" w:color="auto"/>
            </w:tcBorders>
            <w:shd w:val="clear" w:color="000000" w:fill="FFFFFF"/>
            <w:vAlign w:val="center"/>
            <w:hideMark/>
          </w:tcPr>
          <w:p w14:paraId="6B978607" w14:textId="5B83F295" w:rsidR="004C14FC" w:rsidRPr="004C14FC" w:rsidRDefault="004C14FC" w:rsidP="004C14FC">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4C14FC">
              <w:rPr>
                <w:rFonts w:ascii="Times New Roman" w:eastAsia="Times New Roman" w:hAnsi="Times New Roman" w:cs="Times New Roman"/>
                <w:i/>
                <w:iCs/>
                <w:color w:val="1A1C1E"/>
                <w:kern w:val="0"/>
                <w:sz w:val="22"/>
                <w:szCs w:val="22"/>
                <w:lang w:eastAsia="en-IN"/>
                <w14:ligatures w14:val="none"/>
              </w:rPr>
              <w:t>1</w:t>
            </w:r>
            <w:r w:rsidR="00900B42">
              <w:rPr>
                <w:rFonts w:ascii="Times New Roman" w:eastAsia="Times New Roman" w:hAnsi="Times New Roman" w:cs="Times New Roman"/>
                <w:i/>
                <w:iCs/>
                <w:color w:val="1A1C1E"/>
                <w:kern w:val="0"/>
                <w:sz w:val="22"/>
                <w:szCs w:val="22"/>
                <w:lang w:eastAsia="en-IN"/>
                <w14:ligatures w14:val="none"/>
              </w:rPr>
              <w:t>.0</w:t>
            </w:r>
          </w:p>
        </w:tc>
        <w:tc>
          <w:tcPr>
            <w:tcW w:w="1796" w:type="dxa"/>
            <w:tcBorders>
              <w:top w:val="nil"/>
              <w:left w:val="nil"/>
              <w:bottom w:val="single" w:sz="4" w:space="0" w:color="auto"/>
              <w:right w:val="single" w:sz="4" w:space="0" w:color="auto"/>
            </w:tcBorders>
            <w:shd w:val="clear" w:color="000000" w:fill="FFFFFF"/>
            <w:vAlign w:val="center"/>
            <w:hideMark/>
          </w:tcPr>
          <w:p w14:paraId="2EFDB341"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4C14FC">
              <w:rPr>
                <w:rFonts w:ascii="Times New Roman" w:eastAsia="Times New Roman" w:hAnsi="Times New Roman" w:cs="Times New Roman"/>
                <w:i/>
                <w:iCs/>
                <w:color w:val="1A1C1E"/>
                <w:kern w:val="0"/>
                <w:sz w:val="22"/>
                <w:szCs w:val="22"/>
                <w:lang w:eastAsia="en-IN"/>
                <w14:ligatures w14:val="none"/>
              </w:rPr>
              <w:t>0.5</w:t>
            </w:r>
          </w:p>
        </w:tc>
      </w:tr>
      <w:tr w:rsidR="004C14FC" w:rsidRPr="004C14FC" w14:paraId="79D9F231" w14:textId="77777777" w:rsidTr="004C14FC">
        <w:trPr>
          <w:trHeight w:val="20"/>
          <w:jc w:val="center"/>
        </w:trPr>
        <w:tc>
          <w:tcPr>
            <w:tcW w:w="2271" w:type="dxa"/>
            <w:tcBorders>
              <w:top w:val="nil"/>
              <w:left w:val="single" w:sz="4" w:space="0" w:color="auto"/>
              <w:bottom w:val="single" w:sz="4" w:space="0" w:color="auto"/>
              <w:right w:val="single" w:sz="4" w:space="0" w:color="auto"/>
            </w:tcBorders>
            <w:shd w:val="clear" w:color="000000" w:fill="FFFFFF"/>
            <w:vAlign w:val="center"/>
            <w:hideMark/>
          </w:tcPr>
          <w:p w14:paraId="09EDB2A6"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Punjab</w:t>
            </w:r>
          </w:p>
        </w:tc>
        <w:tc>
          <w:tcPr>
            <w:tcW w:w="2788" w:type="dxa"/>
            <w:tcBorders>
              <w:top w:val="nil"/>
              <w:left w:val="nil"/>
              <w:bottom w:val="single" w:sz="4" w:space="0" w:color="auto"/>
              <w:right w:val="single" w:sz="4" w:space="0" w:color="auto"/>
            </w:tcBorders>
            <w:shd w:val="clear" w:color="000000" w:fill="FFFFFF"/>
            <w:vAlign w:val="center"/>
            <w:hideMark/>
          </w:tcPr>
          <w:p w14:paraId="7EEB2EF1"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523</w:t>
            </w:r>
          </w:p>
        </w:tc>
        <w:tc>
          <w:tcPr>
            <w:tcW w:w="2493" w:type="dxa"/>
            <w:tcBorders>
              <w:top w:val="nil"/>
              <w:left w:val="nil"/>
              <w:bottom w:val="single" w:sz="4" w:space="0" w:color="auto"/>
              <w:right w:val="single" w:sz="4" w:space="0" w:color="auto"/>
            </w:tcBorders>
            <w:shd w:val="clear" w:color="000000" w:fill="FFFFFF"/>
            <w:vAlign w:val="center"/>
            <w:hideMark/>
          </w:tcPr>
          <w:p w14:paraId="1F74CCF0"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165</w:t>
            </w:r>
          </w:p>
        </w:tc>
        <w:tc>
          <w:tcPr>
            <w:tcW w:w="1501" w:type="dxa"/>
            <w:tcBorders>
              <w:top w:val="nil"/>
              <w:left w:val="nil"/>
              <w:bottom w:val="single" w:sz="4" w:space="0" w:color="auto"/>
              <w:right w:val="single" w:sz="4" w:space="0" w:color="auto"/>
            </w:tcBorders>
            <w:shd w:val="clear" w:color="000000" w:fill="FFFFFF"/>
            <w:vAlign w:val="center"/>
            <w:hideMark/>
          </w:tcPr>
          <w:p w14:paraId="5EE6D08D"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274</w:t>
            </w:r>
          </w:p>
        </w:tc>
        <w:tc>
          <w:tcPr>
            <w:tcW w:w="1503" w:type="dxa"/>
            <w:tcBorders>
              <w:top w:val="nil"/>
              <w:left w:val="nil"/>
              <w:bottom w:val="single" w:sz="4" w:space="0" w:color="auto"/>
              <w:right w:val="single" w:sz="4" w:space="0" w:color="auto"/>
            </w:tcBorders>
            <w:shd w:val="clear" w:color="000000" w:fill="FFFFFF"/>
            <w:vAlign w:val="center"/>
            <w:hideMark/>
          </w:tcPr>
          <w:p w14:paraId="57DBA85C"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400</w:t>
            </w:r>
          </w:p>
        </w:tc>
        <w:tc>
          <w:tcPr>
            <w:tcW w:w="2108" w:type="dxa"/>
            <w:tcBorders>
              <w:top w:val="nil"/>
              <w:left w:val="nil"/>
              <w:bottom w:val="single" w:sz="4" w:space="0" w:color="auto"/>
              <w:right w:val="single" w:sz="4" w:space="0" w:color="auto"/>
            </w:tcBorders>
            <w:shd w:val="clear" w:color="000000" w:fill="FFFFFF"/>
            <w:vAlign w:val="center"/>
            <w:hideMark/>
          </w:tcPr>
          <w:p w14:paraId="20D6A3EC"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199</w:t>
            </w:r>
          </w:p>
        </w:tc>
        <w:tc>
          <w:tcPr>
            <w:tcW w:w="1796" w:type="dxa"/>
            <w:tcBorders>
              <w:top w:val="nil"/>
              <w:left w:val="nil"/>
              <w:bottom w:val="single" w:sz="4" w:space="0" w:color="auto"/>
              <w:right w:val="single" w:sz="4" w:space="0" w:color="auto"/>
            </w:tcBorders>
            <w:shd w:val="clear" w:color="000000" w:fill="FFFFFF"/>
            <w:vAlign w:val="center"/>
            <w:hideMark/>
          </w:tcPr>
          <w:p w14:paraId="655B47AF"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97</w:t>
            </w:r>
          </w:p>
        </w:tc>
      </w:tr>
      <w:tr w:rsidR="004C14FC" w:rsidRPr="004C14FC" w14:paraId="228C6FE6" w14:textId="77777777" w:rsidTr="004C14FC">
        <w:trPr>
          <w:trHeight w:val="20"/>
          <w:jc w:val="center"/>
        </w:trPr>
        <w:tc>
          <w:tcPr>
            <w:tcW w:w="2271" w:type="dxa"/>
            <w:tcBorders>
              <w:top w:val="nil"/>
              <w:left w:val="single" w:sz="4" w:space="0" w:color="auto"/>
              <w:bottom w:val="single" w:sz="4" w:space="0" w:color="auto"/>
              <w:right w:val="single" w:sz="4" w:space="0" w:color="auto"/>
            </w:tcBorders>
            <w:shd w:val="clear" w:color="000000" w:fill="FFFFFF"/>
            <w:vAlign w:val="center"/>
            <w:hideMark/>
          </w:tcPr>
          <w:p w14:paraId="392D380A" w14:textId="5ABB958E"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p>
        </w:tc>
        <w:tc>
          <w:tcPr>
            <w:tcW w:w="2788" w:type="dxa"/>
            <w:tcBorders>
              <w:top w:val="nil"/>
              <w:left w:val="nil"/>
              <w:bottom w:val="single" w:sz="4" w:space="0" w:color="auto"/>
              <w:right w:val="single" w:sz="4" w:space="0" w:color="auto"/>
            </w:tcBorders>
            <w:shd w:val="clear" w:color="000000" w:fill="FFFFFF"/>
            <w:vAlign w:val="center"/>
            <w:hideMark/>
          </w:tcPr>
          <w:p w14:paraId="16CBA363"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4C14FC">
              <w:rPr>
                <w:rFonts w:ascii="Times New Roman" w:eastAsia="Times New Roman" w:hAnsi="Times New Roman" w:cs="Times New Roman"/>
                <w:i/>
                <w:iCs/>
                <w:color w:val="1A1C1E"/>
                <w:kern w:val="0"/>
                <w:sz w:val="22"/>
                <w:szCs w:val="22"/>
                <w:lang w:eastAsia="en-IN"/>
                <w14:ligatures w14:val="none"/>
              </w:rPr>
              <w:t>4.2</w:t>
            </w:r>
          </w:p>
        </w:tc>
        <w:tc>
          <w:tcPr>
            <w:tcW w:w="2493" w:type="dxa"/>
            <w:tcBorders>
              <w:top w:val="nil"/>
              <w:left w:val="nil"/>
              <w:bottom w:val="single" w:sz="4" w:space="0" w:color="auto"/>
              <w:right w:val="single" w:sz="4" w:space="0" w:color="auto"/>
            </w:tcBorders>
            <w:shd w:val="clear" w:color="000000" w:fill="FFFFFF"/>
            <w:vAlign w:val="center"/>
            <w:hideMark/>
          </w:tcPr>
          <w:p w14:paraId="1D47D8F2"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4C14FC">
              <w:rPr>
                <w:rFonts w:ascii="Times New Roman" w:eastAsia="Times New Roman" w:hAnsi="Times New Roman" w:cs="Times New Roman"/>
                <w:i/>
                <w:iCs/>
                <w:color w:val="1A1C1E"/>
                <w:kern w:val="0"/>
                <w:sz w:val="22"/>
                <w:szCs w:val="22"/>
                <w:lang w:eastAsia="en-IN"/>
                <w14:ligatures w14:val="none"/>
              </w:rPr>
              <w:t>1.3</w:t>
            </w:r>
          </w:p>
        </w:tc>
        <w:tc>
          <w:tcPr>
            <w:tcW w:w="1501" w:type="dxa"/>
            <w:tcBorders>
              <w:top w:val="nil"/>
              <w:left w:val="nil"/>
              <w:bottom w:val="single" w:sz="4" w:space="0" w:color="auto"/>
              <w:right w:val="single" w:sz="4" w:space="0" w:color="auto"/>
            </w:tcBorders>
            <w:shd w:val="clear" w:color="000000" w:fill="FFFFFF"/>
            <w:vAlign w:val="center"/>
            <w:hideMark/>
          </w:tcPr>
          <w:p w14:paraId="685A766E"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4C14FC">
              <w:rPr>
                <w:rFonts w:ascii="Times New Roman" w:eastAsia="Times New Roman" w:hAnsi="Times New Roman" w:cs="Times New Roman"/>
                <w:i/>
                <w:iCs/>
                <w:color w:val="1A1C1E"/>
                <w:kern w:val="0"/>
                <w:sz w:val="22"/>
                <w:szCs w:val="22"/>
                <w:lang w:eastAsia="en-IN"/>
                <w14:ligatures w14:val="none"/>
              </w:rPr>
              <w:t>2.2</w:t>
            </w:r>
          </w:p>
        </w:tc>
        <w:tc>
          <w:tcPr>
            <w:tcW w:w="1503" w:type="dxa"/>
            <w:tcBorders>
              <w:top w:val="nil"/>
              <w:left w:val="nil"/>
              <w:bottom w:val="single" w:sz="4" w:space="0" w:color="auto"/>
              <w:right w:val="single" w:sz="4" w:space="0" w:color="auto"/>
            </w:tcBorders>
            <w:shd w:val="clear" w:color="000000" w:fill="FFFFFF"/>
            <w:vAlign w:val="center"/>
            <w:hideMark/>
          </w:tcPr>
          <w:p w14:paraId="717E54D7"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4C14FC">
              <w:rPr>
                <w:rFonts w:ascii="Times New Roman" w:eastAsia="Times New Roman" w:hAnsi="Times New Roman" w:cs="Times New Roman"/>
                <w:i/>
                <w:iCs/>
                <w:color w:val="1A1C1E"/>
                <w:kern w:val="0"/>
                <w:sz w:val="22"/>
                <w:szCs w:val="22"/>
                <w:lang w:eastAsia="en-IN"/>
                <w14:ligatures w14:val="none"/>
              </w:rPr>
              <w:t>3.2</w:t>
            </w:r>
          </w:p>
        </w:tc>
        <w:tc>
          <w:tcPr>
            <w:tcW w:w="2108" w:type="dxa"/>
            <w:tcBorders>
              <w:top w:val="nil"/>
              <w:left w:val="nil"/>
              <w:bottom w:val="single" w:sz="4" w:space="0" w:color="auto"/>
              <w:right w:val="single" w:sz="4" w:space="0" w:color="auto"/>
            </w:tcBorders>
            <w:shd w:val="clear" w:color="000000" w:fill="FFFFFF"/>
            <w:vAlign w:val="center"/>
            <w:hideMark/>
          </w:tcPr>
          <w:p w14:paraId="1689B81D"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4C14FC">
              <w:rPr>
                <w:rFonts w:ascii="Times New Roman" w:eastAsia="Times New Roman" w:hAnsi="Times New Roman" w:cs="Times New Roman"/>
                <w:i/>
                <w:iCs/>
                <w:color w:val="1A1C1E"/>
                <w:kern w:val="0"/>
                <w:sz w:val="22"/>
                <w:szCs w:val="22"/>
                <w:lang w:eastAsia="en-IN"/>
                <w14:ligatures w14:val="none"/>
              </w:rPr>
              <w:t>1.6</w:t>
            </w:r>
          </w:p>
        </w:tc>
        <w:tc>
          <w:tcPr>
            <w:tcW w:w="1796" w:type="dxa"/>
            <w:tcBorders>
              <w:top w:val="nil"/>
              <w:left w:val="nil"/>
              <w:bottom w:val="single" w:sz="4" w:space="0" w:color="auto"/>
              <w:right w:val="single" w:sz="4" w:space="0" w:color="auto"/>
            </w:tcBorders>
            <w:shd w:val="clear" w:color="000000" w:fill="FFFFFF"/>
            <w:vAlign w:val="center"/>
            <w:hideMark/>
          </w:tcPr>
          <w:p w14:paraId="3C68FBB0"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4C14FC">
              <w:rPr>
                <w:rFonts w:ascii="Times New Roman" w:eastAsia="Times New Roman" w:hAnsi="Times New Roman" w:cs="Times New Roman"/>
                <w:i/>
                <w:iCs/>
                <w:color w:val="1A1C1E"/>
                <w:kern w:val="0"/>
                <w:sz w:val="22"/>
                <w:szCs w:val="22"/>
                <w:lang w:eastAsia="en-IN"/>
                <w14:ligatures w14:val="none"/>
              </w:rPr>
              <w:t>0.8</w:t>
            </w:r>
          </w:p>
        </w:tc>
      </w:tr>
      <w:tr w:rsidR="004C14FC" w:rsidRPr="004C14FC" w14:paraId="50439A7F" w14:textId="77777777" w:rsidTr="004C14FC">
        <w:trPr>
          <w:trHeight w:val="20"/>
          <w:jc w:val="center"/>
        </w:trPr>
        <w:tc>
          <w:tcPr>
            <w:tcW w:w="2271" w:type="dxa"/>
            <w:tcBorders>
              <w:top w:val="nil"/>
              <w:left w:val="single" w:sz="4" w:space="0" w:color="auto"/>
              <w:bottom w:val="single" w:sz="4" w:space="0" w:color="auto"/>
              <w:right w:val="single" w:sz="4" w:space="0" w:color="auto"/>
            </w:tcBorders>
            <w:shd w:val="clear" w:color="000000" w:fill="FFFFFF"/>
            <w:vAlign w:val="center"/>
            <w:hideMark/>
          </w:tcPr>
          <w:p w14:paraId="00AD7FAF"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Uttar Pradesh</w:t>
            </w:r>
          </w:p>
        </w:tc>
        <w:tc>
          <w:tcPr>
            <w:tcW w:w="2788" w:type="dxa"/>
            <w:tcBorders>
              <w:top w:val="nil"/>
              <w:left w:val="nil"/>
              <w:bottom w:val="single" w:sz="4" w:space="0" w:color="auto"/>
              <w:right w:val="single" w:sz="4" w:space="0" w:color="auto"/>
            </w:tcBorders>
            <w:shd w:val="clear" w:color="000000" w:fill="FFFFFF"/>
            <w:vAlign w:val="center"/>
            <w:hideMark/>
          </w:tcPr>
          <w:p w14:paraId="1B0807BC"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1605</w:t>
            </w:r>
          </w:p>
        </w:tc>
        <w:tc>
          <w:tcPr>
            <w:tcW w:w="2493" w:type="dxa"/>
            <w:tcBorders>
              <w:top w:val="nil"/>
              <w:left w:val="nil"/>
              <w:bottom w:val="single" w:sz="4" w:space="0" w:color="auto"/>
              <w:right w:val="single" w:sz="4" w:space="0" w:color="auto"/>
            </w:tcBorders>
            <w:shd w:val="clear" w:color="000000" w:fill="FFFFFF"/>
            <w:vAlign w:val="center"/>
            <w:hideMark/>
          </w:tcPr>
          <w:p w14:paraId="1E1D82C1"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637</w:t>
            </w:r>
          </w:p>
        </w:tc>
        <w:tc>
          <w:tcPr>
            <w:tcW w:w="1501" w:type="dxa"/>
            <w:tcBorders>
              <w:top w:val="nil"/>
              <w:left w:val="nil"/>
              <w:bottom w:val="single" w:sz="4" w:space="0" w:color="auto"/>
              <w:right w:val="single" w:sz="4" w:space="0" w:color="auto"/>
            </w:tcBorders>
            <w:shd w:val="clear" w:color="000000" w:fill="FFFFFF"/>
            <w:vAlign w:val="center"/>
            <w:hideMark/>
          </w:tcPr>
          <w:p w14:paraId="6D2DE1B7"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711</w:t>
            </w:r>
          </w:p>
        </w:tc>
        <w:tc>
          <w:tcPr>
            <w:tcW w:w="1503" w:type="dxa"/>
            <w:tcBorders>
              <w:top w:val="nil"/>
              <w:left w:val="nil"/>
              <w:bottom w:val="single" w:sz="4" w:space="0" w:color="auto"/>
              <w:right w:val="single" w:sz="4" w:space="0" w:color="auto"/>
            </w:tcBorders>
            <w:shd w:val="clear" w:color="000000" w:fill="FFFFFF"/>
            <w:vAlign w:val="center"/>
            <w:hideMark/>
          </w:tcPr>
          <w:p w14:paraId="14392980"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1705</w:t>
            </w:r>
          </w:p>
        </w:tc>
        <w:tc>
          <w:tcPr>
            <w:tcW w:w="2108" w:type="dxa"/>
            <w:tcBorders>
              <w:top w:val="nil"/>
              <w:left w:val="nil"/>
              <w:bottom w:val="single" w:sz="4" w:space="0" w:color="auto"/>
              <w:right w:val="single" w:sz="4" w:space="0" w:color="auto"/>
            </w:tcBorders>
            <w:shd w:val="clear" w:color="000000" w:fill="FFFFFF"/>
            <w:vAlign w:val="center"/>
            <w:hideMark/>
          </w:tcPr>
          <w:p w14:paraId="6FF9C0AE"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810</w:t>
            </w:r>
          </w:p>
        </w:tc>
        <w:tc>
          <w:tcPr>
            <w:tcW w:w="1796" w:type="dxa"/>
            <w:tcBorders>
              <w:top w:val="nil"/>
              <w:left w:val="nil"/>
              <w:bottom w:val="single" w:sz="4" w:space="0" w:color="auto"/>
              <w:right w:val="single" w:sz="4" w:space="0" w:color="auto"/>
            </w:tcBorders>
            <w:shd w:val="clear" w:color="000000" w:fill="FFFFFF"/>
            <w:vAlign w:val="center"/>
            <w:hideMark/>
          </w:tcPr>
          <w:p w14:paraId="5B61C15B"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344</w:t>
            </w:r>
          </w:p>
        </w:tc>
      </w:tr>
      <w:tr w:rsidR="004C14FC" w:rsidRPr="004C14FC" w14:paraId="13921CA9" w14:textId="77777777" w:rsidTr="004C14FC">
        <w:trPr>
          <w:trHeight w:val="20"/>
          <w:jc w:val="center"/>
        </w:trPr>
        <w:tc>
          <w:tcPr>
            <w:tcW w:w="2271" w:type="dxa"/>
            <w:tcBorders>
              <w:top w:val="nil"/>
              <w:left w:val="single" w:sz="4" w:space="0" w:color="auto"/>
              <w:bottom w:val="single" w:sz="4" w:space="0" w:color="auto"/>
              <w:right w:val="single" w:sz="4" w:space="0" w:color="auto"/>
            </w:tcBorders>
            <w:shd w:val="clear" w:color="000000" w:fill="FFFFFF"/>
            <w:vAlign w:val="center"/>
            <w:hideMark/>
          </w:tcPr>
          <w:p w14:paraId="4C8ADD31" w14:textId="69655F32"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p>
        </w:tc>
        <w:tc>
          <w:tcPr>
            <w:tcW w:w="2788" w:type="dxa"/>
            <w:tcBorders>
              <w:top w:val="nil"/>
              <w:left w:val="nil"/>
              <w:bottom w:val="single" w:sz="4" w:space="0" w:color="auto"/>
              <w:right w:val="single" w:sz="4" w:space="0" w:color="auto"/>
            </w:tcBorders>
            <w:shd w:val="clear" w:color="000000" w:fill="FFFFFF"/>
            <w:vAlign w:val="center"/>
            <w:hideMark/>
          </w:tcPr>
          <w:p w14:paraId="06547F97"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4C14FC">
              <w:rPr>
                <w:rFonts w:ascii="Times New Roman" w:eastAsia="Times New Roman" w:hAnsi="Times New Roman" w:cs="Times New Roman"/>
                <w:i/>
                <w:iCs/>
                <w:color w:val="1A1C1E"/>
                <w:kern w:val="0"/>
                <w:sz w:val="22"/>
                <w:szCs w:val="22"/>
                <w:lang w:eastAsia="en-IN"/>
                <w14:ligatures w14:val="none"/>
              </w:rPr>
              <w:t>2.5</w:t>
            </w:r>
          </w:p>
        </w:tc>
        <w:tc>
          <w:tcPr>
            <w:tcW w:w="2493" w:type="dxa"/>
            <w:tcBorders>
              <w:top w:val="nil"/>
              <w:left w:val="nil"/>
              <w:bottom w:val="single" w:sz="4" w:space="0" w:color="auto"/>
              <w:right w:val="single" w:sz="4" w:space="0" w:color="auto"/>
            </w:tcBorders>
            <w:shd w:val="clear" w:color="000000" w:fill="FFFFFF"/>
            <w:vAlign w:val="center"/>
            <w:hideMark/>
          </w:tcPr>
          <w:p w14:paraId="72AF6EB6" w14:textId="3A26F995" w:rsidR="004C14FC" w:rsidRPr="004C14FC" w:rsidRDefault="004C14FC" w:rsidP="004C14FC">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4C14FC">
              <w:rPr>
                <w:rFonts w:ascii="Times New Roman" w:eastAsia="Times New Roman" w:hAnsi="Times New Roman" w:cs="Times New Roman"/>
                <w:i/>
                <w:iCs/>
                <w:color w:val="1A1C1E"/>
                <w:kern w:val="0"/>
                <w:sz w:val="22"/>
                <w:szCs w:val="22"/>
                <w:lang w:eastAsia="en-IN"/>
                <w14:ligatures w14:val="none"/>
              </w:rPr>
              <w:t>1</w:t>
            </w:r>
            <w:r w:rsidR="0086673A">
              <w:rPr>
                <w:rFonts w:ascii="Times New Roman" w:eastAsia="Times New Roman" w:hAnsi="Times New Roman" w:cs="Times New Roman"/>
                <w:i/>
                <w:iCs/>
                <w:color w:val="1A1C1E"/>
                <w:kern w:val="0"/>
                <w:sz w:val="22"/>
                <w:szCs w:val="22"/>
                <w:lang w:eastAsia="en-IN"/>
                <w14:ligatures w14:val="none"/>
              </w:rPr>
              <w:t>.0</w:t>
            </w:r>
          </w:p>
        </w:tc>
        <w:tc>
          <w:tcPr>
            <w:tcW w:w="1501" w:type="dxa"/>
            <w:tcBorders>
              <w:top w:val="nil"/>
              <w:left w:val="nil"/>
              <w:bottom w:val="single" w:sz="4" w:space="0" w:color="auto"/>
              <w:right w:val="single" w:sz="4" w:space="0" w:color="auto"/>
            </w:tcBorders>
            <w:shd w:val="clear" w:color="000000" w:fill="FFFFFF"/>
            <w:vAlign w:val="center"/>
            <w:hideMark/>
          </w:tcPr>
          <w:p w14:paraId="4F37386C"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4C14FC">
              <w:rPr>
                <w:rFonts w:ascii="Times New Roman" w:eastAsia="Times New Roman" w:hAnsi="Times New Roman" w:cs="Times New Roman"/>
                <w:i/>
                <w:iCs/>
                <w:color w:val="1A1C1E"/>
                <w:kern w:val="0"/>
                <w:sz w:val="22"/>
                <w:szCs w:val="22"/>
                <w:lang w:eastAsia="en-IN"/>
                <w14:ligatures w14:val="none"/>
              </w:rPr>
              <w:t>1.1</w:t>
            </w:r>
          </w:p>
        </w:tc>
        <w:tc>
          <w:tcPr>
            <w:tcW w:w="1503" w:type="dxa"/>
            <w:tcBorders>
              <w:top w:val="nil"/>
              <w:left w:val="nil"/>
              <w:bottom w:val="single" w:sz="4" w:space="0" w:color="auto"/>
              <w:right w:val="single" w:sz="4" w:space="0" w:color="auto"/>
            </w:tcBorders>
            <w:shd w:val="clear" w:color="000000" w:fill="FFFFFF"/>
            <w:vAlign w:val="center"/>
            <w:hideMark/>
          </w:tcPr>
          <w:p w14:paraId="147C6E44"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4C14FC">
              <w:rPr>
                <w:rFonts w:ascii="Times New Roman" w:eastAsia="Times New Roman" w:hAnsi="Times New Roman" w:cs="Times New Roman"/>
                <w:i/>
                <w:iCs/>
                <w:color w:val="1A1C1E"/>
                <w:kern w:val="0"/>
                <w:sz w:val="22"/>
                <w:szCs w:val="22"/>
                <w:lang w:eastAsia="en-IN"/>
                <w14:ligatures w14:val="none"/>
              </w:rPr>
              <w:t>2.7</w:t>
            </w:r>
          </w:p>
        </w:tc>
        <w:tc>
          <w:tcPr>
            <w:tcW w:w="2108" w:type="dxa"/>
            <w:tcBorders>
              <w:top w:val="nil"/>
              <w:left w:val="nil"/>
              <w:bottom w:val="single" w:sz="4" w:space="0" w:color="auto"/>
              <w:right w:val="single" w:sz="4" w:space="0" w:color="auto"/>
            </w:tcBorders>
            <w:shd w:val="clear" w:color="000000" w:fill="FFFFFF"/>
            <w:vAlign w:val="center"/>
            <w:hideMark/>
          </w:tcPr>
          <w:p w14:paraId="049ED0D1"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4C14FC">
              <w:rPr>
                <w:rFonts w:ascii="Times New Roman" w:eastAsia="Times New Roman" w:hAnsi="Times New Roman" w:cs="Times New Roman"/>
                <w:i/>
                <w:iCs/>
                <w:color w:val="1A1C1E"/>
                <w:kern w:val="0"/>
                <w:sz w:val="22"/>
                <w:szCs w:val="22"/>
                <w:lang w:eastAsia="en-IN"/>
                <w14:ligatures w14:val="none"/>
              </w:rPr>
              <w:t>1.3</w:t>
            </w:r>
          </w:p>
        </w:tc>
        <w:tc>
          <w:tcPr>
            <w:tcW w:w="1796" w:type="dxa"/>
            <w:tcBorders>
              <w:top w:val="nil"/>
              <w:left w:val="nil"/>
              <w:bottom w:val="single" w:sz="4" w:space="0" w:color="auto"/>
              <w:right w:val="single" w:sz="4" w:space="0" w:color="auto"/>
            </w:tcBorders>
            <w:shd w:val="clear" w:color="000000" w:fill="FFFFFF"/>
            <w:vAlign w:val="center"/>
            <w:hideMark/>
          </w:tcPr>
          <w:p w14:paraId="5BBD988C"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4C14FC">
              <w:rPr>
                <w:rFonts w:ascii="Times New Roman" w:eastAsia="Times New Roman" w:hAnsi="Times New Roman" w:cs="Times New Roman"/>
                <w:i/>
                <w:iCs/>
                <w:color w:val="1A1C1E"/>
                <w:kern w:val="0"/>
                <w:sz w:val="22"/>
                <w:szCs w:val="22"/>
                <w:lang w:eastAsia="en-IN"/>
                <w14:ligatures w14:val="none"/>
              </w:rPr>
              <w:t>0.5</w:t>
            </w:r>
          </w:p>
        </w:tc>
      </w:tr>
      <w:tr w:rsidR="004C14FC" w:rsidRPr="004C14FC" w14:paraId="5421FBEF" w14:textId="77777777" w:rsidTr="004C14FC">
        <w:trPr>
          <w:trHeight w:val="20"/>
          <w:jc w:val="center"/>
        </w:trPr>
        <w:tc>
          <w:tcPr>
            <w:tcW w:w="2271" w:type="dxa"/>
            <w:tcBorders>
              <w:top w:val="nil"/>
              <w:left w:val="single" w:sz="4" w:space="0" w:color="auto"/>
              <w:bottom w:val="single" w:sz="4" w:space="0" w:color="auto"/>
              <w:right w:val="single" w:sz="4" w:space="0" w:color="auto"/>
            </w:tcBorders>
            <w:shd w:val="clear" w:color="000000" w:fill="FFFFFF"/>
            <w:vAlign w:val="center"/>
            <w:hideMark/>
          </w:tcPr>
          <w:p w14:paraId="67624527"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West Bengal</w:t>
            </w:r>
          </w:p>
        </w:tc>
        <w:tc>
          <w:tcPr>
            <w:tcW w:w="2788" w:type="dxa"/>
            <w:tcBorders>
              <w:top w:val="nil"/>
              <w:left w:val="nil"/>
              <w:bottom w:val="single" w:sz="4" w:space="0" w:color="auto"/>
              <w:right w:val="single" w:sz="4" w:space="0" w:color="auto"/>
            </w:tcBorders>
            <w:shd w:val="clear" w:color="000000" w:fill="FFFFFF"/>
            <w:vAlign w:val="center"/>
            <w:hideMark/>
          </w:tcPr>
          <w:p w14:paraId="4003C721"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1073</w:t>
            </w:r>
          </w:p>
        </w:tc>
        <w:tc>
          <w:tcPr>
            <w:tcW w:w="2493" w:type="dxa"/>
            <w:tcBorders>
              <w:top w:val="nil"/>
              <w:left w:val="nil"/>
              <w:bottom w:val="single" w:sz="4" w:space="0" w:color="auto"/>
              <w:right w:val="single" w:sz="4" w:space="0" w:color="auto"/>
            </w:tcBorders>
            <w:shd w:val="clear" w:color="000000" w:fill="FFFFFF"/>
            <w:vAlign w:val="center"/>
            <w:hideMark/>
          </w:tcPr>
          <w:p w14:paraId="6BFB0E48"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255</w:t>
            </w:r>
          </w:p>
        </w:tc>
        <w:tc>
          <w:tcPr>
            <w:tcW w:w="1501" w:type="dxa"/>
            <w:tcBorders>
              <w:top w:val="nil"/>
              <w:left w:val="nil"/>
              <w:bottom w:val="single" w:sz="4" w:space="0" w:color="auto"/>
              <w:right w:val="single" w:sz="4" w:space="0" w:color="auto"/>
            </w:tcBorders>
            <w:shd w:val="clear" w:color="000000" w:fill="FFFFFF"/>
            <w:vAlign w:val="center"/>
            <w:hideMark/>
          </w:tcPr>
          <w:p w14:paraId="195FE36F"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605</w:t>
            </w:r>
          </w:p>
        </w:tc>
        <w:tc>
          <w:tcPr>
            <w:tcW w:w="1503" w:type="dxa"/>
            <w:tcBorders>
              <w:top w:val="nil"/>
              <w:left w:val="nil"/>
              <w:bottom w:val="single" w:sz="4" w:space="0" w:color="auto"/>
              <w:right w:val="single" w:sz="4" w:space="0" w:color="auto"/>
            </w:tcBorders>
            <w:shd w:val="clear" w:color="000000" w:fill="FFFFFF"/>
            <w:vAlign w:val="center"/>
            <w:hideMark/>
          </w:tcPr>
          <w:p w14:paraId="0EA4D5CB"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1156</w:t>
            </w:r>
          </w:p>
        </w:tc>
        <w:tc>
          <w:tcPr>
            <w:tcW w:w="2108" w:type="dxa"/>
            <w:tcBorders>
              <w:top w:val="nil"/>
              <w:left w:val="nil"/>
              <w:bottom w:val="single" w:sz="4" w:space="0" w:color="auto"/>
              <w:right w:val="single" w:sz="4" w:space="0" w:color="auto"/>
            </w:tcBorders>
            <w:shd w:val="clear" w:color="000000" w:fill="FFFFFF"/>
            <w:vAlign w:val="center"/>
            <w:hideMark/>
          </w:tcPr>
          <w:p w14:paraId="64AA96A0"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400</w:t>
            </w:r>
          </w:p>
        </w:tc>
        <w:tc>
          <w:tcPr>
            <w:tcW w:w="1796" w:type="dxa"/>
            <w:tcBorders>
              <w:top w:val="nil"/>
              <w:left w:val="nil"/>
              <w:bottom w:val="single" w:sz="4" w:space="0" w:color="auto"/>
              <w:right w:val="single" w:sz="4" w:space="0" w:color="auto"/>
            </w:tcBorders>
            <w:shd w:val="clear" w:color="000000" w:fill="FFFFFF"/>
            <w:vAlign w:val="center"/>
            <w:hideMark/>
          </w:tcPr>
          <w:p w14:paraId="7F6155B5"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491</w:t>
            </w:r>
          </w:p>
        </w:tc>
      </w:tr>
      <w:tr w:rsidR="004C14FC" w:rsidRPr="004C14FC" w14:paraId="2818F20E" w14:textId="77777777" w:rsidTr="004C14FC">
        <w:trPr>
          <w:trHeight w:val="20"/>
          <w:jc w:val="center"/>
        </w:trPr>
        <w:tc>
          <w:tcPr>
            <w:tcW w:w="2271" w:type="dxa"/>
            <w:tcBorders>
              <w:top w:val="nil"/>
              <w:left w:val="single" w:sz="4" w:space="0" w:color="auto"/>
              <w:bottom w:val="single" w:sz="4" w:space="0" w:color="auto"/>
              <w:right w:val="single" w:sz="4" w:space="0" w:color="auto"/>
            </w:tcBorders>
            <w:shd w:val="clear" w:color="000000" w:fill="FFFFFF"/>
            <w:vAlign w:val="center"/>
            <w:hideMark/>
          </w:tcPr>
          <w:p w14:paraId="36CAF157" w14:textId="7101EF9B"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p>
        </w:tc>
        <w:tc>
          <w:tcPr>
            <w:tcW w:w="2788" w:type="dxa"/>
            <w:tcBorders>
              <w:top w:val="nil"/>
              <w:left w:val="nil"/>
              <w:bottom w:val="single" w:sz="4" w:space="0" w:color="auto"/>
              <w:right w:val="single" w:sz="4" w:space="0" w:color="auto"/>
            </w:tcBorders>
            <w:shd w:val="clear" w:color="000000" w:fill="FFFFFF"/>
            <w:vAlign w:val="center"/>
            <w:hideMark/>
          </w:tcPr>
          <w:p w14:paraId="22997791"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4C14FC">
              <w:rPr>
                <w:rFonts w:ascii="Times New Roman" w:eastAsia="Times New Roman" w:hAnsi="Times New Roman" w:cs="Times New Roman"/>
                <w:i/>
                <w:iCs/>
                <w:color w:val="1A1C1E"/>
                <w:kern w:val="0"/>
                <w:sz w:val="22"/>
                <w:szCs w:val="22"/>
                <w:lang w:eastAsia="en-IN"/>
                <w14:ligatures w14:val="none"/>
              </w:rPr>
              <w:t>4.3</w:t>
            </w:r>
          </w:p>
        </w:tc>
        <w:tc>
          <w:tcPr>
            <w:tcW w:w="2493" w:type="dxa"/>
            <w:tcBorders>
              <w:top w:val="nil"/>
              <w:left w:val="nil"/>
              <w:bottom w:val="single" w:sz="4" w:space="0" w:color="auto"/>
              <w:right w:val="single" w:sz="4" w:space="0" w:color="auto"/>
            </w:tcBorders>
            <w:shd w:val="clear" w:color="000000" w:fill="FFFFFF"/>
            <w:vAlign w:val="center"/>
            <w:hideMark/>
          </w:tcPr>
          <w:p w14:paraId="748CAACC" w14:textId="66ED408E" w:rsidR="004C14FC" w:rsidRPr="004C14FC" w:rsidRDefault="004C14FC" w:rsidP="004C14FC">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4C14FC">
              <w:rPr>
                <w:rFonts w:ascii="Times New Roman" w:eastAsia="Times New Roman" w:hAnsi="Times New Roman" w:cs="Times New Roman"/>
                <w:i/>
                <w:iCs/>
                <w:color w:val="1A1C1E"/>
                <w:kern w:val="0"/>
                <w:sz w:val="22"/>
                <w:szCs w:val="22"/>
                <w:lang w:eastAsia="en-IN"/>
                <w14:ligatures w14:val="none"/>
              </w:rPr>
              <w:t>1</w:t>
            </w:r>
            <w:r w:rsidR="0086673A">
              <w:rPr>
                <w:rFonts w:ascii="Times New Roman" w:eastAsia="Times New Roman" w:hAnsi="Times New Roman" w:cs="Times New Roman"/>
                <w:i/>
                <w:iCs/>
                <w:color w:val="1A1C1E"/>
                <w:kern w:val="0"/>
                <w:sz w:val="22"/>
                <w:szCs w:val="22"/>
                <w:lang w:eastAsia="en-IN"/>
                <w14:ligatures w14:val="none"/>
              </w:rPr>
              <w:t>.0</w:t>
            </w:r>
          </w:p>
        </w:tc>
        <w:tc>
          <w:tcPr>
            <w:tcW w:w="1501" w:type="dxa"/>
            <w:tcBorders>
              <w:top w:val="nil"/>
              <w:left w:val="nil"/>
              <w:bottom w:val="single" w:sz="4" w:space="0" w:color="auto"/>
              <w:right w:val="single" w:sz="4" w:space="0" w:color="auto"/>
            </w:tcBorders>
            <w:shd w:val="clear" w:color="000000" w:fill="FFFFFF"/>
            <w:vAlign w:val="center"/>
            <w:hideMark/>
          </w:tcPr>
          <w:p w14:paraId="53814BFE"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4C14FC">
              <w:rPr>
                <w:rFonts w:ascii="Times New Roman" w:eastAsia="Times New Roman" w:hAnsi="Times New Roman" w:cs="Times New Roman"/>
                <w:i/>
                <w:iCs/>
                <w:color w:val="1A1C1E"/>
                <w:kern w:val="0"/>
                <w:sz w:val="22"/>
                <w:szCs w:val="22"/>
                <w:lang w:eastAsia="en-IN"/>
                <w14:ligatures w14:val="none"/>
              </w:rPr>
              <w:t>2.4</w:t>
            </w:r>
          </w:p>
        </w:tc>
        <w:tc>
          <w:tcPr>
            <w:tcW w:w="1503" w:type="dxa"/>
            <w:tcBorders>
              <w:top w:val="nil"/>
              <w:left w:val="nil"/>
              <w:bottom w:val="single" w:sz="4" w:space="0" w:color="auto"/>
              <w:right w:val="single" w:sz="4" w:space="0" w:color="auto"/>
            </w:tcBorders>
            <w:shd w:val="clear" w:color="000000" w:fill="FFFFFF"/>
            <w:vAlign w:val="center"/>
            <w:hideMark/>
          </w:tcPr>
          <w:p w14:paraId="224D4117"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4C14FC">
              <w:rPr>
                <w:rFonts w:ascii="Times New Roman" w:eastAsia="Times New Roman" w:hAnsi="Times New Roman" w:cs="Times New Roman"/>
                <w:i/>
                <w:iCs/>
                <w:color w:val="1A1C1E"/>
                <w:kern w:val="0"/>
                <w:sz w:val="22"/>
                <w:szCs w:val="22"/>
                <w:lang w:eastAsia="en-IN"/>
                <w14:ligatures w14:val="none"/>
              </w:rPr>
              <w:t>4.7</w:t>
            </w:r>
          </w:p>
        </w:tc>
        <w:tc>
          <w:tcPr>
            <w:tcW w:w="2108" w:type="dxa"/>
            <w:tcBorders>
              <w:top w:val="nil"/>
              <w:left w:val="nil"/>
              <w:bottom w:val="single" w:sz="4" w:space="0" w:color="auto"/>
              <w:right w:val="single" w:sz="4" w:space="0" w:color="auto"/>
            </w:tcBorders>
            <w:shd w:val="clear" w:color="000000" w:fill="FFFFFF"/>
            <w:vAlign w:val="center"/>
            <w:hideMark/>
          </w:tcPr>
          <w:p w14:paraId="08C6E5D4"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4C14FC">
              <w:rPr>
                <w:rFonts w:ascii="Times New Roman" w:eastAsia="Times New Roman" w:hAnsi="Times New Roman" w:cs="Times New Roman"/>
                <w:i/>
                <w:iCs/>
                <w:color w:val="1A1C1E"/>
                <w:kern w:val="0"/>
                <w:sz w:val="22"/>
                <w:szCs w:val="22"/>
                <w:lang w:eastAsia="en-IN"/>
                <w14:ligatures w14:val="none"/>
              </w:rPr>
              <w:t>1.6</w:t>
            </w:r>
          </w:p>
        </w:tc>
        <w:tc>
          <w:tcPr>
            <w:tcW w:w="1796" w:type="dxa"/>
            <w:tcBorders>
              <w:top w:val="nil"/>
              <w:left w:val="nil"/>
              <w:bottom w:val="single" w:sz="4" w:space="0" w:color="auto"/>
              <w:right w:val="single" w:sz="4" w:space="0" w:color="auto"/>
            </w:tcBorders>
            <w:shd w:val="clear" w:color="000000" w:fill="FFFFFF"/>
            <w:vAlign w:val="center"/>
            <w:hideMark/>
          </w:tcPr>
          <w:p w14:paraId="516B9AA8" w14:textId="54EA70D3" w:rsidR="004C14FC" w:rsidRPr="004C14FC" w:rsidRDefault="004C14FC" w:rsidP="004C14FC">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4C14FC">
              <w:rPr>
                <w:rFonts w:ascii="Times New Roman" w:eastAsia="Times New Roman" w:hAnsi="Times New Roman" w:cs="Times New Roman"/>
                <w:i/>
                <w:iCs/>
                <w:color w:val="1A1C1E"/>
                <w:kern w:val="0"/>
                <w:sz w:val="22"/>
                <w:szCs w:val="22"/>
                <w:lang w:eastAsia="en-IN"/>
                <w14:ligatures w14:val="none"/>
              </w:rPr>
              <w:t>2</w:t>
            </w:r>
            <w:r w:rsidR="00900B42">
              <w:rPr>
                <w:rFonts w:ascii="Times New Roman" w:eastAsia="Times New Roman" w:hAnsi="Times New Roman" w:cs="Times New Roman"/>
                <w:i/>
                <w:iCs/>
                <w:color w:val="1A1C1E"/>
                <w:kern w:val="0"/>
                <w:sz w:val="22"/>
                <w:szCs w:val="22"/>
                <w:lang w:eastAsia="en-IN"/>
                <w14:ligatures w14:val="none"/>
              </w:rPr>
              <w:t>.0</w:t>
            </w:r>
          </w:p>
        </w:tc>
      </w:tr>
      <w:tr w:rsidR="004C14FC" w:rsidRPr="004C14FC" w14:paraId="16F48D49" w14:textId="77777777" w:rsidTr="004C14FC">
        <w:trPr>
          <w:trHeight w:val="20"/>
          <w:jc w:val="center"/>
        </w:trPr>
        <w:tc>
          <w:tcPr>
            <w:tcW w:w="2271" w:type="dxa"/>
            <w:tcBorders>
              <w:top w:val="nil"/>
              <w:left w:val="single" w:sz="4" w:space="0" w:color="auto"/>
              <w:bottom w:val="single" w:sz="4" w:space="0" w:color="auto"/>
              <w:right w:val="single" w:sz="4" w:space="0" w:color="auto"/>
            </w:tcBorders>
            <w:shd w:val="clear" w:color="000000" w:fill="FFFFFF"/>
            <w:vAlign w:val="center"/>
            <w:hideMark/>
          </w:tcPr>
          <w:p w14:paraId="600AC073"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Hyderabad</w:t>
            </w:r>
          </w:p>
        </w:tc>
        <w:tc>
          <w:tcPr>
            <w:tcW w:w="2788" w:type="dxa"/>
            <w:tcBorders>
              <w:top w:val="nil"/>
              <w:left w:val="nil"/>
              <w:bottom w:val="single" w:sz="4" w:space="0" w:color="auto"/>
              <w:right w:val="single" w:sz="4" w:space="0" w:color="auto"/>
            </w:tcBorders>
            <w:shd w:val="clear" w:color="000000" w:fill="FFFFFF"/>
            <w:vAlign w:val="center"/>
            <w:hideMark/>
          </w:tcPr>
          <w:p w14:paraId="1785F2EB"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547</w:t>
            </w:r>
          </w:p>
        </w:tc>
        <w:tc>
          <w:tcPr>
            <w:tcW w:w="2493" w:type="dxa"/>
            <w:tcBorders>
              <w:top w:val="nil"/>
              <w:left w:val="nil"/>
              <w:bottom w:val="single" w:sz="4" w:space="0" w:color="auto"/>
              <w:right w:val="single" w:sz="4" w:space="0" w:color="auto"/>
            </w:tcBorders>
            <w:shd w:val="clear" w:color="000000" w:fill="FFFFFF"/>
            <w:vAlign w:val="center"/>
            <w:hideMark/>
          </w:tcPr>
          <w:p w14:paraId="08C4CD82"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95</w:t>
            </w:r>
          </w:p>
        </w:tc>
        <w:tc>
          <w:tcPr>
            <w:tcW w:w="1501" w:type="dxa"/>
            <w:tcBorders>
              <w:top w:val="nil"/>
              <w:left w:val="nil"/>
              <w:bottom w:val="single" w:sz="4" w:space="0" w:color="auto"/>
              <w:right w:val="single" w:sz="4" w:space="0" w:color="auto"/>
            </w:tcBorders>
            <w:shd w:val="clear" w:color="000000" w:fill="FFFFFF"/>
            <w:vAlign w:val="center"/>
            <w:hideMark/>
          </w:tcPr>
          <w:p w14:paraId="010CA72F"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369</w:t>
            </w:r>
          </w:p>
        </w:tc>
        <w:tc>
          <w:tcPr>
            <w:tcW w:w="1503" w:type="dxa"/>
            <w:tcBorders>
              <w:top w:val="nil"/>
              <w:left w:val="nil"/>
              <w:bottom w:val="single" w:sz="4" w:space="0" w:color="auto"/>
              <w:right w:val="single" w:sz="4" w:space="0" w:color="auto"/>
            </w:tcBorders>
            <w:shd w:val="clear" w:color="000000" w:fill="FFFFFF"/>
            <w:vAlign w:val="center"/>
            <w:hideMark/>
          </w:tcPr>
          <w:p w14:paraId="5D7656F7"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726</w:t>
            </w:r>
          </w:p>
        </w:tc>
        <w:tc>
          <w:tcPr>
            <w:tcW w:w="2108" w:type="dxa"/>
            <w:tcBorders>
              <w:top w:val="nil"/>
              <w:left w:val="nil"/>
              <w:bottom w:val="single" w:sz="4" w:space="0" w:color="auto"/>
              <w:right w:val="single" w:sz="4" w:space="0" w:color="auto"/>
            </w:tcBorders>
            <w:shd w:val="clear" w:color="000000" w:fill="FFFFFF"/>
            <w:vAlign w:val="center"/>
            <w:hideMark/>
          </w:tcPr>
          <w:p w14:paraId="1FF337F9"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442</w:t>
            </w:r>
          </w:p>
        </w:tc>
        <w:tc>
          <w:tcPr>
            <w:tcW w:w="1796" w:type="dxa"/>
            <w:tcBorders>
              <w:top w:val="nil"/>
              <w:left w:val="nil"/>
              <w:bottom w:val="single" w:sz="4" w:space="0" w:color="auto"/>
              <w:right w:val="single" w:sz="4" w:space="0" w:color="auto"/>
            </w:tcBorders>
            <w:shd w:val="clear" w:color="000000" w:fill="FFFFFF"/>
            <w:vAlign w:val="center"/>
            <w:hideMark/>
          </w:tcPr>
          <w:p w14:paraId="50B6FC29"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162</w:t>
            </w:r>
          </w:p>
        </w:tc>
      </w:tr>
      <w:tr w:rsidR="004C14FC" w:rsidRPr="004C14FC" w14:paraId="6029E3E0" w14:textId="77777777" w:rsidTr="004C14FC">
        <w:trPr>
          <w:trHeight w:val="20"/>
          <w:jc w:val="center"/>
        </w:trPr>
        <w:tc>
          <w:tcPr>
            <w:tcW w:w="2271" w:type="dxa"/>
            <w:tcBorders>
              <w:top w:val="nil"/>
              <w:left w:val="single" w:sz="4" w:space="0" w:color="auto"/>
              <w:bottom w:val="single" w:sz="4" w:space="0" w:color="auto"/>
              <w:right w:val="single" w:sz="4" w:space="0" w:color="auto"/>
            </w:tcBorders>
            <w:shd w:val="clear" w:color="000000" w:fill="FFFFFF"/>
            <w:vAlign w:val="center"/>
            <w:hideMark/>
          </w:tcPr>
          <w:p w14:paraId="3EDCDB92" w14:textId="72520378"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p>
        </w:tc>
        <w:tc>
          <w:tcPr>
            <w:tcW w:w="2788" w:type="dxa"/>
            <w:tcBorders>
              <w:top w:val="nil"/>
              <w:left w:val="nil"/>
              <w:bottom w:val="single" w:sz="4" w:space="0" w:color="auto"/>
              <w:right w:val="single" w:sz="4" w:space="0" w:color="auto"/>
            </w:tcBorders>
            <w:shd w:val="clear" w:color="000000" w:fill="FFFFFF"/>
            <w:vAlign w:val="center"/>
            <w:hideMark/>
          </w:tcPr>
          <w:p w14:paraId="39E056C4"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4C14FC">
              <w:rPr>
                <w:rFonts w:ascii="Times New Roman" w:eastAsia="Times New Roman" w:hAnsi="Times New Roman" w:cs="Times New Roman"/>
                <w:i/>
                <w:iCs/>
                <w:color w:val="1A1C1E"/>
                <w:kern w:val="0"/>
                <w:sz w:val="22"/>
                <w:szCs w:val="22"/>
                <w:lang w:eastAsia="en-IN"/>
                <w14:ligatures w14:val="none"/>
              </w:rPr>
              <w:t>2.9</w:t>
            </w:r>
          </w:p>
        </w:tc>
        <w:tc>
          <w:tcPr>
            <w:tcW w:w="2493" w:type="dxa"/>
            <w:tcBorders>
              <w:top w:val="nil"/>
              <w:left w:val="nil"/>
              <w:bottom w:val="single" w:sz="4" w:space="0" w:color="auto"/>
              <w:right w:val="single" w:sz="4" w:space="0" w:color="auto"/>
            </w:tcBorders>
            <w:shd w:val="clear" w:color="000000" w:fill="FFFFFF"/>
            <w:vAlign w:val="center"/>
            <w:hideMark/>
          </w:tcPr>
          <w:p w14:paraId="6E6D782A"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4C14FC">
              <w:rPr>
                <w:rFonts w:ascii="Times New Roman" w:eastAsia="Times New Roman" w:hAnsi="Times New Roman" w:cs="Times New Roman"/>
                <w:i/>
                <w:iCs/>
                <w:color w:val="1A1C1E"/>
                <w:kern w:val="0"/>
                <w:sz w:val="22"/>
                <w:szCs w:val="22"/>
                <w:lang w:eastAsia="en-IN"/>
                <w14:ligatures w14:val="none"/>
              </w:rPr>
              <w:t>0.5</w:t>
            </w:r>
          </w:p>
        </w:tc>
        <w:tc>
          <w:tcPr>
            <w:tcW w:w="1501" w:type="dxa"/>
            <w:tcBorders>
              <w:top w:val="nil"/>
              <w:left w:val="nil"/>
              <w:bottom w:val="single" w:sz="4" w:space="0" w:color="auto"/>
              <w:right w:val="single" w:sz="4" w:space="0" w:color="auto"/>
            </w:tcBorders>
            <w:shd w:val="clear" w:color="000000" w:fill="FFFFFF"/>
            <w:vAlign w:val="center"/>
            <w:hideMark/>
          </w:tcPr>
          <w:p w14:paraId="78A7D0BA" w14:textId="0041613B" w:rsidR="004C14FC" w:rsidRPr="004C14FC" w:rsidRDefault="004C14FC" w:rsidP="004C14FC">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4C14FC">
              <w:rPr>
                <w:rFonts w:ascii="Times New Roman" w:eastAsia="Times New Roman" w:hAnsi="Times New Roman" w:cs="Times New Roman"/>
                <w:i/>
                <w:iCs/>
                <w:color w:val="1A1C1E"/>
                <w:kern w:val="0"/>
                <w:sz w:val="22"/>
                <w:szCs w:val="22"/>
                <w:lang w:eastAsia="en-IN"/>
                <w14:ligatures w14:val="none"/>
              </w:rPr>
              <w:t>2</w:t>
            </w:r>
            <w:r w:rsidR="0086673A">
              <w:rPr>
                <w:rFonts w:ascii="Times New Roman" w:eastAsia="Times New Roman" w:hAnsi="Times New Roman" w:cs="Times New Roman"/>
                <w:i/>
                <w:iCs/>
                <w:color w:val="1A1C1E"/>
                <w:kern w:val="0"/>
                <w:sz w:val="22"/>
                <w:szCs w:val="22"/>
                <w:lang w:eastAsia="en-IN"/>
                <w14:ligatures w14:val="none"/>
              </w:rPr>
              <w:t>.0</w:t>
            </w:r>
          </w:p>
        </w:tc>
        <w:tc>
          <w:tcPr>
            <w:tcW w:w="1503" w:type="dxa"/>
            <w:tcBorders>
              <w:top w:val="nil"/>
              <w:left w:val="nil"/>
              <w:bottom w:val="single" w:sz="4" w:space="0" w:color="auto"/>
              <w:right w:val="single" w:sz="4" w:space="0" w:color="auto"/>
            </w:tcBorders>
            <w:shd w:val="clear" w:color="000000" w:fill="FFFFFF"/>
            <w:vAlign w:val="center"/>
            <w:hideMark/>
          </w:tcPr>
          <w:p w14:paraId="58FF57F2"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4C14FC">
              <w:rPr>
                <w:rFonts w:ascii="Times New Roman" w:eastAsia="Times New Roman" w:hAnsi="Times New Roman" w:cs="Times New Roman"/>
                <w:i/>
                <w:iCs/>
                <w:color w:val="1A1C1E"/>
                <w:kern w:val="0"/>
                <w:sz w:val="22"/>
                <w:szCs w:val="22"/>
                <w:lang w:eastAsia="en-IN"/>
                <w14:ligatures w14:val="none"/>
              </w:rPr>
              <w:t>3.9</w:t>
            </w:r>
          </w:p>
        </w:tc>
        <w:tc>
          <w:tcPr>
            <w:tcW w:w="2108" w:type="dxa"/>
            <w:tcBorders>
              <w:top w:val="nil"/>
              <w:left w:val="nil"/>
              <w:bottom w:val="single" w:sz="4" w:space="0" w:color="auto"/>
              <w:right w:val="single" w:sz="4" w:space="0" w:color="auto"/>
            </w:tcBorders>
            <w:shd w:val="clear" w:color="000000" w:fill="FFFFFF"/>
            <w:vAlign w:val="center"/>
            <w:hideMark/>
          </w:tcPr>
          <w:p w14:paraId="56DDB9CD"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4C14FC">
              <w:rPr>
                <w:rFonts w:ascii="Times New Roman" w:eastAsia="Times New Roman" w:hAnsi="Times New Roman" w:cs="Times New Roman"/>
                <w:i/>
                <w:iCs/>
                <w:color w:val="1A1C1E"/>
                <w:kern w:val="0"/>
                <w:sz w:val="22"/>
                <w:szCs w:val="22"/>
                <w:lang w:eastAsia="en-IN"/>
                <w14:ligatures w14:val="none"/>
              </w:rPr>
              <w:t>2.4</w:t>
            </w:r>
          </w:p>
        </w:tc>
        <w:tc>
          <w:tcPr>
            <w:tcW w:w="1796" w:type="dxa"/>
            <w:tcBorders>
              <w:top w:val="nil"/>
              <w:left w:val="nil"/>
              <w:bottom w:val="single" w:sz="4" w:space="0" w:color="auto"/>
              <w:right w:val="single" w:sz="4" w:space="0" w:color="auto"/>
            </w:tcBorders>
            <w:shd w:val="clear" w:color="000000" w:fill="FFFFFF"/>
            <w:vAlign w:val="center"/>
            <w:hideMark/>
          </w:tcPr>
          <w:p w14:paraId="132DD3FA"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4C14FC">
              <w:rPr>
                <w:rFonts w:ascii="Times New Roman" w:eastAsia="Times New Roman" w:hAnsi="Times New Roman" w:cs="Times New Roman"/>
                <w:i/>
                <w:iCs/>
                <w:color w:val="1A1C1E"/>
                <w:kern w:val="0"/>
                <w:sz w:val="22"/>
                <w:szCs w:val="22"/>
                <w:lang w:eastAsia="en-IN"/>
                <w14:ligatures w14:val="none"/>
              </w:rPr>
              <w:t>0.9</w:t>
            </w:r>
          </w:p>
        </w:tc>
      </w:tr>
      <w:tr w:rsidR="004C14FC" w:rsidRPr="004C14FC" w14:paraId="425A2315" w14:textId="77777777" w:rsidTr="004C14FC">
        <w:trPr>
          <w:trHeight w:val="20"/>
          <w:jc w:val="center"/>
        </w:trPr>
        <w:tc>
          <w:tcPr>
            <w:tcW w:w="2271" w:type="dxa"/>
            <w:tcBorders>
              <w:top w:val="nil"/>
              <w:left w:val="single" w:sz="4" w:space="0" w:color="auto"/>
              <w:bottom w:val="single" w:sz="4" w:space="0" w:color="auto"/>
              <w:right w:val="single" w:sz="4" w:space="0" w:color="auto"/>
            </w:tcBorders>
            <w:shd w:val="clear" w:color="000000" w:fill="FFFFFF"/>
            <w:vAlign w:val="center"/>
            <w:hideMark/>
          </w:tcPr>
          <w:p w14:paraId="42180235"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Madhya Bharat</w:t>
            </w:r>
          </w:p>
        </w:tc>
        <w:tc>
          <w:tcPr>
            <w:tcW w:w="2788" w:type="dxa"/>
            <w:tcBorders>
              <w:top w:val="nil"/>
              <w:left w:val="nil"/>
              <w:bottom w:val="single" w:sz="4" w:space="0" w:color="auto"/>
              <w:right w:val="single" w:sz="4" w:space="0" w:color="auto"/>
            </w:tcBorders>
            <w:shd w:val="clear" w:color="000000" w:fill="FFFFFF"/>
            <w:vAlign w:val="center"/>
            <w:hideMark/>
          </w:tcPr>
          <w:p w14:paraId="2E19926E"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304</w:t>
            </w:r>
          </w:p>
        </w:tc>
        <w:tc>
          <w:tcPr>
            <w:tcW w:w="2493" w:type="dxa"/>
            <w:tcBorders>
              <w:top w:val="nil"/>
              <w:left w:val="nil"/>
              <w:bottom w:val="single" w:sz="4" w:space="0" w:color="auto"/>
              <w:right w:val="single" w:sz="4" w:space="0" w:color="auto"/>
            </w:tcBorders>
            <w:shd w:val="clear" w:color="000000" w:fill="FFFFFF"/>
            <w:vAlign w:val="center"/>
            <w:hideMark/>
          </w:tcPr>
          <w:p w14:paraId="2613645F"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100</w:t>
            </w:r>
          </w:p>
        </w:tc>
        <w:tc>
          <w:tcPr>
            <w:tcW w:w="1501" w:type="dxa"/>
            <w:tcBorders>
              <w:top w:val="nil"/>
              <w:left w:val="nil"/>
              <w:bottom w:val="single" w:sz="4" w:space="0" w:color="auto"/>
              <w:right w:val="single" w:sz="4" w:space="0" w:color="auto"/>
            </w:tcBorders>
            <w:shd w:val="clear" w:color="000000" w:fill="FFFFFF"/>
            <w:vAlign w:val="center"/>
            <w:hideMark/>
          </w:tcPr>
          <w:p w14:paraId="50FE6541"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156</w:t>
            </w:r>
          </w:p>
        </w:tc>
        <w:tc>
          <w:tcPr>
            <w:tcW w:w="1503" w:type="dxa"/>
            <w:tcBorders>
              <w:top w:val="nil"/>
              <w:left w:val="nil"/>
              <w:bottom w:val="single" w:sz="4" w:space="0" w:color="auto"/>
              <w:right w:val="single" w:sz="4" w:space="0" w:color="auto"/>
            </w:tcBorders>
            <w:shd w:val="clear" w:color="000000" w:fill="FFFFFF"/>
            <w:vAlign w:val="center"/>
            <w:hideMark/>
          </w:tcPr>
          <w:p w14:paraId="4A7F5929"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422</w:t>
            </w:r>
          </w:p>
        </w:tc>
        <w:tc>
          <w:tcPr>
            <w:tcW w:w="2108" w:type="dxa"/>
            <w:tcBorders>
              <w:top w:val="nil"/>
              <w:left w:val="nil"/>
              <w:bottom w:val="single" w:sz="4" w:space="0" w:color="auto"/>
              <w:right w:val="single" w:sz="4" w:space="0" w:color="auto"/>
            </w:tcBorders>
            <w:shd w:val="clear" w:color="000000" w:fill="FFFFFF"/>
            <w:vAlign w:val="center"/>
            <w:hideMark/>
          </w:tcPr>
          <w:p w14:paraId="128C5EFA"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177</w:t>
            </w:r>
          </w:p>
        </w:tc>
        <w:tc>
          <w:tcPr>
            <w:tcW w:w="1796" w:type="dxa"/>
            <w:tcBorders>
              <w:top w:val="nil"/>
              <w:left w:val="nil"/>
              <w:bottom w:val="single" w:sz="4" w:space="0" w:color="auto"/>
              <w:right w:val="single" w:sz="4" w:space="0" w:color="auto"/>
            </w:tcBorders>
            <w:shd w:val="clear" w:color="000000" w:fill="FFFFFF"/>
            <w:vAlign w:val="center"/>
            <w:hideMark/>
          </w:tcPr>
          <w:p w14:paraId="2E245192"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121</w:t>
            </w:r>
          </w:p>
        </w:tc>
      </w:tr>
      <w:tr w:rsidR="004C14FC" w:rsidRPr="004C14FC" w14:paraId="1BF011A7" w14:textId="77777777" w:rsidTr="004C14FC">
        <w:trPr>
          <w:trHeight w:val="20"/>
          <w:jc w:val="center"/>
        </w:trPr>
        <w:tc>
          <w:tcPr>
            <w:tcW w:w="2271" w:type="dxa"/>
            <w:tcBorders>
              <w:top w:val="nil"/>
              <w:left w:val="single" w:sz="4" w:space="0" w:color="auto"/>
              <w:bottom w:val="single" w:sz="4" w:space="0" w:color="auto"/>
              <w:right w:val="single" w:sz="4" w:space="0" w:color="auto"/>
            </w:tcBorders>
            <w:shd w:val="clear" w:color="000000" w:fill="FFFFFF"/>
            <w:vAlign w:val="center"/>
            <w:hideMark/>
          </w:tcPr>
          <w:p w14:paraId="1700BCB1" w14:textId="4F5BFDAA"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p>
        </w:tc>
        <w:tc>
          <w:tcPr>
            <w:tcW w:w="2788" w:type="dxa"/>
            <w:tcBorders>
              <w:top w:val="nil"/>
              <w:left w:val="nil"/>
              <w:bottom w:val="single" w:sz="4" w:space="0" w:color="auto"/>
              <w:right w:val="single" w:sz="4" w:space="0" w:color="auto"/>
            </w:tcBorders>
            <w:shd w:val="clear" w:color="000000" w:fill="FFFFFF"/>
            <w:vAlign w:val="center"/>
            <w:hideMark/>
          </w:tcPr>
          <w:p w14:paraId="12538089"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4C14FC">
              <w:rPr>
                <w:rFonts w:ascii="Times New Roman" w:eastAsia="Times New Roman" w:hAnsi="Times New Roman" w:cs="Times New Roman"/>
                <w:i/>
                <w:iCs/>
                <w:color w:val="1A1C1E"/>
                <w:kern w:val="0"/>
                <w:sz w:val="22"/>
                <w:szCs w:val="22"/>
                <w:lang w:eastAsia="en-IN"/>
                <w14:ligatures w14:val="none"/>
              </w:rPr>
              <w:t>3.8</w:t>
            </w:r>
          </w:p>
        </w:tc>
        <w:tc>
          <w:tcPr>
            <w:tcW w:w="2493" w:type="dxa"/>
            <w:tcBorders>
              <w:top w:val="nil"/>
              <w:left w:val="nil"/>
              <w:bottom w:val="single" w:sz="4" w:space="0" w:color="auto"/>
              <w:right w:val="single" w:sz="4" w:space="0" w:color="auto"/>
            </w:tcBorders>
            <w:shd w:val="clear" w:color="000000" w:fill="FFFFFF"/>
            <w:vAlign w:val="center"/>
            <w:hideMark/>
          </w:tcPr>
          <w:p w14:paraId="2876BE05"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4C14FC">
              <w:rPr>
                <w:rFonts w:ascii="Times New Roman" w:eastAsia="Times New Roman" w:hAnsi="Times New Roman" w:cs="Times New Roman"/>
                <w:i/>
                <w:iCs/>
                <w:color w:val="1A1C1E"/>
                <w:kern w:val="0"/>
                <w:sz w:val="22"/>
                <w:szCs w:val="22"/>
                <w:lang w:eastAsia="en-IN"/>
                <w14:ligatures w14:val="none"/>
              </w:rPr>
              <w:t>1.2</w:t>
            </w:r>
          </w:p>
        </w:tc>
        <w:tc>
          <w:tcPr>
            <w:tcW w:w="1501" w:type="dxa"/>
            <w:tcBorders>
              <w:top w:val="nil"/>
              <w:left w:val="nil"/>
              <w:bottom w:val="single" w:sz="4" w:space="0" w:color="auto"/>
              <w:right w:val="single" w:sz="4" w:space="0" w:color="auto"/>
            </w:tcBorders>
            <w:shd w:val="clear" w:color="000000" w:fill="FFFFFF"/>
            <w:vAlign w:val="center"/>
            <w:hideMark/>
          </w:tcPr>
          <w:p w14:paraId="6E648CC5" w14:textId="7B430962" w:rsidR="004C14FC" w:rsidRPr="004C14FC" w:rsidRDefault="004C14FC" w:rsidP="004C14FC">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4C14FC">
              <w:rPr>
                <w:rFonts w:ascii="Times New Roman" w:eastAsia="Times New Roman" w:hAnsi="Times New Roman" w:cs="Times New Roman"/>
                <w:i/>
                <w:iCs/>
                <w:color w:val="1A1C1E"/>
                <w:kern w:val="0"/>
                <w:sz w:val="22"/>
                <w:szCs w:val="22"/>
                <w:lang w:eastAsia="en-IN"/>
                <w14:ligatures w14:val="none"/>
              </w:rPr>
              <w:t>2</w:t>
            </w:r>
            <w:r w:rsidR="0086673A">
              <w:rPr>
                <w:rFonts w:ascii="Times New Roman" w:eastAsia="Times New Roman" w:hAnsi="Times New Roman" w:cs="Times New Roman"/>
                <w:i/>
                <w:iCs/>
                <w:color w:val="1A1C1E"/>
                <w:kern w:val="0"/>
                <w:sz w:val="22"/>
                <w:szCs w:val="22"/>
                <w:lang w:eastAsia="en-IN"/>
                <w14:ligatures w14:val="none"/>
              </w:rPr>
              <w:t>.0</w:t>
            </w:r>
          </w:p>
        </w:tc>
        <w:tc>
          <w:tcPr>
            <w:tcW w:w="1503" w:type="dxa"/>
            <w:tcBorders>
              <w:top w:val="nil"/>
              <w:left w:val="nil"/>
              <w:bottom w:val="single" w:sz="4" w:space="0" w:color="auto"/>
              <w:right w:val="single" w:sz="4" w:space="0" w:color="auto"/>
            </w:tcBorders>
            <w:shd w:val="clear" w:color="000000" w:fill="FFFFFF"/>
            <w:vAlign w:val="center"/>
            <w:hideMark/>
          </w:tcPr>
          <w:p w14:paraId="2279624C"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4C14FC">
              <w:rPr>
                <w:rFonts w:ascii="Times New Roman" w:eastAsia="Times New Roman" w:hAnsi="Times New Roman" w:cs="Times New Roman"/>
                <w:i/>
                <w:iCs/>
                <w:color w:val="1A1C1E"/>
                <w:kern w:val="0"/>
                <w:sz w:val="22"/>
                <w:szCs w:val="22"/>
                <w:lang w:eastAsia="en-IN"/>
                <w14:ligatures w14:val="none"/>
              </w:rPr>
              <w:t>5.3</w:t>
            </w:r>
          </w:p>
        </w:tc>
        <w:tc>
          <w:tcPr>
            <w:tcW w:w="2108" w:type="dxa"/>
            <w:tcBorders>
              <w:top w:val="nil"/>
              <w:left w:val="nil"/>
              <w:bottom w:val="single" w:sz="4" w:space="0" w:color="auto"/>
              <w:right w:val="single" w:sz="4" w:space="0" w:color="auto"/>
            </w:tcBorders>
            <w:shd w:val="clear" w:color="000000" w:fill="FFFFFF"/>
            <w:vAlign w:val="center"/>
            <w:hideMark/>
          </w:tcPr>
          <w:p w14:paraId="25BCB37C"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4C14FC">
              <w:rPr>
                <w:rFonts w:ascii="Times New Roman" w:eastAsia="Times New Roman" w:hAnsi="Times New Roman" w:cs="Times New Roman"/>
                <w:i/>
                <w:iCs/>
                <w:color w:val="1A1C1E"/>
                <w:kern w:val="0"/>
                <w:sz w:val="22"/>
                <w:szCs w:val="22"/>
                <w:lang w:eastAsia="en-IN"/>
                <w14:ligatures w14:val="none"/>
              </w:rPr>
              <w:t>2.2</w:t>
            </w:r>
          </w:p>
        </w:tc>
        <w:tc>
          <w:tcPr>
            <w:tcW w:w="1796" w:type="dxa"/>
            <w:tcBorders>
              <w:top w:val="nil"/>
              <w:left w:val="nil"/>
              <w:bottom w:val="single" w:sz="4" w:space="0" w:color="auto"/>
              <w:right w:val="single" w:sz="4" w:space="0" w:color="auto"/>
            </w:tcBorders>
            <w:shd w:val="clear" w:color="000000" w:fill="FFFFFF"/>
            <w:vAlign w:val="center"/>
            <w:hideMark/>
          </w:tcPr>
          <w:p w14:paraId="533E6686"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4C14FC">
              <w:rPr>
                <w:rFonts w:ascii="Times New Roman" w:eastAsia="Times New Roman" w:hAnsi="Times New Roman" w:cs="Times New Roman"/>
                <w:i/>
                <w:iCs/>
                <w:color w:val="1A1C1E"/>
                <w:kern w:val="0"/>
                <w:sz w:val="22"/>
                <w:szCs w:val="22"/>
                <w:lang w:eastAsia="en-IN"/>
                <w14:ligatures w14:val="none"/>
              </w:rPr>
              <w:t>1.5</w:t>
            </w:r>
          </w:p>
        </w:tc>
      </w:tr>
      <w:tr w:rsidR="004C14FC" w:rsidRPr="004C14FC" w14:paraId="45DC9DCC" w14:textId="77777777" w:rsidTr="004C14FC">
        <w:trPr>
          <w:trHeight w:val="20"/>
          <w:jc w:val="center"/>
        </w:trPr>
        <w:tc>
          <w:tcPr>
            <w:tcW w:w="2271" w:type="dxa"/>
            <w:tcBorders>
              <w:top w:val="nil"/>
              <w:left w:val="single" w:sz="4" w:space="0" w:color="auto"/>
              <w:bottom w:val="single" w:sz="4" w:space="0" w:color="auto"/>
              <w:right w:val="single" w:sz="4" w:space="0" w:color="auto"/>
            </w:tcBorders>
            <w:shd w:val="clear" w:color="000000" w:fill="FFFFFF"/>
            <w:vAlign w:val="center"/>
            <w:hideMark/>
          </w:tcPr>
          <w:p w14:paraId="63E1E784"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Mysore</w:t>
            </w:r>
          </w:p>
        </w:tc>
        <w:tc>
          <w:tcPr>
            <w:tcW w:w="2788" w:type="dxa"/>
            <w:tcBorders>
              <w:top w:val="nil"/>
              <w:left w:val="nil"/>
              <w:bottom w:val="single" w:sz="4" w:space="0" w:color="auto"/>
              <w:right w:val="single" w:sz="4" w:space="0" w:color="auto"/>
            </w:tcBorders>
            <w:shd w:val="clear" w:color="000000" w:fill="FFFFFF"/>
            <w:vAlign w:val="center"/>
            <w:hideMark/>
          </w:tcPr>
          <w:p w14:paraId="6C7BA777"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222</w:t>
            </w:r>
          </w:p>
        </w:tc>
        <w:tc>
          <w:tcPr>
            <w:tcW w:w="2493" w:type="dxa"/>
            <w:tcBorders>
              <w:top w:val="nil"/>
              <w:left w:val="nil"/>
              <w:bottom w:val="single" w:sz="4" w:space="0" w:color="auto"/>
              <w:right w:val="single" w:sz="4" w:space="0" w:color="auto"/>
            </w:tcBorders>
            <w:shd w:val="clear" w:color="000000" w:fill="FFFFFF"/>
            <w:vAlign w:val="center"/>
            <w:hideMark/>
          </w:tcPr>
          <w:p w14:paraId="5ED46B60"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79</w:t>
            </w:r>
          </w:p>
        </w:tc>
        <w:tc>
          <w:tcPr>
            <w:tcW w:w="1501" w:type="dxa"/>
            <w:tcBorders>
              <w:top w:val="nil"/>
              <w:left w:val="nil"/>
              <w:bottom w:val="single" w:sz="4" w:space="0" w:color="auto"/>
              <w:right w:val="single" w:sz="4" w:space="0" w:color="auto"/>
            </w:tcBorders>
            <w:shd w:val="clear" w:color="000000" w:fill="FFFFFF"/>
            <w:vAlign w:val="center"/>
            <w:hideMark/>
          </w:tcPr>
          <w:p w14:paraId="1628387D"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109</w:t>
            </w:r>
          </w:p>
        </w:tc>
        <w:tc>
          <w:tcPr>
            <w:tcW w:w="1503" w:type="dxa"/>
            <w:tcBorders>
              <w:top w:val="nil"/>
              <w:left w:val="nil"/>
              <w:bottom w:val="single" w:sz="4" w:space="0" w:color="auto"/>
              <w:right w:val="single" w:sz="4" w:space="0" w:color="auto"/>
            </w:tcBorders>
            <w:shd w:val="clear" w:color="000000" w:fill="FFFFFF"/>
            <w:vAlign w:val="center"/>
            <w:hideMark/>
          </w:tcPr>
          <w:p w14:paraId="200BDB7E"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618</w:t>
            </w:r>
          </w:p>
        </w:tc>
        <w:tc>
          <w:tcPr>
            <w:tcW w:w="2108" w:type="dxa"/>
            <w:tcBorders>
              <w:top w:val="nil"/>
              <w:left w:val="nil"/>
              <w:bottom w:val="single" w:sz="4" w:space="0" w:color="auto"/>
              <w:right w:val="single" w:sz="4" w:space="0" w:color="auto"/>
            </w:tcBorders>
            <w:shd w:val="clear" w:color="000000" w:fill="FFFFFF"/>
            <w:vAlign w:val="center"/>
            <w:hideMark/>
          </w:tcPr>
          <w:p w14:paraId="01F04094"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338</w:t>
            </w:r>
          </w:p>
        </w:tc>
        <w:tc>
          <w:tcPr>
            <w:tcW w:w="1796" w:type="dxa"/>
            <w:tcBorders>
              <w:top w:val="nil"/>
              <w:left w:val="nil"/>
              <w:bottom w:val="single" w:sz="4" w:space="0" w:color="auto"/>
              <w:right w:val="single" w:sz="4" w:space="0" w:color="auto"/>
            </w:tcBorders>
            <w:shd w:val="clear" w:color="000000" w:fill="FFFFFF"/>
            <w:vAlign w:val="center"/>
            <w:hideMark/>
          </w:tcPr>
          <w:p w14:paraId="78EA0C09"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138</w:t>
            </w:r>
          </w:p>
        </w:tc>
      </w:tr>
      <w:tr w:rsidR="004C14FC" w:rsidRPr="004C14FC" w14:paraId="48509BF8" w14:textId="77777777" w:rsidTr="004C14FC">
        <w:trPr>
          <w:trHeight w:val="20"/>
          <w:jc w:val="center"/>
        </w:trPr>
        <w:tc>
          <w:tcPr>
            <w:tcW w:w="2271" w:type="dxa"/>
            <w:tcBorders>
              <w:top w:val="nil"/>
              <w:left w:val="single" w:sz="4" w:space="0" w:color="auto"/>
              <w:bottom w:val="single" w:sz="4" w:space="0" w:color="auto"/>
              <w:right w:val="single" w:sz="4" w:space="0" w:color="auto"/>
            </w:tcBorders>
            <w:shd w:val="clear" w:color="000000" w:fill="FFFFFF"/>
            <w:vAlign w:val="center"/>
            <w:hideMark/>
          </w:tcPr>
          <w:p w14:paraId="3B9E7480" w14:textId="171F5254"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p>
        </w:tc>
        <w:tc>
          <w:tcPr>
            <w:tcW w:w="2788" w:type="dxa"/>
            <w:tcBorders>
              <w:top w:val="nil"/>
              <w:left w:val="nil"/>
              <w:bottom w:val="single" w:sz="4" w:space="0" w:color="auto"/>
              <w:right w:val="single" w:sz="4" w:space="0" w:color="auto"/>
            </w:tcBorders>
            <w:shd w:val="clear" w:color="000000" w:fill="FFFFFF"/>
            <w:vAlign w:val="center"/>
            <w:hideMark/>
          </w:tcPr>
          <w:p w14:paraId="48E820BA"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4C14FC">
              <w:rPr>
                <w:rFonts w:ascii="Times New Roman" w:eastAsia="Times New Roman" w:hAnsi="Times New Roman" w:cs="Times New Roman"/>
                <w:i/>
                <w:iCs/>
                <w:color w:val="1A1C1E"/>
                <w:kern w:val="0"/>
                <w:sz w:val="22"/>
                <w:szCs w:val="22"/>
                <w:lang w:eastAsia="en-IN"/>
                <w14:ligatures w14:val="none"/>
              </w:rPr>
              <w:t>2.4</w:t>
            </w:r>
          </w:p>
        </w:tc>
        <w:tc>
          <w:tcPr>
            <w:tcW w:w="2493" w:type="dxa"/>
            <w:tcBorders>
              <w:top w:val="nil"/>
              <w:left w:val="nil"/>
              <w:bottom w:val="single" w:sz="4" w:space="0" w:color="auto"/>
              <w:right w:val="single" w:sz="4" w:space="0" w:color="auto"/>
            </w:tcBorders>
            <w:shd w:val="clear" w:color="000000" w:fill="FFFFFF"/>
            <w:vAlign w:val="center"/>
            <w:hideMark/>
          </w:tcPr>
          <w:p w14:paraId="0C3C4B54"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4C14FC">
              <w:rPr>
                <w:rFonts w:ascii="Times New Roman" w:eastAsia="Times New Roman" w:hAnsi="Times New Roman" w:cs="Times New Roman"/>
                <w:i/>
                <w:iCs/>
                <w:color w:val="1A1C1E"/>
                <w:kern w:val="0"/>
                <w:sz w:val="22"/>
                <w:szCs w:val="22"/>
                <w:lang w:eastAsia="en-IN"/>
                <w14:ligatures w14:val="none"/>
              </w:rPr>
              <w:t>0.9</w:t>
            </w:r>
          </w:p>
        </w:tc>
        <w:tc>
          <w:tcPr>
            <w:tcW w:w="1501" w:type="dxa"/>
            <w:tcBorders>
              <w:top w:val="nil"/>
              <w:left w:val="nil"/>
              <w:bottom w:val="single" w:sz="4" w:space="0" w:color="auto"/>
              <w:right w:val="single" w:sz="4" w:space="0" w:color="auto"/>
            </w:tcBorders>
            <w:shd w:val="clear" w:color="000000" w:fill="FFFFFF"/>
            <w:vAlign w:val="center"/>
            <w:hideMark/>
          </w:tcPr>
          <w:p w14:paraId="00227B22"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4C14FC">
              <w:rPr>
                <w:rFonts w:ascii="Times New Roman" w:eastAsia="Times New Roman" w:hAnsi="Times New Roman" w:cs="Times New Roman"/>
                <w:i/>
                <w:iCs/>
                <w:color w:val="1A1C1E"/>
                <w:kern w:val="0"/>
                <w:sz w:val="22"/>
                <w:szCs w:val="22"/>
                <w:lang w:eastAsia="en-IN"/>
                <w14:ligatures w14:val="none"/>
              </w:rPr>
              <w:t>1.2</w:t>
            </w:r>
          </w:p>
        </w:tc>
        <w:tc>
          <w:tcPr>
            <w:tcW w:w="1503" w:type="dxa"/>
            <w:tcBorders>
              <w:top w:val="nil"/>
              <w:left w:val="nil"/>
              <w:bottom w:val="single" w:sz="4" w:space="0" w:color="auto"/>
              <w:right w:val="single" w:sz="4" w:space="0" w:color="auto"/>
            </w:tcBorders>
            <w:shd w:val="clear" w:color="000000" w:fill="FFFFFF"/>
            <w:vAlign w:val="center"/>
            <w:hideMark/>
          </w:tcPr>
          <w:p w14:paraId="45DA81DF"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4C14FC">
              <w:rPr>
                <w:rFonts w:ascii="Times New Roman" w:eastAsia="Times New Roman" w:hAnsi="Times New Roman" w:cs="Times New Roman"/>
                <w:i/>
                <w:iCs/>
                <w:color w:val="1A1C1E"/>
                <w:kern w:val="0"/>
                <w:sz w:val="22"/>
                <w:szCs w:val="22"/>
                <w:lang w:eastAsia="en-IN"/>
                <w14:ligatures w14:val="none"/>
              </w:rPr>
              <w:t>6.8</w:t>
            </w:r>
          </w:p>
        </w:tc>
        <w:tc>
          <w:tcPr>
            <w:tcW w:w="2108" w:type="dxa"/>
            <w:tcBorders>
              <w:top w:val="nil"/>
              <w:left w:val="nil"/>
              <w:bottom w:val="single" w:sz="4" w:space="0" w:color="auto"/>
              <w:right w:val="single" w:sz="4" w:space="0" w:color="auto"/>
            </w:tcBorders>
            <w:shd w:val="clear" w:color="000000" w:fill="FFFFFF"/>
            <w:vAlign w:val="center"/>
            <w:hideMark/>
          </w:tcPr>
          <w:p w14:paraId="6AB51C88"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4C14FC">
              <w:rPr>
                <w:rFonts w:ascii="Times New Roman" w:eastAsia="Times New Roman" w:hAnsi="Times New Roman" w:cs="Times New Roman"/>
                <w:i/>
                <w:iCs/>
                <w:color w:val="1A1C1E"/>
                <w:kern w:val="0"/>
                <w:sz w:val="22"/>
                <w:szCs w:val="22"/>
                <w:lang w:eastAsia="en-IN"/>
                <w14:ligatures w14:val="none"/>
              </w:rPr>
              <w:t>3.7</w:t>
            </w:r>
          </w:p>
        </w:tc>
        <w:tc>
          <w:tcPr>
            <w:tcW w:w="1796" w:type="dxa"/>
            <w:tcBorders>
              <w:top w:val="nil"/>
              <w:left w:val="nil"/>
              <w:bottom w:val="single" w:sz="4" w:space="0" w:color="auto"/>
              <w:right w:val="single" w:sz="4" w:space="0" w:color="auto"/>
            </w:tcBorders>
            <w:shd w:val="clear" w:color="000000" w:fill="FFFFFF"/>
            <w:vAlign w:val="center"/>
            <w:hideMark/>
          </w:tcPr>
          <w:p w14:paraId="41147170"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4C14FC">
              <w:rPr>
                <w:rFonts w:ascii="Times New Roman" w:eastAsia="Times New Roman" w:hAnsi="Times New Roman" w:cs="Times New Roman"/>
                <w:i/>
                <w:iCs/>
                <w:color w:val="1A1C1E"/>
                <w:kern w:val="0"/>
                <w:sz w:val="22"/>
                <w:szCs w:val="22"/>
                <w:lang w:eastAsia="en-IN"/>
                <w14:ligatures w14:val="none"/>
              </w:rPr>
              <w:t>1.5</w:t>
            </w:r>
          </w:p>
        </w:tc>
      </w:tr>
      <w:tr w:rsidR="004C14FC" w:rsidRPr="004C14FC" w14:paraId="0BB46781" w14:textId="77777777" w:rsidTr="004C14FC">
        <w:trPr>
          <w:trHeight w:val="20"/>
          <w:jc w:val="center"/>
        </w:trPr>
        <w:tc>
          <w:tcPr>
            <w:tcW w:w="2271" w:type="dxa"/>
            <w:tcBorders>
              <w:top w:val="nil"/>
              <w:left w:val="single" w:sz="4" w:space="0" w:color="auto"/>
              <w:bottom w:val="single" w:sz="4" w:space="0" w:color="auto"/>
              <w:right w:val="single" w:sz="4" w:space="0" w:color="auto"/>
            </w:tcBorders>
            <w:shd w:val="clear" w:color="000000" w:fill="FFFFFF"/>
            <w:vAlign w:val="center"/>
            <w:hideMark/>
          </w:tcPr>
          <w:p w14:paraId="577C6178"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Patiala and East Punjab States Union</w:t>
            </w:r>
          </w:p>
        </w:tc>
        <w:tc>
          <w:tcPr>
            <w:tcW w:w="2788" w:type="dxa"/>
            <w:tcBorders>
              <w:top w:val="nil"/>
              <w:left w:val="nil"/>
              <w:bottom w:val="single" w:sz="4" w:space="0" w:color="auto"/>
              <w:right w:val="single" w:sz="4" w:space="0" w:color="auto"/>
            </w:tcBorders>
            <w:shd w:val="clear" w:color="000000" w:fill="FFFFFF"/>
            <w:vAlign w:val="center"/>
            <w:hideMark/>
          </w:tcPr>
          <w:p w14:paraId="59B41368"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164</w:t>
            </w:r>
          </w:p>
        </w:tc>
        <w:tc>
          <w:tcPr>
            <w:tcW w:w="2493" w:type="dxa"/>
            <w:tcBorders>
              <w:top w:val="nil"/>
              <w:left w:val="nil"/>
              <w:bottom w:val="single" w:sz="4" w:space="0" w:color="auto"/>
              <w:right w:val="single" w:sz="4" w:space="0" w:color="auto"/>
            </w:tcBorders>
            <w:shd w:val="clear" w:color="000000" w:fill="FFFFFF"/>
            <w:vAlign w:val="center"/>
            <w:hideMark/>
          </w:tcPr>
          <w:p w14:paraId="6C595C50"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52</w:t>
            </w:r>
          </w:p>
        </w:tc>
        <w:tc>
          <w:tcPr>
            <w:tcW w:w="1501" w:type="dxa"/>
            <w:tcBorders>
              <w:top w:val="nil"/>
              <w:left w:val="nil"/>
              <w:bottom w:val="single" w:sz="4" w:space="0" w:color="auto"/>
              <w:right w:val="single" w:sz="4" w:space="0" w:color="auto"/>
            </w:tcBorders>
            <w:shd w:val="clear" w:color="000000" w:fill="FFFFFF"/>
            <w:vAlign w:val="center"/>
            <w:hideMark/>
          </w:tcPr>
          <w:p w14:paraId="3B37599B"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83</w:t>
            </w:r>
          </w:p>
        </w:tc>
        <w:tc>
          <w:tcPr>
            <w:tcW w:w="1503" w:type="dxa"/>
            <w:tcBorders>
              <w:top w:val="nil"/>
              <w:left w:val="nil"/>
              <w:bottom w:val="single" w:sz="4" w:space="0" w:color="auto"/>
              <w:right w:val="single" w:sz="4" w:space="0" w:color="auto"/>
            </w:tcBorders>
            <w:shd w:val="clear" w:color="000000" w:fill="FFFFFF"/>
            <w:vAlign w:val="center"/>
            <w:hideMark/>
          </w:tcPr>
          <w:p w14:paraId="5575628E"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177</w:t>
            </w:r>
          </w:p>
        </w:tc>
        <w:tc>
          <w:tcPr>
            <w:tcW w:w="2108" w:type="dxa"/>
            <w:tcBorders>
              <w:top w:val="nil"/>
              <w:left w:val="nil"/>
              <w:bottom w:val="single" w:sz="4" w:space="0" w:color="auto"/>
              <w:right w:val="single" w:sz="4" w:space="0" w:color="auto"/>
            </w:tcBorders>
            <w:shd w:val="clear" w:color="000000" w:fill="FFFFFF"/>
            <w:vAlign w:val="center"/>
            <w:hideMark/>
          </w:tcPr>
          <w:p w14:paraId="1352B3DC"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78</w:t>
            </w:r>
          </w:p>
        </w:tc>
        <w:tc>
          <w:tcPr>
            <w:tcW w:w="1796" w:type="dxa"/>
            <w:tcBorders>
              <w:top w:val="nil"/>
              <w:left w:val="nil"/>
              <w:bottom w:val="single" w:sz="4" w:space="0" w:color="auto"/>
              <w:right w:val="single" w:sz="4" w:space="0" w:color="auto"/>
            </w:tcBorders>
            <w:shd w:val="clear" w:color="000000" w:fill="FFFFFF"/>
            <w:vAlign w:val="center"/>
            <w:hideMark/>
          </w:tcPr>
          <w:p w14:paraId="66CAC354"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37</w:t>
            </w:r>
          </w:p>
        </w:tc>
      </w:tr>
      <w:tr w:rsidR="004C14FC" w:rsidRPr="004C14FC" w14:paraId="4148C19E" w14:textId="77777777" w:rsidTr="004C14FC">
        <w:trPr>
          <w:trHeight w:val="20"/>
          <w:jc w:val="center"/>
        </w:trPr>
        <w:tc>
          <w:tcPr>
            <w:tcW w:w="2271" w:type="dxa"/>
            <w:tcBorders>
              <w:top w:val="nil"/>
              <w:left w:val="single" w:sz="4" w:space="0" w:color="auto"/>
              <w:bottom w:val="single" w:sz="4" w:space="0" w:color="auto"/>
              <w:right w:val="single" w:sz="4" w:space="0" w:color="auto"/>
            </w:tcBorders>
            <w:shd w:val="clear" w:color="000000" w:fill="FFFFFF"/>
            <w:vAlign w:val="center"/>
            <w:hideMark/>
          </w:tcPr>
          <w:p w14:paraId="22F36840" w14:textId="27A625C0"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p>
        </w:tc>
        <w:tc>
          <w:tcPr>
            <w:tcW w:w="2788" w:type="dxa"/>
            <w:tcBorders>
              <w:top w:val="nil"/>
              <w:left w:val="nil"/>
              <w:bottom w:val="single" w:sz="4" w:space="0" w:color="auto"/>
              <w:right w:val="single" w:sz="4" w:space="0" w:color="auto"/>
            </w:tcBorders>
            <w:shd w:val="clear" w:color="000000" w:fill="FFFFFF"/>
            <w:vAlign w:val="center"/>
            <w:hideMark/>
          </w:tcPr>
          <w:p w14:paraId="6EF3356A"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4C14FC">
              <w:rPr>
                <w:rFonts w:ascii="Times New Roman" w:eastAsia="Times New Roman" w:hAnsi="Times New Roman" w:cs="Times New Roman"/>
                <w:i/>
                <w:iCs/>
                <w:color w:val="1A1C1E"/>
                <w:kern w:val="0"/>
                <w:sz w:val="22"/>
                <w:szCs w:val="22"/>
                <w:lang w:eastAsia="en-IN"/>
                <w14:ligatures w14:val="none"/>
              </w:rPr>
              <w:t>4.7</w:t>
            </w:r>
          </w:p>
        </w:tc>
        <w:tc>
          <w:tcPr>
            <w:tcW w:w="2493" w:type="dxa"/>
            <w:tcBorders>
              <w:top w:val="nil"/>
              <w:left w:val="nil"/>
              <w:bottom w:val="single" w:sz="4" w:space="0" w:color="auto"/>
              <w:right w:val="single" w:sz="4" w:space="0" w:color="auto"/>
            </w:tcBorders>
            <w:shd w:val="clear" w:color="000000" w:fill="FFFFFF"/>
            <w:vAlign w:val="center"/>
            <w:hideMark/>
          </w:tcPr>
          <w:p w14:paraId="03551F5E"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4C14FC">
              <w:rPr>
                <w:rFonts w:ascii="Times New Roman" w:eastAsia="Times New Roman" w:hAnsi="Times New Roman" w:cs="Times New Roman"/>
                <w:i/>
                <w:iCs/>
                <w:color w:val="1A1C1E"/>
                <w:kern w:val="0"/>
                <w:sz w:val="22"/>
                <w:szCs w:val="22"/>
                <w:lang w:eastAsia="en-IN"/>
                <w14:ligatures w14:val="none"/>
              </w:rPr>
              <w:t>1.5</w:t>
            </w:r>
          </w:p>
        </w:tc>
        <w:tc>
          <w:tcPr>
            <w:tcW w:w="1501" w:type="dxa"/>
            <w:tcBorders>
              <w:top w:val="nil"/>
              <w:left w:val="nil"/>
              <w:bottom w:val="single" w:sz="4" w:space="0" w:color="auto"/>
              <w:right w:val="single" w:sz="4" w:space="0" w:color="auto"/>
            </w:tcBorders>
            <w:shd w:val="clear" w:color="000000" w:fill="FFFFFF"/>
            <w:vAlign w:val="center"/>
            <w:hideMark/>
          </w:tcPr>
          <w:p w14:paraId="73A1165D"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4C14FC">
              <w:rPr>
                <w:rFonts w:ascii="Times New Roman" w:eastAsia="Times New Roman" w:hAnsi="Times New Roman" w:cs="Times New Roman"/>
                <w:i/>
                <w:iCs/>
                <w:color w:val="1A1C1E"/>
                <w:kern w:val="0"/>
                <w:sz w:val="22"/>
                <w:szCs w:val="22"/>
                <w:lang w:eastAsia="en-IN"/>
                <w14:ligatures w14:val="none"/>
              </w:rPr>
              <w:t>2.4</w:t>
            </w:r>
          </w:p>
        </w:tc>
        <w:tc>
          <w:tcPr>
            <w:tcW w:w="1503" w:type="dxa"/>
            <w:tcBorders>
              <w:top w:val="nil"/>
              <w:left w:val="nil"/>
              <w:bottom w:val="single" w:sz="4" w:space="0" w:color="auto"/>
              <w:right w:val="single" w:sz="4" w:space="0" w:color="auto"/>
            </w:tcBorders>
            <w:shd w:val="clear" w:color="000000" w:fill="FFFFFF"/>
            <w:vAlign w:val="center"/>
            <w:hideMark/>
          </w:tcPr>
          <w:p w14:paraId="05E3D6FE"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4C14FC">
              <w:rPr>
                <w:rFonts w:ascii="Times New Roman" w:eastAsia="Times New Roman" w:hAnsi="Times New Roman" w:cs="Times New Roman"/>
                <w:i/>
                <w:iCs/>
                <w:color w:val="1A1C1E"/>
                <w:kern w:val="0"/>
                <w:sz w:val="22"/>
                <w:szCs w:val="22"/>
                <w:lang w:eastAsia="en-IN"/>
                <w14:ligatures w14:val="none"/>
              </w:rPr>
              <w:t>5.1</w:t>
            </w:r>
          </w:p>
        </w:tc>
        <w:tc>
          <w:tcPr>
            <w:tcW w:w="2108" w:type="dxa"/>
            <w:tcBorders>
              <w:top w:val="nil"/>
              <w:left w:val="nil"/>
              <w:bottom w:val="single" w:sz="4" w:space="0" w:color="auto"/>
              <w:right w:val="single" w:sz="4" w:space="0" w:color="auto"/>
            </w:tcBorders>
            <w:shd w:val="clear" w:color="000000" w:fill="FFFFFF"/>
            <w:vAlign w:val="center"/>
            <w:hideMark/>
          </w:tcPr>
          <w:p w14:paraId="10BB735E"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4C14FC">
              <w:rPr>
                <w:rFonts w:ascii="Times New Roman" w:eastAsia="Times New Roman" w:hAnsi="Times New Roman" w:cs="Times New Roman"/>
                <w:i/>
                <w:iCs/>
                <w:color w:val="1A1C1E"/>
                <w:kern w:val="0"/>
                <w:sz w:val="22"/>
                <w:szCs w:val="22"/>
                <w:lang w:eastAsia="en-IN"/>
                <w14:ligatures w14:val="none"/>
              </w:rPr>
              <w:t>2.2</w:t>
            </w:r>
          </w:p>
        </w:tc>
        <w:tc>
          <w:tcPr>
            <w:tcW w:w="1796" w:type="dxa"/>
            <w:tcBorders>
              <w:top w:val="nil"/>
              <w:left w:val="nil"/>
              <w:bottom w:val="single" w:sz="4" w:space="0" w:color="auto"/>
              <w:right w:val="single" w:sz="4" w:space="0" w:color="auto"/>
            </w:tcBorders>
            <w:shd w:val="clear" w:color="000000" w:fill="FFFFFF"/>
            <w:vAlign w:val="center"/>
            <w:hideMark/>
          </w:tcPr>
          <w:p w14:paraId="02458D42"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4C14FC">
              <w:rPr>
                <w:rFonts w:ascii="Times New Roman" w:eastAsia="Times New Roman" w:hAnsi="Times New Roman" w:cs="Times New Roman"/>
                <w:i/>
                <w:iCs/>
                <w:color w:val="1A1C1E"/>
                <w:kern w:val="0"/>
                <w:sz w:val="22"/>
                <w:szCs w:val="22"/>
                <w:lang w:eastAsia="en-IN"/>
                <w14:ligatures w14:val="none"/>
              </w:rPr>
              <w:t>1.1</w:t>
            </w:r>
          </w:p>
        </w:tc>
      </w:tr>
      <w:tr w:rsidR="004C14FC" w:rsidRPr="004C14FC" w14:paraId="215ADAB8" w14:textId="77777777" w:rsidTr="004C14FC">
        <w:trPr>
          <w:trHeight w:val="20"/>
          <w:jc w:val="center"/>
        </w:trPr>
        <w:tc>
          <w:tcPr>
            <w:tcW w:w="2271" w:type="dxa"/>
            <w:tcBorders>
              <w:top w:val="nil"/>
              <w:left w:val="single" w:sz="4" w:space="0" w:color="auto"/>
              <w:bottom w:val="single" w:sz="4" w:space="0" w:color="auto"/>
              <w:right w:val="single" w:sz="4" w:space="0" w:color="auto"/>
            </w:tcBorders>
            <w:shd w:val="clear" w:color="000000" w:fill="FFFFFF"/>
            <w:vAlign w:val="center"/>
            <w:hideMark/>
          </w:tcPr>
          <w:p w14:paraId="1F389D6C"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Rajasthan</w:t>
            </w:r>
          </w:p>
        </w:tc>
        <w:tc>
          <w:tcPr>
            <w:tcW w:w="2788" w:type="dxa"/>
            <w:tcBorders>
              <w:top w:val="nil"/>
              <w:left w:val="nil"/>
              <w:bottom w:val="single" w:sz="4" w:space="0" w:color="auto"/>
              <w:right w:val="single" w:sz="4" w:space="0" w:color="auto"/>
            </w:tcBorders>
            <w:shd w:val="clear" w:color="000000" w:fill="FFFFFF"/>
            <w:vAlign w:val="center"/>
            <w:hideMark/>
          </w:tcPr>
          <w:p w14:paraId="59FC0C9A"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492</w:t>
            </w:r>
          </w:p>
        </w:tc>
        <w:tc>
          <w:tcPr>
            <w:tcW w:w="2493" w:type="dxa"/>
            <w:tcBorders>
              <w:top w:val="nil"/>
              <w:left w:val="nil"/>
              <w:bottom w:val="single" w:sz="4" w:space="0" w:color="auto"/>
              <w:right w:val="single" w:sz="4" w:space="0" w:color="auto"/>
            </w:tcBorders>
            <w:shd w:val="clear" w:color="000000" w:fill="FFFFFF"/>
            <w:vAlign w:val="center"/>
            <w:hideMark/>
          </w:tcPr>
          <w:p w14:paraId="357C5E04"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155</w:t>
            </w:r>
          </w:p>
        </w:tc>
        <w:tc>
          <w:tcPr>
            <w:tcW w:w="1501" w:type="dxa"/>
            <w:tcBorders>
              <w:top w:val="nil"/>
              <w:left w:val="nil"/>
              <w:bottom w:val="single" w:sz="4" w:space="0" w:color="auto"/>
              <w:right w:val="single" w:sz="4" w:space="0" w:color="auto"/>
            </w:tcBorders>
            <w:shd w:val="clear" w:color="000000" w:fill="FFFFFF"/>
            <w:vAlign w:val="center"/>
            <w:hideMark/>
          </w:tcPr>
          <w:p w14:paraId="7F2F92C5"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280</w:t>
            </w:r>
          </w:p>
        </w:tc>
        <w:tc>
          <w:tcPr>
            <w:tcW w:w="1503" w:type="dxa"/>
            <w:tcBorders>
              <w:top w:val="nil"/>
              <w:left w:val="nil"/>
              <w:bottom w:val="single" w:sz="4" w:space="0" w:color="auto"/>
              <w:right w:val="single" w:sz="4" w:space="0" w:color="auto"/>
            </w:tcBorders>
            <w:shd w:val="clear" w:color="000000" w:fill="FFFFFF"/>
            <w:vAlign w:val="center"/>
            <w:hideMark/>
          </w:tcPr>
          <w:p w14:paraId="5F1E8F2B"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463</w:t>
            </w:r>
          </w:p>
        </w:tc>
        <w:tc>
          <w:tcPr>
            <w:tcW w:w="2108" w:type="dxa"/>
            <w:tcBorders>
              <w:top w:val="nil"/>
              <w:left w:val="nil"/>
              <w:bottom w:val="single" w:sz="4" w:space="0" w:color="auto"/>
              <w:right w:val="single" w:sz="4" w:space="0" w:color="auto"/>
            </w:tcBorders>
            <w:shd w:val="clear" w:color="000000" w:fill="FFFFFF"/>
            <w:vAlign w:val="center"/>
            <w:hideMark/>
          </w:tcPr>
          <w:p w14:paraId="32674B59"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250</w:t>
            </w:r>
          </w:p>
        </w:tc>
        <w:tc>
          <w:tcPr>
            <w:tcW w:w="1796" w:type="dxa"/>
            <w:tcBorders>
              <w:top w:val="nil"/>
              <w:left w:val="nil"/>
              <w:bottom w:val="single" w:sz="4" w:space="0" w:color="auto"/>
              <w:right w:val="single" w:sz="4" w:space="0" w:color="auto"/>
            </w:tcBorders>
            <w:shd w:val="clear" w:color="000000" w:fill="FFFFFF"/>
            <w:vAlign w:val="center"/>
            <w:hideMark/>
          </w:tcPr>
          <w:p w14:paraId="3FC2704C"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152</w:t>
            </w:r>
          </w:p>
        </w:tc>
      </w:tr>
      <w:tr w:rsidR="004C14FC" w:rsidRPr="004C14FC" w14:paraId="4FD5B84A" w14:textId="77777777" w:rsidTr="004C14FC">
        <w:trPr>
          <w:trHeight w:val="20"/>
          <w:jc w:val="center"/>
        </w:trPr>
        <w:tc>
          <w:tcPr>
            <w:tcW w:w="2271" w:type="dxa"/>
            <w:tcBorders>
              <w:top w:val="nil"/>
              <w:left w:val="single" w:sz="4" w:space="0" w:color="auto"/>
              <w:bottom w:val="single" w:sz="4" w:space="0" w:color="auto"/>
              <w:right w:val="single" w:sz="4" w:space="0" w:color="auto"/>
            </w:tcBorders>
            <w:shd w:val="clear" w:color="000000" w:fill="FFFFFF"/>
            <w:vAlign w:val="center"/>
            <w:hideMark/>
          </w:tcPr>
          <w:p w14:paraId="358586C8" w14:textId="2C030A4C"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p>
        </w:tc>
        <w:tc>
          <w:tcPr>
            <w:tcW w:w="2788" w:type="dxa"/>
            <w:tcBorders>
              <w:top w:val="nil"/>
              <w:left w:val="nil"/>
              <w:bottom w:val="single" w:sz="4" w:space="0" w:color="auto"/>
              <w:right w:val="single" w:sz="4" w:space="0" w:color="auto"/>
            </w:tcBorders>
            <w:shd w:val="clear" w:color="000000" w:fill="FFFFFF"/>
            <w:vAlign w:val="center"/>
            <w:hideMark/>
          </w:tcPr>
          <w:p w14:paraId="5E907A80"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4C14FC">
              <w:rPr>
                <w:rFonts w:ascii="Times New Roman" w:eastAsia="Times New Roman" w:hAnsi="Times New Roman" w:cs="Times New Roman"/>
                <w:i/>
                <w:iCs/>
                <w:color w:val="1A1C1E"/>
                <w:kern w:val="0"/>
                <w:sz w:val="22"/>
                <w:szCs w:val="22"/>
                <w:lang w:eastAsia="en-IN"/>
                <w14:ligatures w14:val="none"/>
              </w:rPr>
              <w:t>3.2</w:t>
            </w:r>
          </w:p>
        </w:tc>
        <w:tc>
          <w:tcPr>
            <w:tcW w:w="2493" w:type="dxa"/>
            <w:tcBorders>
              <w:top w:val="nil"/>
              <w:left w:val="nil"/>
              <w:bottom w:val="single" w:sz="4" w:space="0" w:color="auto"/>
              <w:right w:val="single" w:sz="4" w:space="0" w:color="auto"/>
            </w:tcBorders>
            <w:shd w:val="clear" w:color="000000" w:fill="FFFFFF"/>
            <w:vAlign w:val="center"/>
            <w:hideMark/>
          </w:tcPr>
          <w:p w14:paraId="67B86427" w14:textId="42128BB3" w:rsidR="004C14FC" w:rsidRPr="004C14FC" w:rsidRDefault="004C14FC" w:rsidP="004C14FC">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4C14FC">
              <w:rPr>
                <w:rFonts w:ascii="Times New Roman" w:eastAsia="Times New Roman" w:hAnsi="Times New Roman" w:cs="Times New Roman"/>
                <w:i/>
                <w:iCs/>
                <w:color w:val="1A1C1E"/>
                <w:kern w:val="0"/>
                <w:sz w:val="22"/>
                <w:szCs w:val="22"/>
                <w:lang w:eastAsia="en-IN"/>
                <w14:ligatures w14:val="none"/>
              </w:rPr>
              <w:t>1</w:t>
            </w:r>
            <w:r w:rsidR="0086673A">
              <w:rPr>
                <w:rFonts w:ascii="Times New Roman" w:eastAsia="Times New Roman" w:hAnsi="Times New Roman" w:cs="Times New Roman"/>
                <w:i/>
                <w:iCs/>
                <w:color w:val="1A1C1E"/>
                <w:kern w:val="0"/>
                <w:sz w:val="22"/>
                <w:szCs w:val="22"/>
                <w:lang w:eastAsia="en-IN"/>
                <w14:ligatures w14:val="none"/>
              </w:rPr>
              <w:t>.0</w:t>
            </w:r>
          </w:p>
        </w:tc>
        <w:tc>
          <w:tcPr>
            <w:tcW w:w="1501" w:type="dxa"/>
            <w:tcBorders>
              <w:top w:val="nil"/>
              <w:left w:val="nil"/>
              <w:bottom w:val="single" w:sz="4" w:space="0" w:color="auto"/>
              <w:right w:val="single" w:sz="4" w:space="0" w:color="auto"/>
            </w:tcBorders>
            <w:shd w:val="clear" w:color="000000" w:fill="FFFFFF"/>
            <w:vAlign w:val="center"/>
            <w:hideMark/>
          </w:tcPr>
          <w:p w14:paraId="27E71C56"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4C14FC">
              <w:rPr>
                <w:rFonts w:ascii="Times New Roman" w:eastAsia="Times New Roman" w:hAnsi="Times New Roman" w:cs="Times New Roman"/>
                <w:i/>
                <w:iCs/>
                <w:color w:val="1A1C1E"/>
                <w:kern w:val="0"/>
                <w:sz w:val="22"/>
                <w:szCs w:val="22"/>
                <w:lang w:eastAsia="en-IN"/>
                <w14:ligatures w14:val="none"/>
              </w:rPr>
              <w:t>1.8</w:t>
            </w:r>
          </w:p>
        </w:tc>
        <w:tc>
          <w:tcPr>
            <w:tcW w:w="1503" w:type="dxa"/>
            <w:tcBorders>
              <w:top w:val="nil"/>
              <w:left w:val="nil"/>
              <w:bottom w:val="single" w:sz="4" w:space="0" w:color="auto"/>
              <w:right w:val="single" w:sz="4" w:space="0" w:color="auto"/>
            </w:tcBorders>
            <w:shd w:val="clear" w:color="000000" w:fill="FFFFFF"/>
            <w:vAlign w:val="center"/>
            <w:hideMark/>
          </w:tcPr>
          <w:p w14:paraId="6836E5DB" w14:textId="099609A5" w:rsidR="004C14FC" w:rsidRPr="004C14FC" w:rsidRDefault="004C14FC" w:rsidP="004C14FC">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4C14FC">
              <w:rPr>
                <w:rFonts w:ascii="Times New Roman" w:eastAsia="Times New Roman" w:hAnsi="Times New Roman" w:cs="Times New Roman"/>
                <w:i/>
                <w:iCs/>
                <w:color w:val="1A1C1E"/>
                <w:kern w:val="0"/>
                <w:sz w:val="22"/>
                <w:szCs w:val="22"/>
                <w:lang w:eastAsia="en-IN"/>
                <w14:ligatures w14:val="none"/>
              </w:rPr>
              <w:t>3</w:t>
            </w:r>
            <w:r w:rsidR="00900B42">
              <w:rPr>
                <w:rFonts w:ascii="Times New Roman" w:eastAsia="Times New Roman" w:hAnsi="Times New Roman" w:cs="Times New Roman"/>
                <w:i/>
                <w:iCs/>
                <w:color w:val="1A1C1E"/>
                <w:kern w:val="0"/>
                <w:sz w:val="22"/>
                <w:szCs w:val="22"/>
                <w:lang w:eastAsia="en-IN"/>
                <w14:ligatures w14:val="none"/>
              </w:rPr>
              <w:t>.0</w:t>
            </w:r>
          </w:p>
        </w:tc>
        <w:tc>
          <w:tcPr>
            <w:tcW w:w="2108" w:type="dxa"/>
            <w:tcBorders>
              <w:top w:val="nil"/>
              <w:left w:val="nil"/>
              <w:bottom w:val="single" w:sz="4" w:space="0" w:color="auto"/>
              <w:right w:val="single" w:sz="4" w:space="0" w:color="auto"/>
            </w:tcBorders>
            <w:shd w:val="clear" w:color="000000" w:fill="FFFFFF"/>
            <w:vAlign w:val="center"/>
            <w:hideMark/>
          </w:tcPr>
          <w:p w14:paraId="1D1D01DD"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4C14FC">
              <w:rPr>
                <w:rFonts w:ascii="Times New Roman" w:eastAsia="Times New Roman" w:hAnsi="Times New Roman" w:cs="Times New Roman"/>
                <w:i/>
                <w:iCs/>
                <w:color w:val="1A1C1E"/>
                <w:kern w:val="0"/>
                <w:sz w:val="22"/>
                <w:szCs w:val="22"/>
                <w:lang w:eastAsia="en-IN"/>
                <w14:ligatures w14:val="none"/>
              </w:rPr>
              <w:t>1.6</w:t>
            </w:r>
          </w:p>
        </w:tc>
        <w:tc>
          <w:tcPr>
            <w:tcW w:w="1796" w:type="dxa"/>
            <w:tcBorders>
              <w:top w:val="nil"/>
              <w:left w:val="nil"/>
              <w:bottom w:val="single" w:sz="4" w:space="0" w:color="auto"/>
              <w:right w:val="single" w:sz="4" w:space="0" w:color="auto"/>
            </w:tcBorders>
            <w:shd w:val="clear" w:color="000000" w:fill="FFFFFF"/>
            <w:vAlign w:val="center"/>
            <w:hideMark/>
          </w:tcPr>
          <w:p w14:paraId="7CDD460F" w14:textId="67CA598F" w:rsidR="004C14FC" w:rsidRPr="004C14FC" w:rsidRDefault="004C14FC" w:rsidP="004C14FC">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4C14FC">
              <w:rPr>
                <w:rFonts w:ascii="Times New Roman" w:eastAsia="Times New Roman" w:hAnsi="Times New Roman" w:cs="Times New Roman"/>
                <w:i/>
                <w:iCs/>
                <w:color w:val="1A1C1E"/>
                <w:kern w:val="0"/>
                <w:sz w:val="22"/>
                <w:szCs w:val="22"/>
                <w:lang w:eastAsia="en-IN"/>
                <w14:ligatures w14:val="none"/>
              </w:rPr>
              <w:t>1</w:t>
            </w:r>
            <w:r w:rsidR="00900B42">
              <w:rPr>
                <w:rFonts w:ascii="Times New Roman" w:eastAsia="Times New Roman" w:hAnsi="Times New Roman" w:cs="Times New Roman"/>
                <w:i/>
                <w:iCs/>
                <w:color w:val="1A1C1E"/>
                <w:kern w:val="0"/>
                <w:sz w:val="22"/>
                <w:szCs w:val="22"/>
                <w:lang w:eastAsia="en-IN"/>
                <w14:ligatures w14:val="none"/>
              </w:rPr>
              <w:t>.0</w:t>
            </w:r>
          </w:p>
        </w:tc>
      </w:tr>
      <w:tr w:rsidR="004C14FC" w:rsidRPr="004C14FC" w14:paraId="549806BE" w14:textId="77777777" w:rsidTr="004C14FC">
        <w:trPr>
          <w:trHeight w:val="20"/>
          <w:jc w:val="center"/>
        </w:trPr>
        <w:tc>
          <w:tcPr>
            <w:tcW w:w="2271" w:type="dxa"/>
            <w:tcBorders>
              <w:top w:val="nil"/>
              <w:left w:val="single" w:sz="4" w:space="0" w:color="auto"/>
              <w:bottom w:val="single" w:sz="4" w:space="0" w:color="auto"/>
              <w:right w:val="single" w:sz="4" w:space="0" w:color="auto"/>
            </w:tcBorders>
            <w:shd w:val="clear" w:color="000000" w:fill="FFFFFF"/>
            <w:vAlign w:val="center"/>
            <w:hideMark/>
          </w:tcPr>
          <w:p w14:paraId="550BDF0D"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lastRenderedPageBreak/>
              <w:t>Saurashtra</w:t>
            </w:r>
          </w:p>
        </w:tc>
        <w:tc>
          <w:tcPr>
            <w:tcW w:w="2788" w:type="dxa"/>
            <w:tcBorders>
              <w:top w:val="nil"/>
              <w:left w:val="nil"/>
              <w:bottom w:val="single" w:sz="4" w:space="0" w:color="auto"/>
              <w:right w:val="single" w:sz="4" w:space="0" w:color="auto"/>
            </w:tcBorders>
            <w:shd w:val="clear" w:color="000000" w:fill="FFFFFF"/>
            <w:vAlign w:val="center"/>
            <w:hideMark/>
          </w:tcPr>
          <w:p w14:paraId="4378CC57"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270</w:t>
            </w:r>
          </w:p>
        </w:tc>
        <w:tc>
          <w:tcPr>
            <w:tcW w:w="2493" w:type="dxa"/>
            <w:tcBorders>
              <w:top w:val="nil"/>
              <w:left w:val="nil"/>
              <w:bottom w:val="single" w:sz="4" w:space="0" w:color="auto"/>
              <w:right w:val="single" w:sz="4" w:space="0" w:color="auto"/>
            </w:tcBorders>
            <w:shd w:val="clear" w:color="000000" w:fill="FFFFFF"/>
            <w:vAlign w:val="center"/>
            <w:hideMark/>
          </w:tcPr>
          <w:p w14:paraId="0C43FE8D"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80</w:t>
            </w:r>
          </w:p>
        </w:tc>
        <w:tc>
          <w:tcPr>
            <w:tcW w:w="1501" w:type="dxa"/>
            <w:tcBorders>
              <w:top w:val="nil"/>
              <w:left w:val="nil"/>
              <w:bottom w:val="single" w:sz="4" w:space="0" w:color="auto"/>
              <w:right w:val="single" w:sz="4" w:space="0" w:color="auto"/>
            </w:tcBorders>
            <w:shd w:val="clear" w:color="000000" w:fill="FFFFFF"/>
            <w:vAlign w:val="center"/>
            <w:hideMark/>
          </w:tcPr>
          <w:p w14:paraId="27890BA4"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119</w:t>
            </w:r>
          </w:p>
        </w:tc>
        <w:tc>
          <w:tcPr>
            <w:tcW w:w="1503" w:type="dxa"/>
            <w:tcBorders>
              <w:top w:val="nil"/>
              <w:left w:val="nil"/>
              <w:bottom w:val="single" w:sz="4" w:space="0" w:color="auto"/>
              <w:right w:val="single" w:sz="4" w:space="0" w:color="auto"/>
            </w:tcBorders>
            <w:shd w:val="clear" w:color="000000" w:fill="FFFFFF"/>
            <w:vAlign w:val="center"/>
            <w:hideMark/>
          </w:tcPr>
          <w:p w14:paraId="4F9050B1"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238</w:t>
            </w:r>
          </w:p>
        </w:tc>
        <w:tc>
          <w:tcPr>
            <w:tcW w:w="2108" w:type="dxa"/>
            <w:tcBorders>
              <w:top w:val="nil"/>
              <w:left w:val="nil"/>
              <w:bottom w:val="single" w:sz="4" w:space="0" w:color="auto"/>
              <w:right w:val="single" w:sz="4" w:space="0" w:color="auto"/>
            </w:tcBorders>
            <w:shd w:val="clear" w:color="000000" w:fill="FFFFFF"/>
            <w:vAlign w:val="center"/>
            <w:hideMark/>
          </w:tcPr>
          <w:p w14:paraId="6E748664"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122</w:t>
            </w:r>
          </w:p>
        </w:tc>
        <w:tc>
          <w:tcPr>
            <w:tcW w:w="1796" w:type="dxa"/>
            <w:tcBorders>
              <w:top w:val="nil"/>
              <w:left w:val="nil"/>
              <w:bottom w:val="single" w:sz="4" w:space="0" w:color="auto"/>
              <w:right w:val="single" w:sz="4" w:space="0" w:color="auto"/>
            </w:tcBorders>
            <w:shd w:val="clear" w:color="000000" w:fill="FFFFFF"/>
            <w:vAlign w:val="center"/>
            <w:hideMark/>
          </w:tcPr>
          <w:p w14:paraId="0754A058"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56</w:t>
            </w:r>
          </w:p>
        </w:tc>
      </w:tr>
      <w:tr w:rsidR="004C14FC" w:rsidRPr="004C14FC" w14:paraId="1872EE6E" w14:textId="77777777" w:rsidTr="004C14FC">
        <w:trPr>
          <w:trHeight w:val="20"/>
          <w:jc w:val="center"/>
        </w:trPr>
        <w:tc>
          <w:tcPr>
            <w:tcW w:w="2271" w:type="dxa"/>
            <w:tcBorders>
              <w:top w:val="nil"/>
              <w:left w:val="single" w:sz="4" w:space="0" w:color="auto"/>
              <w:bottom w:val="single" w:sz="4" w:space="0" w:color="auto"/>
              <w:right w:val="single" w:sz="4" w:space="0" w:color="auto"/>
            </w:tcBorders>
            <w:shd w:val="clear" w:color="000000" w:fill="FFFFFF"/>
            <w:vAlign w:val="center"/>
            <w:hideMark/>
          </w:tcPr>
          <w:p w14:paraId="67477865" w14:textId="0BAECD65"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p>
        </w:tc>
        <w:tc>
          <w:tcPr>
            <w:tcW w:w="2788" w:type="dxa"/>
            <w:tcBorders>
              <w:top w:val="nil"/>
              <w:left w:val="nil"/>
              <w:bottom w:val="single" w:sz="4" w:space="0" w:color="auto"/>
              <w:right w:val="single" w:sz="4" w:space="0" w:color="auto"/>
            </w:tcBorders>
            <w:shd w:val="clear" w:color="000000" w:fill="FFFFFF"/>
            <w:vAlign w:val="center"/>
            <w:hideMark/>
          </w:tcPr>
          <w:p w14:paraId="3BE29E92"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4C14FC">
              <w:rPr>
                <w:rFonts w:ascii="Times New Roman" w:eastAsia="Times New Roman" w:hAnsi="Times New Roman" w:cs="Times New Roman"/>
                <w:i/>
                <w:iCs/>
                <w:color w:val="1A1C1E"/>
                <w:kern w:val="0"/>
                <w:sz w:val="22"/>
                <w:szCs w:val="22"/>
                <w:lang w:eastAsia="en-IN"/>
                <w14:ligatures w14:val="none"/>
              </w:rPr>
              <w:t>6.6</w:t>
            </w:r>
          </w:p>
        </w:tc>
        <w:tc>
          <w:tcPr>
            <w:tcW w:w="2493" w:type="dxa"/>
            <w:tcBorders>
              <w:top w:val="nil"/>
              <w:left w:val="nil"/>
              <w:bottom w:val="single" w:sz="4" w:space="0" w:color="auto"/>
              <w:right w:val="single" w:sz="4" w:space="0" w:color="auto"/>
            </w:tcBorders>
            <w:shd w:val="clear" w:color="000000" w:fill="FFFFFF"/>
            <w:vAlign w:val="center"/>
            <w:hideMark/>
          </w:tcPr>
          <w:p w14:paraId="7FEA25BF" w14:textId="1FE0D142" w:rsidR="004C14FC" w:rsidRPr="004C14FC" w:rsidRDefault="004C14FC" w:rsidP="004C14FC">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4C14FC">
              <w:rPr>
                <w:rFonts w:ascii="Times New Roman" w:eastAsia="Times New Roman" w:hAnsi="Times New Roman" w:cs="Times New Roman"/>
                <w:i/>
                <w:iCs/>
                <w:color w:val="1A1C1E"/>
                <w:kern w:val="0"/>
                <w:sz w:val="22"/>
                <w:szCs w:val="22"/>
                <w:lang w:eastAsia="en-IN"/>
                <w14:ligatures w14:val="none"/>
              </w:rPr>
              <w:t>2</w:t>
            </w:r>
            <w:r w:rsidR="0086673A">
              <w:rPr>
                <w:rFonts w:ascii="Times New Roman" w:eastAsia="Times New Roman" w:hAnsi="Times New Roman" w:cs="Times New Roman"/>
                <w:i/>
                <w:iCs/>
                <w:color w:val="1A1C1E"/>
                <w:kern w:val="0"/>
                <w:sz w:val="22"/>
                <w:szCs w:val="22"/>
                <w:lang w:eastAsia="en-IN"/>
                <w14:ligatures w14:val="none"/>
              </w:rPr>
              <w:t>.0</w:t>
            </w:r>
          </w:p>
        </w:tc>
        <w:tc>
          <w:tcPr>
            <w:tcW w:w="1501" w:type="dxa"/>
            <w:tcBorders>
              <w:top w:val="nil"/>
              <w:left w:val="nil"/>
              <w:bottom w:val="single" w:sz="4" w:space="0" w:color="auto"/>
              <w:right w:val="single" w:sz="4" w:space="0" w:color="auto"/>
            </w:tcBorders>
            <w:shd w:val="clear" w:color="000000" w:fill="FFFFFF"/>
            <w:vAlign w:val="center"/>
            <w:hideMark/>
          </w:tcPr>
          <w:p w14:paraId="54B70101"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4C14FC">
              <w:rPr>
                <w:rFonts w:ascii="Times New Roman" w:eastAsia="Times New Roman" w:hAnsi="Times New Roman" w:cs="Times New Roman"/>
                <w:i/>
                <w:iCs/>
                <w:color w:val="1A1C1E"/>
                <w:kern w:val="0"/>
                <w:sz w:val="22"/>
                <w:szCs w:val="22"/>
                <w:lang w:eastAsia="en-IN"/>
                <w14:ligatures w14:val="none"/>
              </w:rPr>
              <w:t>2.9</w:t>
            </w:r>
          </w:p>
        </w:tc>
        <w:tc>
          <w:tcPr>
            <w:tcW w:w="1503" w:type="dxa"/>
            <w:tcBorders>
              <w:top w:val="nil"/>
              <w:left w:val="nil"/>
              <w:bottom w:val="single" w:sz="4" w:space="0" w:color="auto"/>
              <w:right w:val="single" w:sz="4" w:space="0" w:color="auto"/>
            </w:tcBorders>
            <w:shd w:val="clear" w:color="000000" w:fill="FFFFFF"/>
            <w:vAlign w:val="center"/>
            <w:hideMark/>
          </w:tcPr>
          <w:p w14:paraId="0BAE5D81"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4C14FC">
              <w:rPr>
                <w:rFonts w:ascii="Times New Roman" w:eastAsia="Times New Roman" w:hAnsi="Times New Roman" w:cs="Times New Roman"/>
                <w:i/>
                <w:iCs/>
                <w:color w:val="1A1C1E"/>
                <w:kern w:val="0"/>
                <w:sz w:val="22"/>
                <w:szCs w:val="22"/>
                <w:lang w:eastAsia="en-IN"/>
                <w14:ligatures w14:val="none"/>
              </w:rPr>
              <w:t>5.8</w:t>
            </w:r>
          </w:p>
        </w:tc>
        <w:tc>
          <w:tcPr>
            <w:tcW w:w="2108" w:type="dxa"/>
            <w:tcBorders>
              <w:top w:val="nil"/>
              <w:left w:val="nil"/>
              <w:bottom w:val="single" w:sz="4" w:space="0" w:color="auto"/>
              <w:right w:val="single" w:sz="4" w:space="0" w:color="auto"/>
            </w:tcBorders>
            <w:shd w:val="clear" w:color="000000" w:fill="FFFFFF"/>
            <w:vAlign w:val="center"/>
            <w:hideMark/>
          </w:tcPr>
          <w:p w14:paraId="3B45E50C" w14:textId="05542F74" w:rsidR="004C14FC" w:rsidRPr="004C14FC" w:rsidRDefault="004C14FC" w:rsidP="004C14FC">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4C14FC">
              <w:rPr>
                <w:rFonts w:ascii="Times New Roman" w:eastAsia="Times New Roman" w:hAnsi="Times New Roman" w:cs="Times New Roman"/>
                <w:i/>
                <w:iCs/>
                <w:color w:val="1A1C1E"/>
                <w:kern w:val="0"/>
                <w:sz w:val="22"/>
                <w:szCs w:val="22"/>
                <w:lang w:eastAsia="en-IN"/>
                <w14:ligatures w14:val="none"/>
              </w:rPr>
              <w:t>3</w:t>
            </w:r>
            <w:r w:rsidR="00900B42">
              <w:rPr>
                <w:rFonts w:ascii="Times New Roman" w:eastAsia="Times New Roman" w:hAnsi="Times New Roman" w:cs="Times New Roman"/>
                <w:i/>
                <w:iCs/>
                <w:color w:val="1A1C1E"/>
                <w:kern w:val="0"/>
                <w:sz w:val="22"/>
                <w:szCs w:val="22"/>
                <w:lang w:eastAsia="en-IN"/>
                <w14:ligatures w14:val="none"/>
              </w:rPr>
              <w:t>.0</w:t>
            </w:r>
          </w:p>
        </w:tc>
        <w:tc>
          <w:tcPr>
            <w:tcW w:w="1796" w:type="dxa"/>
            <w:tcBorders>
              <w:top w:val="nil"/>
              <w:left w:val="nil"/>
              <w:bottom w:val="single" w:sz="4" w:space="0" w:color="auto"/>
              <w:right w:val="single" w:sz="4" w:space="0" w:color="auto"/>
            </w:tcBorders>
            <w:shd w:val="clear" w:color="000000" w:fill="FFFFFF"/>
            <w:vAlign w:val="center"/>
            <w:hideMark/>
          </w:tcPr>
          <w:p w14:paraId="0370C645"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4C14FC">
              <w:rPr>
                <w:rFonts w:ascii="Times New Roman" w:eastAsia="Times New Roman" w:hAnsi="Times New Roman" w:cs="Times New Roman"/>
                <w:i/>
                <w:iCs/>
                <w:color w:val="1A1C1E"/>
                <w:kern w:val="0"/>
                <w:sz w:val="22"/>
                <w:szCs w:val="22"/>
                <w:lang w:eastAsia="en-IN"/>
                <w14:ligatures w14:val="none"/>
              </w:rPr>
              <w:t>1.4</w:t>
            </w:r>
          </w:p>
        </w:tc>
      </w:tr>
      <w:tr w:rsidR="004C14FC" w:rsidRPr="004C14FC" w14:paraId="3469ECF4" w14:textId="77777777" w:rsidTr="004C14FC">
        <w:trPr>
          <w:trHeight w:val="20"/>
          <w:jc w:val="center"/>
        </w:trPr>
        <w:tc>
          <w:tcPr>
            <w:tcW w:w="2271" w:type="dxa"/>
            <w:tcBorders>
              <w:top w:val="nil"/>
              <w:left w:val="single" w:sz="4" w:space="0" w:color="auto"/>
              <w:bottom w:val="single" w:sz="4" w:space="0" w:color="auto"/>
              <w:right w:val="single" w:sz="4" w:space="0" w:color="auto"/>
            </w:tcBorders>
            <w:shd w:val="clear" w:color="000000" w:fill="FFFFFF"/>
            <w:vAlign w:val="center"/>
            <w:hideMark/>
          </w:tcPr>
          <w:p w14:paraId="0C31AFA1"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Travancore-Cochin</w:t>
            </w:r>
          </w:p>
        </w:tc>
        <w:tc>
          <w:tcPr>
            <w:tcW w:w="2788" w:type="dxa"/>
            <w:tcBorders>
              <w:top w:val="nil"/>
              <w:left w:val="nil"/>
              <w:bottom w:val="single" w:sz="4" w:space="0" w:color="auto"/>
              <w:right w:val="single" w:sz="4" w:space="0" w:color="auto"/>
            </w:tcBorders>
            <w:shd w:val="clear" w:color="000000" w:fill="FFFFFF"/>
            <w:vAlign w:val="center"/>
            <w:hideMark/>
          </w:tcPr>
          <w:p w14:paraId="692B79C5"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193</w:t>
            </w:r>
          </w:p>
        </w:tc>
        <w:tc>
          <w:tcPr>
            <w:tcW w:w="2493" w:type="dxa"/>
            <w:tcBorders>
              <w:top w:val="nil"/>
              <w:left w:val="nil"/>
              <w:bottom w:val="single" w:sz="4" w:space="0" w:color="auto"/>
              <w:right w:val="single" w:sz="4" w:space="0" w:color="auto"/>
            </w:tcBorders>
            <w:shd w:val="clear" w:color="000000" w:fill="FFFFFF"/>
            <w:vAlign w:val="center"/>
            <w:hideMark/>
          </w:tcPr>
          <w:p w14:paraId="43EB62F1"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58</w:t>
            </w:r>
          </w:p>
        </w:tc>
        <w:tc>
          <w:tcPr>
            <w:tcW w:w="1501" w:type="dxa"/>
            <w:tcBorders>
              <w:top w:val="nil"/>
              <w:left w:val="nil"/>
              <w:bottom w:val="single" w:sz="4" w:space="0" w:color="auto"/>
              <w:right w:val="single" w:sz="4" w:space="0" w:color="auto"/>
            </w:tcBorders>
            <w:shd w:val="clear" w:color="000000" w:fill="FFFFFF"/>
            <w:vAlign w:val="center"/>
            <w:hideMark/>
          </w:tcPr>
          <w:p w14:paraId="383F925D"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85</w:t>
            </w:r>
          </w:p>
        </w:tc>
        <w:tc>
          <w:tcPr>
            <w:tcW w:w="1503" w:type="dxa"/>
            <w:tcBorders>
              <w:top w:val="nil"/>
              <w:left w:val="nil"/>
              <w:bottom w:val="single" w:sz="4" w:space="0" w:color="auto"/>
              <w:right w:val="single" w:sz="4" w:space="0" w:color="auto"/>
            </w:tcBorders>
            <w:shd w:val="clear" w:color="000000" w:fill="FFFFFF"/>
            <w:vAlign w:val="center"/>
            <w:hideMark/>
          </w:tcPr>
          <w:p w14:paraId="79DED951"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520</w:t>
            </w:r>
          </w:p>
        </w:tc>
        <w:tc>
          <w:tcPr>
            <w:tcW w:w="2108" w:type="dxa"/>
            <w:tcBorders>
              <w:top w:val="nil"/>
              <w:left w:val="nil"/>
              <w:bottom w:val="single" w:sz="4" w:space="0" w:color="auto"/>
              <w:right w:val="single" w:sz="4" w:space="0" w:color="auto"/>
            </w:tcBorders>
            <w:shd w:val="clear" w:color="000000" w:fill="FFFFFF"/>
            <w:vAlign w:val="center"/>
            <w:hideMark/>
          </w:tcPr>
          <w:p w14:paraId="7543E8F7"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335</w:t>
            </w:r>
          </w:p>
        </w:tc>
        <w:tc>
          <w:tcPr>
            <w:tcW w:w="1796" w:type="dxa"/>
            <w:tcBorders>
              <w:top w:val="nil"/>
              <w:left w:val="nil"/>
              <w:bottom w:val="single" w:sz="4" w:space="0" w:color="auto"/>
              <w:right w:val="single" w:sz="4" w:space="0" w:color="auto"/>
            </w:tcBorders>
            <w:shd w:val="clear" w:color="000000" w:fill="FFFFFF"/>
            <w:vAlign w:val="center"/>
            <w:hideMark/>
          </w:tcPr>
          <w:p w14:paraId="494D4557"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4C14FC">
              <w:rPr>
                <w:rFonts w:ascii="Times New Roman" w:eastAsia="Times New Roman" w:hAnsi="Times New Roman" w:cs="Times New Roman"/>
                <w:color w:val="1A1C1E"/>
                <w:kern w:val="0"/>
                <w:sz w:val="22"/>
                <w:szCs w:val="22"/>
                <w:lang w:eastAsia="en-IN"/>
                <w14:ligatures w14:val="none"/>
              </w:rPr>
              <w:t>119</w:t>
            </w:r>
          </w:p>
        </w:tc>
      </w:tr>
      <w:tr w:rsidR="004C14FC" w:rsidRPr="004C14FC" w14:paraId="6CD2D71E" w14:textId="77777777" w:rsidTr="004C14FC">
        <w:trPr>
          <w:trHeight w:val="20"/>
          <w:jc w:val="center"/>
        </w:trPr>
        <w:tc>
          <w:tcPr>
            <w:tcW w:w="2271" w:type="dxa"/>
            <w:tcBorders>
              <w:top w:val="nil"/>
              <w:left w:val="single" w:sz="4" w:space="0" w:color="auto"/>
              <w:bottom w:val="single" w:sz="4" w:space="0" w:color="auto"/>
              <w:right w:val="single" w:sz="4" w:space="0" w:color="auto"/>
            </w:tcBorders>
            <w:shd w:val="clear" w:color="000000" w:fill="FFFFFF"/>
            <w:vAlign w:val="center"/>
            <w:hideMark/>
          </w:tcPr>
          <w:p w14:paraId="5EB41804" w14:textId="4C0A4F9E" w:rsidR="004C14FC" w:rsidRPr="004C14FC"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p>
        </w:tc>
        <w:tc>
          <w:tcPr>
            <w:tcW w:w="2788" w:type="dxa"/>
            <w:tcBorders>
              <w:top w:val="nil"/>
              <w:left w:val="nil"/>
              <w:bottom w:val="single" w:sz="4" w:space="0" w:color="auto"/>
              <w:right w:val="single" w:sz="4" w:space="0" w:color="auto"/>
            </w:tcBorders>
            <w:shd w:val="clear" w:color="000000" w:fill="FFFFFF"/>
            <w:vAlign w:val="center"/>
            <w:hideMark/>
          </w:tcPr>
          <w:p w14:paraId="3E0A4751"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4C14FC">
              <w:rPr>
                <w:rFonts w:ascii="Times New Roman" w:eastAsia="Times New Roman" w:hAnsi="Times New Roman" w:cs="Times New Roman"/>
                <w:i/>
                <w:iCs/>
                <w:color w:val="1A1C1E"/>
                <w:kern w:val="0"/>
                <w:sz w:val="22"/>
                <w:szCs w:val="22"/>
                <w:lang w:eastAsia="en-IN"/>
                <w14:ligatures w14:val="none"/>
              </w:rPr>
              <w:t>2.1</w:t>
            </w:r>
          </w:p>
        </w:tc>
        <w:tc>
          <w:tcPr>
            <w:tcW w:w="2493" w:type="dxa"/>
            <w:tcBorders>
              <w:top w:val="nil"/>
              <w:left w:val="nil"/>
              <w:bottom w:val="single" w:sz="4" w:space="0" w:color="auto"/>
              <w:right w:val="single" w:sz="4" w:space="0" w:color="auto"/>
            </w:tcBorders>
            <w:shd w:val="clear" w:color="000000" w:fill="FFFFFF"/>
            <w:vAlign w:val="center"/>
            <w:hideMark/>
          </w:tcPr>
          <w:p w14:paraId="2B5EBD8D"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4C14FC">
              <w:rPr>
                <w:rFonts w:ascii="Times New Roman" w:eastAsia="Times New Roman" w:hAnsi="Times New Roman" w:cs="Times New Roman"/>
                <w:i/>
                <w:iCs/>
                <w:color w:val="1A1C1E"/>
                <w:kern w:val="0"/>
                <w:sz w:val="22"/>
                <w:szCs w:val="22"/>
                <w:lang w:eastAsia="en-IN"/>
                <w14:ligatures w14:val="none"/>
              </w:rPr>
              <w:t>0.6</w:t>
            </w:r>
          </w:p>
        </w:tc>
        <w:tc>
          <w:tcPr>
            <w:tcW w:w="1501" w:type="dxa"/>
            <w:tcBorders>
              <w:top w:val="nil"/>
              <w:left w:val="nil"/>
              <w:bottom w:val="single" w:sz="4" w:space="0" w:color="auto"/>
              <w:right w:val="single" w:sz="4" w:space="0" w:color="auto"/>
            </w:tcBorders>
            <w:shd w:val="clear" w:color="000000" w:fill="FFFFFF"/>
            <w:vAlign w:val="center"/>
            <w:hideMark/>
          </w:tcPr>
          <w:p w14:paraId="6C9A9CDE"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4C14FC">
              <w:rPr>
                <w:rFonts w:ascii="Times New Roman" w:eastAsia="Times New Roman" w:hAnsi="Times New Roman" w:cs="Times New Roman"/>
                <w:i/>
                <w:iCs/>
                <w:color w:val="1A1C1E"/>
                <w:kern w:val="0"/>
                <w:sz w:val="22"/>
                <w:szCs w:val="22"/>
                <w:lang w:eastAsia="en-IN"/>
                <w14:ligatures w14:val="none"/>
              </w:rPr>
              <w:t>0.9</w:t>
            </w:r>
          </w:p>
        </w:tc>
        <w:tc>
          <w:tcPr>
            <w:tcW w:w="1503" w:type="dxa"/>
            <w:tcBorders>
              <w:top w:val="nil"/>
              <w:left w:val="nil"/>
              <w:bottom w:val="single" w:sz="4" w:space="0" w:color="auto"/>
              <w:right w:val="single" w:sz="4" w:space="0" w:color="auto"/>
            </w:tcBorders>
            <w:shd w:val="clear" w:color="000000" w:fill="FFFFFF"/>
            <w:vAlign w:val="center"/>
            <w:hideMark/>
          </w:tcPr>
          <w:p w14:paraId="0280D7E7"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4C14FC">
              <w:rPr>
                <w:rFonts w:ascii="Times New Roman" w:eastAsia="Times New Roman" w:hAnsi="Times New Roman" w:cs="Times New Roman"/>
                <w:i/>
                <w:iCs/>
                <w:color w:val="1A1C1E"/>
                <w:kern w:val="0"/>
                <w:sz w:val="22"/>
                <w:szCs w:val="22"/>
                <w:lang w:eastAsia="en-IN"/>
                <w14:ligatures w14:val="none"/>
              </w:rPr>
              <w:t>5.6</w:t>
            </w:r>
          </w:p>
        </w:tc>
        <w:tc>
          <w:tcPr>
            <w:tcW w:w="2108" w:type="dxa"/>
            <w:tcBorders>
              <w:top w:val="nil"/>
              <w:left w:val="nil"/>
              <w:bottom w:val="single" w:sz="4" w:space="0" w:color="auto"/>
              <w:right w:val="single" w:sz="4" w:space="0" w:color="auto"/>
            </w:tcBorders>
            <w:shd w:val="clear" w:color="000000" w:fill="FFFFFF"/>
            <w:vAlign w:val="center"/>
            <w:hideMark/>
          </w:tcPr>
          <w:p w14:paraId="23E77816"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4C14FC">
              <w:rPr>
                <w:rFonts w:ascii="Times New Roman" w:eastAsia="Times New Roman" w:hAnsi="Times New Roman" w:cs="Times New Roman"/>
                <w:i/>
                <w:iCs/>
                <w:color w:val="1A1C1E"/>
                <w:kern w:val="0"/>
                <w:sz w:val="22"/>
                <w:szCs w:val="22"/>
                <w:lang w:eastAsia="en-IN"/>
                <w14:ligatures w14:val="none"/>
              </w:rPr>
              <w:t>3.6</w:t>
            </w:r>
          </w:p>
        </w:tc>
        <w:tc>
          <w:tcPr>
            <w:tcW w:w="1796" w:type="dxa"/>
            <w:tcBorders>
              <w:top w:val="nil"/>
              <w:left w:val="nil"/>
              <w:bottom w:val="single" w:sz="4" w:space="0" w:color="auto"/>
              <w:right w:val="single" w:sz="4" w:space="0" w:color="auto"/>
            </w:tcBorders>
            <w:shd w:val="clear" w:color="000000" w:fill="FFFFFF"/>
            <w:vAlign w:val="center"/>
            <w:hideMark/>
          </w:tcPr>
          <w:p w14:paraId="01F69C32" w14:textId="77777777" w:rsidR="004C14FC" w:rsidRPr="004C14FC" w:rsidRDefault="004C14FC" w:rsidP="004C14FC">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4C14FC">
              <w:rPr>
                <w:rFonts w:ascii="Times New Roman" w:eastAsia="Times New Roman" w:hAnsi="Times New Roman" w:cs="Times New Roman"/>
                <w:i/>
                <w:iCs/>
                <w:color w:val="1A1C1E"/>
                <w:kern w:val="0"/>
                <w:sz w:val="22"/>
                <w:szCs w:val="22"/>
                <w:lang w:eastAsia="en-IN"/>
                <w14:ligatures w14:val="none"/>
              </w:rPr>
              <w:t>1.3</w:t>
            </w:r>
          </w:p>
        </w:tc>
      </w:tr>
      <w:tr w:rsidR="004C14FC" w:rsidRPr="004C14FC" w14:paraId="4E65227A" w14:textId="77777777" w:rsidTr="004C14FC">
        <w:trPr>
          <w:trHeight w:val="20"/>
          <w:jc w:val="center"/>
        </w:trPr>
        <w:tc>
          <w:tcPr>
            <w:tcW w:w="2271" w:type="dxa"/>
            <w:tcBorders>
              <w:top w:val="nil"/>
              <w:left w:val="single" w:sz="4" w:space="0" w:color="auto"/>
              <w:bottom w:val="single" w:sz="4" w:space="0" w:color="auto"/>
              <w:right w:val="single" w:sz="4" w:space="0" w:color="auto"/>
            </w:tcBorders>
            <w:shd w:val="clear" w:color="000000" w:fill="FFFFFF"/>
            <w:vAlign w:val="center"/>
            <w:hideMark/>
          </w:tcPr>
          <w:p w14:paraId="6F939980" w14:textId="77777777" w:rsidR="004C14FC" w:rsidRPr="00E02C8A"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02C8A">
              <w:rPr>
                <w:rFonts w:ascii="Times New Roman" w:eastAsia="Times New Roman" w:hAnsi="Times New Roman" w:cs="Times New Roman"/>
                <w:color w:val="1A1C1E"/>
                <w:kern w:val="0"/>
                <w:sz w:val="22"/>
                <w:szCs w:val="22"/>
                <w:lang w:eastAsia="en-IN"/>
                <w14:ligatures w14:val="none"/>
              </w:rPr>
              <w:t>TOTAL</w:t>
            </w:r>
          </w:p>
        </w:tc>
        <w:tc>
          <w:tcPr>
            <w:tcW w:w="2788" w:type="dxa"/>
            <w:tcBorders>
              <w:top w:val="nil"/>
              <w:left w:val="nil"/>
              <w:bottom w:val="single" w:sz="4" w:space="0" w:color="auto"/>
              <w:right w:val="single" w:sz="4" w:space="0" w:color="auto"/>
            </w:tcBorders>
            <w:shd w:val="clear" w:color="000000" w:fill="FFFFFF"/>
            <w:vAlign w:val="center"/>
            <w:hideMark/>
          </w:tcPr>
          <w:p w14:paraId="0C74C129" w14:textId="77777777" w:rsidR="004C14FC" w:rsidRPr="00E02C8A"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02C8A">
              <w:rPr>
                <w:rFonts w:ascii="Times New Roman" w:eastAsia="Times New Roman" w:hAnsi="Times New Roman" w:cs="Times New Roman"/>
                <w:color w:val="1A1C1E"/>
                <w:kern w:val="0"/>
                <w:sz w:val="22"/>
                <w:szCs w:val="22"/>
                <w:lang w:eastAsia="en-IN"/>
                <w14:ligatures w14:val="none"/>
              </w:rPr>
              <w:t>10458</w:t>
            </w:r>
          </w:p>
        </w:tc>
        <w:tc>
          <w:tcPr>
            <w:tcW w:w="2493" w:type="dxa"/>
            <w:tcBorders>
              <w:top w:val="nil"/>
              <w:left w:val="nil"/>
              <w:bottom w:val="single" w:sz="4" w:space="0" w:color="auto"/>
              <w:right w:val="single" w:sz="4" w:space="0" w:color="auto"/>
            </w:tcBorders>
            <w:shd w:val="clear" w:color="000000" w:fill="FFFFFF"/>
            <w:vAlign w:val="center"/>
            <w:hideMark/>
          </w:tcPr>
          <w:p w14:paraId="7622E688" w14:textId="77777777" w:rsidR="004C14FC" w:rsidRPr="00E02C8A"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02C8A">
              <w:rPr>
                <w:rFonts w:ascii="Times New Roman" w:eastAsia="Times New Roman" w:hAnsi="Times New Roman" w:cs="Times New Roman"/>
                <w:color w:val="1A1C1E"/>
                <w:kern w:val="0"/>
                <w:sz w:val="22"/>
                <w:szCs w:val="22"/>
                <w:lang w:eastAsia="en-IN"/>
                <w14:ligatures w14:val="none"/>
              </w:rPr>
              <w:t>3371</w:t>
            </w:r>
          </w:p>
        </w:tc>
        <w:tc>
          <w:tcPr>
            <w:tcW w:w="1501" w:type="dxa"/>
            <w:tcBorders>
              <w:top w:val="nil"/>
              <w:left w:val="nil"/>
              <w:bottom w:val="single" w:sz="4" w:space="0" w:color="auto"/>
              <w:right w:val="single" w:sz="4" w:space="0" w:color="auto"/>
            </w:tcBorders>
            <w:shd w:val="clear" w:color="000000" w:fill="FFFFFF"/>
            <w:vAlign w:val="center"/>
            <w:hideMark/>
          </w:tcPr>
          <w:p w14:paraId="33F2E8CB" w14:textId="77777777" w:rsidR="004C14FC" w:rsidRPr="00E02C8A"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02C8A">
              <w:rPr>
                <w:rFonts w:ascii="Times New Roman" w:eastAsia="Times New Roman" w:hAnsi="Times New Roman" w:cs="Times New Roman"/>
                <w:color w:val="1A1C1E"/>
                <w:kern w:val="0"/>
                <w:sz w:val="22"/>
                <w:szCs w:val="22"/>
                <w:lang w:eastAsia="en-IN"/>
                <w14:ligatures w14:val="none"/>
              </w:rPr>
              <w:t>5250</w:t>
            </w:r>
          </w:p>
        </w:tc>
        <w:tc>
          <w:tcPr>
            <w:tcW w:w="1503" w:type="dxa"/>
            <w:tcBorders>
              <w:top w:val="nil"/>
              <w:left w:val="nil"/>
              <w:bottom w:val="single" w:sz="4" w:space="0" w:color="auto"/>
              <w:right w:val="single" w:sz="4" w:space="0" w:color="auto"/>
            </w:tcBorders>
            <w:shd w:val="clear" w:color="000000" w:fill="FFFFFF"/>
            <w:vAlign w:val="center"/>
            <w:hideMark/>
          </w:tcPr>
          <w:p w14:paraId="08D9711E" w14:textId="77777777" w:rsidR="004C14FC" w:rsidRPr="00E02C8A"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02C8A">
              <w:rPr>
                <w:rFonts w:ascii="Times New Roman" w:eastAsia="Times New Roman" w:hAnsi="Times New Roman" w:cs="Times New Roman"/>
                <w:color w:val="1A1C1E"/>
                <w:kern w:val="0"/>
                <w:sz w:val="22"/>
                <w:szCs w:val="22"/>
                <w:lang w:eastAsia="en-IN"/>
                <w14:ligatures w14:val="none"/>
              </w:rPr>
              <w:t>12888</w:t>
            </w:r>
          </w:p>
        </w:tc>
        <w:tc>
          <w:tcPr>
            <w:tcW w:w="2108" w:type="dxa"/>
            <w:tcBorders>
              <w:top w:val="nil"/>
              <w:left w:val="nil"/>
              <w:bottom w:val="single" w:sz="4" w:space="0" w:color="auto"/>
              <w:right w:val="single" w:sz="4" w:space="0" w:color="auto"/>
            </w:tcBorders>
            <w:shd w:val="clear" w:color="000000" w:fill="FFFFFF"/>
            <w:vAlign w:val="center"/>
            <w:hideMark/>
          </w:tcPr>
          <w:p w14:paraId="18D53650" w14:textId="77777777" w:rsidR="004C14FC" w:rsidRPr="00E02C8A"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02C8A">
              <w:rPr>
                <w:rFonts w:ascii="Times New Roman" w:eastAsia="Times New Roman" w:hAnsi="Times New Roman" w:cs="Times New Roman"/>
                <w:color w:val="1A1C1E"/>
                <w:kern w:val="0"/>
                <w:sz w:val="22"/>
                <w:szCs w:val="22"/>
                <w:lang w:eastAsia="en-IN"/>
                <w14:ligatures w14:val="none"/>
              </w:rPr>
              <w:t>6702</w:t>
            </w:r>
          </w:p>
        </w:tc>
        <w:tc>
          <w:tcPr>
            <w:tcW w:w="1796" w:type="dxa"/>
            <w:tcBorders>
              <w:top w:val="nil"/>
              <w:left w:val="nil"/>
              <w:bottom w:val="single" w:sz="4" w:space="0" w:color="auto"/>
              <w:right w:val="single" w:sz="4" w:space="0" w:color="auto"/>
            </w:tcBorders>
            <w:shd w:val="clear" w:color="000000" w:fill="FFFFFF"/>
            <w:vAlign w:val="center"/>
            <w:hideMark/>
          </w:tcPr>
          <w:p w14:paraId="46914732" w14:textId="77777777" w:rsidR="004C14FC" w:rsidRPr="00E02C8A"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E02C8A">
              <w:rPr>
                <w:rFonts w:ascii="Times New Roman" w:eastAsia="Times New Roman" w:hAnsi="Times New Roman" w:cs="Times New Roman"/>
                <w:color w:val="1A1C1E"/>
                <w:kern w:val="0"/>
                <w:sz w:val="22"/>
                <w:szCs w:val="22"/>
                <w:lang w:eastAsia="en-IN"/>
                <w14:ligatures w14:val="none"/>
              </w:rPr>
              <w:t>3126</w:t>
            </w:r>
          </w:p>
        </w:tc>
      </w:tr>
      <w:tr w:rsidR="004C14FC" w:rsidRPr="004C14FC" w14:paraId="30FD5778" w14:textId="77777777" w:rsidTr="004C14FC">
        <w:trPr>
          <w:trHeight w:val="20"/>
          <w:jc w:val="center"/>
        </w:trPr>
        <w:tc>
          <w:tcPr>
            <w:tcW w:w="2271" w:type="dxa"/>
            <w:tcBorders>
              <w:top w:val="nil"/>
              <w:left w:val="single" w:sz="4" w:space="0" w:color="auto"/>
              <w:bottom w:val="single" w:sz="4" w:space="0" w:color="auto"/>
              <w:right w:val="single" w:sz="4" w:space="0" w:color="auto"/>
            </w:tcBorders>
            <w:shd w:val="clear" w:color="000000" w:fill="FFFFFF"/>
            <w:vAlign w:val="center"/>
            <w:hideMark/>
          </w:tcPr>
          <w:p w14:paraId="18E88FF1" w14:textId="429D3584" w:rsidR="004C14FC" w:rsidRPr="00E02C8A" w:rsidRDefault="004C14FC" w:rsidP="004C14FC">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p>
        </w:tc>
        <w:tc>
          <w:tcPr>
            <w:tcW w:w="2788" w:type="dxa"/>
            <w:tcBorders>
              <w:top w:val="nil"/>
              <w:left w:val="nil"/>
              <w:bottom w:val="single" w:sz="4" w:space="0" w:color="auto"/>
              <w:right w:val="single" w:sz="4" w:space="0" w:color="auto"/>
            </w:tcBorders>
            <w:shd w:val="clear" w:color="000000" w:fill="FFFFFF"/>
            <w:vAlign w:val="center"/>
            <w:hideMark/>
          </w:tcPr>
          <w:p w14:paraId="2CE6E06D" w14:textId="1125355A" w:rsidR="004C14FC" w:rsidRPr="00E02C8A" w:rsidRDefault="004C14FC" w:rsidP="004C14FC">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02C8A">
              <w:rPr>
                <w:rFonts w:ascii="Times New Roman" w:eastAsia="Times New Roman" w:hAnsi="Times New Roman" w:cs="Times New Roman"/>
                <w:i/>
                <w:iCs/>
                <w:color w:val="1A1C1E"/>
                <w:kern w:val="0"/>
                <w:sz w:val="22"/>
                <w:szCs w:val="22"/>
                <w:lang w:eastAsia="en-IN"/>
                <w14:ligatures w14:val="none"/>
              </w:rPr>
              <w:t>3</w:t>
            </w:r>
            <w:r w:rsidR="0023398A" w:rsidRPr="00E02C8A">
              <w:rPr>
                <w:rFonts w:ascii="Times New Roman" w:eastAsia="Times New Roman" w:hAnsi="Times New Roman" w:cs="Times New Roman"/>
                <w:i/>
                <w:iCs/>
                <w:color w:val="1A1C1E"/>
                <w:kern w:val="0"/>
                <w:sz w:val="22"/>
                <w:szCs w:val="22"/>
                <w:lang w:eastAsia="en-IN"/>
                <w14:ligatures w14:val="none"/>
              </w:rPr>
              <w:t>.0</w:t>
            </w:r>
          </w:p>
        </w:tc>
        <w:tc>
          <w:tcPr>
            <w:tcW w:w="2493" w:type="dxa"/>
            <w:tcBorders>
              <w:top w:val="nil"/>
              <w:left w:val="nil"/>
              <w:bottom w:val="single" w:sz="4" w:space="0" w:color="auto"/>
              <w:right w:val="single" w:sz="4" w:space="0" w:color="auto"/>
            </w:tcBorders>
            <w:shd w:val="clear" w:color="000000" w:fill="FFFFFF"/>
            <w:vAlign w:val="center"/>
            <w:hideMark/>
          </w:tcPr>
          <w:p w14:paraId="303C8134" w14:textId="089B83E3" w:rsidR="004C14FC" w:rsidRPr="00E02C8A" w:rsidRDefault="004C14FC" w:rsidP="004C14FC">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02C8A">
              <w:rPr>
                <w:rFonts w:ascii="Times New Roman" w:eastAsia="Times New Roman" w:hAnsi="Times New Roman" w:cs="Times New Roman"/>
                <w:i/>
                <w:iCs/>
                <w:color w:val="1A1C1E"/>
                <w:kern w:val="0"/>
                <w:sz w:val="22"/>
                <w:szCs w:val="22"/>
                <w:lang w:eastAsia="en-IN"/>
                <w14:ligatures w14:val="none"/>
              </w:rPr>
              <w:t>1</w:t>
            </w:r>
            <w:r w:rsidR="0086673A" w:rsidRPr="00E02C8A">
              <w:rPr>
                <w:rFonts w:ascii="Times New Roman" w:eastAsia="Times New Roman" w:hAnsi="Times New Roman" w:cs="Times New Roman"/>
                <w:i/>
                <w:iCs/>
                <w:color w:val="1A1C1E"/>
                <w:kern w:val="0"/>
                <w:sz w:val="22"/>
                <w:szCs w:val="22"/>
                <w:lang w:eastAsia="en-IN"/>
                <w14:ligatures w14:val="none"/>
              </w:rPr>
              <w:t>.0</w:t>
            </w:r>
          </w:p>
        </w:tc>
        <w:tc>
          <w:tcPr>
            <w:tcW w:w="1501" w:type="dxa"/>
            <w:tcBorders>
              <w:top w:val="nil"/>
              <w:left w:val="nil"/>
              <w:bottom w:val="single" w:sz="4" w:space="0" w:color="auto"/>
              <w:right w:val="single" w:sz="4" w:space="0" w:color="auto"/>
            </w:tcBorders>
            <w:shd w:val="clear" w:color="000000" w:fill="FFFFFF"/>
            <w:vAlign w:val="center"/>
            <w:hideMark/>
          </w:tcPr>
          <w:p w14:paraId="1C3565EF" w14:textId="77777777" w:rsidR="004C14FC" w:rsidRPr="00E02C8A" w:rsidRDefault="004C14FC" w:rsidP="004C14FC">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02C8A">
              <w:rPr>
                <w:rFonts w:ascii="Times New Roman" w:eastAsia="Times New Roman" w:hAnsi="Times New Roman" w:cs="Times New Roman"/>
                <w:i/>
                <w:iCs/>
                <w:color w:val="1A1C1E"/>
                <w:kern w:val="0"/>
                <w:sz w:val="22"/>
                <w:szCs w:val="22"/>
                <w:lang w:eastAsia="en-IN"/>
                <w14:ligatures w14:val="none"/>
              </w:rPr>
              <w:t>1.5</w:t>
            </w:r>
          </w:p>
        </w:tc>
        <w:tc>
          <w:tcPr>
            <w:tcW w:w="1503" w:type="dxa"/>
            <w:tcBorders>
              <w:top w:val="nil"/>
              <w:left w:val="nil"/>
              <w:bottom w:val="single" w:sz="4" w:space="0" w:color="auto"/>
              <w:right w:val="single" w:sz="4" w:space="0" w:color="auto"/>
            </w:tcBorders>
            <w:shd w:val="clear" w:color="000000" w:fill="FFFFFF"/>
            <w:vAlign w:val="center"/>
            <w:hideMark/>
          </w:tcPr>
          <w:p w14:paraId="47944496" w14:textId="77777777" w:rsidR="004C14FC" w:rsidRPr="00E02C8A" w:rsidRDefault="004C14FC" w:rsidP="004C14FC">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02C8A">
              <w:rPr>
                <w:rFonts w:ascii="Times New Roman" w:eastAsia="Times New Roman" w:hAnsi="Times New Roman" w:cs="Times New Roman"/>
                <w:i/>
                <w:iCs/>
                <w:color w:val="1A1C1E"/>
                <w:kern w:val="0"/>
                <w:sz w:val="22"/>
                <w:szCs w:val="22"/>
                <w:lang w:eastAsia="en-IN"/>
                <w14:ligatures w14:val="none"/>
              </w:rPr>
              <w:t>3.7</w:t>
            </w:r>
          </w:p>
        </w:tc>
        <w:tc>
          <w:tcPr>
            <w:tcW w:w="2108" w:type="dxa"/>
            <w:tcBorders>
              <w:top w:val="nil"/>
              <w:left w:val="nil"/>
              <w:bottom w:val="single" w:sz="4" w:space="0" w:color="auto"/>
              <w:right w:val="single" w:sz="4" w:space="0" w:color="auto"/>
            </w:tcBorders>
            <w:shd w:val="clear" w:color="000000" w:fill="FFFFFF"/>
            <w:vAlign w:val="center"/>
            <w:hideMark/>
          </w:tcPr>
          <w:p w14:paraId="1E180244" w14:textId="77777777" w:rsidR="004C14FC" w:rsidRPr="00E02C8A" w:rsidRDefault="004C14FC" w:rsidP="004C14FC">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02C8A">
              <w:rPr>
                <w:rFonts w:ascii="Times New Roman" w:eastAsia="Times New Roman" w:hAnsi="Times New Roman" w:cs="Times New Roman"/>
                <w:i/>
                <w:iCs/>
                <w:color w:val="1A1C1E"/>
                <w:kern w:val="0"/>
                <w:sz w:val="22"/>
                <w:szCs w:val="22"/>
                <w:lang w:eastAsia="en-IN"/>
                <w14:ligatures w14:val="none"/>
              </w:rPr>
              <w:t>1.9</w:t>
            </w:r>
          </w:p>
        </w:tc>
        <w:tc>
          <w:tcPr>
            <w:tcW w:w="1796" w:type="dxa"/>
            <w:tcBorders>
              <w:top w:val="nil"/>
              <w:left w:val="nil"/>
              <w:bottom w:val="single" w:sz="4" w:space="0" w:color="auto"/>
              <w:right w:val="single" w:sz="4" w:space="0" w:color="auto"/>
            </w:tcBorders>
            <w:shd w:val="clear" w:color="000000" w:fill="FFFFFF"/>
            <w:vAlign w:val="center"/>
            <w:hideMark/>
          </w:tcPr>
          <w:p w14:paraId="1A1BA107" w14:textId="77777777" w:rsidR="004C14FC" w:rsidRPr="00E02C8A" w:rsidRDefault="004C14FC" w:rsidP="004C14FC">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E02C8A">
              <w:rPr>
                <w:rFonts w:ascii="Times New Roman" w:eastAsia="Times New Roman" w:hAnsi="Times New Roman" w:cs="Times New Roman"/>
                <w:i/>
                <w:iCs/>
                <w:color w:val="1A1C1E"/>
                <w:kern w:val="0"/>
                <w:sz w:val="22"/>
                <w:szCs w:val="22"/>
                <w:lang w:eastAsia="en-IN"/>
                <w14:ligatures w14:val="none"/>
              </w:rPr>
              <w:t>0.9</w:t>
            </w:r>
          </w:p>
        </w:tc>
      </w:tr>
    </w:tbl>
    <w:p w14:paraId="363BF7D4" w14:textId="77777777" w:rsidR="004C14FC" w:rsidRDefault="004C14FC" w:rsidP="00EA4590">
      <w:pPr>
        <w:jc w:val="center"/>
        <w:rPr>
          <w:rFonts w:ascii="Times New Roman" w:hAnsi="Times New Roman" w:cs="Times New Roman"/>
        </w:rPr>
      </w:pPr>
    </w:p>
    <w:p w14:paraId="3836CA68" w14:textId="77777777" w:rsidR="005F34B0" w:rsidRDefault="005F34B0" w:rsidP="00EA4590">
      <w:pPr>
        <w:jc w:val="center"/>
        <w:rPr>
          <w:rFonts w:ascii="Times New Roman" w:hAnsi="Times New Roman" w:cs="Times New Roman"/>
        </w:rPr>
      </w:pPr>
    </w:p>
    <w:p w14:paraId="78DA5547" w14:textId="77777777" w:rsidR="005F34B0" w:rsidRDefault="005F34B0" w:rsidP="00EA4590">
      <w:pPr>
        <w:jc w:val="center"/>
        <w:rPr>
          <w:rFonts w:ascii="Times New Roman" w:hAnsi="Times New Roman" w:cs="Times New Roman"/>
        </w:rPr>
      </w:pPr>
    </w:p>
    <w:p w14:paraId="00B0E813" w14:textId="77777777" w:rsidR="00CD404B" w:rsidRDefault="00CD404B" w:rsidP="00EA4590">
      <w:pPr>
        <w:jc w:val="center"/>
        <w:rPr>
          <w:rFonts w:ascii="Times New Roman" w:hAnsi="Times New Roman" w:cs="Times New Roman"/>
        </w:rPr>
      </w:pPr>
    </w:p>
    <w:p w14:paraId="7E01F009" w14:textId="77777777" w:rsidR="00CD404B" w:rsidRDefault="00CD404B" w:rsidP="00EA4590">
      <w:pPr>
        <w:jc w:val="center"/>
        <w:rPr>
          <w:rFonts w:ascii="Times New Roman" w:hAnsi="Times New Roman" w:cs="Times New Roman"/>
        </w:rPr>
      </w:pPr>
    </w:p>
    <w:p w14:paraId="7DE06CFF" w14:textId="77777777" w:rsidR="00CD404B" w:rsidRDefault="00CD404B" w:rsidP="00EA4590">
      <w:pPr>
        <w:jc w:val="center"/>
        <w:rPr>
          <w:rFonts w:ascii="Times New Roman" w:hAnsi="Times New Roman" w:cs="Times New Roman"/>
        </w:rPr>
      </w:pPr>
    </w:p>
    <w:p w14:paraId="2DE22944" w14:textId="77777777" w:rsidR="00CD404B" w:rsidRPr="00EA4590" w:rsidRDefault="00CD404B" w:rsidP="00EA4590">
      <w:pPr>
        <w:jc w:val="center"/>
        <w:rPr>
          <w:rFonts w:ascii="Times New Roman" w:hAnsi="Times New Roman" w:cs="Times New Roman"/>
        </w:rPr>
      </w:pPr>
    </w:p>
    <w:p w14:paraId="43BFE85D" w14:textId="7BBC4408" w:rsidR="00594F40" w:rsidRPr="005534D4" w:rsidRDefault="00594F40" w:rsidP="008A141A">
      <w:pPr>
        <w:rPr>
          <w:rFonts w:ascii="Times New Roman" w:hAnsi="Times New Roman" w:cs="Times New Roman"/>
        </w:rPr>
      </w:pPr>
    </w:p>
    <w:p w14:paraId="008AEF21" w14:textId="77777777" w:rsidR="00594F40" w:rsidRPr="005534D4" w:rsidRDefault="00594F40">
      <w:pPr>
        <w:rPr>
          <w:rFonts w:ascii="Times New Roman" w:hAnsi="Times New Roman" w:cs="Times New Roman"/>
        </w:rPr>
      </w:pPr>
      <w:r w:rsidRPr="005534D4">
        <w:rPr>
          <w:rFonts w:ascii="Times New Roman" w:hAnsi="Times New Roman" w:cs="Times New Roman"/>
        </w:rPr>
        <w:br w:type="page"/>
      </w:r>
    </w:p>
    <w:p w14:paraId="6F845B08" w14:textId="77777777" w:rsidR="00EA4590" w:rsidRDefault="00EA4590" w:rsidP="00594F40">
      <w:pPr>
        <w:rPr>
          <w:rFonts w:ascii="Times New Roman" w:hAnsi="Times New Roman" w:cs="Times New Roman"/>
        </w:rPr>
        <w:sectPr w:rsidR="00EA4590" w:rsidSect="00EA4590">
          <w:pgSz w:w="16838" w:h="11906" w:orient="landscape"/>
          <w:pgMar w:top="1134" w:right="1440" w:bottom="1440" w:left="1440" w:header="709" w:footer="709" w:gutter="0"/>
          <w:cols w:space="708"/>
          <w:docGrid w:linePitch="360"/>
        </w:sectPr>
      </w:pPr>
    </w:p>
    <w:p w14:paraId="5A519D00" w14:textId="0800F3C7" w:rsidR="00EA4590" w:rsidRPr="00EA4590" w:rsidRDefault="00594F40" w:rsidP="0075507D">
      <w:pPr>
        <w:pStyle w:val="Heading3"/>
      </w:pPr>
      <w:bookmarkStart w:id="38" w:name="_Toc221007147"/>
      <w:r w:rsidRPr="00EA4590">
        <w:rPr>
          <w:rStyle w:val="Heading2Char"/>
          <w:b/>
          <w:bCs/>
        </w:rPr>
        <w:lastRenderedPageBreak/>
        <w:t>9.—Resources transferred from the Centre to the</w:t>
      </w:r>
      <w:r w:rsidR="00EA4590" w:rsidRPr="00EA4590">
        <w:rPr>
          <w:rStyle w:val="Heading2Char"/>
          <w:b/>
          <w:bCs/>
        </w:rPr>
        <w:t xml:space="preserve"> States through devolution of Revenue and Grants</w:t>
      </w:r>
      <w:bookmarkEnd w:id="38"/>
    </w:p>
    <w:p w14:paraId="1EF4EAFA" w14:textId="77777777" w:rsidR="00721F68" w:rsidRDefault="00721F68" w:rsidP="00EA4590">
      <w:pPr>
        <w:jc w:val="center"/>
        <w:rPr>
          <w:rFonts w:ascii="Times New Roman" w:hAnsi="Times New Roman" w:cs="Times New Roman"/>
        </w:rPr>
      </w:pPr>
    </w:p>
    <w:p w14:paraId="47CEF21C" w14:textId="368171BB" w:rsidR="00594F40" w:rsidRDefault="00594F40" w:rsidP="00EA4590">
      <w:pPr>
        <w:jc w:val="center"/>
        <w:rPr>
          <w:rFonts w:ascii="Times New Roman" w:hAnsi="Times New Roman" w:cs="Times New Roman"/>
        </w:rPr>
      </w:pPr>
      <w:r w:rsidRPr="00EA4590">
        <w:rPr>
          <w:rFonts w:ascii="Times New Roman" w:hAnsi="Times New Roman" w:cs="Times New Roman"/>
        </w:rPr>
        <w:t>(As shown in the</w:t>
      </w:r>
      <w:r w:rsidR="00EA4590" w:rsidRPr="00EA4590">
        <w:rPr>
          <w:rFonts w:ascii="Times New Roman" w:hAnsi="Times New Roman" w:cs="Times New Roman"/>
        </w:rPr>
        <w:t xml:space="preserve"> Central Budget)</w:t>
      </w:r>
    </w:p>
    <w:tbl>
      <w:tblPr>
        <w:tblW w:w="14248" w:type="dxa"/>
        <w:jc w:val="center"/>
        <w:tblLook w:val="04A0" w:firstRow="1" w:lastRow="0" w:firstColumn="1" w:lastColumn="0" w:noHBand="0" w:noVBand="1"/>
      </w:tblPr>
      <w:tblGrid>
        <w:gridCol w:w="1207"/>
        <w:gridCol w:w="1036"/>
        <w:gridCol w:w="883"/>
        <w:gridCol w:w="1470"/>
        <w:gridCol w:w="936"/>
        <w:gridCol w:w="936"/>
        <w:gridCol w:w="936"/>
        <w:gridCol w:w="1683"/>
        <w:gridCol w:w="936"/>
        <w:gridCol w:w="1563"/>
        <w:gridCol w:w="963"/>
        <w:gridCol w:w="936"/>
        <w:gridCol w:w="763"/>
      </w:tblGrid>
      <w:tr w:rsidR="004C14FC" w:rsidRPr="004C14FC" w14:paraId="46B89770" w14:textId="77777777" w:rsidTr="00721F68">
        <w:trPr>
          <w:trHeight w:val="340"/>
          <w:jc w:val="center"/>
        </w:trPr>
        <w:tc>
          <w:tcPr>
            <w:tcW w:w="1207" w:type="dxa"/>
            <w:tcBorders>
              <w:top w:val="single" w:sz="4" w:space="0" w:color="auto"/>
              <w:left w:val="single" w:sz="4" w:space="0" w:color="auto"/>
              <w:bottom w:val="single" w:sz="4" w:space="0" w:color="auto"/>
              <w:right w:val="single" w:sz="4" w:space="0" w:color="auto"/>
            </w:tcBorders>
            <w:vAlign w:val="center"/>
            <w:hideMark/>
          </w:tcPr>
          <w:p w14:paraId="08B89F7F" w14:textId="7FBFB825" w:rsidR="004C14FC" w:rsidRPr="004C14FC" w:rsidRDefault="004C14FC" w:rsidP="00721F68">
            <w:pPr>
              <w:spacing w:after="0" w:line="240" w:lineRule="auto"/>
              <w:jc w:val="center"/>
              <w:rPr>
                <w:rFonts w:ascii="Aptos" w:eastAsia="Times New Roman" w:hAnsi="Aptos" w:cs="Times New Roman"/>
                <w:color w:val="000000"/>
                <w:kern w:val="0"/>
                <w:szCs w:val="24"/>
                <w:lang w:eastAsia="en-IN"/>
                <w14:ligatures w14:val="none"/>
              </w:rPr>
            </w:pPr>
          </w:p>
        </w:tc>
        <w:tc>
          <w:tcPr>
            <w:tcW w:w="1036" w:type="dxa"/>
            <w:tcBorders>
              <w:top w:val="single" w:sz="4" w:space="0" w:color="auto"/>
              <w:left w:val="nil"/>
              <w:bottom w:val="single" w:sz="4" w:space="0" w:color="auto"/>
              <w:right w:val="single" w:sz="4" w:space="0" w:color="auto"/>
            </w:tcBorders>
            <w:vAlign w:val="center"/>
            <w:hideMark/>
          </w:tcPr>
          <w:p w14:paraId="2DCB72A0" w14:textId="77777777" w:rsidR="004C14FC" w:rsidRPr="004C14FC" w:rsidRDefault="004C14FC" w:rsidP="00721F68">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4C14FC">
              <w:rPr>
                <w:rFonts w:ascii="Times New Roman" w:eastAsia="Times New Roman" w:hAnsi="Times New Roman" w:cs="Times New Roman"/>
                <w:b/>
                <w:bCs/>
                <w:color w:val="000000"/>
                <w:kern w:val="0"/>
                <w:szCs w:val="24"/>
                <w:lang w:eastAsia="en-IN"/>
                <w14:ligatures w14:val="none"/>
              </w:rPr>
              <w:t>Share of Income tax</w:t>
            </w:r>
          </w:p>
        </w:tc>
        <w:tc>
          <w:tcPr>
            <w:tcW w:w="883" w:type="dxa"/>
            <w:tcBorders>
              <w:top w:val="single" w:sz="4" w:space="0" w:color="auto"/>
              <w:left w:val="nil"/>
              <w:bottom w:val="single" w:sz="4" w:space="0" w:color="auto"/>
              <w:right w:val="single" w:sz="4" w:space="0" w:color="auto"/>
            </w:tcBorders>
            <w:vAlign w:val="center"/>
            <w:hideMark/>
          </w:tcPr>
          <w:p w14:paraId="70F93365" w14:textId="77777777" w:rsidR="004C14FC" w:rsidRPr="004C14FC" w:rsidRDefault="004C14FC" w:rsidP="00721F68">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4C14FC">
              <w:rPr>
                <w:rFonts w:ascii="Times New Roman" w:eastAsia="Times New Roman" w:hAnsi="Times New Roman" w:cs="Times New Roman"/>
                <w:b/>
                <w:bCs/>
                <w:color w:val="000000"/>
                <w:kern w:val="0"/>
                <w:szCs w:val="24"/>
                <w:lang w:eastAsia="en-IN"/>
                <w14:ligatures w14:val="none"/>
              </w:rPr>
              <w:t>Share of jute export duty</w:t>
            </w:r>
          </w:p>
        </w:tc>
        <w:tc>
          <w:tcPr>
            <w:tcW w:w="1470" w:type="dxa"/>
            <w:tcBorders>
              <w:top w:val="single" w:sz="4" w:space="0" w:color="auto"/>
              <w:left w:val="nil"/>
              <w:bottom w:val="single" w:sz="4" w:space="0" w:color="auto"/>
              <w:right w:val="single" w:sz="4" w:space="0" w:color="auto"/>
            </w:tcBorders>
            <w:vAlign w:val="center"/>
            <w:hideMark/>
          </w:tcPr>
          <w:p w14:paraId="2335B0A4" w14:textId="77777777" w:rsidR="004C14FC" w:rsidRPr="004C14FC" w:rsidRDefault="004C14FC" w:rsidP="00721F68">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4C14FC">
              <w:rPr>
                <w:rFonts w:ascii="Times New Roman" w:eastAsia="Times New Roman" w:hAnsi="Times New Roman" w:cs="Times New Roman"/>
                <w:b/>
                <w:bCs/>
                <w:color w:val="000000"/>
                <w:kern w:val="0"/>
                <w:szCs w:val="24"/>
                <w:lang w:eastAsia="en-IN"/>
                <w14:ligatures w14:val="none"/>
              </w:rPr>
              <w:t>Subventions under the Niemeyer Award</w:t>
            </w:r>
          </w:p>
        </w:tc>
        <w:tc>
          <w:tcPr>
            <w:tcW w:w="936" w:type="dxa"/>
            <w:tcBorders>
              <w:top w:val="single" w:sz="4" w:space="0" w:color="auto"/>
              <w:left w:val="nil"/>
              <w:bottom w:val="single" w:sz="4" w:space="0" w:color="auto"/>
              <w:right w:val="single" w:sz="4" w:space="0" w:color="auto"/>
            </w:tcBorders>
            <w:vAlign w:val="center"/>
            <w:hideMark/>
          </w:tcPr>
          <w:p w14:paraId="5DC63C4C" w14:textId="77777777" w:rsidR="004C14FC" w:rsidRPr="004C14FC" w:rsidRDefault="004C14FC" w:rsidP="00721F68">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4C14FC">
              <w:rPr>
                <w:rFonts w:ascii="Times New Roman" w:eastAsia="Times New Roman" w:hAnsi="Times New Roman" w:cs="Times New Roman"/>
                <w:b/>
                <w:bCs/>
                <w:color w:val="000000"/>
                <w:kern w:val="0"/>
                <w:szCs w:val="24"/>
                <w:lang w:eastAsia="en-IN"/>
                <w14:ligatures w14:val="none"/>
              </w:rPr>
              <w:t>Grants under Article 273</w:t>
            </w:r>
          </w:p>
        </w:tc>
        <w:tc>
          <w:tcPr>
            <w:tcW w:w="936" w:type="dxa"/>
            <w:tcBorders>
              <w:top w:val="single" w:sz="4" w:space="0" w:color="auto"/>
              <w:left w:val="nil"/>
              <w:bottom w:val="single" w:sz="4" w:space="0" w:color="auto"/>
              <w:right w:val="single" w:sz="4" w:space="0" w:color="auto"/>
            </w:tcBorders>
            <w:vAlign w:val="center"/>
            <w:hideMark/>
          </w:tcPr>
          <w:p w14:paraId="19041CB5" w14:textId="77777777" w:rsidR="004C14FC" w:rsidRPr="004C14FC" w:rsidRDefault="004C14FC" w:rsidP="00721F68">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4C14FC">
              <w:rPr>
                <w:rFonts w:ascii="Times New Roman" w:eastAsia="Times New Roman" w:hAnsi="Times New Roman" w:cs="Times New Roman"/>
                <w:b/>
                <w:bCs/>
                <w:color w:val="000000"/>
                <w:kern w:val="0"/>
                <w:szCs w:val="24"/>
                <w:lang w:eastAsia="en-IN"/>
                <w14:ligatures w14:val="none"/>
              </w:rPr>
              <w:t>Grants under Article 275</w:t>
            </w:r>
          </w:p>
        </w:tc>
        <w:tc>
          <w:tcPr>
            <w:tcW w:w="936" w:type="dxa"/>
            <w:tcBorders>
              <w:top w:val="single" w:sz="4" w:space="0" w:color="auto"/>
              <w:left w:val="nil"/>
              <w:bottom w:val="single" w:sz="4" w:space="0" w:color="auto"/>
              <w:right w:val="single" w:sz="4" w:space="0" w:color="auto"/>
            </w:tcBorders>
            <w:vAlign w:val="center"/>
            <w:hideMark/>
          </w:tcPr>
          <w:p w14:paraId="4DCE1136" w14:textId="77777777" w:rsidR="004C14FC" w:rsidRPr="004C14FC" w:rsidRDefault="004C14FC" w:rsidP="00721F68">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4C14FC">
              <w:rPr>
                <w:rFonts w:ascii="Times New Roman" w:eastAsia="Times New Roman" w:hAnsi="Times New Roman" w:cs="Times New Roman"/>
                <w:b/>
                <w:bCs/>
                <w:color w:val="000000"/>
                <w:kern w:val="0"/>
                <w:szCs w:val="24"/>
                <w:lang w:eastAsia="en-IN"/>
                <w14:ligatures w14:val="none"/>
              </w:rPr>
              <w:t>Grants under Article 278</w:t>
            </w:r>
          </w:p>
        </w:tc>
        <w:tc>
          <w:tcPr>
            <w:tcW w:w="1683" w:type="dxa"/>
            <w:tcBorders>
              <w:top w:val="single" w:sz="4" w:space="0" w:color="auto"/>
              <w:left w:val="nil"/>
              <w:bottom w:val="single" w:sz="4" w:space="0" w:color="auto"/>
              <w:right w:val="single" w:sz="4" w:space="0" w:color="auto"/>
            </w:tcBorders>
            <w:vAlign w:val="center"/>
            <w:hideMark/>
          </w:tcPr>
          <w:p w14:paraId="75772D10" w14:textId="77777777" w:rsidR="004C14FC" w:rsidRPr="004C14FC" w:rsidRDefault="004C14FC" w:rsidP="00721F68">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4C14FC">
              <w:rPr>
                <w:rFonts w:ascii="Times New Roman" w:eastAsia="Times New Roman" w:hAnsi="Times New Roman" w:cs="Times New Roman"/>
                <w:b/>
                <w:bCs/>
                <w:color w:val="000000"/>
                <w:kern w:val="0"/>
                <w:szCs w:val="24"/>
                <w:lang w:eastAsia="en-IN"/>
                <w14:ligatures w14:val="none"/>
              </w:rPr>
              <w:t>Rehabilitation Grants (a)</w:t>
            </w:r>
          </w:p>
        </w:tc>
        <w:tc>
          <w:tcPr>
            <w:tcW w:w="936" w:type="dxa"/>
            <w:tcBorders>
              <w:top w:val="single" w:sz="4" w:space="0" w:color="auto"/>
              <w:left w:val="nil"/>
              <w:bottom w:val="single" w:sz="4" w:space="0" w:color="auto"/>
              <w:right w:val="single" w:sz="4" w:space="0" w:color="auto"/>
            </w:tcBorders>
            <w:vAlign w:val="center"/>
            <w:hideMark/>
          </w:tcPr>
          <w:p w14:paraId="7808C6F4" w14:textId="77777777" w:rsidR="004C14FC" w:rsidRPr="004C14FC" w:rsidRDefault="004C14FC" w:rsidP="00721F68">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4C14FC">
              <w:rPr>
                <w:rFonts w:ascii="Times New Roman" w:eastAsia="Times New Roman" w:hAnsi="Times New Roman" w:cs="Times New Roman"/>
                <w:b/>
                <w:bCs/>
                <w:color w:val="000000"/>
                <w:kern w:val="0"/>
                <w:szCs w:val="24"/>
                <w:lang w:eastAsia="en-IN"/>
                <w14:ligatures w14:val="none"/>
              </w:rPr>
              <w:t>Grow More Food Grants (a)</w:t>
            </w:r>
          </w:p>
        </w:tc>
        <w:tc>
          <w:tcPr>
            <w:tcW w:w="1563" w:type="dxa"/>
            <w:tcBorders>
              <w:top w:val="single" w:sz="4" w:space="0" w:color="auto"/>
              <w:left w:val="nil"/>
              <w:bottom w:val="single" w:sz="4" w:space="0" w:color="auto"/>
              <w:right w:val="single" w:sz="4" w:space="0" w:color="auto"/>
            </w:tcBorders>
            <w:vAlign w:val="center"/>
            <w:hideMark/>
          </w:tcPr>
          <w:p w14:paraId="03C5807F" w14:textId="77777777" w:rsidR="004C14FC" w:rsidRPr="004C14FC" w:rsidRDefault="004C14FC" w:rsidP="00721F68">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4C14FC">
              <w:rPr>
                <w:rFonts w:ascii="Times New Roman" w:eastAsia="Times New Roman" w:hAnsi="Times New Roman" w:cs="Times New Roman"/>
                <w:b/>
                <w:bCs/>
                <w:color w:val="000000"/>
                <w:kern w:val="0"/>
                <w:szCs w:val="24"/>
                <w:lang w:eastAsia="en-IN"/>
                <w14:ligatures w14:val="none"/>
              </w:rPr>
              <w:t>Post-War Development Grants (a)</w:t>
            </w:r>
          </w:p>
        </w:tc>
        <w:tc>
          <w:tcPr>
            <w:tcW w:w="963" w:type="dxa"/>
            <w:tcBorders>
              <w:top w:val="single" w:sz="4" w:space="0" w:color="auto"/>
              <w:left w:val="nil"/>
              <w:bottom w:val="single" w:sz="4" w:space="0" w:color="auto"/>
              <w:right w:val="single" w:sz="4" w:space="0" w:color="auto"/>
            </w:tcBorders>
            <w:vAlign w:val="center"/>
            <w:hideMark/>
          </w:tcPr>
          <w:p w14:paraId="4ADF335F" w14:textId="77777777" w:rsidR="004C14FC" w:rsidRPr="004C14FC" w:rsidRDefault="004C14FC" w:rsidP="00721F68">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4C14FC">
              <w:rPr>
                <w:rFonts w:ascii="Times New Roman" w:eastAsia="Times New Roman" w:hAnsi="Times New Roman" w:cs="Times New Roman"/>
                <w:b/>
                <w:bCs/>
                <w:color w:val="000000"/>
                <w:kern w:val="0"/>
                <w:szCs w:val="24"/>
                <w:lang w:eastAsia="en-IN"/>
                <w14:ligatures w14:val="none"/>
              </w:rPr>
              <w:t>Special Grants to Bengal and Punjab</w:t>
            </w:r>
          </w:p>
        </w:tc>
        <w:tc>
          <w:tcPr>
            <w:tcW w:w="936" w:type="dxa"/>
            <w:tcBorders>
              <w:top w:val="single" w:sz="4" w:space="0" w:color="auto"/>
              <w:left w:val="nil"/>
              <w:bottom w:val="single" w:sz="4" w:space="0" w:color="auto"/>
              <w:right w:val="single" w:sz="4" w:space="0" w:color="auto"/>
            </w:tcBorders>
            <w:vAlign w:val="center"/>
            <w:hideMark/>
          </w:tcPr>
          <w:p w14:paraId="6FC295EE" w14:textId="77777777" w:rsidR="004C14FC" w:rsidRPr="004C14FC" w:rsidRDefault="004C14FC" w:rsidP="00721F68">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4C14FC">
              <w:rPr>
                <w:rFonts w:ascii="Times New Roman" w:eastAsia="Times New Roman" w:hAnsi="Times New Roman" w:cs="Times New Roman"/>
                <w:b/>
                <w:bCs/>
                <w:color w:val="000000"/>
                <w:kern w:val="0"/>
                <w:szCs w:val="24"/>
                <w:lang w:eastAsia="en-IN"/>
                <w14:ligatures w14:val="none"/>
              </w:rPr>
              <w:t>Other Grants</w:t>
            </w:r>
          </w:p>
        </w:tc>
        <w:tc>
          <w:tcPr>
            <w:tcW w:w="763" w:type="dxa"/>
            <w:tcBorders>
              <w:top w:val="single" w:sz="4" w:space="0" w:color="auto"/>
              <w:left w:val="nil"/>
              <w:bottom w:val="single" w:sz="4" w:space="0" w:color="auto"/>
              <w:right w:val="single" w:sz="4" w:space="0" w:color="auto"/>
            </w:tcBorders>
            <w:vAlign w:val="center"/>
            <w:hideMark/>
          </w:tcPr>
          <w:p w14:paraId="16FEC42C" w14:textId="77777777" w:rsidR="004C14FC" w:rsidRPr="004C14FC" w:rsidRDefault="004C14FC" w:rsidP="00721F68">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4C14FC">
              <w:rPr>
                <w:rFonts w:ascii="Times New Roman" w:eastAsia="Times New Roman" w:hAnsi="Times New Roman" w:cs="Times New Roman"/>
                <w:b/>
                <w:bCs/>
                <w:color w:val="000000"/>
                <w:kern w:val="0"/>
                <w:szCs w:val="24"/>
                <w:lang w:eastAsia="en-IN"/>
                <w14:ligatures w14:val="none"/>
              </w:rPr>
              <w:t>Total</w:t>
            </w:r>
          </w:p>
        </w:tc>
      </w:tr>
      <w:tr w:rsidR="004C14FC" w:rsidRPr="004C14FC" w14:paraId="3822B2F3" w14:textId="77777777" w:rsidTr="00721F68">
        <w:trPr>
          <w:trHeight w:val="340"/>
          <w:jc w:val="center"/>
        </w:trPr>
        <w:tc>
          <w:tcPr>
            <w:tcW w:w="1207" w:type="dxa"/>
            <w:tcBorders>
              <w:top w:val="nil"/>
              <w:left w:val="single" w:sz="4" w:space="0" w:color="auto"/>
              <w:bottom w:val="single" w:sz="4" w:space="0" w:color="auto"/>
              <w:right w:val="single" w:sz="4" w:space="0" w:color="auto"/>
            </w:tcBorders>
            <w:vAlign w:val="center"/>
            <w:hideMark/>
          </w:tcPr>
          <w:p w14:paraId="32967A28" w14:textId="77777777" w:rsidR="004C14FC" w:rsidRPr="00E02C8A"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1937-38</w:t>
            </w:r>
          </w:p>
        </w:tc>
        <w:tc>
          <w:tcPr>
            <w:tcW w:w="1036" w:type="dxa"/>
            <w:tcBorders>
              <w:top w:val="nil"/>
              <w:left w:val="nil"/>
              <w:bottom w:val="single" w:sz="4" w:space="0" w:color="auto"/>
              <w:right w:val="single" w:sz="4" w:space="0" w:color="auto"/>
            </w:tcBorders>
            <w:vAlign w:val="center"/>
            <w:hideMark/>
          </w:tcPr>
          <w:p w14:paraId="51D91B89"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1,25</w:t>
            </w:r>
          </w:p>
        </w:tc>
        <w:tc>
          <w:tcPr>
            <w:tcW w:w="883" w:type="dxa"/>
            <w:tcBorders>
              <w:top w:val="nil"/>
              <w:left w:val="nil"/>
              <w:bottom w:val="single" w:sz="4" w:space="0" w:color="auto"/>
              <w:right w:val="single" w:sz="4" w:space="0" w:color="auto"/>
            </w:tcBorders>
            <w:vAlign w:val="center"/>
            <w:hideMark/>
          </w:tcPr>
          <w:p w14:paraId="110229CB"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2,65</w:t>
            </w:r>
          </w:p>
        </w:tc>
        <w:tc>
          <w:tcPr>
            <w:tcW w:w="1470" w:type="dxa"/>
            <w:tcBorders>
              <w:top w:val="nil"/>
              <w:left w:val="nil"/>
              <w:bottom w:val="single" w:sz="4" w:space="0" w:color="auto"/>
              <w:right w:val="single" w:sz="4" w:space="0" w:color="auto"/>
            </w:tcBorders>
            <w:vAlign w:val="center"/>
            <w:hideMark/>
          </w:tcPr>
          <w:p w14:paraId="1B0A0E1D"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3,12</w:t>
            </w:r>
          </w:p>
        </w:tc>
        <w:tc>
          <w:tcPr>
            <w:tcW w:w="936" w:type="dxa"/>
            <w:tcBorders>
              <w:top w:val="nil"/>
              <w:left w:val="nil"/>
              <w:bottom w:val="single" w:sz="4" w:space="0" w:color="auto"/>
              <w:right w:val="single" w:sz="4" w:space="0" w:color="auto"/>
            </w:tcBorders>
            <w:vAlign w:val="center"/>
            <w:hideMark/>
          </w:tcPr>
          <w:p w14:paraId="6BCC3F4E"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w:t>
            </w:r>
          </w:p>
        </w:tc>
        <w:tc>
          <w:tcPr>
            <w:tcW w:w="936" w:type="dxa"/>
            <w:tcBorders>
              <w:top w:val="nil"/>
              <w:left w:val="nil"/>
              <w:bottom w:val="single" w:sz="4" w:space="0" w:color="auto"/>
              <w:right w:val="single" w:sz="4" w:space="0" w:color="auto"/>
            </w:tcBorders>
            <w:vAlign w:val="center"/>
            <w:hideMark/>
          </w:tcPr>
          <w:p w14:paraId="15A58C33"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w:t>
            </w:r>
          </w:p>
        </w:tc>
        <w:tc>
          <w:tcPr>
            <w:tcW w:w="936" w:type="dxa"/>
            <w:tcBorders>
              <w:top w:val="nil"/>
              <w:left w:val="nil"/>
              <w:bottom w:val="single" w:sz="4" w:space="0" w:color="auto"/>
              <w:right w:val="single" w:sz="4" w:space="0" w:color="auto"/>
            </w:tcBorders>
            <w:vAlign w:val="center"/>
            <w:hideMark/>
          </w:tcPr>
          <w:p w14:paraId="0B00338F"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w:t>
            </w:r>
          </w:p>
        </w:tc>
        <w:tc>
          <w:tcPr>
            <w:tcW w:w="1683" w:type="dxa"/>
            <w:tcBorders>
              <w:top w:val="nil"/>
              <w:left w:val="nil"/>
              <w:bottom w:val="single" w:sz="4" w:space="0" w:color="auto"/>
              <w:right w:val="single" w:sz="4" w:space="0" w:color="auto"/>
            </w:tcBorders>
            <w:vAlign w:val="center"/>
            <w:hideMark/>
          </w:tcPr>
          <w:p w14:paraId="21C69CD0"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w:t>
            </w:r>
          </w:p>
        </w:tc>
        <w:tc>
          <w:tcPr>
            <w:tcW w:w="936" w:type="dxa"/>
            <w:tcBorders>
              <w:top w:val="nil"/>
              <w:left w:val="nil"/>
              <w:bottom w:val="single" w:sz="4" w:space="0" w:color="auto"/>
              <w:right w:val="single" w:sz="4" w:space="0" w:color="auto"/>
            </w:tcBorders>
            <w:vAlign w:val="center"/>
            <w:hideMark/>
          </w:tcPr>
          <w:p w14:paraId="5B7AA350"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w:t>
            </w:r>
          </w:p>
        </w:tc>
        <w:tc>
          <w:tcPr>
            <w:tcW w:w="1563" w:type="dxa"/>
            <w:tcBorders>
              <w:top w:val="nil"/>
              <w:left w:val="nil"/>
              <w:bottom w:val="single" w:sz="4" w:space="0" w:color="auto"/>
              <w:right w:val="single" w:sz="4" w:space="0" w:color="auto"/>
            </w:tcBorders>
            <w:vAlign w:val="center"/>
            <w:hideMark/>
          </w:tcPr>
          <w:p w14:paraId="0AD82668"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w:t>
            </w:r>
          </w:p>
        </w:tc>
        <w:tc>
          <w:tcPr>
            <w:tcW w:w="963" w:type="dxa"/>
            <w:tcBorders>
              <w:top w:val="nil"/>
              <w:left w:val="nil"/>
              <w:bottom w:val="single" w:sz="4" w:space="0" w:color="auto"/>
              <w:right w:val="single" w:sz="4" w:space="0" w:color="auto"/>
            </w:tcBorders>
            <w:vAlign w:val="center"/>
            <w:hideMark/>
          </w:tcPr>
          <w:p w14:paraId="21461E4D"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w:t>
            </w:r>
          </w:p>
        </w:tc>
        <w:tc>
          <w:tcPr>
            <w:tcW w:w="936" w:type="dxa"/>
            <w:tcBorders>
              <w:top w:val="nil"/>
              <w:left w:val="nil"/>
              <w:bottom w:val="single" w:sz="4" w:space="0" w:color="auto"/>
              <w:right w:val="single" w:sz="4" w:space="0" w:color="auto"/>
            </w:tcBorders>
            <w:vAlign w:val="center"/>
            <w:hideMark/>
          </w:tcPr>
          <w:p w14:paraId="1A05447F"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w:t>
            </w:r>
          </w:p>
        </w:tc>
        <w:tc>
          <w:tcPr>
            <w:tcW w:w="763" w:type="dxa"/>
            <w:tcBorders>
              <w:top w:val="nil"/>
              <w:left w:val="nil"/>
              <w:bottom w:val="single" w:sz="4" w:space="0" w:color="auto"/>
              <w:right w:val="single" w:sz="4" w:space="0" w:color="auto"/>
            </w:tcBorders>
            <w:vAlign w:val="center"/>
            <w:hideMark/>
          </w:tcPr>
          <w:p w14:paraId="57216B6A"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7,02</w:t>
            </w:r>
          </w:p>
        </w:tc>
      </w:tr>
      <w:tr w:rsidR="004C14FC" w:rsidRPr="004C14FC" w14:paraId="0D950DA4" w14:textId="77777777" w:rsidTr="00721F68">
        <w:trPr>
          <w:trHeight w:val="340"/>
          <w:jc w:val="center"/>
        </w:trPr>
        <w:tc>
          <w:tcPr>
            <w:tcW w:w="1207" w:type="dxa"/>
            <w:tcBorders>
              <w:top w:val="nil"/>
              <w:left w:val="single" w:sz="4" w:space="0" w:color="auto"/>
              <w:bottom w:val="single" w:sz="4" w:space="0" w:color="auto"/>
              <w:right w:val="single" w:sz="4" w:space="0" w:color="auto"/>
            </w:tcBorders>
            <w:vAlign w:val="center"/>
            <w:hideMark/>
          </w:tcPr>
          <w:p w14:paraId="2637EE45" w14:textId="77777777" w:rsidR="004C14FC" w:rsidRPr="00E02C8A"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1938-39</w:t>
            </w:r>
          </w:p>
        </w:tc>
        <w:tc>
          <w:tcPr>
            <w:tcW w:w="1036" w:type="dxa"/>
            <w:tcBorders>
              <w:top w:val="nil"/>
              <w:left w:val="nil"/>
              <w:bottom w:val="single" w:sz="4" w:space="0" w:color="auto"/>
              <w:right w:val="single" w:sz="4" w:space="0" w:color="auto"/>
            </w:tcBorders>
            <w:vAlign w:val="center"/>
            <w:hideMark/>
          </w:tcPr>
          <w:p w14:paraId="4ABC8650"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1,50</w:t>
            </w:r>
          </w:p>
        </w:tc>
        <w:tc>
          <w:tcPr>
            <w:tcW w:w="883" w:type="dxa"/>
            <w:tcBorders>
              <w:top w:val="nil"/>
              <w:left w:val="nil"/>
              <w:bottom w:val="single" w:sz="4" w:space="0" w:color="auto"/>
              <w:right w:val="single" w:sz="4" w:space="0" w:color="auto"/>
            </w:tcBorders>
            <w:vAlign w:val="center"/>
            <w:hideMark/>
          </w:tcPr>
          <w:p w14:paraId="3D797C36"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2,51</w:t>
            </w:r>
          </w:p>
        </w:tc>
        <w:tc>
          <w:tcPr>
            <w:tcW w:w="1470" w:type="dxa"/>
            <w:tcBorders>
              <w:top w:val="nil"/>
              <w:left w:val="nil"/>
              <w:bottom w:val="single" w:sz="4" w:space="0" w:color="auto"/>
              <w:right w:val="single" w:sz="4" w:space="0" w:color="auto"/>
            </w:tcBorders>
            <w:vAlign w:val="center"/>
            <w:hideMark/>
          </w:tcPr>
          <w:p w14:paraId="789EF297"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3,03</w:t>
            </w:r>
          </w:p>
        </w:tc>
        <w:tc>
          <w:tcPr>
            <w:tcW w:w="936" w:type="dxa"/>
            <w:tcBorders>
              <w:top w:val="nil"/>
              <w:left w:val="nil"/>
              <w:bottom w:val="single" w:sz="4" w:space="0" w:color="auto"/>
              <w:right w:val="single" w:sz="4" w:space="0" w:color="auto"/>
            </w:tcBorders>
            <w:vAlign w:val="center"/>
            <w:hideMark/>
          </w:tcPr>
          <w:p w14:paraId="04CD75EF"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w:t>
            </w:r>
          </w:p>
        </w:tc>
        <w:tc>
          <w:tcPr>
            <w:tcW w:w="936" w:type="dxa"/>
            <w:tcBorders>
              <w:top w:val="nil"/>
              <w:left w:val="nil"/>
              <w:bottom w:val="single" w:sz="4" w:space="0" w:color="auto"/>
              <w:right w:val="single" w:sz="4" w:space="0" w:color="auto"/>
            </w:tcBorders>
            <w:vAlign w:val="center"/>
            <w:hideMark/>
          </w:tcPr>
          <w:p w14:paraId="5931F4AA"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w:t>
            </w:r>
          </w:p>
        </w:tc>
        <w:tc>
          <w:tcPr>
            <w:tcW w:w="936" w:type="dxa"/>
            <w:tcBorders>
              <w:top w:val="nil"/>
              <w:left w:val="nil"/>
              <w:bottom w:val="single" w:sz="4" w:space="0" w:color="auto"/>
              <w:right w:val="single" w:sz="4" w:space="0" w:color="auto"/>
            </w:tcBorders>
            <w:vAlign w:val="center"/>
            <w:hideMark/>
          </w:tcPr>
          <w:p w14:paraId="6C84095A"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w:t>
            </w:r>
          </w:p>
        </w:tc>
        <w:tc>
          <w:tcPr>
            <w:tcW w:w="1683" w:type="dxa"/>
            <w:tcBorders>
              <w:top w:val="nil"/>
              <w:left w:val="nil"/>
              <w:bottom w:val="single" w:sz="4" w:space="0" w:color="auto"/>
              <w:right w:val="single" w:sz="4" w:space="0" w:color="auto"/>
            </w:tcBorders>
            <w:vAlign w:val="center"/>
            <w:hideMark/>
          </w:tcPr>
          <w:p w14:paraId="2067BB9B"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w:t>
            </w:r>
          </w:p>
        </w:tc>
        <w:tc>
          <w:tcPr>
            <w:tcW w:w="936" w:type="dxa"/>
            <w:tcBorders>
              <w:top w:val="nil"/>
              <w:left w:val="nil"/>
              <w:bottom w:val="single" w:sz="4" w:space="0" w:color="auto"/>
              <w:right w:val="single" w:sz="4" w:space="0" w:color="auto"/>
            </w:tcBorders>
            <w:vAlign w:val="center"/>
            <w:hideMark/>
          </w:tcPr>
          <w:p w14:paraId="4694F12A"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w:t>
            </w:r>
          </w:p>
        </w:tc>
        <w:tc>
          <w:tcPr>
            <w:tcW w:w="1563" w:type="dxa"/>
            <w:tcBorders>
              <w:top w:val="nil"/>
              <w:left w:val="nil"/>
              <w:bottom w:val="single" w:sz="4" w:space="0" w:color="auto"/>
              <w:right w:val="single" w:sz="4" w:space="0" w:color="auto"/>
            </w:tcBorders>
            <w:vAlign w:val="center"/>
            <w:hideMark/>
          </w:tcPr>
          <w:p w14:paraId="5AF4B983"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w:t>
            </w:r>
          </w:p>
        </w:tc>
        <w:tc>
          <w:tcPr>
            <w:tcW w:w="963" w:type="dxa"/>
            <w:tcBorders>
              <w:top w:val="nil"/>
              <w:left w:val="nil"/>
              <w:bottom w:val="single" w:sz="4" w:space="0" w:color="auto"/>
              <w:right w:val="single" w:sz="4" w:space="0" w:color="auto"/>
            </w:tcBorders>
            <w:vAlign w:val="center"/>
            <w:hideMark/>
          </w:tcPr>
          <w:p w14:paraId="797DCDF3"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w:t>
            </w:r>
          </w:p>
        </w:tc>
        <w:tc>
          <w:tcPr>
            <w:tcW w:w="936" w:type="dxa"/>
            <w:tcBorders>
              <w:top w:val="nil"/>
              <w:left w:val="nil"/>
              <w:bottom w:val="single" w:sz="4" w:space="0" w:color="auto"/>
              <w:right w:val="single" w:sz="4" w:space="0" w:color="auto"/>
            </w:tcBorders>
            <w:vAlign w:val="center"/>
            <w:hideMark/>
          </w:tcPr>
          <w:p w14:paraId="6A52CAAD"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w:t>
            </w:r>
          </w:p>
        </w:tc>
        <w:tc>
          <w:tcPr>
            <w:tcW w:w="763" w:type="dxa"/>
            <w:tcBorders>
              <w:top w:val="nil"/>
              <w:left w:val="nil"/>
              <w:bottom w:val="single" w:sz="4" w:space="0" w:color="auto"/>
              <w:right w:val="single" w:sz="4" w:space="0" w:color="auto"/>
            </w:tcBorders>
            <w:vAlign w:val="center"/>
            <w:hideMark/>
          </w:tcPr>
          <w:p w14:paraId="0536422B"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7,04</w:t>
            </w:r>
          </w:p>
        </w:tc>
      </w:tr>
      <w:tr w:rsidR="004C14FC" w:rsidRPr="004C14FC" w14:paraId="3F3B244F" w14:textId="77777777" w:rsidTr="00721F68">
        <w:trPr>
          <w:trHeight w:val="340"/>
          <w:jc w:val="center"/>
        </w:trPr>
        <w:tc>
          <w:tcPr>
            <w:tcW w:w="1207" w:type="dxa"/>
            <w:tcBorders>
              <w:top w:val="nil"/>
              <w:left w:val="single" w:sz="4" w:space="0" w:color="auto"/>
              <w:bottom w:val="single" w:sz="4" w:space="0" w:color="auto"/>
              <w:right w:val="single" w:sz="4" w:space="0" w:color="auto"/>
            </w:tcBorders>
            <w:vAlign w:val="center"/>
            <w:hideMark/>
          </w:tcPr>
          <w:p w14:paraId="2A3911E3" w14:textId="77777777" w:rsidR="004C14FC" w:rsidRPr="00E02C8A"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1939-40</w:t>
            </w:r>
          </w:p>
        </w:tc>
        <w:tc>
          <w:tcPr>
            <w:tcW w:w="1036" w:type="dxa"/>
            <w:tcBorders>
              <w:top w:val="nil"/>
              <w:left w:val="nil"/>
              <w:bottom w:val="single" w:sz="4" w:space="0" w:color="auto"/>
              <w:right w:val="single" w:sz="4" w:space="0" w:color="auto"/>
            </w:tcBorders>
            <w:vAlign w:val="center"/>
            <w:hideMark/>
          </w:tcPr>
          <w:p w14:paraId="6A700BFA"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2,79</w:t>
            </w:r>
          </w:p>
        </w:tc>
        <w:tc>
          <w:tcPr>
            <w:tcW w:w="883" w:type="dxa"/>
            <w:tcBorders>
              <w:top w:val="nil"/>
              <w:left w:val="nil"/>
              <w:bottom w:val="single" w:sz="4" w:space="0" w:color="auto"/>
              <w:right w:val="single" w:sz="4" w:space="0" w:color="auto"/>
            </w:tcBorders>
            <w:vAlign w:val="center"/>
            <w:hideMark/>
          </w:tcPr>
          <w:p w14:paraId="67885FD7"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2,56</w:t>
            </w:r>
          </w:p>
        </w:tc>
        <w:tc>
          <w:tcPr>
            <w:tcW w:w="1470" w:type="dxa"/>
            <w:tcBorders>
              <w:top w:val="nil"/>
              <w:left w:val="nil"/>
              <w:bottom w:val="single" w:sz="4" w:space="0" w:color="auto"/>
              <w:right w:val="single" w:sz="4" w:space="0" w:color="auto"/>
            </w:tcBorders>
            <w:vAlign w:val="center"/>
            <w:hideMark/>
          </w:tcPr>
          <w:p w14:paraId="75D1BC21"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3,03</w:t>
            </w:r>
          </w:p>
        </w:tc>
        <w:tc>
          <w:tcPr>
            <w:tcW w:w="936" w:type="dxa"/>
            <w:tcBorders>
              <w:top w:val="nil"/>
              <w:left w:val="nil"/>
              <w:bottom w:val="single" w:sz="4" w:space="0" w:color="auto"/>
              <w:right w:val="single" w:sz="4" w:space="0" w:color="auto"/>
            </w:tcBorders>
            <w:vAlign w:val="center"/>
            <w:hideMark/>
          </w:tcPr>
          <w:p w14:paraId="0A2B35F4"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w:t>
            </w:r>
          </w:p>
        </w:tc>
        <w:tc>
          <w:tcPr>
            <w:tcW w:w="936" w:type="dxa"/>
            <w:tcBorders>
              <w:top w:val="nil"/>
              <w:left w:val="nil"/>
              <w:bottom w:val="single" w:sz="4" w:space="0" w:color="auto"/>
              <w:right w:val="single" w:sz="4" w:space="0" w:color="auto"/>
            </w:tcBorders>
            <w:vAlign w:val="center"/>
            <w:hideMark/>
          </w:tcPr>
          <w:p w14:paraId="36C17DC6"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w:t>
            </w:r>
          </w:p>
        </w:tc>
        <w:tc>
          <w:tcPr>
            <w:tcW w:w="936" w:type="dxa"/>
            <w:tcBorders>
              <w:top w:val="nil"/>
              <w:left w:val="nil"/>
              <w:bottom w:val="single" w:sz="4" w:space="0" w:color="auto"/>
              <w:right w:val="single" w:sz="4" w:space="0" w:color="auto"/>
            </w:tcBorders>
            <w:vAlign w:val="center"/>
            <w:hideMark/>
          </w:tcPr>
          <w:p w14:paraId="3802EE3F"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w:t>
            </w:r>
          </w:p>
        </w:tc>
        <w:tc>
          <w:tcPr>
            <w:tcW w:w="1683" w:type="dxa"/>
            <w:tcBorders>
              <w:top w:val="nil"/>
              <w:left w:val="nil"/>
              <w:bottom w:val="single" w:sz="4" w:space="0" w:color="auto"/>
              <w:right w:val="single" w:sz="4" w:space="0" w:color="auto"/>
            </w:tcBorders>
            <w:vAlign w:val="center"/>
            <w:hideMark/>
          </w:tcPr>
          <w:p w14:paraId="637AAE24"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w:t>
            </w:r>
          </w:p>
        </w:tc>
        <w:tc>
          <w:tcPr>
            <w:tcW w:w="936" w:type="dxa"/>
            <w:tcBorders>
              <w:top w:val="nil"/>
              <w:left w:val="nil"/>
              <w:bottom w:val="single" w:sz="4" w:space="0" w:color="auto"/>
              <w:right w:val="single" w:sz="4" w:space="0" w:color="auto"/>
            </w:tcBorders>
            <w:vAlign w:val="center"/>
            <w:hideMark/>
          </w:tcPr>
          <w:p w14:paraId="74779150"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w:t>
            </w:r>
          </w:p>
        </w:tc>
        <w:tc>
          <w:tcPr>
            <w:tcW w:w="1563" w:type="dxa"/>
            <w:tcBorders>
              <w:top w:val="nil"/>
              <w:left w:val="nil"/>
              <w:bottom w:val="single" w:sz="4" w:space="0" w:color="auto"/>
              <w:right w:val="single" w:sz="4" w:space="0" w:color="auto"/>
            </w:tcBorders>
            <w:vAlign w:val="center"/>
            <w:hideMark/>
          </w:tcPr>
          <w:p w14:paraId="2A0E9C08"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w:t>
            </w:r>
          </w:p>
        </w:tc>
        <w:tc>
          <w:tcPr>
            <w:tcW w:w="963" w:type="dxa"/>
            <w:tcBorders>
              <w:top w:val="nil"/>
              <w:left w:val="nil"/>
              <w:bottom w:val="single" w:sz="4" w:space="0" w:color="auto"/>
              <w:right w:val="single" w:sz="4" w:space="0" w:color="auto"/>
            </w:tcBorders>
            <w:vAlign w:val="center"/>
            <w:hideMark/>
          </w:tcPr>
          <w:p w14:paraId="0D849D06"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w:t>
            </w:r>
          </w:p>
        </w:tc>
        <w:tc>
          <w:tcPr>
            <w:tcW w:w="936" w:type="dxa"/>
            <w:tcBorders>
              <w:top w:val="nil"/>
              <w:left w:val="nil"/>
              <w:bottom w:val="single" w:sz="4" w:space="0" w:color="auto"/>
              <w:right w:val="single" w:sz="4" w:space="0" w:color="auto"/>
            </w:tcBorders>
            <w:vAlign w:val="center"/>
            <w:hideMark/>
          </w:tcPr>
          <w:p w14:paraId="3388B8E9"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w:t>
            </w:r>
          </w:p>
        </w:tc>
        <w:tc>
          <w:tcPr>
            <w:tcW w:w="763" w:type="dxa"/>
            <w:tcBorders>
              <w:top w:val="nil"/>
              <w:left w:val="nil"/>
              <w:bottom w:val="single" w:sz="4" w:space="0" w:color="auto"/>
              <w:right w:val="single" w:sz="4" w:space="0" w:color="auto"/>
            </w:tcBorders>
            <w:vAlign w:val="center"/>
            <w:hideMark/>
          </w:tcPr>
          <w:p w14:paraId="1F2A924C"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8,38</w:t>
            </w:r>
          </w:p>
        </w:tc>
      </w:tr>
      <w:tr w:rsidR="004C14FC" w:rsidRPr="004C14FC" w14:paraId="45CF6D98" w14:textId="77777777" w:rsidTr="00721F68">
        <w:trPr>
          <w:trHeight w:val="340"/>
          <w:jc w:val="center"/>
        </w:trPr>
        <w:tc>
          <w:tcPr>
            <w:tcW w:w="1207" w:type="dxa"/>
            <w:tcBorders>
              <w:top w:val="nil"/>
              <w:left w:val="single" w:sz="4" w:space="0" w:color="auto"/>
              <w:bottom w:val="single" w:sz="4" w:space="0" w:color="auto"/>
              <w:right w:val="single" w:sz="4" w:space="0" w:color="auto"/>
            </w:tcBorders>
            <w:vAlign w:val="center"/>
            <w:hideMark/>
          </w:tcPr>
          <w:p w14:paraId="5AECB51A" w14:textId="77777777" w:rsidR="004C14FC" w:rsidRPr="00E02C8A"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1940-41</w:t>
            </w:r>
          </w:p>
        </w:tc>
        <w:tc>
          <w:tcPr>
            <w:tcW w:w="1036" w:type="dxa"/>
            <w:tcBorders>
              <w:top w:val="nil"/>
              <w:left w:val="nil"/>
              <w:bottom w:val="single" w:sz="4" w:space="0" w:color="auto"/>
              <w:right w:val="single" w:sz="4" w:space="0" w:color="auto"/>
            </w:tcBorders>
            <w:vAlign w:val="center"/>
            <w:hideMark/>
          </w:tcPr>
          <w:p w14:paraId="45EC8E72"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4,16</w:t>
            </w:r>
          </w:p>
        </w:tc>
        <w:tc>
          <w:tcPr>
            <w:tcW w:w="883" w:type="dxa"/>
            <w:tcBorders>
              <w:top w:val="nil"/>
              <w:left w:val="nil"/>
              <w:bottom w:val="single" w:sz="4" w:space="0" w:color="auto"/>
              <w:right w:val="single" w:sz="4" w:space="0" w:color="auto"/>
            </w:tcBorders>
            <w:vAlign w:val="center"/>
            <w:hideMark/>
          </w:tcPr>
          <w:p w14:paraId="1F2189C0"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1,85</w:t>
            </w:r>
          </w:p>
        </w:tc>
        <w:tc>
          <w:tcPr>
            <w:tcW w:w="1470" w:type="dxa"/>
            <w:tcBorders>
              <w:top w:val="nil"/>
              <w:left w:val="nil"/>
              <w:bottom w:val="single" w:sz="4" w:space="0" w:color="auto"/>
              <w:right w:val="single" w:sz="4" w:space="0" w:color="auto"/>
            </w:tcBorders>
            <w:vAlign w:val="center"/>
            <w:hideMark/>
          </w:tcPr>
          <w:p w14:paraId="64AE5886"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3,03</w:t>
            </w:r>
          </w:p>
        </w:tc>
        <w:tc>
          <w:tcPr>
            <w:tcW w:w="936" w:type="dxa"/>
            <w:tcBorders>
              <w:top w:val="nil"/>
              <w:left w:val="nil"/>
              <w:bottom w:val="single" w:sz="4" w:space="0" w:color="auto"/>
              <w:right w:val="single" w:sz="4" w:space="0" w:color="auto"/>
            </w:tcBorders>
            <w:vAlign w:val="center"/>
            <w:hideMark/>
          </w:tcPr>
          <w:p w14:paraId="0F86FB5A"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w:t>
            </w:r>
          </w:p>
        </w:tc>
        <w:tc>
          <w:tcPr>
            <w:tcW w:w="936" w:type="dxa"/>
            <w:tcBorders>
              <w:top w:val="nil"/>
              <w:left w:val="nil"/>
              <w:bottom w:val="single" w:sz="4" w:space="0" w:color="auto"/>
              <w:right w:val="single" w:sz="4" w:space="0" w:color="auto"/>
            </w:tcBorders>
            <w:vAlign w:val="center"/>
            <w:hideMark/>
          </w:tcPr>
          <w:p w14:paraId="48656A09"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w:t>
            </w:r>
          </w:p>
        </w:tc>
        <w:tc>
          <w:tcPr>
            <w:tcW w:w="936" w:type="dxa"/>
            <w:tcBorders>
              <w:top w:val="nil"/>
              <w:left w:val="nil"/>
              <w:bottom w:val="single" w:sz="4" w:space="0" w:color="auto"/>
              <w:right w:val="single" w:sz="4" w:space="0" w:color="auto"/>
            </w:tcBorders>
            <w:vAlign w:val="center"/>
            <w:hideMark/>
          </w:tcPr>
          <w:p w14:paraId="75A1B9E7"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w:t>
            </w:r>
          </w:p>
        </w:tc>
        <w:tc>
          <w:tcPr>
            <w:tcW w:w="1683" w:type="dxa"/>
            <w:tcBorders>
              <w:top w:val="nil"/>
              <w:left w:val="nil"/>
              <w:bottom w:val="single" w:sz="4" w:space="0" w:color="auto"/>
              <w:right w:val="single" w:sz="4" w:space="0" w:color="auto"/>
            </w:tcBorders>
            <w:vAlign w:val="center"/>
            <w:hideMark/>
          </w:tcPr>
          <w:p w14:paraId="5865BC91"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w:t>
            </w:r>
          </w:p>
        </w:tc>
        <w:tc>
          <w:tcPr>
            <w:tcW w:w="936" w:type="dxa"/>
            <w:tcBorders>
              <w:top w:val="nil"/>
              <w:left w:val="nil"/>
              <w:bottom w:val="single" w:sz="4" w:space="0" w:color="auto"/>
              <w:right w:val="single" w:sz="4" w:space="0" w:color="auto"/>
            </w:tcBorders>
            <w:vAlign w:val="center"/>
            <w:hideMark/>
          </w:tcPr>
          <w:p w14:paraId="51FFE502"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w:t>
            </w:r>
          </w:p>
        </w:tc>
        <w:tc>
          <w:tcPr>
            <w:tcW w:w="1563" w:type="dxa"/>
            <w:tcBorders>
              <w:top w:val="nil"/>
              <w:left w:val="nil"/>
              <w:bottom w:val="single" w:sz="4" w:space="0" w:color="auto"/>
              <w:right w:val="single" w:sz="4" w:space="0" w:color="auto"/>
            </w:tcBorders>
            <w:vAlign w:val="center"/>
            <w:hideMark/>
          </w:tcPr>
          <w:p w14:paraId="610171DD"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w:t>
            </w:r>
          </w:p>
        </w:tc>
        <w:tc>
          <w:tcPr>
            <w:tcW w:w="963" w:type="dxa"/>
            <w:tcBorders>
              <w:top w:val="nil"/>
              <w:left w:val="nil"/>
              <w:bottom w:val="single" w:sz="4" w:space="0" w:color="auto"/>
              <w:right w:val="single" w:sz="4" w:space="0" w:color="auto"/>
            </w:tcBorders>
            <w:vAlign w:val="center"/>
            <w:hideMark/>
          </w:tcPr>
          <w:p w14:paraId="0F7A19F5"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w:t>
            </w:r>
          </w:p>
        </w:tc>
        <w:tc>
          <w:tcPr>
            <w:tcW w:w="936" w:type="dxa"/>
            <w:tcBorders>
              <w:top w:val="nil"/>
              <w:left w:val="nil"/>
              <w:bottom w:val="single" w:sz="4" w:space="0" w:color="auto"/>
              <w:right w:val="single" w:sz="4" w:space="0" w:color="auto"/>
            </w:tcBorders>
            <w:vAlign w:val="center"/>
            <w:hideMark/>
          </w:tcPr>
          <w:p w14:paraId="5A428A58"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w:t>
            </w:r>
          </w:p>
        </w:tc>
        <w:tc>
          <w:tcPr>
            <w:tcW w:w="763" w:type="dxa"/>
            <w:tcBorders>
              <w:top w:val="nil"/>
              <w:left w:val="nil"/>
              <w:bottom w:val="single" w:sz="4" w:space="0" w:color="auto"/>
              <w:right w:val="single" w:sz="4" w:space="0" w:color="auto"/>
            </w:tcBorders>
            <w:vAlign w:val="center"/>
            <w:hideMark/>
          </w:tcPr>
          <w:p w14:paraId="45C2309A"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9,04</w:t>
            </w:r>
          </w:p>
        </w:tc>
      </w:tr>
      <w:tr w:rsidR="004C14FC" w:rsidRPr="004C14FC" w14:paraId="27A7E611" w14:textId="77777777" w:rsidTr="00721F68">
        <w:trPr>
          <w:trHeight w:val="340"/>
          <w:jc w:val="center"/>
        </w:trPr>
        <w:tc>
          <w:tcPr>
            <w:tcW w:w="1207" w:type="dxa"/>
            <w:tcBorders>
              <w:top w:val="nil"/>
              <w:left w:val="single" w:sz="4" w:space="0" w:color="auto"/>
              <w:bottom w:val="single" w:sz="4" w:space="0" w:color="auto"/>
              <w:right w:val="single" w:sz="4" w:space="0" w:color="auto"/>
            </w:tcBorders>
            <w:vAlign w:val="center"/>
            <w:hideMark/>
          </w:tcPr>
          <w:p w14:paraId="41AC3E67" w14:textId="77777777" w:rsidR="004C14FC" w:rsidRPr="00E02C8A"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1941-42</w:t>
            </w:r>
          </w:p>
        </w:tc>
        <w:tc>
          <w:tcPr>
            <w:tcW w:w="1036" w:type="dxa"/>
            <w:tcBorders>
              <w:top w:val="nil"/>
              <w:left w:val="nil"/>
              <w:bottom w:val="single" w:sz="4" w:space="0" w:color="auto"/>
              <w:right w:val="single" w:sz="4" w:space="0" w:color="auto"/>
            </w:tcBorders>
            <w:vAlign w:val="center"/>
            <w:hideMark/>
          </w:tcPr>
          <w:p w14:paraId="07E2DBA0"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7,39</w:t>
            </w:r>
          </w:p>
        </w:tc>
        <w:tc>
          <w:tcPr>
            <w:tcW w:w="883" w:type="dxa"/>
            <w:tcBorders>
              <w:top w:val="nil"/>
              <w:left w:val="nil"/>
              <w:bottom w:val="single" w:sz="4" w:space="0" w:color="auto"/>
              <w:right w:val="single" w:sz="4" w:space="0" w:color="auto"/>
            </w:tcBorders>
            <w:vAlign w:val="center"/>
            <w:hideMark/>
          </w:tcPr>
          <w:p w14:paraId="25103350"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1,95</w:t>
            </w:r>
          </w:p>
        </w:tc>
        <w:tc>
          <w:tcPr>
            <w:tcW w:w="1470" w:type="dxa"/>
            <w:tcBorders>
              <w:top w:val="nil"/>
              <w:left w:val="nil"/>
              <w:bottom w:val="single" w:sz="4" w:space="0" w:color="auto"/>
              <w:right w:val="single" w:sz="4" w:space="0" w:color="auto"/>
            </w:tcBorders>
            <w:vAlign w:val="center"/>
            <w:hideMark/>
          </w:tcPr>
          <w:p w14:paraId="798D41A6"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3,03</w:t>
            </w:r>
          </w:p>
        </w:tc>
        <w:tc>
          <w:tcPr>
            <w:tcW w:w="936" w:type="dxa"/>
            <w:tcBorders>
              <w:top w:val="nil"/>
              <w:left w:val="nil"/>
              <w:bottom w:val="single" w:sz="4" w:space="0" w:color="auto"/>
              <w:right w:val="single" w:sz="4" w:space="0" w:color="auto"/>
            </w:tcBorders>
            <w:vAlign w:val="center"/>
            <w:hideMark/>
          </w:tcPr>
          <w:p w14:paraId="3B1C8959"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w:t>
            </w:r>
          </w:p>
        </w:tc>
        <w:tc>
          <w:tcPr>
            <w:tcW w:w="936" w:type="dxa"/>
            <w:tcBorders>
              <w:top w:val="nil"/>
              <w:left w:val="nil"/>
              <w:bottom w:val="single" w:sz="4" w:space="0" w:color="auto"/>
              <w:right w:val="single" w:sz="4" w:space="0" w:color="auto"/>
            </w:tcBorders>
            <w:vAlign w:val="center"/>
            <w:hideMark/>
          </w:tcPr>
          <w:p w14:paraId="50CDE18A"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w:t>
            </w:r>
          </w:p>
        </w:tc>
        <w:tc>
          <w:tcPr>
            <w:tcW w:w="936" w:type="dxa"/>
            <w:tcBorders>
              <w:top w:val="nil"/>
              <w:left w:val="nil"/>
              <w:bottom w:val="single" w:sz="4" w:space="0" w:color="auto"/>
              <w:right w:val="single" w:sz="4" w:space="0" w:color="auto"/>
            </w:tcBorders>
            <w:vAlign w:val="center"/>
            <w:hideMark/>
          </w:tcPr>
          <w:p w14:paraId="05524C8B"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w:t>
            </w:r>
          </w:p>
        </w:tc>
        <w:tc>
          <w:tcPr>
            <w:tcW w:w="1683" w:type="dxa"/>
            <w:tcBorders>
              <w:top w:val="nil"/>
              <w:left w:val="nil"/>
              <w:bottom w:val="single" w:sz="4" w:space="0" w:color="auto"/>
              <w:right w:val="single" w:sz="4" w:space="0" w:color="auto"/>
            </w:tcBorders>
            <w:vAlign w:val="center"/>
            <w:hideMark/>
          </w:tcPr>
          <w:p w14:paraId="414F2911"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w:t>
            </w:r>
          </w:p>
        </w:tc>
        <w:tc>
          <w:tcPr>
            <w:tcW w:w="936" w:type="dxa"/>
            <w:tcBorders>
              <w:top w:val="nil"/>
              <w:left w:val="nil"/>
              <w:bottom w:val="single" w:sz="4" w:space="0" w:color="auto"/>
              <w:right w:val="single" w:sz="4" w:space="0" w:color="auto"/>
            </w:tcBorders>
            <w:vAlign w:val="center"/>
            <w:hideMark/>
          </w:tcPr>
          <w:p w14:paraId="14E75056"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w:t>
            </w:r>
          </w:p>
        </w:tc>
        <w:tc>
          <w:tcPr>
            <w:tcW w:w="1563" w:type="dxa"/>
            <w:tcBorders>
              <w:top w:val="nil"/>
              <w:left w:val="nil"/>
              <w:bottom w:val="single" w:sz="4" w:space="0" w:color="auto"/>
              <w:right w:val="single" w:sz="4" w:space="0" w:color="auto"/>
            </w:tcBorders>
            <w:vAlign w:val="center"/>
            <w:hideMark/>
          </w:tcPr>
          <w:p w14:paraId="0901C0F2"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w:t>
            </w:r>
          </w:p>
        </w:tc>
        <w:tc>
          <w:tcPr>
            <w:tcW w:w="963" w:type="dxa"/>
            <w:tcBorders>
              <w:top w:val="nil"/>
              <w:left w:val="nil"/>
              <w:bottom w:val="single" w:sz="4" w:space="0" w:color="auto"/>
              <w:right w:val="single" w:sz="4" w:space="0" w:color="auto"/>
            </w:tcBorders>
            <w:vAlign w:val="center"/>
            <w:hideMark/>
          </w:tcPr>
          <w:p w14:paraId="2353C541"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w:t>
            </w:r>
          </w:p>
        </w:tc>
        <w:tc>
          <w:tcPr>
            <w:tcW w:w="936" w:type="dxa"/>
            <w:tcBorders>
              <w:top w:val="nil"/>
              <w:left w:val="nil"/>
              <w:bottom w:val="single" w:sz="4" w:space="0" w:color="auto"/>
              <w:right w:val="single" w:sz="4" w:space="0" w:color="auto"/>
            </w:tcBorders>
            <w:vAlign w:val="center"/>
            <w:hideMark/>
          </w:tcPr>
          <w:p w14:paraId="5FC31113"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w:t>
            </w:r>
          </w:p>
        </w:tc>
        <w:tc>
          <w:tcPr>
            <w:tcW w:w="763" w:type="dxa"/>
            <w:tcBorders>
              <w:top w:val="nil"/>
              <w:left w:val="nil"/>
              <w:bottom w:val="single" w:sz="4" w:space="0" w:color="auto"/>
              <w:right w:val="single" w:sz="4" w:space="0" w:color="auto"/>
            </w:tcBorders>
            <w:vAlign w:val="center"/>
            <w:hideMark/>
          </w:tcPr>
          <w:p w14:paraId="5972E429"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12,37</w:t>
            </w:r>
          </w:p>
        </w:tc>
      </w:tr>
      <w:tr w:rsidR="004C14FC" w:rsidRPr="004C14FC" w14:paraId="03B8F8DD" w14:textId="77777777" w:rsidTr="00721F68">
        <w:trPr>
          <w:trHeight w:val="340"/>
          <w:jc w:val="center"/>
        </w:trPr>
        <w:tc>
          <w:tcPr>
            <w:tcW w:w="1207" w:type="dxa"/>
            <w:tcBorders>
              <w:top w:val="nil"/>
              <w:left w:val="single" w:sz="4" w:space="0" w:color="auto"/>
              <w:bottom w:val="single" w:sz="4" w:space="0" w:color="auto"/>
              <w:right w:val="single" w:sz="4" w:space="0" w:color="auto"/>
            </w:tcBorders>
            <w:vAlign w:val="center"/>
            <w:hideMark/>
          </w:tcPr>
          <w:p w14:paraId="6F31E69A" w14:textId="77777777" w:rsidR="004C14FC" w:rsidRPr="00E02C8A"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1942-43</w:t>
            </w:r>
          </w:p>
        </w:tc>
        <w:tc>
          <w:tcPr>
            <w:tcW w:w="1036" w:type="dxa"/>
            <w:tcBorders>
              <w:top w:val="nil"/>
              <w:left w:val="nil"/>
              <w:bottom w:val="single" w:sz="4" w:space="0" w:color="auto"/>
              <w:right w:val="single" w:sz="4" w:space="0" w:color="auto"/>
            </w:tcBorders>
            <w:vAlign w:val="center"/>
            <w:hideMark/>
          </w:tcPr>
          <w:p w14:paraId="68688646"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10,90</w:t>
            </w:r>
          </w:p>
        </w:tc>
        <w:tc>
          <w:tcPr>
            <w:tcW w:w="883" w:type="dxa"/>
            <w:tcBorders>
              <w:top w:val="nil"/>
              <w:left w:val="nil"/>
              <w:bottom w:val="single" w:sz="4" w:space="0" w:color="auto"/>
              <w:right w:val="single" w:sz="4" w:space="0" w:color="auto"/>
            </w:tcBorders>
            <w:vAlign w:val="center"/>
            <w:hideMark/>
          </w:tcPr>
          <w:p w14:paraId="0CF40DAA"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1,40</w:t>
            </w:r>
          </w:p>
        </w:tc>
        <w:tc>
          <w:tcPr>
            <w:tcW w:w="1470" w:type="dxa"/>
            <w:tcBorders>
              <w:top w:val="nil"/>
              <w:left w:val="nil"/>
              <w:bottom w:val="single" w:sz="4" w:space="0" w:color="auto"/>
              <w:right w:val="single" w:sz="4" w:space="0" w:color="auto"/>
            </w:tcBorders>
            <w:vAlign w:val="center"/>
            <w:hideMark/>
          </w:tcPr>
          <w:p w14:paraId="09BCEB42"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2,75</w:t>
            </w:r>
          </w:p>
        </w:tc>
        <w:tc>
          <w:tcPr>
            <w:tcW w:w="936" w:type="dxa"/>
            <w:tcBorders>
              <w:top w:val="nil"/>
              <w:left w:val="nil"/>
              <w:bottom w:val="single" w:sz="4" w:space="0" w:color="auto"/>
              <w:right w:val="single" w:sz="4" w:space="0" w:color="auto"/>
            </w:tcBorders>
            <w:vAlign w:val="center"/>
            <w:hideMark/>
          </w:tcPr>
          <w:p w14:paraId="2F99F4CE"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w:t>
            </w:r>
          </w:p>
        </w:tc>
        <w:tc>
          <w:tcPr>
            <w:tcW w:w="936" w:type="dxa"/>
            <w:tcBorders>
              <w:top w:val="nil"/>
              <w:left w:val="nil"/>
              <w:bottom w:val="single" w:sz="4" w:space="0" w:color="auto"/>
              <w:right w:val="single" w:sz="4" w:space="0" w:color="auto"/>
            </w:tcBorders>
            <w:vAlign w:val="center"/>
            <w:hideMark/>
          </w:tcPr>
          <w:p w14:paraId="405154A8"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w:t>
            </w:r>
          </w:p>
        </w:tc>
        <w:tc>
          <w:tcPr>
            <w:tcW w:w="936" w:type="dxa"/>
            <w:tcBorders>
              <w:top w:val="nil"/>
              <w:left w:val="nil"/>
              <w:bottom w:val="single" w:sz="4" w:space="0" w:color="auto"/>
              <w:right w:val="single" w:sz="4" w:space="0" w:color="auto"/>
            </w:tcBorders>
            <w:vAlign w:val="center"/>
            <w:hideMark/>
          </w:tcPr>
          <w:p w14:paraId="0B29985C"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w:t>
            </w:r>
          </w:p>
        </w:tc>
        <w:tc>
          <w:tcPr>
            <w:tcW w:w="1683" w:type="dxa"/>
            <w:tcBorders>
              <w:top w:val="nil"/>
              <w:left w:val="nil"/>
              <w:bottom w:val="single" w:sz="4" w:space="0" w:color="auto"/>
              <w:right w:val="single" w:sz="4" w:space="0" w:color="auto"/>
            </w:tcBorders>
            <w:vAlign w:val="center"/>
            <w:hideMark/>
          </w:tcPr>
          <w:p w14:paraId="55C6C767"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w:t>
            </w:r>
          </w:p>
        </w:tc>
        <w:tc>
          <w:tcPr>
            <w:tcW w:w="936" w:type="dxa"/>
            <w:tcBorders>
              <w:top w:val="nil"/>
              <w:left w:val="nil"/>
              <w:bottom w:val="single" w:sz="4" w:space="0" w:color="auto"/>
              <w:right w:val="single" w:sz="4" w:space="0" w:color="auto"/>
            </w:tcBorders>
            <w:vAlign w:val="center"/>
            <w:hideMark/>
          </w:tcPr>
          <w:p w14:paraId="45DCAD48"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w:t>
            </w:r>
          </w:p>
        </w:tc>
        <w:tc>
          <w:tcPr>
            <w:tcW w:w="1563" w:type="dxa"/>
            <w:tcBorders>
              <w:top w:val="nil"/>
              <w:left w:val="nil"/>
              <w:bottom w:val="single" w:sz="4" w:space="0" w:color="auto"/>
              <w:right w:val="single" w:sz="4" w:space="0" w:color="auto"/>
            </w:tcBorders>
            <w:vAlign w:val="center"/>
            <w:hideMark/>
          </w:tcPr>
          <w:p w14:paraId="3DF08E74"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w:t>
            </w:r>
          </w:p>
        </w:tc>
        <w:tc>
          <w:tcPr>
            <w:tcW w:w="963" w:type="dxa"/>
            <w:tcBorders>
              <w:top w:val="nil"/>
              <w:left w:val="nil"/>
              <w:bottom w:val="single" w:sz="4" w:space="0" w:color="auto"/>
              <w:right w:val="single" w:sz="4" w:space="0" w:color="auto"/>
            </w:tcBorders>
            <w:vAlign w:val="center"/>
            <w:hideMark/>
          </w:tcPr>
          <w:p w14:paraId="5095D62D"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w:t>
            </w:r>
          </w:p>
        </w:tc>
        <w:tc>
          <w:tcPr>
            <w:tcW w:w="936" w:type="dxa"/>
            <w:tcBorders>
              <w:top w:val="nil"/>
              <w:left w:val="nil"/>
              <w:bottom w:val="single" w:sz="4" w:space="0" w:color="auto"/>
              <w:right w:val="single" w:sz="4" w:space="0" w:color="auto"/>
            </w:tcBorders>
            <w:vAlign w:val="center"/>
            <w:hideMark/>
          </w:tcPr>
          <w:p w14:paraId="1F46549E"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w:t>
            </w:r>
          </w:p>
        </w:tc>
        <w:tc>
          <w:tcPr>
            <w:tcW w:w="763" w:type="dxa"/>
            <w:tcBorders>
              <w:top w:val="nil"/>
              <w:left w:val="nil"/>
              <w:bottom w:val="single" w:sz="4" w:space="0" w:color="auto"/>
              <w:right w:val="single" w:sz="4" w:space="0" w:color="auto"/>
            </w:tcBorders>
            <w:vAlign w:val="center"/>
            <w:hideMark/>
          </w:tcPr>
          <w:p w14:paraId="6828E3D3"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15,05</w:t>
            </w:r>
          </w:p>
        </w:tc>
      </w:tr>
      <w:tr w:rsidR="004C14FC" w:rsidRPr="004C14FC" w14:paraId="59A5F38C" w14:textId="77777777" w:rsidTr="00721F68">
        <w:trPr>
          <w:trHeight w:val="340"/>
          <w:jc w:val="center"/>
        </w:trPr>
        <w:tc>
          <w:tcPr>
            <w:tcW w:w="1207" w:type="dxa"/>
            <w:tcBorders>
              <w:top w:val="nil"/>
              <w:left w:val="single" w:sz="4" w:space="0" w:color="auto"/>
              <w:bottom w:val="single" w:sz="4" w:space="0" w:color="auto"/>
              <w:right w:val="single" w:sz="4" w:space="0" w:color="auto"/>
            </w:tcBorders>
            <w:vAlign w:val="center"/>
            <w:hideMark/>
          </w:tcPr>
          <w:p w14:paraId="6A2FD647" w14:textId="77777777" w:rsidR="004C14FC" w:rsidRPr="00E02C8A"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1943-44</w:t>
            </w:r>
          </w:p>
        </w:tc>
        <w:tc>
          <w:tcPr>
            <w:tcW w:w="1036" w:type="dxa"/>
            <w:tcBorders>
              <w:top w:val="nil"/>
              <w:left w:val="nil"/>
              <w:bottom w:val="single" w:sz="4" w:space="0" w:color="auto"/>
              <w:right w:val="single" w:sz="4" w:space="0" w:color="auto"/>
            </w:tcBorders>
            <w:vAlign w:val="center"/>
            <w:hideMark/>
          </w:tcPr>
          <w:p w14:paraId="483C5123"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19,50</w:t>
            </w:r>
          </w:p>
        </w:tc>
        <w:tc>
          <w:tcPr>
            <w:tcW w:w="883" w:type="dxa"/>
            <w:tcBorders>
              <w:top w:val="nil"/>
              <w:left w:val="nil"/>
              <w:bottom w:val="single" w:sz="4" w:space="0" w:color="auto"/>
              <w:right w:val="single" w:sz="4" w:space="0" w:color="auto"/>
            </w:tcBorders>
            <w:vAlign w:val="center"/>
            <w:hideMark/>
          </w:tcPr>
          <w:p w14:paraId="4D018268"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1,38</w:t>
            </w:r>
          </w:p>
        </w:tc>
        <w:tc>
          <w:tcPr>
            <w:tcW w:w="1470" w:type="dxa"/>
            <w:tcBorders>
              <w:top w:val="nil"/>
              <w:left w:val="nil"/>
              <w:bottom w:val="single" w:sz="4" w:space="0" w:color="auto"/>
              <w:right w:val="single" w:sz="4" w:space="0" w:color="auto"/>
            </w:tcBorders>
            <w:vAlign w:val="center"/>
            <w:hideMark/>
          </w:tcPr>
          <w:p w14:paraId="4DF4AFB0"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2,75</w:t>
            </w:r>
          </w:p>
        </w:tc>
        <w:tc>
          <w:tcPr>
            <w:tcW w:w="936" w:type="dxa"/>
            <w:tcBorders>
              <w:top w:val="nil"/>
              <w:left w:val="nil"/>
              <w:bottom w:val="single" w:sz="4" w:space="0" w:color="auto"/>
              <w:right w:val="single" w:sz="4" w:space="0" w:color="auto"/>
            </w:tcBorders>
            <w:vAlign w:val="center"/>
            <w:hideMark/>
          </w:tcPr>
          <w:p w14:paraId="3F04DFF5"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w:t>
            </w:r>
          </w:p>
        </w:tc>
        <w:tc>
          <w:tcPr>
            <w:tcW w:w="936" w:type="dxa"/>
            <w:tcBorders>
              <w:top w:val="nil"/>
              <w:left w:val="nil"/>
              <w:bottom w:val="single" w:sz="4" w:space="0" w:color="auto"/>
              <w:right w:val="single" w:sz="4" w:space="0" w:color="auto"/>
            </w:tcBorders>
            <w:vAlign w:val="center"/>
            <w:hideMark/>
          </w:tcPr>
          <w:p w14:paraId="39109EDC"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w:t>
            </w:r>
          </w:p>
        </w:tc>
        <w:tc>
          <w:tcPr>
            <w:tcW w:w="936" w:type="dxa"/>
            <w:tcBorders>
              <w:top w:val="nil"/>
              <w:left w:val="nil"/>
              <w:bottom w:val="single" w:sz="4" w:space="0" w:color="auto"/>
              <w:right w:val="single" w:sz="4" w:space="0" w:color="auto"/>
            </w:tcBorders>
            <w:vAlign w:val="center"/>
            <w:hideMark/>
          </w:tcPr>
          <w:p w14:paraId="4DAB2421"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w:t>
            </w:r>
          </w:p>
        </w:tc>
        <w:tc>
          <w:tcPr>
            <w:tcW w:w="1683" w:type="dxa"/>
            <w:tcBorders>
              <w:top w:val="nil"/>
              <w:left w:val="nil"/>
              <w:bottom w:val="single" w:sz="4" w:space="0" w:color="auto"/>
              <w:right w:val="single" w:sz="4" w:space="0" w:color="auto"/>
            </w:tcBorders>
            <w:vAlign w:val="center"/>
            <w:hideMark/>
          </w:tcPr>
          <w:p w14:paraId="3995E765"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w:t>
            </w:r>
          </w:p>
        </w:tc>
        <w:tc>
          <w:tcPr>
            <w:tcW w:w="936" w:type="dxa"/>
            <w:tcBorders>
              <w:top w:val="nil"/>
              <w:left w:val="nil"/>
              <w:bottom w:val="single" w:sz="4" w:space="0" w:color="auto"/>
              <w:right w:val="single" w:sz="4" w:space="0" w:color="auto"/>
            </w:tcBorders>
            <w:vAlign w:val="center"/>
            <w:hideMark/>
          </w:tcPr>
          <w:p w14:paraId="46DAECA0"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w:t>
            </w:r>
          </w:p>
        </w:tc>
        <w:tc>
          <w:tcPr>
            <w:tcW w:w="1563" w:type="dxa"/>
            <w:tcBorders>
              <w:top w:val="nil"/>
              <w:left w:val="nil"/>
              <w:bottom w:val="single" w:sz="4" w:space="0" w:color="auto"/>
              <w:right w:val="single" w:sz="4" w:space="0" w:color="auto"/>
            </w:tcBorders>
            <w:vAlign w:val="center"/>
            <w:hideMark/>
          </w:tcPr>
          <w:p w14:paraId="57B49548"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w:t>
            </w:r>
          </w:p>
        </w:tc>
        <w:tc>
          <w:tcPr>
            <w:tcW w:w="963" w:type="dxa"/>
            <w:tcBorders>
              <w:top w:val="nil"/>
              <w:left w:val="nil"/>
              <w:bottom w:val="single" w:sz="4" w:space="0" w:color="auto"/>
              <w:right w:val="single" w:sz="4" w:space="0" w:color="auto"/>
            </w:tcBorders>
            <w:vAlign w:val="center"/>
            <w:hideMark/>
          </w:tcPr>
          <w:p w14:paraId="45CFDF38"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3,00</w:t>
            </w:r>
          </w:p>
        </w:tc>
        <w:tc>
          <w:tcPr>
            <w:tcW w:w="936" w:type="dxa"/>
            <w:tcBorders>
              <w:top w:val="nil"/>
              <w:left w:val="nil"/>
              <w:bottom w:val="single" w:sz="4" w:space="0" w:color="auto"/>
              <w:right w:val="single" w:sz="4" w:space="0" w:color="auto"/>
            </w:tcBorders>
            <w:vAlign w:val="center"/>
            <w:hideMark/>
          </w:tcPr>
          <w:p w14:paraId="52B34F0B"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w:t>
            </w:r>
          </w:p>
        </w:tc>
        <w:tc>
          <w:tcPr>
            <w:tcW w:w="763" w:type="dxa"/>
            <w:tcBorders>
              <w:top w:val="nil"/>
              <w:left w:val="nil"/>
              <w:bottom w:val="single" w:sz="4" w:space="0" w:color="auto"/>
              <w:right w:val="single" w:sz="4" w:space="0" w:color="auto"/>
            </w:tcBorders>
            <w:vAlign w:val="center"/>
            <w:hideMark/>
          </w:tcPr>
          <w:p w14:paraId="43EC41D2"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26,63</w:t>
            </w:r>
          </w:p>
        </w:tc>
      </w:tr>
      <w:tr w:rsidR="004C14FC" w:rsidRPr="004C14FC" w14:paraId="0BDB2E71" w14:textId="77777777" w:rsidTr="00721F68">
        <w:trPr>
          <w:trHeight w:val="340"/>
          <w:jc w:val="center"/>
        </w:trPr>
        <w:tc>
          <w:tcPr>
            <w:tcW w:w="1207" w:type="dxa"/>
            <w:tcBorders>
              <w:top w:val="nil"/>
              <w:left w:val="single" w:sz="4" w:space="0" w:color="auto"/>
              <w:bottom w:val="single" w:sz="4" w:space="0" w:color="auto"/>
              <w:right w:val="single" w:sz="4" w:space="0" w:color="auto"/>
            </w:tcBorders>
            <w:vAlign w:val="center"/>
            <w:hideMark/>
          </w:tcPr>
          <w:p w14:paraId="4E7D2F08" w14:textId="77777777" w:rsidR="004C14FC" w:rsidRPr="00E02C8A"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1944-45</w:t>
            </w:r>
          </w:p>
        </w:tc>
        <w:tc>
          <w:tcPr>
            <w:tcW w:w="1036" w:type="dxa"/>
            <w:tcBorders>
              <w:top w:val="nil"/>
              <w:left w:val="nil"/>
              <w:bottom w:val="single" w:sz="4" w:space="0" w:color="auto"/>
              <w:right w:val="single" w:sz="4" w:space="0" w:color="auto"/>
            </w:tcBorders>
            <w:vAlign w:val="center"/>
            <w:hideMark/>
          </w:tcPr>
          <w:p w14:paraId="33821256"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26,56</w:t>
            </w:r>
          </w:p>
        </w:tc>
        <w:tc>
          <w:tcPr>
            <w:tcW w:w="883" w:type="dxa"/>
            <w:tcBorders>
              <w:top w:val="nil"/>
              <w:left w:val="nil"/>
              <w:bottom w:val="single" w:sz="4" w:space="0" w:color="auto"/>
              <w:right w:val="single" w:sz="4" w:space="0" w:color="auto"/>
            </w:tcBorders>
            <w:vAlign w:val="center"/>
            <w:hideMark/>
          </w:tcPr>
          <w:p w14:paraId="20062B36"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1,49</w:t>
            </w:r>
          </w:p>
        </w:tc>
        <w:tc>
          <w:tcPr>
            <w:tcW w:w="1470" w:type="dxa"/>
            <w:tcBorders>
              <w:top w:val="nil"/>
              <w:left w:val="nil"/>
              <w:bottom w:val="single" w:sz="4" w:space="0" w:color="auto"/>
              <w:right w:val="single" w:sz="4" w:space="0" w:color="auto"/>
            </w:tcBorders>
            <w:vAlign w:val="center"/>
            <w:hideMark/>
          </w:tcPr>
          <w:p w14:paraId="27B47269"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1,70</w:t>
            </w:r>
          </w:p>
        </w:tc>
        <w:tc>
          <w:tcPr>
            <w:tcW w:w="936" w:type="dxa"/>
            <w:tcBorders>
              <w:top w:val="nil"/>
              <w:left w:val="nil"/>
              <w:bottom w:val="single" w:sz="4" w:space="0" w:color="auto"/>
              <w:right w:val="single" w:sz="4" w:space="0" w:color="auto"/>
            </w:tcBorders>
            <w:vAlign w:val="center"/>
            <w:hideMark/>
          </w:tcPr>
          <w:p w14:paraId="5095FE09"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w:t>
            </w:r>
          </w:p>
        </w:tc>
        <w:tc>
          <w:tcPr>
            <w:tcW w:w="936" w:type="dxa"/>
            <w:tcBorders>
              <w:top w:val="nil"/>
              <w:left w:val="nil"/>
              <w:bottom w:val="single" w:sz="4" w:space="0" w:color="auto"/>
              <w:right w:val="single" w:sz="4" w:space="0" w:color="auto"/>
            </w:tcBorders>
            <w:vAlign w:val="center"/>
            <w:hideMark/>
          </w:tcPr>
          <w:p w14:paraId="253F7B95"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w:t>
            </w:r>
          </w:p>
        </w:tc>
        <w:tc>
          <w:tcPr>
            <w:tcW w:w="936" w:type="dxa"/>
            <w:tcBorders>
              <w:top w:val="nil"/>
              <w:left w:val="nil"/>
              <w:bottom w:val="single" w:sz="4" w:space="0" w:color="auto"/>
              <w:right w:val="single" w:sz="4" w:space="0" w:color="auto"/>
            </w:tcBorders>
            <w:vAlign w:val="center"/>
            <w:hideMark/>
          </w:tcPr>
          <w:p w14:paraId="0F74D494"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w:t>
            </w:r>
          </w:p>
        </w:tc>
        <w:tc>
          <w:tcPr>
            <w:tcW w:w="1683" w:type="dxa"/>
            <w:tcBorders>
              <w:top w:val="nil"/>
              <w:left w:val="nil"/>
              <w:bottom w:val="single" w:sz="4" w:space="0" w:color="auto"/>
              <w:right w:val="single" w:sz="4" w:space="0" w:color="auto"/>
            </w:tcBorders>
            <w:vAlign w:val="center"/>
            <w:hideMark/>
          </w:tcPr>
          <w:p w14:paraId="100BF641"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w:t>
            </w:r>
          </w:p>
        </w:tc>
        <w:tc>
          <w:tcPr>
            <w:tcW w:w="936" w:type="dxa"/>
            <w:tcBorders>
              <w:top w:val="nil"/>
              <w:left w:val="nil"/>
              <w:bottom w:val="single" w:sz="4" w:space="0" w:color="auto"/>
              <w:right w:val="single" w:sz="4" w:space="0" w:color="auto"/>
            </w:tcBorders>
            <w:vAlign w:val="center"/>
            <w:hideMark/>
          </w:tcPr>
          <w:p w14:paraId="35F2CFD7"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w:t>
            </w:r>
          </w:p>
        </w:tc>
        <w:tc>
          <w:tcPr>
            <w:tcW w:w="1563" w:type="dxa"/>
            <w:tcBorders>
              <w:top w:val="nil"/>
              <w:left w:val="nil"/>
              <w:bottom w:val="single" w:sz="4" w:space="0" w:color="auto"/>
              <w:right w:val="single" w:sz="4" w:space="0" w:color="auto"/>
            </w:tcBorders>
            <w:vAlign w:val="center"/>
            <w:hideMark/>
          </w:tcPr>
          <w:p w14:paraId="3F1C35BC"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2</w:t>
            </w:r>
          </w:p>
        </w:tc>
        <w:tc>
          <w:tcPr>
            <w:tcW w:w="963" w:type="dxa"/>
            <w:tcBorders>
              <w:top w:val="nil"/>
              <w:left w:val="nil"/>
              <w:bottom w:val="single" w:sz="4" w:space="0" w:color="auto"/>
              <w:right w:val="single" w:sz="4" w:space="0" w:color="auto"/>
            </w:tcBorders>
            <w:vAlign w:val="center"/>
            <w:hideMark/>
          </w:tcPr>
          <w:p w14:paraId="384643D7"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7,00</w:t>
            </w:r>
          </w:p>
        </w:tc>
        <w:tc>
          <w:tcPr>
            <w:tcW w:w="936" w:type="dxa"/>
            <w:tcBorders>
              <w:top w:val="nil"/>
              <w:left w:val="nil"/>
              <w:bottom w:val="single" w:sz="4" w:space="0" w:color="auto"/>
              <w:right w:val="single" w:sz="4" w:space="0" w:color="auto"/>
            </w:tcBorders>
            <w:vAlign w:val="center"/>
            <w:hideMark/>
          </w:tcPr>
          <w:p w14:paraId="7AA56113"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w:t>
            </w:r>
          </w:p>
        </w:tc>
        <w:tc>
          <w:tcPr>
            <w:tcW w:w="763" w:type="dxa"/>
            <w:tcBorders>
              <w:top w:val="nil"/>
              <w:left w:val="nil"/>
              <w:bottom w:val="single" w:sz="4" w:space="0" w:color="auto"/>
              <w:right w:val="single" w:sz="4" w:space="0" w:color="auto"/>
            </w:tcBorders>
            <w:vAlign w:val="center"/>
            <w:hideMark/>
          </w:tcPr>
          <w:p w14:paraId="358A0B2B"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36,77</w:t>
            </w:r>
          </w:p>
        </w:tc>
      </w:tr>
      <w:tr w:rsidR="004C14FC" w:rsidRPr="004C14FC" w14:paraId="424F43E3" w14:textId="77777777" w:rsidTr="00721F68">
        <w:trPr>
          <w:trHeight w:val="340"/>
          <w:jc w:val="center"/>
        </w:trPr>
        <w:tc>
          <w:tcPr>
            <w:tcW w:w="1207" w:type="dxa"/>
            <w:tcBorders>
              <w:top w:val="nil"/>
              <w:left w:val="single" w:sz="4" w:space="0" w:color="auto"/>
              <w:bottom w:val="single" w:sz="4" w:space="0" w:color="auto"/>
              <w:right w:val="single" w:sz="4" w:space="0" w:color="auto"/>
            </w:tcBorders>
            <w:vAlign w:val="center"/>
            <w:hideMark/>
          </w:tcPr>
          <w:p w14:paraId="729152E7" w14:textId="77777777" w:rsidR="004C14FC" w:rsidRPr="00E02C8A"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1945-46</w:t>
            </w:r>
          </w:p>
        </w:tc>
        <w:tc>
          <w:tcPr>
            <w:tcW w:w="1036" w:type="dxa"/>
            <w:tcBorders>
              <w:top w:val="nil"/>
              <w:left w:val="nil"/>
              <w:bottom w:val="single" w:sz="4" w:space="0" w:color="auto"/>
              <w:right w:val="single" w:sz="4" w:space="0" w:color="auto"/>
            </w:tcBorders>
            <w:vAlign w:val="center"/>
            <w:hideMark/>
          </w:tcPr>
          <w:p w14:paraId="4C266E6A"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28,75</w:t>
            </w:r>
          </w:p>
        </w:tc>
        <w:tc>
          <w:tcPr>
            <w:tcW w:w="883" w:type="dxa"/>
            <w:tcBorders>
              <w:top w:val="nil"/>
              <w:left w:val="nil"/>
              <w:bottom w:val="single" w:sz="4" w:space="0" w:color="auto"/>
              <w:right w:val="single" w:sz="4" w:space="0" w:color="auto"/>
            </w:tcBorders>
            <w:vAlign w:val="center"/>
            <w:hideMark/>
          </w:tcPr>
          <w:p w14:paraId="7966B424"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1,57</w:t>
            </w:r>
          </w:p>
        </w:tc>
        <w:tc>
          <w:tcPr>
            <w:tcW w:w="1470" w:type="dxa"/>
            <w:tcBorders>
              <w:top w:val="nil"/>
              <w:left w:val="nil"/>
              <w:bottom w:val="single" w:sz="4" w:space="0" w:color="auto"/>
              <w:right w:val="single" w:sz="4" w:space="0" w:color="auto"/>
            </w:tcBorders>
            <w:vAlign w:val="center"/>
            <w:hideMark/>
          </w:tcPr>
          <w:p w14:paraId="7419CEE6"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1,70</w:t>
            </w:r>
          </w:p>
        </w:tc>
        <w:tc>
          <w:tcPr>
            <w:tcW w:w="936" w:type="dxa"/>
            <w:tcBorders>
              <w:top w:val="nil"/>
              <w:left w:val="nil"/>
              <w:bottom w:val="single" w:sz="4" w:space="0" w:color="auto"/>
              <w:right w:val="single" w:sz="4" w:space="0" w:color="auto"/>
            </w:tcBorders>
            <w:vAlign w:val="center"/>
            <w:hideMark/>
          </w:tcPr>
          <w:p w14:paraId="1D233748"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w:t>
            </w:r>
          </w:p>
        </w:tc>
        <w:tc>
          <w:tcPr>
            <w:tcW w:w="936" w:type="dxa"/>
            <w:tcBorders>
              <w:top w:val="nil"/>
              <w:left w:val="nil"/>
              <w:bottom w:val="single" w:sz="4" w:space="0" w:color="auto"/>
              <w:right w:val="single" w:sz="4" w:space="0" w:color="auto"/>
            </w:tcBorders>
            <w:vAlign w:val="center"/>
            <w:hideMark/>
          </w:tcPr>
          <w:p w14:paraId="6B0C8405"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w:t>
            </w:r>
          </w:p>
        </w:tc>
        <w:tc>
          <w:tcPr>
            <w:tcW w:w="936" w:type="dxa"/>
            <w:tcBorders>
              <w:top w:val="nil"/>
              <w:left w:val="nil"/>
              <w:bottom w:val="single" w:sz="4" w:space="0" w:color="auto"/>
              <w:right w:val="single" w:sz="4" w:space="0" w:color="auto"/>
            </w:tcBorders>
            <w:vAlign w:val="center"/>
            <w:hideMark/>
          </w:tcPr>
          <w:p w14:paraId="5A319CDD"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w:t>
            </w:r>
          </w:p>
        </w:tc>
        <w:tc>
          <w:tcPr>
            <w:tcW w:w="1683" w:type="dxa"/>
            <w:tcBorders>
              <w:top w:val="nil"/>
              <w:left w:val="nil"/>
              <w:bottom w:val="single" w:sz="4" w:space="0" w:color="auto"/>
              <w:right w:val="single" w:sz="4" w:space="0" w:color="auto"/>
            </w:tcBorders>
            <w:vAlign w:val="center"/>
            <w:hideMark/>
          </w:tcPr>
          <w:p w14:paraId="3C5BBD9A"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w:t>
            </w:r>
          </w:p>
        </w:tc>
        <w:tc>
          <w:tcPr>
            <w:tcW w:w="936" w:type="dxa"/>
            <w:tcBorders>
              <w:top w:val="nil"/>
              <w:left w:val="nil"/>
              <w:bottom w:val="single" w:sz="4" w:space="0" w:color="auto"/>
              <w:right w:val="single" w:sz="4" w:space="0" w:color="auto"/>
            </w:tcBorders>
            <w:vAlign w:val="center"/>
            <w:hideMark/>
          </w:tcPr>
          <w:p w14:paraId="26858554"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w:t>
            </w:r>
          </w:p>
        </w:tc>
        <w:tc>
          <w:tcPr>
            <w:tcW w:w="1563" w:type="dxa"/>
            <w:tcBorders>
              <w:top w:val="nil"/>
              <w:left w:val="nil"/>
              <w:bottom w:val="single" w:sz="4" w:space="0" w:color="auto"/>
              <w:right w:val="single" w:sz="4" w:space="0" w:color="auto"/>
            </w:tcBorders>
            <w:vAlign w:val="center"/>
            <w:hideMark/>
          </w:tcPr>
          <w:p w14:paraId="6B58ACD2"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2</w:t>
            </w:r>
          </w:p>
        </w:tc>
        <w:tc>
          <w:tcPr>
            <w:tcW w:w="963" w:type="dxa"/>
            <w:tcBorders>
              <w:top w:val="nil"/>
              <w:left w:val="nil"/>
              <w:bottom w:val="single" w:sz="4" w:space="0" w:color="auto"/>
              <w:right w:val="single" w:sz="4" w:space="0" w:color="auto"/>
            </w:tcBorders>
            <w:vAlign w:val="center"/>
            <w:hideMark/>
          </w:tcPr>
          <w:p w14:paraId="43EAF52A"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8,00</w:t>
            </w:r>
          </w:p>
        </w:tc>
        <w:tc>
          <w:tcPr>
            <w:tcW w:w="936" w:type="dxa"/>
            <w:tcBorders>
              <w:top w:val="nil"/>
              <w:left w:val="nil"/>
              <w:bottom w:val="single" w:sz="4" w:space="0" w:color="auto"/>
              <w:right w:val="single" w:sz="4" w:space="0" w:color="auto"/>
            </w:tcBorders>
            <w:vAlign w:val="center"/>
            <w:hideMark/>
          </w:tcPr>
          <w:p w14:paraId="27CC3648"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w:t>
            </w:r>
          </w:p>
        </w:tc>
        <w:tc>
          <w:tcPr>
            <w:tcW w:w="763" w:type="dxa"/>
            <w:tcBorders>
              <w:top w:val="nil"/>
              <w:left w:val="nil"/>
              <w:bottom w:val="single" w:sz="4" w:space="0" w:color="auto"/>
              <w:right w:val="single" w:sz="4" w:space="0" w:color="auto"/>
            </w:tcBorders>
            <w:vAlign w:val="center"/>
            <w:hideMark/>
          </w:tcPr>
          <w:p w14:paraId="604B42D1"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40,04</w:t>
            </w:r>
          </w:p>
        </w:tc>
      </w:tr>
      <w:tr w:rsidR="004C14FC" w:rsidRPr="004C14FC" w14:paraId="246A2642" w14:textId="77777777" w:rsidTr="00721F68">
        <w:trPr>
          <w:trHeight w:val="340"/>
          <w:jc w:val="center"/>
        </w:trPr>
        <w:tc>
          <w:tcPr>
            <w:tcW w:w="1207" w:type="dxa"/>
            <w:tcBorders>
              <w:top w:val="nil"/>
              <w:left w:val="single" w:sz="4" w:space="0" w:color="auto"/>
              <w:bottom w:val="single" w:sz="4" w:space="0" w:color="auto"/>
              <w:right w:val="single" w:sz="4" w:space="0" w:color="auto"/>
            </w:tcBorders>
            <w:vAlign w:val="center"/>
            <w:hideMark/>
          </w:tcPr>
          <w:p w14:paraId="75EC2DE2" w14:textId="77777777" w:rsidR="004C14FC" w:rsidRPr="00E02C8A"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1946-47</w:t>
            </w:r>
          </w:p>
        </w:tc>
        <w:tc>
          <w:tcPr>
            <w:tcW w:w="1036" w:type="dxa"/>
            <w:tcBorders>
              <w:top w:val="nil"/>
              <w:left w:val="nil"/>
              <w:bottom w:val="single" w:sz="4" w:space="0" w:color="auto"/>
              <w:right w:val="single" w:sz="4" w:space="0" w:color="auto"/>
            </w:tcBorders>
            <w:vAlign w:val="center"/>
            <w:hideMark/>
          </w:tcPr>
          <w:p w14:paraId="00A92FD1"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29,87</w:t>
            </w:r>
          </w:p>
        </w:tc>
        <w:tc>
          <w:tcPr>
            <w:tcW w:w="883" w:type="dxa"/>
            <w:tcBorders>
              <w:top w:val="nil"/>
              <w:left w:val="nil"/>
              <w:bottom w:val="single" w:sz="4" w:space="0" w:color="auto"/>
              <w:right w:val="single" w:sz="4" w:space="0" w:color="auto"/>
            </w:tcBorders>
            <w:vAlign w:val="center"/>
            <w:hideMark/>
          </w:tcPr>
          <w:p w14:paraId="759C0A03"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2,87</w:t>
            </w:r>
          </w:p>
        </w:tc>
        <w:tc>
          <w:tcPr>
            <w:tcW w:w="1470" w:type="dxa"/>
            <w:tcBorders>
              <w:top w:val="nil"/>
              <w:left w:val="nil"/>
              <w:bottom w:val="single" w:sz="4" w:space="0" w:color="auto"/>
              <w:right w:val="single" w:sz="4" w:space="0" w:color="auto"/>
            </w:tcBorders>
            <w:vAlign w:val="center"/>
            <w:hideMark/>
          </w:tcPr>
          <w:p w14:paraId="7E3911EB"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1,70</w:t>
            </w:r>
          </w:p>
        </w:tc>
        <w:tc>
          <w:tcPr>
            <w:tcW w:w="936" w:type="dxa"/>
            <w:tcBorders>
              <w:top w:val="nil"/>
              <w:left w:val="nil"/>
              <w:bottom w:val="single" w:sz="4" w:space="0" w:color="auto"/>
              <w:right w:val="single" w:sz="4" w:space="0" w:color="auto"/>
            </w:tcBorders>
            <w:vAlign w:val="center"/>
            <w:hideMark/>
          </w:tcPr>
          <w:p w14:paraId="6E716146"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w:t>
            </w:r>
          </w:p>
        </w:tc>
        <w:tc>
          <w:tcPr>
            <w:tcW w:w="936" w:type="dxa"/>
            <w:tcBorders>
              <w:top w:val="nil"/>
              <w:left w:val="nil"/>
              <w:bottom w:val="single" w:sz="4" w:space="0" w:color="auto"/>
              <w:right w:val="single" w:sz="4" w:space="0" w:color="auto"/>
            </w:tcBorders>
            <w:vAlign w:val="center"/>
            <w:hideMark/>
          </w:tcPr>
          <w:p w14:paraId="0EADB2D8"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w:t>
            </w:r>
          </w:p>
        </w:tc>
        <w:tc>
          <w:tcPr>
            <w:tcW w:w="936" w:type="dxa"/>
            <w:tcBorders>
              <w:top w:val="nil"/>
              <w:left w:val="nil"/>
              <w:bottom w:val="single" w:sz="4" w:space="0" w:color="auto"/>
              <w:right w:val="single" w:sz="4" w:space="0" w:color="auto"/>
            </w:tcBorders>
            <w:vAlign w:val="center"/>
            <w:hideMark/>
          </w:tcPr>
          <w:p w14:paraId="38B2B80D"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w:t>
            </w:r>
          </w:p>
        </w:tc>
        <w:tc>
          <w:tcPr>
            <w:tcW w:w="1683" w:type="dxa"/>
            <w:tcBorders>
              <w:top w:val="nil"/>
              <w:left w:val="nil"/>
              <w:bottom w:val="single" w:sz="4" w:space="0" w:color="auto"/>
              <w:right w:val="single" w:sz="4" w:space="0" w:color="auto"/>
            </w:tcBorders>
            <w:vAlign w:val="center"/>
            <w:hideMark/>
          </w:tcPr>
          <w:p w14:paraId="3B4B8B50"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w:t>
            </w:r>
          </w:p>
        </w:tc>
        <w:tc>
          <w:tcPr>
            <w:tcW w:w="936" w:type="dxa"/>
            <w:tcBorders>
              <w:top w:val="nil"/>
              <w:left w:val="nil"/>
              <w:bottom w:val="single" w:sz="4" w:space="0" w:color="auto"/>
              <w:right w:val="single" w:sz="4" w:space="0" w:color="auto"/>
            </w:tcBorders>
            <w:vAlign w:val="center"/>
            <w:hideMark/>
          </w:tcPr>
          <w:p w14:paraId="5C2C4591"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3,24</w:t>
            </w:r>
          </w:p>
        </w:tc>
        <w:tc>
          <w:tcPr>
            <w:tcW w:w="1563" w:type="dxa"/>
            <w:tcBorders>
              <w:top w:val="nil"/>
              <w:left w:val="nil"/>
              <w:bottom w:val="single" w:sz="4" w:space="0" w:color="auto"/>
              <w:right w:val="single" w:sz="4" w:space="0" w:color="auto"/>
            </w:tcBorders>
            <w:vAlign w:val="center"/>
            <w:hideMark/>
          </w:tcPr>
          <w:p w14:paraId="2975ACC9"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13,93</w:t>
            </w:r>
          </w:p>
        </w:tc>
        <w:tc>
          <w:tcPr>
            <w:tcW w:w="963" w:type="dxa"/>
            <w:tcBorders>
              <w:top w:val="nil"/>
              <w:left w:val="nil"/>
              <w:bottom w:val="single" w:sz="4" w:space="0" w:color="auto"/>
              <w:right w:val="single" w:sz="4" w:space="0" w:color="auto"/>
            </w:tcBorders>
            <w:vAlign w:val="center"/>
            <w:hideMark/>
          </w:tcPr>
          <w:p w14:paraId="22725E15"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w:t>
            </w:r>
          </w:p>
        </w:tc>
        <w:tc>
          <w:tcPr>
            <w:tcW w:w="936" w:type="dxa"/>
            <w:tcBorders>
              <w:top w:val="nil"/>
              <w:left w:val="nil"/>
              <w:bottom w:val="single" w:sz="4" w:space="0" w:color="auto"/>
              <w:right w:val="single" w:sz="4" w:space="0" w:color="auto"/>
            </w:tcBorders>
            <w:vAlign w:val="center"/>
            <w:hideMark/>
          </w:tcPr>
          <w:p w14:paraId="189014E9"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w:t>
            </w:r>
          </w:p>
        </w:tc>
        <w:tc>
          <w:tcPr>
            <w:tcW w:w="763" w:type="dxa"/>
            <w:tcBorders>
              <w:top w:val="nil"/>
              <w:left w:val="nil"/>
              <w:bottom w:val="single" w:sz="4" w:space="0" w:color="auto"/>
              <w:right w:val="single" w:sz="4" w:space="0" w:color="auto"/>
            </w:tcBorders>
            <w:vAlign w:val="center"/>
            <w:hideMark/>
          </w:tcPr>
          <w:p w14:paraId="6A7EFAD8"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51,61</w:t>
            </w:r>
          </w:p>
        </w:tc>
      </w:tr>
      <w:tr w:rsidR="004C14FC" w:rsidRPr="004C14FC" w14:paraId="031628D0" w14:textId="77777777" w:rsidTr="00721F68">
        <w:trPr>
          <w:trHeight w:val="340"/>
          <w:jc w:val="center"/>
        </w:trPr>
        <w:tc>
          <w:tcPr>
            <w:tcW w:w="1207" w:type="dxa"/>
            <w:tcBorders>
              <w:top w:val="nil"/>
              <w:left w:val="single" w:sz="4" w:space="0" w:color="auto"/>
              <w:bottom w:val="single" w:sz="4" w:space="0" w:color="auto"/>
              <w:right w:val="single" w:sz="4" w:space="0" w:color="auto"/>
            </w:tcBorders>
            <w:vAlign w:val="center"/>
            <w:hideMark/>
          </w:tcPr>
          <w:p w14:paraId="174A7A23" w14:textId="77777777" w:rsidR="004C14FC" w:rsidRPr="00E02C8A"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1948-49</w:t>
            </w:r>
          </w:p>
        </w:tc>
        <w:tc>
          <w:tcPr>
            <w:tcW w:w="1036" w:type="dxa"/>
            <w:tcBorders>
              <w:top w:val="nil"/>
              <w:left w:val="nil"/>
              <w:bottom w:val="single" w:sz="4" w:space="0" w:color="auto"/>
              <w:right w:val="single" w:sz="4" w:space="0" w:color="auto"/>
            </w:tcBorders>
            <w:vAlign w:val="center"/>
            <w:hideMark/>
          </w:tcPr>
          <w:p w14:paraId="1F3C411F"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41,79</w:t>
            </w:r>
          </w:p>
        </w:tc>
        <w:tc>
          <w:tcPr>
            <w:tcW w:w="883" w:type="dxa"/>
            <w:tcBorders>
              <w:top w:val="nil"/>
              <w:left w:val="nil"/>
              <w:bottom w:val="single" w:sz="4" w:space="0" w:color="auto"/>
              <w:right w:val="single" w:sz="4" w:space="0" w:color="auto"/>
            </w:tcBorders>
            <w:vAlign w:val="center"/>
            <w:hideMark/>
          </w:tcPr>
          <w:p w14:paraId="659B02C6"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1,43</w:t>
            </w:r>
          </w:p>
        </w:tc>
        <w:tc>
          <w:tcPr>
            <w:tcW w:w="1470" w:type="dxa"/>
            <w:tcBorders>
              <w:top w:val="nil"/>
              <w:left w:val="nil"/>
              <w:bottom w:val="single" w:sz="4" w:space="0" w:color="auto"/>
              <w:right w:val="single" w:sz="4" w:space="0" w:color="auto"/>
            </w:tcBorders>
            <w:vAlign w:val="center"/>
            <w:hideMark/>
          </w:tcPr>
          <w:p w14:paraId="06C64ED5"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70</w:t>
            </w:r>
          </w:p>
        </w:tc>
        <w:tc>
          <w:tcPr>
            <w:tcW w:w="936" w:type="dxa"/>
            <w:tcBorders>
              <w:top w:val="nil"/>
              <w:left w:val="nil"/>
              <w:bottom w:val="single" w:sz="4" w:space="0" w:color="auto"/>
              <w:right w:val="single" w:sz="4" w:space="0" w:color="auto"/>
            </w:tcBorders>
            <w:vAlign w:val="center"/>
            <w:hideMark/>
          </w:tcPr>
          <w:p w14:paraId="00CB003F"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w:t>
            </w:r>
          </w:p>
        </w:tc>
        <w:tc>
          <w:tcPr>
            <w:tcW w:w="936" w:type="dxa"/>
            <w:tcBorders>
              <w:top w:val="nil"/>
              <w:left w:val="nil"/>
              <w:bottom w:val="single" w:sz="4" w:space="0" w:color="auto"/>
              <w:right w:val="single" w:sz="4" w:space="0" w:color="auto"/>
            </w:tcBorders>
            <w:vAlign w:val="center"/>
            <w:hideMark/>
          </w:tcPr>
          <w:p w14:paraId="06D53394"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w:t>
            </w:r>
          </w:p>
        </w:tc>
        <w:tc>
          <w:tcPr>
            <w:tcW w:w="936" w:type="dxa"/>
            <w:tcBorders>
              <w:top w:val="nil"/>
              <w:left w:val="nil"/>
              <w:bottom w:val="single" w:sz="4" w:space="0" w:color="auto"/>
              <w:right w:val="single" w:sz="4" w:space="0" w:color="auto"/>
            </w:tcBorders>
            <w:vAlign w:val="center"/>
            <w:hideMark/>
          </w:tcPr>
          <w:p w14:paraId="3C285B35"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w:t>
            </w:r>
          </w:p>
        </w:tc>
        <w:tc>
          <w:tcPr>
            <w:tcW w:w="1683" w:type="dxa"/>
            <w:tcBorders>
              <w:top w:val="nil"/>
              <w:left w:val="nil"/>
              <w:bottom w:val="single" w:sz="4" w:space="0" w:color="auto"/>
              <w:right w:val="single" w:sz="4" w:space="0" w:color="auto"/>
            </w:tcBorders>
            <w:vAlign w:val="center"/>
            <w:hideMark/>
          </w:tcPr>
          <w:p w14:paraId="733FC632"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12,11</w:t>
            </w:r>
          </w:p>
        </w:tc>
        <w:tc>
          <w:tcPr>
            <w:tcW w:w="936" w:type="dxa"/>
            <w:tcBorders>
              <w:top w:val="nil"/>
              <w:left w:val="nil"/>
              <w:bottom w:val="single" w:sz="4" w:space="0" w:color="auto"/>
              <w:right w:val="single" w:sz="4" w:space="0" w:color="auto"/>
            </w:tcBorders>
            <w:vAlign w:val="center"/>
            <w:hideMark/>
          </w:tcPr>
          <w:p w14:paraId="70A36EB0"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3,03</w:t>
            </w:r>
          </w:p>
        </w:tc>
        <w:tc>
          <w:tcPr>
            <w:tcW w:w="1563" w:type="dxa"/>
            <w:tcBorders>
              <w:top w:val="nil"/>
              <w:left w:val="nil"/>
              <w:bottom w:val="single" w:sz="4" w:space="0" w:color="auto"/>
              <w:right w:val="single" w:sz="4" w:space="0" w:color="auto"/>
            </w:tcBorders>
            <w:vAlign w:val="center"/>
            <w:hideMark/>
          </w:tcPr>
          <w:p w14:paraId="48DA3FF6"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11,73</w:t>
            </w:r>
          </w:p>
        </w:tc>
        <w:tc>
          <w:tcPr>
            <w:tcW w:w="963" w:type="dxa"/>
            <w:tcBorders>
              <w:top w:val="nil"/>
              <w:left w:val="nil"/>
              <w:bottom w:val="single" w:sz="4" w:space="0" w:color="auto"/>
              <w:right w:val="single" w:sz="4" w:space="0" w:color="auto"/>
            </w:tcBorders>
            <w:vAlign w:val="center"/>
            <w:hideMark/>
          </w:tcPr>
          <w:p w14:paraId="77D49B1A"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2,25</w:t>
            </w:r>
          </w:p>
        </w:tc>
        <w:tc>
          <w:tcPr>
            <w:tcW w:w="936" w:type="dxa"/>
            <w:tcBorders>
              <w:top w:val="nil"/>
              <w:left w:val="nil"/>
              <w:bottom w:val="single" w:sz="4" w:space="0" w:color="auto"/>
              <w:right w:val="single" w:sz="4" w:space="0" w:color="auto"/>
            </w:tcBorders>
            <w:vAlign w:val="center"/>
            <w:hideMark/>
          </w:tcPr>
          <w:p w14:paraId="324F3360"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w:t>
            </w:r>
          </w:p>
        </w:tc>
        <w:tc>
          <w:tcPr>
            <w:tcW w:w="763" w:type="dxa"/>
            <w:tcBorders>
              <w:top w:val="nil"/>
              <w:left w:val="nil"/>
              <w:bottom w:val="single" w:sz="4" w:space="0" w:color="auto"/>
              <w:right w:val="single" w:sz="4" w:space="0" w:color="auto"/>
            </w:tcBorders>
            <w:vAlign w:val="center"/>
            <w:hideMark/>
          </w:tcPr>
          <w:p w14:paraId="2372B854"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73,04</w:t>
            </w:r>
          </w:p>
        </w:tc>
      </w:tr>
      <w:tr w:rsidR="004C14FC" w:rsidRPr="004C14FC" w14:paraId="46BB6CAF" w14:textId="77777777" w:rsidTr="00721F68">
        <w:trPr>
          <w:trHeight w:val="340"/>
          <w:jc w:val="center"/>
        </w:trPr>
        <w:tc>
          <w:tcPr>
            <w:tcW w:w="1207" w:type="dxa"/>
            <w:tcBorders>
              <w:top w:val="nil"/>
              <w:left w:val="single" w:sz="4" w:space="0" w:color="auto"/>
              <w:bottom w:val="single" w:sz="4" w:space="0" w:color="auto"/>
              <w:right w:val="single" w:sz="4" w:space="0" w:color="auto"/>
            </w:tcBorders>
            <w:vAlign w:val="center"/>
            <w:hideMark/>
          </w:tcPr>
          <w:p w14:paraId="0428732E" w14:textId="77777777" w:rsidR="004C14FC" w:rsidRPr="00E02C8A"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1949-50</w:t>
            </w:r>
          </w:p>
        </w:tc>
        <w:tc>
          <w:tcPr>
            <w:tcW w:w="1036" w:type="dxa"/>
            <w:tcBorders>
              <w:top w:val="nil"/>
              <w:left w:val="nil"/>
              <w:bottom w:val="single" w:sz="4" w:space="0" w:color="auto"/>
              <w:right w:val="single" w:sz="4" w:space="0" w:color="auto"/>
            </w:tcBorders>
            <w:vAlign w:val="center"/>
            <w:hideMark/>
          </w:tcPr>
          <w:p w14:paraId="1ED7675C"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45,74(b)</w:t>
            </w:r>
          </w:p>
        </w:tc>
        <w:tc>
          <w:tcPr>
            <w:tcW w:w="883" w:type="dxa"/>
            <w:tcBorders>
              <w:top w:val="nil"/>
              <w:left w:val="nil"/>
              <w:bottom w:val="single" w:sz="4" w:space="0" w:color="auto"/>
              <w:right w:val="single" w:sz="4" w:space="0" w:color="auto"/>
            </w:tcBorders>
            <w:vAlign w:val="center"/>
            <w:hideMark/>
          </w:tcPr>
          <w:p w14:paraId="48A4EF02"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1,94</w:t>
            </w:r>
          </w:p>
        </w:tc>
        <w:tc>
          <w:tcPr>
            <w:tcW w:w="1470" w:type="dxa"/>
            <w:tcBorders>
              <w:top w:val="nil"/>
              <w:left w:val="nil"/>
              <w:bottom w:val="single" w:sz="4" w:space="0" w:color="auto"/>
              <w:right w:val="single" w:sz="4" w:space="0" w:color="auto"/>
            </w:tcBorders>
            <w:vAlign w:val="center"/>
            <w:hideMark/>
          </w:tcPr>
          <w:p w14:paraId="7A71EBF6"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70</w:t>
            </w:r>
          </w:p>
        </w:tc>
        <w:tc>
          <w:tcPr>
            <w:tcW w:w="936" w:type="dxa"/>
            <w:tcBorders>
              <w:top w:val="nil"/>
              <w:left w:val="nil"/>
              <w:bottom w:val="single" w:sz="4" w:space="0" w:color="auto"/>
              <w:right w:val="single" w:sz="4" w:space="0" w:color="auto"/>
            </w:tcBorders>
            <w:vAlign w:val="center"/>
            <w:hideMark/>
          </w:tcPr>
          <w:p w14:paraId="7F7648C7"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w:t>
            </w:r>
          </w:p>
        </w:tc>
        <w:tc>
          <w:tcPr>
            <w:tcW w:w="936" w:type="dxa"/>
            <w:tcBorders>
              <w:top w:val="nil"/>
              <w:left w:val="nil"/>
              <w:bottom w:val="single" w:sz="4" w:space="0" w:color="auto"/>
              <w:right w:val="single" w:sz="4" w:space="0" w:color="auto"/>
            </w:tcBorders>
            <w:vAlign w:val="center"/>
            <w:hideMark/>
          </w:tcPr>
          <w:p w14:paraId="77D309C7"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w:t>
            </w:r>
          </w:p>
        </w:tc>
        <w:tc>
          <w:tcPr>
            <w:tcW w:w="936" w:type="dxa"/>
            <w:tcBorders>
              <w:top w:val="nil"/>
              <w:left w:val="nil"/>
              <w:bottom w:val="single" w:sz="4" w:space="0" w:color="auto"/>
              <w:right w:val="single" w:sz="4" w:space="0" w:color="auto"/>
            </w:tcBorders>
            <w:vAlign w:val="center"/>
            <w:hideMark/>
          </w:tcPr>
          <w:p w14:paraId="762B117F"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1,86</w:t>
            </w:r>
          </w:p>
        </w:tc>
        <w:tc>
          <w:tcPr>
            <w:tcW w:w="1683" w:type="dxa"/>
            <w:tcBorders>
              <w:top w:val="nil"/>
              <w:left w:val="nil"/>
              <w:bottom w:val="single" w:sz="4" w:space="0" w:color="auto"/>
              <w:right w:val="single" w:sz="4" w:space="0" w:color="auto"/>
            </w:tcBorders>
            <w:vAlign w:val="center"/>
            <w:hideMark/>
          </w:tcPr>
          <w:p w14:paraId="6D4B3F3A"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9,34</w:t>
            </w:r>
          </w:p>
        </w:tc>
        <w:tc>
          <w:tcPr>
            <w:tcW w:w="936" w:type="dxa"/>
            <w:tcBorders>
              <w:top w:val="nil"/>
              <w:left w:val="nil"/>
              <w:bottom w:val="single" w:sz="4" w:space="0" w:color="auto"/>
              <w:right w:val="single" w:sz="4" w:space="0" w:color="auto"/>
            </w:tcBorders>
            <w:vAlign w:val="center"/>
            <w:hideMark/>
          </w:tcPr>
          <w:p w14:paraId="7AC58B47"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2,13</w:t>
            </w:r>
          </w:p>
        </w:tc>
        <w:tc>
          <w:tcPr>
            <w:tcW w:w="1563" w:type="dxa"/>
            <w:tcBorders>
              <w:top w:val="nil"/>
              <w:left w:val="nil"/>
              <w:bottom w:val="single" w:sz="4" w:space="0" w:color="auto"/>
              <w:right w:val="single" w:sz="4" w:space="0" w:color="auto"/>
            </w:tcBorders>
            <w:vAlign w:val="center"/>
            <w:hideMark/>
          </w:tcPr>
          <w:p w14:paraId="077D22B3"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14,78</w:t>
            </w:r>
          </w:p>
        </w:tc>
        <w:tc>
          <w:tcPr>
            <w:tcW w:w="963" w:type="dxa"/>
            <w:tcBorders>
              <w:top w:val="nil"/>
              <w:left w:val="nil"/>
              <w:bottom w:val="single" w:sz="4" w:space="0" w:color="auto"/>
              <w:right w:val="single" w:sz="4" w:space="0" w:color="auto"/>
            </w:tcBorders>
            <w:vAlign w:val="center"/>
            <w:hideMark/>
          </w:tcPr>
          <w:p w14:paraId="66A8E2E6"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2,25</w:t>
            </w:r>
          </w:p>
        </w:tc>
        <w:tc>
          <w:tcPr>
            <w:tcW w:w="936" w:type="dxa"/>
            <w:tcBorders>
              <w:top w:val="nil"/>
              <w:left w:val="nil"/>
              <w:bottom w:val="single" w:sz="4" w:space="0" w:color="auto"/>
              <w:right w:val="single" w:sz="4" w:space="0" w:color="auto"/>
            </w:tcBorders>
            <w:vAlign w:val="center"/>
            <w:hideMark/>
          </w:tcPr>
          <w:p w14:paraId="78158265"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w:t>
            </w:r>
          </w:p>
        </w:tc>
        <w:tc>
          <w:tcPr>
            <w:tcW w:w="763" w:type="dxa"/>
            <w:tcBorders>
              <w:top w:val="nil"/>
              <w:left w:val="nil"/>
              <w:bottom w:val="single" w:sz="4" w:space="0" w:color="auto"/>
              <w:right w:val="single" w:sz="4" w:space="0" w:color="auto"/>
            </w:tcBorders>
            <w:vAlign w:val="center"/>
            <w:hideMark/>
          </w:tcPr>
          <w:p w14:paraId="6C384BA8"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78,74</w:t>
            </w:r>
          </w:p>
        </w:tc>
      </w:tr>
      <w:tr w:rsidR="004C14FC" w:rsidRPr="004C14FC" w14:paraId="32CB7527" w14:textId="77777777" w:rsidTr="00721F68">
        <w:trPr>
          <w:trHeight w:val="340"/>
          <w:jc w:val="center"/>
        </w:trPr>
        <w:tc>
          <w:tcPr>
            <w:tcW w:w="1207" w:type="dxa"/>
            <w:tcBorders>
              <w:top w:val="nil"/>
              <w:left w:val="single" w:sz="4" w:space="0" w:color="auto"/>
              <w:bottom w:val="single" w:sz="4" w:space="0" w:color="auto"/>
              <w:right w:val="single" w:sz="4" w:space="0" w:color="auto"/>
            </w:tcBorders>
            <w:vAlign w:val="center"/>
            <w:hideMark/>
          </w:tcPr>
          <w:p w14:paraId="1F454AC5" w14:textId="77777777" w:rsidR="004C14FC" w:rsidRPr="00E02C8A"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1950-51</w:t>
            </w:r>
          </w:p>
        </w:tc>
        <w:tc>
          <w:tcPr>
            <w:tcW w:w="1036" w:type="dxa"/>
            <w:tcBorders>
              <w:top w:val="nil"/>
              <w:left w:val="nil"/>
              <w:bottom w:val="single" w:sz="4" w:space="0" w:color="auto"/>
              <w:right w:val="single" w:sz="4" w:space="0" w:color="auto"/>
            </w:tcBorders>
            <w:vAlign w:val="center"/>
            <w:hideMark/>
          </w:tcPr>
          <w:p w14:paraId="40522F33"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47,52(b)</w:t>
            </w:r>
          </w:p>
        </w:tc>
        <w:tc>
          <w:tcPr>
            <w:tcW w:w="883" w:type="dxa"/>
            <w:tcBorders>
              <w:top w:val="nil"/>
              <w:left w:val="nil"/>
              <w:bottom w:val="single" w:sz="4" w:space="0" w:color="auto"/>
              <w:right w:val="single" w:sz="4" w:space="0" w:color="auto"/>
            </w:tcBorders>
            <w:vAlign w:val="center"/>
            <w:hideMark/>
          </w:tcPr>
          <w:p w14:paraId="2BE983E1"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w:t>
            </w:r>
          </w:p>
        </w:tc>
        <w:tc>
          <w:tcPr>
            <w:tcW w:w="1470" w:type="dxa"/>
            <w:tcBorders>
              <w:top w:val="nil"/>
              <w:left w:val="nil"/>
              <w:bottom w:val="single" w:sz="4" w:space="0" w:color="auto"/>
              <w:right w:val="single" w:sz="4" w:space="0" w:color="auto"/>
            </w:tcBorders>
            <w:vAlign w:val="center"/>
            <w:hideMark/>
          </w:tcPr>
          <w:p w14:paraId="38752C1A"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w:t>
            </w:r>
          </w:p>
        </w:tc>
        <w:tc>
          <w:tcPr>
            <w:tcW w:w="936" w:type="dxa"/>
            <w:tcBorders>
              <w:top w:val="nil"/>
              <w:left w:val="nil"/>
              <w:bottom w:val="single" w:sz="4" w:space="0" w:color="auto"/>
              <w:right w:val="single" w:sz="4" w:space="0" w:color="auto"/>
            </w:tcBorders>
            <w:vAlign w:val="center"/>
            <w:hideMark/>
          </w:tcPr>
          <w:p w14:paraId="0229A15D"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1,85</w:t>
            </w:r>
          </w:p>
        </w:tc>
        <w:tc>
          <w:tcPr>
            <w:tcW w:w="936" w:type="dxa"/>
            <w:tcBorders>
              <w:top w:val="nil"/>
              <w:left w:val="nil"/>
              <w:bottom w:val="single" w:sz="4" w:space="0" w:color="auto"/>
              <w:right w:val="single" w:sz="4" w:space="0" w:color="auto"/>
            </w:tcBorders>
            <w:vAlign w:val="center"/>
            <w:hideMark/>
          </w:tcPr>
          <w:p w14:paraId="12201DF1"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1,11</w:t>
            </w:r>
          </w:p>
        </w:tc>
        <w:tc>
          <w:tcPr>
            <w:tcW w:w="936" w:type="dxa"/>
            <w:tcBorders>
              <w:top w:val="nil"/>
              <w:left w:val="nil"/>
              <w:bottom w:val="single" w:sz="4" w:space="0" w:color="auto"/>
              <w:right w:val="single" w:sz="4" w:space="0" w:color="auto"/>
            </w:tcBorders>
            <w:vAlign w:val="center"/>
            <w:hideMark/>
          </w:tcPr>
          <w:p w14:paraId="75296005"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11,87</w:t>
            </w:r>
          </w:p>
        </w:tc>
        <w:tc>
          <w:tcPr>
            <w:tcW w:w="1683" w:type="dxa"/>
            <w:tcBorders>
              <w:top w:val="nil"/>
              <w:left w:val="nil"/>
              <w:bottom w:val="single" w:sz="4" w:space="0" w:color="auto"/>
              <w:right w:val="single" w:sz="4" w:space="0" w:color="auto"/>
            </w:tcBorders>
            <w:vAlign w:val="center"/>
            <w:hideMark/>
          </w:tcPr>
          <w:p w14:paraId="4F559CDF"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9,92</w:t>
            </w:r>
          </w:p>
        </w:tc>
        <w:tc>
          <w:tcPr>
            <w:tcW w:w="936" w:type="dxa"/>
            <w:tcBorders>
              <w:top w:val="nil"/>
              <w:left w:val="nil"/>
              <w:bottom w:val="single" w:sz="4" w:space="0" w:color="auto"/>
              <w:right w:val="single" w:sz="4" w:space="0" w:color="auto"/>
            </w:tcBorders>
            <w:vAlign w:val="center"/>
            <w:hideMark/>
          </w:tcPr>
          <w:p w14:paraId="226FF6FF"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1,42</w:t>
            </w:r>
          </w:p>
        </w:tc>
        <w:tc>
          <w:tcPr>
            <w:tcW w:w="1563" w:type="dxa"/>
            <w:tcBorders>
              <w:top w:val="nil"/>
              <w:left w:val="nil"/>
              <w:bottom w:val="single" w:sz="4" w:space="0" w:color="auto"/>
              <w:right w:val="single" w:sz="4" w:space="0" w:color="auto"/>
            </w:tcBorders>
            <w:vAlign w:val="center"/>
            <w:hideMark/>
          </w:tcPr>
          <w:p w14:paraId="3C636243"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w:t>
            </w:r>
          </w:p>
        </w:tc>
        <w:tc>
          <w:tcPr>
            <w:tcW w:w="963" w:type="dxa"/>
            <w:tcBorders>
              <w:top w:val="nil"/>
              <w:left w:val="nil"/>
              <w:bottom w:val="single" w:sz="4" w:space="0" w:color="auto"/>
              <w:right w:val="single" w:sz="4" w:space="0" w:color="auto"/>
            </w:tcBorders>
            <w:vAlign w:val="center"/>
            <w:hideMark/>
          </w:tcPr>
          <w:p w14:paraId="4BBD8512"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75</w:t>
            </w:r>
          </w:p>
        </w:tc>
        <w:tc>
          <w:tcPr>
            <w:tcW w:w="936" w:type="dxa"/>
            <w:tcBorders>
              <w:top w:val="nil"/>
              <w:left w:val="nil"/>
              <w:bottom w:val="single" w:sz="4" w:space="0" w:color="auto"/>
              <w:right w:val="single" w:sz="4" w:space="0" w:color="auto"/>
            </w:tcBorders>
            <w:vAlign w:val="center"/>
            <w:hideMark/>
          </w:tcPr>
          <w:p w14:paraId="40A6F07C"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2</w:t>
            </w:r>
          </w:p>
        </w:tc>
        <w:tc>
          <w:tcPr>
            <w:tcW w:w="763" w:type="dxa"/>
            <w:tcBorders>
              <w:top w:val="nil"/>
              <w:left w:val="nil"/>
              <w:bottom w:val="single" w:sz="4" w:space="0" w:color="auto"/>
              <w:right w:val="single" w:sz="4" w:space="0" w:color="auto"/>
            </w:tcBorders>
            <w:vAlign w:val="center"/>
            <w:hideMark/>
          </w:tcPr>
          <w:p w14:paraId="5F64A2EE"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76,46</w:t>
            </w:r>
          </w:p>
        </w:tc>
      </w:tr>
      <w:tr w:rsidR="004C14FC" w:rsidRPr="004C14FC" w14:paraId="562FA741" w14:textId="77777777" w:rsidTr="00721F68">
        <w:trPr>
          <w:trHeight w:val="340"/>
          <w:jc w:val="center"/>
        </w:trPr>
        <w:tc>
          <w:tcPr>
            <w:tcW w:w="1207" w:type="dxa"/>
            <w:tcBorders>
              <w:top w:val="nil"/>
              <w:left w:val="single" w:sz="4" w:space="0" w:color="auto"/>
              <w:bottom w:val="single" w:sz="4" w:space="0" w:color="auto"/>
              <w:right w:val="single" w:sz="4" w:space="0" w:color="auto"/>
            </w:tcBorders>
            <w:vAlign w:val="center"/>
            <w:hideMark/>
          </w:tcPr>
          <w:p w14:paraId="425A3A33" w14:textId="77777777" w:rsidR="004C14FC" w:rsidRPr="00E02C8A"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1951-52</w:t>
            </w:r>
          </w:p>
        </w:tc>
        <w:tc>
          <w:tcPr>
            <w:tcW w:w="1036" w:type="dxa"/>
            <w:tcBorders>
              <w:top w:val="nil"/>
              <w:left w:val="nil"/>
              <w:bottom w:val="single" w:sz="4" w:space="0" w:color="auto"/>
              <w:right w:val="single" w:sz="4" w:space="0" w:color="auto"/>
            </w:tcBorders>
            <w:vAlign w:val="center"/>
            <w:hideMark/>
          </w:tcPr>
          <w:p w14:paraId="1A7798FC"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52,70(c)</w:t>
            </w:r>
          </w:p>
        </w:tc>
        <w:tc>
          <w:tcPr>
            <w:tcW w:w="883" w:type="dxa"/>
            <w:tcBorders>
              <w:top w:val="nil"/>
              <w:left w:val="nil"/>
              <w:bottom w:val="single" w:sz="4" w:space="0" w:color="auto"/>
              <w:right w:val="single" w:sz="4" w:space="0" w:color="auto"/>
            </w:tcBorders>
            <w:vAlign w:val="center"/>
            <w:hideMark/>
          </w:tcPr>
          <w:p w14:paraId="7934C8F2"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w:t>
            </w:r>
          </w:p>
        </w:tc>
        <w:tc>
          <w:tcPr>
            <w:tcW w:w="1470" w:type="dxa"/>
            <w:tcBorders>
              <w:top w:val="nil"/>
              <w:left w:val="nil"/>
              <w:bottom w:val="single" w:sz="4" w:space="0" w:color="auto"/>
              <w:right w:val="single" w:sz="4" w:space="0" w:color="auto"/>
            </w:tcBorders>
            <w:vAlign w:val="center"/>
            <w:hideMark/>
          </w:tcPr>
          <w:p w14:paraId="790DDE1A"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w:t>
            </w:r>
          </w:p>
        </w:tc>
        <w:tc>
          <w:tcPr>
            <w:tcW w:w="936" w:type="dxa"/>
            <w:tcBorders>
              <w:top w:val="nil"/>
              <w:left w:val="nil"/>
              <w:bottom w:val="single" w:sz="4" w:space="0" w:color="auto"/>
              <w:right w:val="single" w:sz="4" w:space="0" w:color="auto"/>
            </w:tcBorders>
            <w:vAlign w:val="center"/>
            <w:hideMark/>
          </w:tcPr>
          <w:p w14:paraId="240E84C2"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1,85</w:t>
            </w:r>
          </w:p>
        </w:tc>
        <w:tc>
          <w:tcPr>
            <w:tcW w:w="936" w:type="dxa"/>
            <w:tcBorders>
              <w:top w:val="nil"/>
              <w:left w:val="nil"/>
              <w:bottom w:val="single" w:sz="4" w:space="0" w:color="auto"/>
              <w:right w:val="single" w:sz="4" w:space="0" w:color="auto"/>
            </w:tcBorders>
            <w:vAlign w:val="center"/>
            <w:hideMark/>
          </w:tcPr>
          <w:p w14:paraId="5C07BCF3"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2,45</w:t>
            </w:r>
          </w:p>
        </w:tc>
        <w:tc>
          <w:tcPr>
            <w:tcW w:w="936" w:type="dxa"/>
            <w:tcBorders>
              <w:top w:val="nil"/>
              <w:left w:val="nil"/>
              <w:bottom w:val="single" w:sz="4" w:space="0" w:color="auto"/>
              <w:right w:val="single" w:sz="4" w:space="0" w:color="auto"/>
            </w:tcBorders>
            <w:vAlign w:val="center"/>
            <w:hideMark/>
          </w:tcPr>
          <w:p w14:paraId="2FE89224"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13,77</w:t>
            </w:r>
          </w:p>
        </w:tc>
        <w:tc>
          <w:tcPr>
            <w:tcW w:w="1683" w:type="dxa"/>
            <w:tcBorders>
              <w:top w:val="nil"/>
              <w:left w:val="nil"/>
              <w:bottom w:val="single" w:sz="4" w:space="0" w:color="auto"/>
              <w:right w:val="single" w:sz="4" w:space="0" w:color="auto"/>
            </w:tcBorders>
            <w:vAlign w:val="center"/>
            <w:hideMark/>
          </w:tcPr>
          <w:p w14:paraId="083B3D15"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8,78</w:t>
            </w:r>
          </w:p>
        </w:tc>
        <w:tc>
          <w:tcPr>
            <w:tcW w:w="936" w:type="dxa"/>
            <w:tcBorders>
              <w:top w:val="nil"/>
              <w:left w:val="nil"/>
              <w:bottom w:val="single" w:sz="4" w:space="0" w:color="auto"/>
              <w:right w:val="single" w:sz="4" w:space="0" w:color="auto"/>
            </w:tcBorders>
            <w:vAlign w:val="center"/>
            <w:hideMark/>
          </w:tcPr>
          <w:p w14:paraId="63A30579"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5,31</w:t>
            </w:r>
          </w:p>
        </w:tc>
        <w:tc>
          <w:tcPr>
            <w:tcW w:w="1563" w:type="dxa"/>
            <w:tcBorders>
              <w:top w:val="nil"/>
              <w:left w:val="nil"/>
              <w:bottom w:val="single" w:sz="4" w:space="0" w:color="auto"/>
              <w:right w:val="single" w:sz="4" w:space="0" w:color="auto"/>
            </w:tcBorders>
            <w:vAlign w:val="center"/>
            <w:hideMark/>
          </w:tcPr>
          <w:p w14:paraId="0015F1AA"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1,05(d)</w:t>
            </w:r>
          </w:p>
        </w:tc>
        <w:tc>
          <w:tcPr>
            <w:tcW w:w="963" w:type="dxa"/>
            <w:tcBorders>
              <w:top w:val="nil"/>
              <w:left w:val="nil"/>
              <w:bottom w:val="single" w:sz="4" w:space="0" w:color="auto"/>
              <w:right w:val="single" w:sz="4" w:space="0" w:color="auto"/>
            </w:tcBorders>
            <w:vAlign w:val="center"/>
            <w:hideMark/>
          </w:tcPr>
          <w:p w14:paraId="64E4C027"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w:t>
            </w:r>
          </w:p>
        </w:tc>
        <w:tc>
          <w:tcPr>
            <w:tcW w:w="936" w:type="dxa"/>
            <w:tcBorders>
              <w:top w:val="nil"/>
              <w:left w:val="nil"/>
              <w:bottom w:val="single" w:sz="4" w:space="0" w:color="auto"/>
              <w:right w:val="single" w:sz="4" w:space="0" w:color="auto"/>
            </w:tcBorders>
            <w:vAlign w:val="center"/>
            <w:hideMark/>
          </w:tcPr>
          <w:p w14:paraId="36AC7741"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81</w:t>
            </w:r>
          </w:p>
        </w:tc>
        <w:tc>
          <w:tcPr>
            <w:tcW w:w="763" w:type="dxa"/>
            <w:tcBorders>
              <w:top w:val="nil"/>
              <w:left w:val="nil"/>
              <w:bottom w:val="single" w:sz="4" w:space="0" w:color="auto"/>
              <w:right w:val="single" w:sz="4" w:space="0" w:color="auto"/>
            </w:tcBorders>
            <w:vAlign w:val="center"/>
            <w:hideMark/>
          </w:tcPr>
          <w:p w14:paraId="1167CCFC"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86,72</w:t>
            </w:r>
          </w:p>
        </w:tc>
      </w:tr>
      <w:tr w:rsidR="004C14FC" w:rsidRPr="004C14FC" w14:paraId="2C3EA70F" w14:textId="77777777" w:rsidTr="00721F68">
        <w:trPr>
          <w:trHeight w:val="340"/>
          <w:jc w:val="center"/>
        </w:trPr>
        <w:tc>
          <w:tcPr>
            <w:tcW w:w="1207" w:type="dxa"/>
            <w:tcBorders>
              <w:top w:val="nil"/>
              <w:left w:val="single" w:sz="4" w:space="0" w:color="auto"/>
              <w:bottom w:val="single" w:sz="4" w:space="0" w:color="auto"/>
              <w:right w:val="single" w:sz="4" w:space="0" w:color="auto"/>
            </w:tcBorders>
            <w:vAlign w:val="center"/>
            <w:hideMark/>
          </w:tcPr>
          <w:p w14:paraId="7D303BEE" w14:textId="77777777" w:rsidR="004C14FC" w:rsidRPr="00E02C8A"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1952-53</w:t>
            </w:r>
          </w:p>
        </w:tc>
        <w:tc>
          <w:tcPr>
            <w:tcW w:w="1036" w:type="dxa"/>
            <w:tcBorders>
              <w:top w:val="nil"/>
              <w:left w:val="nil"/>
              <w:bottom w:val="single" w:sz="4" w:space="0" w:color="auto"/>
              <w:right w:val="single" w:sz="4" w:space="0" w:color="auto"/>
            </w:tcBorders>
            <w:vAlign w:val="center"/>
            <w:hideMark/>
          </w:tcPr>
          <w:p w14:paraId="3E781910"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50,84(f)</w:t>
            </w:r>
          </w:p>
        </w:tc>
        <w:tc>
          <w:tcPr>
            <w:tcW w:w="883" w:type="dxa"/>
            <w:tcBorders>
              <w:top w:val="nil"/>
              <w:left w:val="nil"/>
              <w:bottom w:val="single" w:sz="4" w:space="0" w:color="auto"/>
              <w:right w:val="single" w:sz="4" w:space="0" w:color="auto"/>
            </w:tcBorders>
            <w:vAlign w:val="center"/>
            <w:hideMark/>
          </w:tcPr>
          <w:p w14:paraId="2066618B"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w:t>
            </w:r>
          </w:p>
        </w:tc>
        <w:tc>
          <w:tcPr>
            <w:tcW w:w="1470" w:type="dxa"/>
            <w:tcBorders>
              <w:top w:val="nil"/>
              <w:left w:val="nil"/>
              <w:bottom w:val="single" w:sz="4" w:space="0" w:color="auto"/>
              <w:right w:val="single" w:sz="4" w:space="0" w:color="auto"/>
            </w:tcBorders>
            <w:vAlign w:val="center"/>
            <w:hideMark/>
          </w:tcPr>
          <w:p w14:paraId="12B8C619"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w:t>
            </w:r>
          </w:p>
        </w:tc>
        <w:tc>
          <w:tcPr>
            <w:tcW w:w="936" w:type="dxa"/>
            <w:tcBorders>
              <w:top w:val="nil"/>
              <w:left w:val="nil"/>
              <w:bottom w:val="single" w:sz="4" w:space="0" w:color="auto"/>
              <w:right w:val="single" w:sz="4" w:space="0" w:color="auto"/>
            </w:tcBorders>
            <w:vAlign w:val="center"/>
            <w:hideMark/>
          </w:tcPr>
          <w:p w14:paraId="55947430"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1,85</w:t>
            </w:r>
          </w:p>
        </w:tc>
        <w:tc>
          <w:tcPr>
            <w:tcW w:w="936" w:type="dxa"/>
            <w:tcBorders>
              <w:top w:val="nil"/>
              <w:left w:val="nil"/>
              <w:bottom w:val="single" w:sz="4" w:space="0" w:color="auto"/>
              <w:right w:val="single" w:sz="4" w:space="0" w:color="auto"/>
            </w:tcBorders>
            <w:vAlign w:val="center"/>
            <w:hideMark/>
          </w:tcPr>
          <w:p w14:paraId="3B3A3DBD"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2,50</w:t>
            </w:r>
          </w:p>
        </w:tc>
        <w:tc>
          <w:tcPr>
            <w:tcW w:w="936" w:type="dxa"/>
            <w:tcBorders>
              <w:top w:val="nil"/>
              <w:left w:val="nil"/>
              <w:bottom w:val="single" w:sz="4" w:space="0" w:color="auto"/>
              <w:right w:val="single" w:sz="4" w:space="0" w:color="auto"/>
            </w:tcBorders>
            <w:vAlign w:val="center"/>
            <w:hideMark/>
          </w:tcPr>
          <w:p w14:paraId="445F4F81"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11,92</w:t>
            </w:r>
          </w:p>
        </w:tc>
        <w:tc>
          <w:tcPr>
            <w:tcW w:w="1683" w:type="dxa"/>
            <w:tcBorders>
              <w:top w:val="nil"/>
              <w:left w:val="nil"/>
              <w:bottom w:val="single" w:sz="4" w:space="0" w:color="auto"/>
              <w:right w:val="single" w:sz="4" w:space="0" w:color="auto"/>
            </w:tcBorders>
            <w:vAlign w:val="center"/>
            <w:hideMark/>
          </w:tcPr>
          <w:p w14:paraId="1779EB85"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5,60</w:t>
            </w:r>
          </w:p>
        </w:tc>
        <w:tc>
          <w:tcPr>
            <w:tcW w:w="936" w:type="dxa"/>
            <w:tcBorders>
              <w:top w:val="nil"/>
              <w:left w:val="nil"/>
              <w:bottom w:val="single" w:sz="4" w:space="0" w:color="auto"/>
              <w:right w:val="single" w:sz="4" w:space="0" w:color="auto"/>
            </w:tcBorders>
            <w:vAlign w:val="center"/>
            <w:hideMark/>
          </w:tcPr>
          <w:p w14:paraId="3B4D171F"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6,35(e)</w:t>
            </w:r>
          </w:p>
        </w:tc>
        <w:tc>
          <w:tcPr>
            <w:tcW w:w="1563" w:type="dxa"/>
            <w:tcBorders>
              <w:top w:val="nil"/>
              <w:left w:val="nil"/>
              <w:bottom w:val="single" w:sz="4" w:space="0" w:color="auto"/>
              <w:right w:val="single" w:sz="4" w:space="0" w:color="auto"/>
            </w:tcBorders>
            <w:vAlign w:val="center"/>
            <w:hideMark/>
          </w:tcPr>
          <w:p w14:paraId="177CD6E2"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1,95(d)</w:t>
            </w:r>
          </w:p>
        </w:tc>
        <w:tc>
          <w:tcPr>
            <w:tcW w:w="963" w:type="dxa"/>
            <w:tcBorders>
              <w:top w:val="nil"/>
              <w:left w:val="nil"/>
              <w:bottom w:val="single" w:sz="4" w:space="0" w:color="auto"/>
              <w:right w:val="single" w:sz="4" w:space="0" w:color="auto"/>
            </w:tcBorders>
            <w:vAlign w:val="center"/>
            <w:hideMark/>
          </w:tcPr>
          <w:p w14:paraId="2B4C4EAE"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w:t>
            </w:r>
          </w:p>
        </w:tc>
        <w:tc>
          <w:tcPr>
            <w:tcW w:w="936" w:type="dxa"/>
            <w:tcBorders>
              <w:top w:val="nil"/>
              <w:left w:val="nil"/>
              <w:bottom w:val="single" w:sz="4" w:space="0" w:color="auto"/>
              <w:right w:val="single" w:sz="4" w:space="0" w:color="auto"/>
            </w:tcBorders>
            <w:vAlign w:val="center"/>
            <w:hideMark/>
          </w:tcPr>
          <w:p w14:paraId="297333FE"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1,00</w:t>
            </w:r>
          </w:p>
        </w:tc>
        <w:tc>
          <w:tcPr>
            <w:tcW w:w="763" w:type="dxa"/>
            <w:tcBorders>
              <w:top w:val="nil"/>
              <w:left w:val="nil"/>
              <w:bottom w:val="single" w:sz="4" w:space="0" w:color="auto"/>
              <w:right w:val="single" w:sz="4" w:space="0" w:color="auto"/>
            </w:tcBorders>
            <w:vAlign w:val="center"/>
            <w:hideMark/>
          </w:tcPr>
          <w:p w14:paraId="439E5564" w14:textId="77777777" w:rsidR="004C14FC" w:rsidRPr="004C14FC" w:rsidRDefault="004C14FC" w:rsidP="00721F68">
            <w:pPr>
              <w:spacing w:after="0" w:line="240" w:lineRule="auto"/>
              <w:jc w:val="center"/>
              <w:rPr>
                <w:rFonts w:ascii="Times New Roman" w:eastAsia="Times New Roman" w:hAnsi="Times New Roman" w:cs="Times New Roman"/>
                <w:color w:val="000000"/>
                <w:kern w:val="0"/>
                <w:szCs w:val="24"/>
                <w:lang w:eastAsia="en-IN"/>
                <w14:ligatures w14:val="none"/>
              </w:rPr>
            </w:pPr>
            <w:r w:rsidRPr="004C14FC">
              <w:rPr>
                <w:rFonts w:ascii="Times New Roman" w:eastAsia="Times New Roman" w:hAnsi="Times New Roman" w:cs="Times New Roman"/>
                <w:color w:val="000000"/>
                <w:kern w:val="0"/>
                <w:szCs w:val="24"/>
                <w:lang w:eastAsia="en-IN"/>
                <w14:ligatures w14:val="none"/>
              </w:rPr>
              <w:t>82,01</w:t>
            </w:r>
          </w:p>
        </w:tc>
      </w:tr>
    </w:tbl>
    <w:p w14:paraId="17E5C972" w14:textId="42AECE68" w:rsidR="006C6AEC" w:rsidRPr="00721F68" w:rsidRDefault="006C6AEC" w:rsidP="00721F68">
      <w:pPr>
        <w:pStyle w:val="Sources"/>
      </w:pPr>
      <w:r w:rsidRPr="00721F68">
        <w:t>(a) Rehabilitation Grants, Grow More Food Grants and Development Grants from</w:t>
      </w:r>
      <w:r w:rsidR="00721F68" w:rsidRPr="00721F68">
        <w:t xml:space="preserve"> 1950-51 are given under Article 282.</w:t>
      </w:r>
      <w:r w:rsidRPr="00721F68">
        <w:br/>
        <w:t>(b) Receipts under this head as shown in the States' budget add upto Rs. 45,76 lakhs</w:t>
      </w:r>
      <w:r w:rsidR="00721F68" w:rsidRPr="00721F68">
        <w:t xml:space="preserve"> in 1949-50 and Rs. 47,68 lakhs in 1950-51.</w:t>
      </w:r>
      <w:r w:rsidRPr="00721F68">
        <w:br/>
        <w:t>(c) Inclusive of Rs. 2.5 crores arrears. Receipts as shown in the States' budgets add</w:t>
      </w:r>
      <w:r w:rsidR="00721F68" w:rsidRPr="00721F68">
        <w:t xml:space="preserve"> up to only Rs. 52,60 lakhs.</w:t>
      </w:r>
      <w:r w:rsidRPr="00721F68">
        <w:br/>
      </w:r>
      <w:r w:rsidRPr="00721F68">
        <w:lastRenderedPageBreak/>
        <w:t>(d) Grants to Madhya Bharat, Patiala and East Punjab States Union, Rajasthan and</w:t>
      </w:r>
      <w:r w:rsidR="00721F68" w:rsidRPr="00721F68">
        <w:t xml:space="preserve"> Saurashtra under clause 1 of Federal Financial Integration Agreements.</w:t>
      </w:r>
      <w:r w:rsidRPr="00721F68">
        <w:br/>
        <w:t>(e) Inclusive of grants to Part C States.</w:t>
      </w:r>
      <w:r w:rsidRPr="00721F68">
        <w:br/>
        <w:t>(f) Inclusive of Rs. 5 crores arrears.</w:t>
      </w:r>
      <w:r w:rsidRPr="00721F68">
        <w:br/>
        <w:t>Subventions from the Central Road Fund and payments for National Highways have not</w:t>
      </w:r>
      <w:r w:rsidR="00721F68" w:rsidRPr="00721F68">
        <w:t xml:space="preserve"> been included. The total grant of Rs. 132 lakhs to Orissa between the years 1947-48 and </w:t>
      </w:r>
      <w:r w:rsidRPr="00721F68">
        <w:t>1952-53 for capital construction has also been excluded as full details for individual years</w:t>
      </w:r>
      <w:r w:rsidR="00721F68" w:rsidRPr="00721F68">
        <w:t xml:space="preserve"> are not shown in the State budgets.</w:t>
      </w:r>
      <w:r w:rsidRPr="00721F68">
        <w:br/>
        <w:t>The scheme of assistance to States by way of post-war Development Grants has been</w:t>
      </w:r>
      <w:r w:rsidR="00721F68" w:rsidRPr="00721F68">
        <w:t xml:space="preserve"> suspended with effect from 1950-51.</w:t>
      </w:r>
      <w:r w:rsidRPr="00721F68">
        <w:br/>
        <w:t>Rehabilitation grants prior to 1950-51 do not include grants to former Indian States.</w:t>
      </w:r>
      <w:r w:rsidRPr="00721F68">
        <w:br/>
        <w:t>Post-war Development and Grow More Food Grants were made from the Capital</w:t>
      </w:r>
      <w:r w:rsidR="00721F68" w:rsidRPr="00721F68">
        <w:t xml:space="preserve"> Budget of the Government of India upto 1950-51. Since 1951-52, all grants are from the </w:t>
      </w:r>
      <w:r w:rsidRPr="00721F68">
        <w:br/>
        <w:t>Revenue Budget; even upto 1950-51, the Provinces were largely taking Post-war Develop</w:t>
      </w:r>
      <w:r w:rsidR="00721F68" w:rsidRPr="00721F68">
        <w:t>ment and Grow More Food Grants to their revenues.</w:t>
      </w:r>
    </w:p>
    <w:p w14:paraId="31B4DE08" w14:textId="77777777" w:rsidR="004C14FC" w:rsidRDefault="004C14FC">
      <w:pPr>
        <w:rPr>
          <w:rFonts w:ascii="Times New Roman" w:hAnsi="Times New Roman" w:cs="Times New Roman"/>
        </w:rPr>
        <w:sectPr w:rsidR="004C14FC" w:rsidSect="004C14FC">
          <w:pgSz w:w="16838" w:h="11906" w:orient="landscape"/>
          <w:pgMar w:top="1134" w:right="1440" w:bottom="1440" w:left="1440" w:header="709" w:footer="709" w:gutter="0"/>
          <w:cols w:space="708"/>
          <w:docGrid w:linePitch="360"/>
        </w:sectPr>
      </w:pPr>
    </w:p>
    <w:p w14:paraId="25D26112" w14:textId="3664F6DF" w:rsidR="001C4D86" w:rsidRDefault="001C4D86" w:rsidP="001C4D86">
      <w:pPr>
        <w:jc w:val="center"/>
        <w:rPr>
          <w:rFonts w:ascii="Times New Roman" w:hAnsi="Times New Roman" w:cs="Times New Roman"/>
          <w:b/>
          <w:bCs/>
        </w:rPr>
      </w:pPr>
      <w:bookmarkStart w:id="39" w:name="_Toc221007148"/>
      <w:r w:rsidRPr="0075507D">
        <w:rPr>
          <w:rStyle w:val="Heading3Char"/>
        </w:rPr>
        <w:lastRenderedPageBreak/>
        <w:t>10.—Resources transferred from the Centre to the State through devolution of Revenue and Grants:</w:t>
      </w:r>
      <w:r w:rsidRPr="0075507D">
        <w:rPr>
          <w:rStyle w:val="Heading3Char"/>
        </w:rPr>
        <w:br/>
        <w:t>Details—1950-51 to 1952-53</w:t>
      </w:r>
      <w:bookmarkEnd w:id="39"/>
      <w:r w:rsidRPr="005534D4">
        <w:rPr>
          <w:rFonts w:ascii="Times New Roman" w:hAnsi="Times New Roman" w:cs="Times New Roman"/>
        </w:rPr>
        <w:br/>
      </w:r>
      <w:r w:rsidRPr="005534D4">
        <w:rPr>
          <w:rFonts w:ascii="Times New Roman" w:hAnsi="Times New Roman" w:cs="Times New Roman"/>
          <w:b/>
          <w:bCs/>
        </w:rPr>
        <w:t>(As shown in the Central Budget)</w:t>
      </w:r>
    </w:p>
    <w:tbl>
      <w:tblPr>
        <w:tblW w:w="15673" w:type="dxa"/>
        <w:jc w:val="center"/>
        <w:tblLook w:val="04A0" w:firstRow="1" w:lastRow="0" w:firstColumn="1" w:lastColumn="0" w:noHBand="0" w:noVBand="1"/>
      </w:tblPr>
      <w:tblGrid>
        <w:gridCol w:w="1897"/>
        <w:gridCol w:w="1296"/>
        <w:gridCol w:w="1170"/>
        <w:gridCol w:w="1322"/>
        <w:gridCol w:w="1375"/>
        <w:gridCol w:w="1170"/>
        <w:gridCol w:w="1474"/>
        <w:gridCol w:w="1187"/>
        <w:gridCol w:w="2004"/>
        <w:gridCol w:w="1559"/>
        <w:gridCol w:w="1213"/>
        <w:gridCol w:w="6"/>
      </w:tblGrid>
      <w:tr w:rsidR="001355EB" w:rsidRPr="001355EB" w14:paraId="47C7B1BF" w14:textId="77777777" w:rsidTr="001355EB">
        <w:trPr>
          <w:trHeight w:val="20"/>
          <w:jc w:val="center"/>
        </w:trPr>
        <w:tc>
          <w:tcPr>
            <w:tcW w:w="1897" w:type="dxa"/>
            <w:vMerge w:val="restart"/>
            <w:tcBorders>
              <w:top w:val="single" w:sz="4" w:space="0" w:color="auto"/>
              <w:left w:val="single" w:sz="4" w:space="0" w:color="auto"/>
              <w:bottom w:val="single" w:sz="4" w:space="0" w:color="000000"/>
              <w:right w:val="single" w:sz="4" w:space="0" w:color="auto"/>
            </w:tcBorders>
            <w:vAlign w:val="center"/>
            <w:hideMark/>
          </w:tcPr>
          <w:p w14:paraId="69C886AC" w14:textId="77777777" w:rsidR="001355EB" w:rsidRPr="001355EB" w:rsidRDefault="001355EB" w:rsidP="001355EB">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1355EB">
              <w:rPr>
                <w:rFonts w:ascii="Times New Roman" w:eastAsia="Times New Roman" w:hAnsi="Times New Roman" w:cs="Times New Roman"/>
                <w:b/>
                <w:bCs/>
                <w:color w:val="000000"/>
                <w:kern w:val="0"/>
                <w:szCs w:val="24"/>
                <w:lang w:eastAsia="en-IN"/>
                <w14:ligatures w14:val="none"/>
              </w:rPr>
              <w:t>State</w:t>
            </w:r>
          </w:p>
        </w:tc>
        <w:tc>
          <w:tcPr>
            <w:tcW w:w="13776" w:type="dxa"/>
            <w:gridSpan w:val="11"/>
            <w:tcBorders>
              <w:top w:val="single" w:sz="4" w:space="0" w:color="auto"/>
              <w:left w:val="nil"/>
              <w:bottom w:val="single" w:sz="4" w:space="0" w:color="auto"/>
              <w:right w:val="single" w:sz="4" w:space="0" w:color="auto"/>
            </w:tcBorders>
            <w:vAlign w:val="center"/>
            <w:hideMark/>
          </w:tcPr>
          <w:p w14:paraId="4CE351D8" w14:textId="5334D0DF" w:rsidR="001355EB" w:rsidRPr="001355EB" w:rsidRDefault="001355EB" w:rsidP="001355EB">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1355EB">
              <w:rPr>
                <w:rFonts w:ascii="Times New Roman" w:eastAsia="Times New Roman" w:hAnsi="Times New Roman" w:cs="Times New Roman"/>
                <w:b/>
                <w:bCs/>
                <w:color w:val="000000"/>
                <w:kern w:val="0"/>
                <w:szCs w:val="24"/>
                <w:lang w:eastAsia="en-IN"/>
                <w14:ligatures w14:val="none"/>
              </w:rPr>
              <w:t>1950-51</w:t>
            </w:r>
          </w:p>
        </w:tc>
      </w:tr>
      <w:tr w:rsidR="001355EB" w:rsidRPr="001355EB" w14:paraId="42B910FB" w14:textId="77777777" w:rsidTr="003323C6">
        <w:trPr>
          <w:gridAfter w:val="1"/>
          <w:wAfter w:w="6" w:type="dxa"/>
          <w:trHeight w:val="20"/>
          <w:jc w:val="center"/>
        </w:trPr>
        <w:tc>
          <w:tcPr>
            <w:tcW w:w="1897" w:type="dxa"/>
            <w:vMerge/>
            <w:tcBorders>
              <w:top w:val="single" w:sz="4" w:space="0" w:color="auto"/>
              <w:left w:val="single" w:sz="4" w:space="0" w:color="auto"/>
              <w:bottom w:val="single" w:sz="4" w:space="0" w:color="000000"/>
              <w:right w:val="single" w:sz="4" w:space="0" w:color="auto"/>
            </w:tcBorders>
            <w:vAlign w:val="center"/>
            <w:hideMark/>
          </w:tcPr>
          <w:p w14:paraId="52FAC3E7" w14:textId="77777777" w:rsidR="001355EB" w:rsidRPr="001355EB" w:rsidRDefault="001355EB" w:rsidP="001355EB">
            <w:pPr>
              <w:spacing w:after="0" w:line="240" w:lineRule="auto"/>
              <w:jc w:val="center"/>
              <w:rPr>
                <w:rFonts w:ascii="Times New Roman" w:eastAsia="Times New Roman" w:hAnsi="Times New Roman" w:cs="Times New Roman"/>
                <w:b/>
                <w:bCs/>
                <w:color w:val="000000"/>
                <w:kern w:val="0"/>
                <w:szCs w:val="24"/>
                <w:lang w:eastAsia="en-IN"/>
                <w14:ligatures w14:val="none"/>
              </w:rPr>
            </w:pPr>
          </w:p>
        </w:tc>
        <w:tc>
          <w:tcPr>
            <w:tcW w:w="1296" w:type="dxa"/>
            <w:vMerge w:val="restart"/>
            <w:tcBorders>
              <w:top w:val="nil"/>
              <w:left w:val="single" w:sz="4" w:space="0" w:color="auto"/>
              <w:bottom w:val="single" w:sz="4" w:space="0" w:color="auto"/>
              <w:right w:val="single" w:sz="4" w:space="0" w:color="auto"/>
            </w:tcBorders>
            <w:vAlign w:val="center"/>
            <w:hideMark/>
          </w:tcPr>
          <w:p w14:paraId="793A54C0" w14:textId="77777777" w:rsidR="001355EB" w:rsidRPr="001355EB" w:rsidRDefault="001355EB" w:rsidP="001355EB">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1355EB">
              <w:rPr>
                <w:rFonts w:ascii="Times New Roman" w:eastAsia="Times New Roman" w:hAnsi="Times New Roman" w:cs="Times New Roman"/>
                <w:b/>
                <w:bCs/>
                <w:color w:val="000000"/>
                <w:kern w:val="0"/>
                <w:szCs w:val="24"/>
                <w:lang w:eastAsia="en-IN"/>
                <w14:ligatures w14:val="none"/>
              </w:rPr>
              <w:t>Share of Income Tax</w:t>
            </w:r>
          </w:p>
        </w:tc>
        <w:tc>
          <w:tcPr>
            <w:tcW w:w="5037" w:type="dxa"/>
            <w:gridSpan w:val="4"/>
            <w:tcBorders>
              <w:top w:val="single" w:sz="4" w:space="0" w:color="auto"/>
              <w:left w:val="nil"/>
              <w:bottom w:val="single" w:sz="4" w:space="0" w:color="auto"/>
              <w:right w:val="single" w:sz="4" w:space="0" w:color="auto"/>
            </w:tcBorders>
            <w:vAlign w:val="center"/>
            <w:hideMark/>
          </w:tcPr>
          <w:p w14:paraId="1380B49A" w14:textId="6755C1CB" w:rsidR="001355EB" w:rsidRPr="001355EB" w:rsidRDefault="001355EB" w:rsidP="001355EB">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1355EB">
              <w:rPr>
                <w:rFonts w:ascii="Times New Roman" w:eastAsia="Times New Roman" w:hAnsi="Times New Roman" w:cs="Times New Roman"/>
                <w:b/>
                <w:bCs/>
                <w:color w:val="000000"/>
                <w:kern w:val="0"/>
                <w:szCs w:val="24"/>
                <w:lang w:eastAsia="en-IN"/>
                <w14:ligatures w14:val="none"/>
              </w:rPr>
              <w:t>Grants under</w:t>
            </w:r>
          </w:p>
        </w:tc>
        <w:tc>
          <w:tcPr>
            <w:tcW w:w="1474" w:type="dxa"/>
            <w:vMerge w:val="restart"/>
            <w:tcBorders>
              <w:top w:val="nil"/>
              <w:left w:val="single" w:sz="4" w:space="0" w:color="auto"/>
              <w:bottom w:val="single" w:sz="4" w:space="0" w:color="auto"/>
              <w:right w:val="single" w:sz="4" w:space="0" w:color="auto"/>
            </w:tcBorders>
            <w:vAlign w:val="center"/>
            <w:hideMark/>
          </w:tcPr>
          <w:p w14:paraId="4B9D255A" w14:textId="77777777" w:rsidR="001355EB" w:rsidRPr="001355EB" w:rsidRDefault="001355EB" w:rsidP="001355EB">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1355EB">
              <w:rPr>
                <w:rFonts w:ascii="Times New Roman" w:eastAsia="Times New Roman" w:hAnsi="Times New Roman" w:cs="Times New Roman"/>
                <w:b/>
                <w:bCs/>
                <w:color w:val="000000"/>
                <w:kern w:val="0"/>
                <w:szCs w:val="24"/>
                <w:lang w:eastAsia="en-IN"/>
                <w14:ligatures w14:val="none"/>
              </w:rPr>
              <w:t>Rehabili-tation Grants</w:t>
            </w:r>
          </w:p>
        </w:tc>
        <w:tc>
          <w:tcPr>
            <w:tcW w:w="1187" w:type="dxa"/>
            <w:vMerge w:val="restart"/>
            <w:tcBorders>
              <w:top w:val="nil"/>
              <w:left w:val="single" w:sz="4" w:space="0" w:color="auto"/>
              <w:bottom w:val="single" w:sz="4" w:space="0" w:color="auto"/>
              <w:right w:val="single" w:sz="4" w:space="0" w:color="auto"/>
            </w:tcBorders>
            <w:vAlign w:val="center"/>
            <w:hideMark/>
          </w:tcPr>
          <w:p w14:paraId="66AECA61" w14:textId="77777777" w:rsidR="001355EB" w:rsidRPr="001355EB" w:rsidRDefault="001355EB" w:rsidP="001355EB">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1355EB">
              <w:rPr>
                <w:rFonts w:ascii="Times New Roman" w:eastAsia="Times New Roman" w:hAnsi="Times New Roman" w:cs="Times New Roman"/>
                <w:b/>
                <w:bCs/>
                <w:color w:val="000000"/>
                <w:kern w:val="0"/>
                <w:szCs w:val="24"/>
                <w:lang w:eastAsia="en-IN"/>
                <w14:ligatures w14:val="none"/>
              </w:rPr>
              <w:t>Grow More Food Grants</w:t>
            </w:r>
          </w:p>
        </w:tc>
        <w:tc>
          <w:tcPr>
            <w:tcW w:w="3563" w:type="dxa"/>
            <w:gridSpan w:val="2"/>
            <w:vMerge w:val="restart"/>
            <w:tcBorders>
              <w:top w:val="single" w:sz="4" w:space="0" w:color="auto"/>
              <w:left w:val="nil"/>
              <w:right w:val="single" w:sz="4" w:space="0" w:color="auto"/>
            </w:tcBorders>
            <w:vAlign w:val="center"/>
            <w:hideMark/>
          </w:tcPr>
          <w:p w14:paraId="5A96DF87" w14:textId="77777777" w:rsidR="001355EB" w:rsidRPr="001355EB" w:rsidRDefault="001355EB" w:rsidP="001355EB">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1355EB">
              <w:rPr>
                <w:rFonts w:ascii="Times New Roman" w:eastAsia="Times New Roman" w:hAnsi="Times New Roman" w:cs="Times New Roman"/>
                <w:b/>
                <w:bCs/>
                <w:color w:val="000000"/>
                <w:kern w:val="0"/>
                <w:szCs w:val="24"/>
                <w:lang w:eastAsia="en-IN"/>
                <w14:ligatures w14:val="none"/>
              </w:rPr>
              <w:t>Other Grants</w:t>
            </w:r>
          </w:p>
        </w:tc>
        <w:tc>
          <w:tcPr>
            <w:tcW w:w="1213" w:type="dxa"/>
            <w:vMerge w:val="restart"/>
            <w:tcBorders>
              <w:top w:val="nil"/>
              <w:left w:val="single" w:sz="4" w:space="0" w:color="auto"/>
              <w:bottom w:val="single" w:sz="4" w:space="0" w:color="auto"/>
              <w:right w:val="single" w:sz="4" w:space="0" w:color="auto"/>
            </w:tcBorders>
            <w:vAlign w:val="center"/>
            <w:hideMark/>
          </w:tcPr>
          <w:p w14:paraId="690A1449" w14:textId="77777777" w:rsidR="001355EB" w:rsidRPr="001355EB" w:rsidRDefault="001355EB" w:rsidP="001355EB">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1355EB">
              <w:rPr>
                <w:rFonts w:ascii="Times New Roman" w:eastAsia="Times New Roman" w:hAnsi="Times New Roman" w:cs="Times New Roman"/>
                <w:b/>
                <w:bCs/>
                <w:color w:val="000000"/>
                <w:kern w:val="0"/>
                <w:szCs w:val="24"/>
                <w:lang w:eastAsia="en-IN"/>
                <w14:ligatures w14:val="none"/>
              </w:rPr>
              <w:t>Total</w:t>
            </w:r>
          </w:p>
        </w:tc>
      </w:tr>
      <w:tr w:rsidR="001355EB" w:rsidRPr="001355EB" w14:paraId="70B785AC" w14:textId="77777777" w:rsidTr="003323C6">
        <w:trPr>
          <w:gridAfter w:val="1"/>
          <w:wAfter w:w="6" w:type="dxa"/>
          <w:trHeight w:val="20"/>
          <w:jc w:val="center"/>
        </w:trPr>
        <w:tc>
          <w:tcPr>
            <w:tcW w:w="1897" w:type="dxa"/>
            <w:vMerge/>
            <w:tcBorders>
              <w:top w:val="single" w:sz="4" w:space="0" w:color="auto"/>
              <w:left w:val="single" w:sz="4" w:space="0" w:color="auto"/>
              <w:bottom w:val="single" w:sz="4" w:space="0" w:color="000000"/>
              <w:right w:val="single" w:sz="4" w:space="0" w:color="auto"/>
            </w:tcBorders>
            <w:vAlign w:val="center"/>
            <w:hideMark/>
          </w:tcPr>
          <w:p w14:paraId="50CD4C91" w14:textId="77777777" w:rsidR="001355EB" w:rsidRPr="001355EB" w:rsidRDefault="001355EB" w:rsidP="001355EB">
            <w:pPr>
              <w:spacing w:after="0" w:line="240" w:lineRule="auto"/>
              <w:jc w:val="center"/>
              <w:rPr>
                <w:rFonts w:ascii="Times New Roman" w:eastAsia="Times New Roman" w:hAnsi="Times New Roman" w:cs="Times New Roman"/>
                <w:b/>
                <w:bCs/>
                <w:color w:val="000000"/>
                <w:kern w:val="0"/>
                <w:szCs w:val="24"/>
                <w:lang w:eastAsia="en-IN"/>
                <w14:ligatures w14:val="none"/>
              </w:rPr>
            </w:pPr>
          </w:p>
        </w:tc>
        <w:tc>
          <w:tcPr>
            <w:tcW w:w="1296" w:type="dxa"/>
            <w:vMerge/>
            <w:tcBorders>
              <w:top w:val="nil"/>
              <w:left w:val="single" w:sz="4" w:space="0" w:color="auto"/>
              <w:bottom w:val="single" w:sz="4" w:space="0" w:color="auto"/>
              <w:right w:val="single" w:sz="4" w:space="0" w:color="auto"/>
            </w:tcBorders>
            <w:vAlign w:val="center"/>
            <w:hideMark/>
          </w:tcPr>
          <w:p w14:paraId="6EFF3947" w14:textId="77777777" w:rsidR="001355EB" w:rsidRPr="001355EB" w:rsidRDefault="001355EB" w:rsidP="001355EB">
            <w:pPr>
              <w:spacing w:after="0" w:line="240" w:lineRule="auto"/>
              <w:jc w:val="center"/>
              <w:rPr>
                <w:rFonts w:ascii="Times New Roman" w:eastAsia="Times New Roman" w:hAnsi="Times New Roman" w:cs="Times New Roman"/>
                <w:b/>
                <w:bCs/>
                <w:color w:val="000000"/>
                <w:kern w:val="0"/>
                <w:szCs w:val="24"/>
                <w:lang w:eastAsia="en-IN"/>
                <w14:ligatures w14:val="none"/>
              </w:rPr>
            </w:pPr>
          </w:p>
        </w:tc>
        <w:tc>
          <w:tcPr>
            <w:tcW w:w="1170" w:type="dxa"/>
            <w:vMerge w:val="restart"/>
            <w:tcBorders>
              <w:top w:val="nil"/>
              <w:left w:val="single" w:sz="4" w:space="0" w:color="auto"/>
              <w:bottom w:val="single" w:sz="4" w:space="0" w:color="auto"/>
              <w:right w:val="single" w:sz="4" w:space="0" w:color="auto"/>
            </w:tcBorders>
            <w:vAlign w:val="center"/>
            <w:hideMark/>
          </w:tcPr>
          <w:p w14:paraId="50455A7E" w14:textId="77777777" w:rsidR="001355EB" w:rsidRPr="001355EB" w:rsidRDefault="001355EB" w:rsidP="001355EB">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1355EB">
              <w:rPr>
                <w:rFonts w:ascii="Times New Roman" w:eastAsia="Times New Roman" w:hAnsi="Times New Roman" w:cs="Times New Roman"/>
                <w:b/>
                <w:bCs/>
                <w:color w:val="000000"/>
                <w:kern w:val="0"/>
                <w:szCs w:val="24"/>
                <w:lang w:eastAsia="en-IN"/>
                <w14:ligatures w14:val="none"/>
              </w:rPr>
              <w:t>Article 273</w:t>
            </w:r>
          </w:p>
        </w:tc>
        <w:tc>
          <w:tcPr>
            <w:tcW w:w="2697" w:type="dxa"/>
            <w:gridSpan w:val="2"/>
            <w:tcBorders>
              <w:top w:val="single" w:sz="4" w:space="0" w:color="auto"/>
              <w:left w:val="nil"/>
              <w:bottom w:val="single" w:sz="4" w:space="0" w:color="auto"/>
              <w:right w:val="single" w:sz="4" w:space="0" w:color="auto"/>
            </w:tcBorders>
            <w:vAlign w:val="center"/>
            <w:hideMark/>
          </w:tcPr>
          <w:p w14:paraId="0FAD7DCD" w14:textId="77777777" w:rsidR="001355EB" w:rsidRPr="001355EB" w:rsidRDefault="001355EB" w:rsidP="001355EB">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1355EB">
              <w:rPr>
                <w:rFonts w:ascii="Times New Roman" w:eastAsia="Times New Roman" w:hAnsi="Times New Roman" w:cs="Times New Roman"/>
                <w:b/>
                <w:bCs/>
                <w:color w:val="000000"/>
                <w:kern w:val="0"/>
                <w:szCs w:val="24"/>
                <w:lang w:eastAsia="en-IN"/>
                <w14:ligatures w14:val="none"/>
              </w:rPr>
              <w:t>Article 275</w:t>
            </w:r>
          </w:p>
        </w:tc>
        <w:tc>
          <w:tcPr>
            <w:tcW w:w="1170" w:type="dxa"/>
            <w:vMerge w:val="restart"/>
            <w:tcBorders>
              <w:top w:val="nil"/>
              <w:left w:val="single" w:sz="4" w:space="0" w:color="auto"/>
              <w:bottom w:val="single" w:sz="4" w:space="0" w:color="auto"/>
              <w:right w:val="single" w:sz="4" w:space="0" w:color="auto"/>
            </w:tcBorders>
            <w:vAlign w:val="center"/>
            <w:hideMark/>
          </w:tcPr>
          <w:p w14:paraId="0DBFD5C7" w14:textId="77777777" w:rsidR="001355EB" w:rsidRPr="001355EB" w:rsidRDefault="001355EB" w:rsidP="001355EB">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1355EB">
              <w:rPr>
                <w:rFonts w:ascii="Times New Roman" w:eastAsia="Times New Roman" w:hAnsi="Times New Roman" w:cs="Times New Roman"/>
                <w:b/>
                <w:bCs/>
                <w:color w:val="000000"/>
                <w:kern w:val="0"/>
                <w:szCs w:val="24"/>
                <w:lang w:eastAsia="en-IN"/>
                <w14:ligatures w14:val="none"/>
              </w:rPr>
              <w:t>Article 278</w:t>
            </w:r>
          </w:p>
        </w:tc>
        <w:tc>
          <w:tcPr>
            <w:tcW w:w="1474" w:type="dxa"/>
            <w:vMerge/>
            <w:tcBorders>
              <w:top w:val="nil"/>
              <w:left w:val="single" w:sz="4" w:space="0" w:color="auto"/>
              <w:bottom w:val="single" w:sz="4" w:space="0" w:color="auto"/>
              <w:right w:val="single" w:sz="4" w:space="0" w:color="auto"/>
            </w:tcBorders>
            <w:vAlign w:val="center"/>
            <w:hideMark/>
          </w:tcPr>
          <w:p w14:paraId="1378DE88" w14:textId="77777777" w:rsidR="001355EB" w:rsidRPr="001355EB" w:rsidRDefault="001355EB" w:rsidP="001355EB">
            <w:pPr>
              <w:spacing w:after="0" w:line="240" w:lineRule="auto"/>
              <w:jc w:val="center"/>
              <w:rPr>
                <w:rFonts w:ascii="Times New Roman" w:eastAsia="Times New Roman" w:hAnsi="Times New Roman" w:cs="Times New Roman"/>
                <w:b/>
                <w:bCs/>
                <w:color w:val="000000"/>
                <w:kern w:val="0"/>
                <w:szCs w:val="24"/>
                <w:lang w:eastAsia="en-IN"/>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1EFDB377" w14:textId="77777777" w:rsidR="001355EB" w:rsidRPr="001355EB" w:rsidRDefault="001355EB" w:rsidP="001355EB">
            <w:pPr>
              <w:spacing w:after="0" w:line="240" w:lineRule="auto"/>
              <w:jc w:val="center"/>
              <w:rPr>
                <w:rFonts w:ascii="Times New Roman" w:eastAsia="Times New Roman" w:hAnsi="Times New Roman" w:cs="Times New Roman"/>
                <w:b/>
                <w:bCs/>
                <w:color w:val="000000"/>
                <w:kern w:val="0"/>
                <w:szCs w:val="24"/>
                <w:lang w:eastAsia="en-IN"/>
                <w14:ligatures w14:val="none"/>
              </w:rPr>
            </w:pPr>
          </w:p>
        </w:tc>
        <w:tc>
          <w:tcPr>
            <w:tcW w:w="3563" w:type="dxa"/>
            <w:gridSpan w:val="2"/>
            <w:vMerge/>
            <w:tcBorders>
              <w:left w:val="nil"/>
              <w:bottom w:val="single" w:sz="4" w:space="0" w:color="auto"/>
              <w:right w:val="single" w:sz="4" w:space="0" w:color="auto"/>
            </w:tcBorders>
            <w:vAlign w:val="center"/>
            <w:hideMark/>
          </w:tcPr>
          <w:p w14:paraId="31682F25" w14:textId="17E85C2D" w:rsidR="001355EB" w:rsidRPr="001355EB" w:rsidRDefault="001355EB" w:rsidP="001355EB">
            <w:pPr>
              <w:spacing w:after="0" w:line="240" w:lineRule="auto"/>
              <w:jc w:val="center"/>
              <w:rPr>
                <w:rFonts w:ascii="Times New Roman" w:eastAsia="Times New Roman" w:hAnsi="Times New Roman" w:cs="Times New Roman"/>
                <w:b/>
                <w:bCs/>
                <w:color w:val="000000"/>
                <w:kern w:val="0"/>
                <w:szCs w:val="24"/>
                <w:lang w:eastAsia="en-IN"/>
                <w14:ligatures w14:val="none"/>
              </w:rPr>
            </w:pPr>
          </w:p>
        </w:tc>
        <w:tc>
          <w:tcPr>
            <w:tcW w:w="1213" w:type="dxa"/>
            <w:vMerge/>
            <w:tcBorders>
              <w:top w:val="nil"/>
              <w:left w:val="single" w:sz="4" w:space="0" w:color="auto"/>
              <w:bottom w:val="single" w:sz="4" w:space="0" w:color="auto"/>
              <w:right w:val="single" w:sz="4" w:space="0" w:color="auto"/>
            </w:tcBorders>
            <w:vAlign w:val="center"/>
            <w:hideMark/>
          </w:tcPr>
          <w:p w14:paraId="04E56DF2" w14:textId="77777777" w:rsidR="001355EB" w:rsidRPr="001355EB" w:rsidRDefault="001355EB" w:rsidP="001355EB">
            <w:pPr>
              <w:spacing w:after="0" w:line="240" w:lineRule="auto"/>
              <w:jc w:val="center"/>
              <w:rPr>
                <w:rFonts w:ascii="Times New Roman" w:eastAsia="Times New Roman" w:hAnsi="Times New Roman" w:cs="Times New Roman"/>
                <w:b/>
                <w:bCs/>
                <w:color w:val="000000"/>
                <w:kern w:val="0"/>
                <w:szCs w:val="24"/>
                <w:lang w:eastAsia="en-IN"/>
                <w14:ligatures w14:val="none"/>
              </w:rPr>
            </w:pPr>
          </w:p>
        </w:tc>
      </w:tr>
      <w:tr w:rsidR="001355EB" w:rsidRPr="001355EB" w14:paraId="1558C9B7" w14:textId="77777777" w:rsidTr="001355EB">
        <w:trPr>
          <w:gridAfter w:val="1"/>
          <w:wAfter w:w="6" w:type="dxa"/>
          <w:trHeight w:val="20"/>
          <w:jc w:val="center"/>
        </w:trPr>
        <w:tc>
          <w:tcPr>
            <w:tcW w:w="1897" w:type="dxa"/>
            <w:vMerge/>
            <w:tcBorders>
              <w:top w:val="single" w:sz="4" w:space="0" w:color="auto"/>
              <w:left w:val="single" w:sz="4" w:space="0" w:color="auto"/>
              <w:bottom w:val="single" w:sz="4" w:space="0" w:color="000000"/>
              <w:right w:val="single" w:sz="4" w:space="0" w:color="auto"/>
            </w:tcBorders>
            <w:vAlign w:val="center"/>
            <w:hideMark/>
          </w:tcPr>
          <w:p w14:paraId="4B90107E" w14:textId="77777777" w:rsidR="001355EB" w:rsidRPr="001355EB" w:rsidRDefault="001355EB" w:rsidP="001355EB">
            <w:pPr>
              <w:spacing w:after="0" w:line="240" w:lineRule="auto"/>
              <w:jc w:val="center"/>
              <w:rPr>
                <w:rFonts w:ascii="Times New Roman" w:eastAsia="Times New Roman" w:hAnsi="Times New Roman" w:cs="Times New Roman"/>
                <w:b/>
                <w:bCs/>
                <w:color w:val="000000"/>
                <w:kern w:val="0"/>
                <w:szCs w:val="24"/>
                <w:lang w:eastAsia="en-IN"/>
                <w14:ligatures w14:val="none"/>
              </w:rPr>
            </w:pPr>
          </w:p>
        </w:tc>
        <w:tc>
          <w:tcPr>
            <w:tcW w:w="1296" w:type="dxa"/>
            <w:vMerge/>
            <w:tcBorders>
              <w:top w:val="nil"/>
              <w:left w:val="single" w:sz="4" w:space="0" w:color="auto"/>
              <w:bottom w:val="single" w:sz="4" w:space="0" w:color="auto"/>
              <w:right w:val="single" w:sz="4" w:space="0" w:color="auto"/>
            </w:tcBorders>
            <w:vAlign w:val="center"/>
            <w:hideMark/>
          </w:tcPr>
          <w:p w14:paraId="70D59919" w14:textId="77777777" w:rsidR="001355EB" w:rsidRPr="001355EB" w:rsidRDefault="001355EB" w:rsidP="001355EB">
            <w:pPr>
              <w:spacing w:after="0" w:line="240" w:lineRule="auto"/>
              <w:jc w:val="center"/>
              <w:rPr>
                <w:rFonts w:ascii="Times New Roman" w:eastAsia="Times New Roman" w:hAnsi="Times New Roman" w:cs="Times New Roman"/>
                <w:b/>
                <w:bCs/>
                <w:color w:val="000000"/>
                <w:kern w:val="0"/>
                <w:szCs w:val="24"/>
                <w:lang w:eastAsia="en-IN"/>
                <w14:ligatures w14:val="none"/>
              </w:rPr>
            </w:pPr>
          </w:p>
        </w:tc>
        <w:tc>
          <w:tcPr>
            <w:tcW w:w="1170" w:type="dxa"/>
            <w:vMerge/>
            <w:tcBorders>
              <w:top w:val="nil"/>
              <w:left w:val="single" w:sz="4" w:space="0" w:color="auto"/>
              <w:bottom w:val="single" w:sz="4" w:space="0" w:color="auto"/>
              <w:right w:val="single" w:sz="4" w:space="0" w:color="auto"/>
            </w:tcBorders>
            <w:vAlign w:val="center"/>
            <w:hideMark/>
          </w:tcPr>
          <w:p w14:paraId="4D5F406E" w14:textId="77777777" w:rsidR="001355EB" w:rsidRPr="001355EB" w:rsidRDefault="001355EB" w:rsidP="001355EB">
            <w:pPr>
              <w:spacing w:after="0" w:line="240" w:lineRule="auto"/>
              <w:jc w:val="center"/>
              <w:rPr>
                <w:rFonts w:ascii="Times New Roman" w:eastAsia="Times New Roman" w:hAnsi="Times New Roman" w:cs="Times New Roman"/>
                <w:b/>
                <w:bCs/>
                <w:color w:val="000000"/>
                <w:kern w:val="0"/>
                <w:szCs w:val="24"/>
                <w:lang w:eastAsia="en-IN"/>
                <w14:ligatures w14:val="none"/>
              </w:rPr>
            </w:pPr>
          </w:p>
        </w:tc>
        <w:tc>
          <w:tcPr>
            <w:tcW w:w="1322" w:type="dxa"/>
            <w:tcBorders>
              <w:top w:val="nil"/>
              <w:left w:val="nil"/>
              <w:bottom w:val="single" w:sz="4" w:space="0" w:color="auto"/>
              <w:right w:val="single" w:sz="4" w:space="0" w:color="auto"/>
            </w:tcBorders>
            <w:vAlign w:val="center"/>
            <w:hideMark/>
          </w:tcPr>
          <w:p w14:paraId="5A37889C" w14:textId="77777777" w:rsidR="001355EB" w:rsidRPr="001355EB" w:rsidRDefault="001355EB" w:rsidP="001355EB">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1355EB">
              <w:rPr>
                <w:rFonts w:ascii="Times New Roman" w:eastAsia="Times New Roman" w:hAnsi="Times New Roman" w:cs="Times New Roman"/>
                <w:b/>
                <w:bCs/>
                <w:color w:val="000000"/>
                <w:kern w:val="0"/>
                <w:szCs w:val="24"/>
                <w:lang w:eastAsia="en-IN"/>
                <w14:ligatures w14:val="none"/>
              </w:rPr>
              <w:t>General Grants-in-aid</w:t>
            </w:r>
          </w:p>
        </w:tc>
        <w:tc>
          <w:tcPr>
            <w:tcW w:w="1375" w:type="dxa"/>
            <w:tcBorders>
              <w:top w:val="nil"/>
              <w:left w:val="nil"/>
              <w:bottom w:val="single" w:sz="4" w:space="0" w:color="auto"/>
              <w:right w:val="single" w:sz="4" w:space="0" w:color="auto"/>
            </w:tcBorders>
            <w:vAlign w:val="center"/>
            <w:hideMark/>
          </w:tcPr>
          <w:p w14:paraId="1F80C1E8" w14:textId="77777777" w:rsidR="001355EB" w:rsidRPr="001355EB" w:rsidRDefault="001355EB" w:rsidP="001355EB">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1355EB">
              <w:rPr>
                <w:rFonts w:ascii="Times New Roman" w:eastAsia="Times New Roman" w:hAnsi="Times New Roman" w:cs="Times New Roman"/>
                <w:b/>
                <w:bCs/>
                <w:color w:val="000000"/>
                <w:kern w:val="0"/>
                <w:szCs w:val="24"/>
                <w:lang w:eastAsia="en-IN"/>
                <w14:ligatures w14:val="none"/>
              </w:rPr>
              <w:t>Grants under Provisos</w:t>
            </w:r>
          </w:p>
        </w:tc>
        <w:tc>
          <w:tcPr>
            <w:tcW w:w="1170" w:type="dxa"/>
            <w:vMerge/>
            <w:tcBorders>
              <w:top w:val="nil"/>
              <w:left w:val="single" w:sz="4" w:space="0" w:color="auto"/>
              <w:bottom w:val="single" w:sz="4" w:space="0" w:color="auto"/>
              <w:right w:val="single" w:sz="4" w:space="0" w:color="auto"/>
            </w:tcBorders>
            <w:vAlign w:val="center"/>
            <w:hideMark/>
          </w:tcPr>
          <w:p w14:paraId="299BB713" w14:textId="77777777" w:rsidR="001355EB" w:rsidRPr="001355EB" w:rsidRDefault="001355EB" w:rsidP="001355EB">
            <w:pPr>
              <w:spacing w:after="0" w:line="240" w:lineRule="auto"/>
              <w:jc w:val="center"/>
              <w:rPr>
                <w:rFonts w:ascii="Times New Roman" w:eastAsia="Times New Roman" w:hAnsi="Times New Roman" w:cs="Times New Roman"/>
                <w:b/>
                <w:bCs/>
                <w:color w:val="000000"/>
                <w:kern w:val="0"/>
                <w:szCs w:val="24"/>
                <w:lang w:eastAsia="en-IN"/>
                <w14:ligatures w14:val="none"/>
              </w:rPr>
            </w:pPr>
          </w:p>
        </w:tc>
        <w:tc>
          <w:tcPr>
            <w:tcW w:w="1474" w:type="dxa"/>
            <w:vMerge/>
            <w:tcBorders>
              <w:top w:val="nil"/>
              <w:left w:val="single" w:sz="4" w:space="0" w:color="auto"/>
              <w:bottom w:val="single" w:sz="4" w:space="0" w:color="auto"/>
              <w:right w:val="single" w:sz="4" w:space="0" w:color="auto"/>
            </w:tcBorders>
            <w:vAlign w:val="center"/>
            <w:hideMark/>
          </w:tcPr>
          <w:p w14:paraId="55CB2CEB" w14:textId="77777777" w:rsidR="001355EB" w:rsidRPr="001355EB" w:rsidRDefault="001355EB" w:rsidP="001355EB">
            <w:pPr>
              <w:spacing w:after="0" w:line="240" w:lineRule="auto"/>
              <w:jc w:val="center"/>
              <w:rPr>
                <w:rFonts w:ascii="Times New Roman" w:eastAsia="Times New Roman" w:hAnsi="Times New Roman" w:cs="Times New Roman"/>
                <w:b/>
                <w:bCs/>
                <w:color w:val="000000"/>
                <w:kern w:val="0"/>
                <w:szCs w:val="24"/>
                <w:lang w:eastAsia="en-IN"/>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6E87051E" w14:textId="77777777" w:rsidR="001355EB" w:rsidRPr="001355EB" w:rsidRDefault="001355EB" w:rsidP="001355EB">
            <w:pPr>
              <w:spacing w:after="0" w:line="240" w:lineRule="auto"/>
              <w:jc w:val="center"/>
              <w:rPr>
                <w:rFonts w:ascii="Times New Roman" w:eastAsia="Times New Roman" w:hAnsi="Times New Roman" w:cs="Times New Roman"/>
                <w:b/>
                <w:bCs/>
                <w:color w:val="000000"/>
                <w:kern w:val="0"/>
                <w:szCs w:val="24"/>
                <w:lang w:eastAsia="en-IN"/>
                <w14:ligatures w14:val="none"/>
              </w:rPr>
            </w:pPr>
          </w:p>
        </w:tc>
        <w:tc>
          <w:tcPr>
            <w:tcW w:w="2004" w:type="dxa"/>
            <w:tcBorders>
              <w:top w:val="nil"/>
              <w:left w:val="nil"/>
              <w:bottom w:val="single" w:sz="4" w:space="0" w:color="auto"/>
              <w:right w:val="single" w:sz="4" w:space="0" w:color="auto"/>
            </w:tcBorders>
            <w:vAlign w:val="center"/>
            <w:hideMark/>
          </w:tcPr>
          <w:p w14:paraId="4CDC3041" w14:textId="77777777" w:rsidR="001355EB" w:rsidRPr="001355EB" w:rsidRDefault="001355EB" w:rsidP="001355EB">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1355EB">
              <w:rPr>
                <w:rFonts w:ascii="Times New Roman" w:eastAsia="Times New Roman" w:hAnsi="Times New Roman" w:cs="Times New Roman"/>
                <w:b/>
                <w:bCs/>
                <w:color w:val="000000"/>
                <w:kern w:val="0"/>
                <w:szCs w:val="24"/>
                <w:lang w:eastAsia="en-IN"/>
                <w14:ligatures w14:val="none"/>
              </w:rPr>
              <w:t>Special Develop-ment Grants to Backward States</w:t>
            </w:r>
          </w:p>
        </w:tc>
        <w:tc>
          <w:tcPr>
            <w:tcW w:w="1559" w:type="dxa"/>
            <w:tcBorders>
              <w:top w:val="nil"/>
              <w:left w:val="nil"/>
              <w:bottom w:val="single" w:sz="4" w:space="0" w:color="auto"/>
              <w:right w:val="single" w:sz="4" w:space="0" w:color="auto"/>
            </w:tcBorders>
            <w:vAlign w:val="center"/>
            <w:hideMark/>
          </w:tcPr>
          <w:p w14:paraId="36341E3B" w14:textId="77777777" w:rsidR="001355EB" w:rsidRPr="001355EB" w:rsidRDefault="001355EB" w:rsidP="001355EB">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1355EB">
              <w:rPr>
                <w:rFonts w:ascii="Times New Roman" w:eastAsia="Times New Roman" w:hAnsi="Times New Roman" w:cs="Times New Roman"/>
                <w:b/>
                <w:bCs/>
                <w:color w:val="000000"/>
                <w:kern w:val="0"/>
                <w:szCs w:val="24"/>
                <w:lang w:eastAsia="en-IN"/>
                <w14:ligatures w14:val="none"/>
              </w:rPr>
              <w:t>Assistance for Natural Calamities</w:t>
            </w:r>
          </w:p>
        </w:tc>
        <w:tc>
          <w:tcPr>
            <w:tcW w:w="1213" w:type="dxa"/>
            <w:vMerge/>
            <w:tcBorders>
              <w:top w:val="nil"/>
              <w:left w:val="single" w:sz="4" w:space="0" w:color="auto"/>
              <w:bottom w:val="single" w:sz="4" w:space="0" w:color="auto"/>
              <w:right w:val="single" w:sz="4" w:space="0" w:color="auto"/>
            </w:tcBorders>
            <w:vAlign w:val="center"/>
            <w:hideMark/>
          </w:tcPr>
          <w:p w14:paraId="08789780" w14:textId="77777777" w:rsidR="001355EB" w:rsidRPr="001355EB" w:rsidRDefault="001355EB" w:rsidP="001355EB">
            <w:pPr>
              <w:spacing w:after="0" w:line="240" w:lineRule="auto"/>
              <w:jc w:val="center"/>
              <w:rPr>
                <w:rFonts w:ascii="Times New Roman" w:eastAsia="Times New Roman" w:hAnsi="Times New Roman" w:cs="Times New Roman"/>
                <w:b/>
                <w:bCs/>
                <w:color w:val="000000"/>
                <w:kern w:val="0"/>
                <w:szCs w:val="24"/>
                <w:lang w:eastAsia="en-IN"/>
                <w14:ligatures w14:val="none"/>
              </w:rPr>
            </w:pPr>
          </w:p>
        </w:tc>
      </w:tr>
      <w:tr w:rsidR="001355EB" w:rsidRPr="001355EB" w14:paraId="48C849B0" w14:textId="77777777" w:rsidTr="001355EB">
        <w:trPr>
          <w:gridAfter w:val="1"/>
          <w:wAfter w:w="6" w:type="dxa"/>
          <w:trHeight w:val="20"/>
          <w:jc w:val="center"/>
        </w:trPr>
        <w:tc>
          <w:tcPr>
            <w:tcW w:w="1897" w:type="dxa"/>
            <w:tcBorders>
              <w:top w:val="nil"/>
              <w:left w:val="single" w:sz="4" w:space="0" w:color="auto"/>
              <w:bottom w:val="single" w:sz="4" w:space="0" w:color="auto"/>
              <w:right w:val="single" w:sz="4" w:space="0" w:color="auto"/>
            </w:tcBorders>
            <w:vAlign w:val="center"/>
            <w:hideMark/>
          </w:tcPr>
          <w:p w14:paraId="0A3F3E83" w14:textId="77777777" w:rsidR="001355EB" w:rsidRPr="00E02C8A"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Assam</w:t>
            </w:r>
          </w:p>
        </w:tc>
        <w:tc>
          <w:tcPr>
            <w:tcW w:w="1296" w:type="dxa"/>
            <w:tcBorders>
              <w:top w:val="nil"/>
              <w:left w:val="nil"/>
              <w:bottom w:val="single" w:sz="4" w:space="0" w:color="auto"/>
              <w:right w:val="single" w:sz="4" w:space="0" w:color="auto"/>
            </w:tcBorders>
            <w:vAlign w:val="center"/>
            <w:hideMark/>
          </w:tcPr>
          <w:p w14:paraId="374DD094"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1,42</w:t>
            </w:r>
          </w:p>
        </w:tc>
        <w:tc>
          <w:tcPr>
            <w:tcW w:w="1170" w:type="dxa"/>
            <w:tcBorders>
              <w:top w:val="nil"/>
              <w:left w:val="nil"/>
              <w:bottom w:val="single" w:sz="4" w:space="0" w:color="auto"/>
              <w:right w:val="single" w:sz="4" w:space="0" w:color="auto"/>
            </w:tcBorders>
            <w:vAlign w:val="center"/>
            <w:hideMark/>
          </w:tcPr>
          <w:p w14:paraId="3F477EF4"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40</w:t>
            </w:r>
          </w:p>
        </w:tc>
        <w:tc>
          <w:tcPr>
            <w:tcW w:w="1322" w:type="dxa"/>
            <w:tcBorders>
              <w:top w:val="nil"/>
              <w:left w:val="nil"/>
              <w:bottom w:val="single" w:sz="4" w:space="0" w:color="auto"/>
              <w:right w:val="single" w:sz="4" w:space="0" w:color="auto"/>
            </w:tcBorders>
            <w:vAlign w:val="center"/>
            <w:hideMark/>
          </w:tcPr>
          <w:p w14:paraId="34DE3188"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30</w:t>
            </w:r>
          </w:p>
        </w:tc>
        <w:tc>
          <w:tcPr>
            <w:tcW w:w="1375" w:type="dxa"/>
            <w:tcBorders>
              <w:top w:val="nil"/>
              <w:left w:val="nil"/>
              <w:bottom w:val="single" w:sz="4" w:space="0" w:color="auto"/>
              <w:right w:val="single" w:sz="4" w:space="0" w:color="auto"/>
            </w:tcBorders>
            <w:vAlign w:val="center"/>
            <w:hideMark/>
          </w:tcPr>
          <w:p w14:paraId="4B1EEE8B"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41</w:t>
            </w:r>
          </w:p>
        </w:tc>
        <w:tc>
          <w:tcPr>
            <w:tcW w:w="1170" w:type="dxa"/>
            <w:tcBorders>
              <w:top w:val="nil"/>
              <w:left w:val="nil"/>
              <w:bottom w:val="single" w:sz="4" w:space="0" w:color="auto"/>
              <w:right w:val="single" w:sz="4" w:space="0" w:color="auto"/>
            </w:tcBorders>
            <w:vAlign w:val="center"/>
            <w:hideMark/>
          </w:tcPr>
          <w:p w14:paraId="7CB236EA"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474" w:type="dxa"/>
            <w:tcBorders>
              <w:top w:val="nil"/>
              <w:left w:val="nil"/>
              <w:bottom w:val="single" w:sz="4" w:space="0" w:color="auto"/>
              <w:right w:val="single" w:sz="4" w:space="0" w:color="auto"/>
            </w:tcBorders>
            <w:vAlign w:val="center"/>
            <w:hideMark/>
          </w:tcPr>
          <w:p w14:paraId="5BF1A8D7"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22</w:t>
            </w:r>
          </w:p>
        </w:tc>
        <w:tc>
          <w:tcPr>
            <w:tcW w:w="1187" w:type="dxa"/>
            <w:tcBorders>
              <w:top w:val="nil"/>
              <w:left w:val="nil"/>
              <w:bottom w:val="single" w:sz="4" w:space="0" w:color="auto"/>
              <w:right w:val="single" w:sz="4" w:space="0" w:color="auto"/>
            </w:tcBorders>
            <w:vAlign w:val="center"/>
            <w:hideMark/>
          </w:tcPr>
          <w:p w14:paraId="60E7276E"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1</w:t>
            </w:r>
          </w:p>
        </w:tc>
        <w:tc>
          <w:tcPr>
            <w:tcW w:w="2004" w:type="dxa"/>
            <w:tcBorders>
              <w:top w:val="nil"/>
              <w:left w:val="nil"/>
              <w:bottom w:val="single" w:sz="4" w:space="0" w:color="auto"/>
              <w:right w:val="single" w:sz="4" w:space="0" w:color="auto"/>
            </w:tcBorders>
            <w:vAlign w:val="center"/>
            <w:hideMark/>
          </w:tcPr>
          <w:p w14:paraId="1EE0934F" w14:textId="5ACDEAFE" w:rsidR="001355EB" w:rsidRPr="001355EB" w:rsidRDefault="00AD3303"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559" w:type="dxa"/>
            <w:tcBorders>
              <w:top w:val="nil"/>
              <w:left w:val="nil"/>
              <w:bottom w:val="single" w:sz="4" w:space="0" w:color="auto"/>
              <w:right w:val="single" w:sz="4" w:space="0" w:color="auto"/>
            </w:tcBorders>
            <w:vAlign w:val="center"/>
            <w:hideMark/>
          </w:tcPr>
          <w:p w14:paraId="28800A34" w14:textId="4A8FDD80" w:rsidR="001355EB" w:rsidRPr="001355EB" w:rsidRDefault="00AD3303" w:rsidP="001355EB">
            <w:pPr>
              <w:spacing w:after="0" w:line="240" w:lineRule="auto"/>
              <w:jc w:val="center"/>
              <w:rPr>
                <w:rFonts w:ascii="Times New Roman" w:eastAsia="Times New Roman" w:hAnsi="Times New Roman" w:cs="Times New Roman"/>
                <w:color w:val="000000"/>
                <w:kern w:val="0"/>
                <w:szCs w:val="24"/>
                <w:lang w:eastAsia="en-IN"/>
                <w14:ligatures w14:val="none"/>
              </w:rPr>
            </w:pPr>
            <w:r>
              <w:rPr>
                <w:rFonts w:ascii="Times New Roman" w:eastAsia="Times New Roman" w:hAnsi="Times New Roman" w:cs="Times New Roman"/>
                <w:color w:val="000000"/>
                <w:kern w:val="0"/>
                <w:szCs w:val="24"/>
                <w:lang w:eastAsia="en-IN"/>
                <w14:ligatures w14:val="none"/>
              </w:rPr>
              <w:t>2</w:t>
            </w:r>
          </w:p>
        </w:tc>
        <w:tc>
          <w:tcPr>
            <w:tcW w:w="1213" w:type="dxa"/>
            <w:tcBorders>
              <w:top w:val="nil"/>
              <w:left w:val="nil"/>
              <w:bottom w:val="single" w:sz="4" w:space="0" w:color="auto"/>
              <w:right w:val="single" w:sz="4" w:space="0" w:color="auto"/>
            </w:tcBorders>
            <w:vAlign w:val="center"/>
            <w:hideMark/>
          </w:tcPr>
          <w:p w14:paraId="531431D3"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2,78</w:t>
            </w:r>
          </w:p>
        </w:tc>
      </w:tr>
      <w:tr w:rsidR="001355EB" w:rsidRPr="001355EB" w14:paraId="3C31898B" w14:textId="77777777" w:rsidTr="001355EB">
        <w:trPr>
          <w:gridAfter w:val="1"/>
          <w:wAfter w:w="6" w:type="dxa"/>
          <w:trHeight w:val="20"/>
          <w:jc w:val="center"/>
        </w:trPr>
        <w:tc>
          <w:tcPr>
            <w:tcW w:w="1897" w:type="dxa"/>
            <w:tcBorders>
              <w:top w:val="nil"/>
              <w:left w:val="single" w:sz="4" w:space="0" w:color="auto"/>
              <w:bottom w:val="single" w:sz="4" w:space="0" w:color="auto"/>
              <w:right w:val="single" w:sz="4" w:space="0" w:color="auto"/>
            </w:tcBorders>
            <w:vAlign w:val="center"/>
            <w:hideMark/>
          </w:tcPr>
          <w:p w14:paraId="46BFBD34" w14:textId="77777777" w:rsidR="001355EB" w:rsidRPr="00E02C8A"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Bihar</w:t>
            </w:r>
          </w:p>
        </w:tc>
        <w:tc>
          <w:tcPr>
            <w:tcW w:w="1296" w:type="dxa"/>
            <w:tcBorders>
              <w:top w:val="nil"/>
              <w:left w:val="nil"/>
              <w:bottom w:val="single" w:sz="4" w:space="0" w:color="auto"/>
              <w:right w:val="single" w:sz="4" w:space="0" w:color="auto"/>
            </w:tcBorders>
            <w:vAlign w:val="center"/>
            <w:hideMark/>
          </w:tcPr>
          <w:p w14:paraId="44CA4CAE"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5,92</w:t>
            </w:r>
          </w:p>
        </w:tc>
        <w:tc>
          <w:tcPr>
            <w:tcW w:w="1170" w:type="dxa"/>
            <w:tcBorders>
              <w:top w:val="nil"/>
              <w:left w:val="nil"/>
              <w:bottom w:val="single" w:sz="4" w:space="0" w:color="auto"/>
              <w:right w:val="single" w:sz="4" w:space="0" w:color="auto"/>
            </w:tcBorders>
            <w:vAlign w:val="center"/>
            <w:hideMark/>
          </w:tcPr>
          <w:p w14:paraId="1FEC926B"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35</w:t>
            </w:r>
          </w:p>
        </w:tc>
        <w:tc>
          <w:tcPr>
            <w:tcW w:w="1322" w:type="dxa"/>
            <w:tcBorders>
              <w:top w:val="nil"/>
              <w:left w:val="nil"/>
              <w:bottom w:val="single" w:sz="4" w:space="0" w:color="auto"/>
              <w:right w:val="single" w:sz="4" w:space="0" w:color="auto"/>
            </w:tcBorders>
            <w:vAlign w:val="center"/>
            <w:hideMark/>
          </w:tcPr>
          <w:p w14:paraId="51B9D93A"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375" w:type="dxa"/>
            <w:tcBorders>
              <w:top w:val="nil"/>
              <w:left w:val="nil"/>
              <w:bottom w:val="single" w:sz="4" w:space="0" w:color="auto"/>
              <w:right w:val="single" w:sz="4" w:space="0" w:color="auto"/>
            </w:tcBorders>
            <w:vAlign w:val="center"/>
            <w:hideMark/>
          </w:tcPr>
          <w:p w14:paraId="61CF7569"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170" w:type="dxa"/>
            <w:tcBorders>
              <w:top w:val="nil"/>
              <w:left w:val="nil"/>
              <w:bottom w:val="single" w:sz="4" w:space="0" w:color="auto"/>
              <w:right w:val="single" w:sz="4" w:space="0" w:color="auto"/>
            </w:tcBorders>
            <w:vAlign w:val="center"/>
            <w:hideMark/>
          </w:tcPr>
          <w:p w14:paraId="6ED83A33"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4</w:t>
            </w:r>
          </w:p>
        </w:tc>
        <w:tc>
          <w:tcPr>
            <w:tcW w:w="1474" w:type="dxa"/>
            <w:tcBorders>
              <w:top w:val="nil"/>
              <w:left w:val="nil"/>
              <w:bottom w:val="single" w:sz="4" w:space="0" w:color="auto"/>
              <w:right w:val="single" w:sz="4" w:space="0" w:color="auto"/>
            </w:tcBorders>
            <w:vAlign w:val="center"/>
            <w:hideMark/>
          </w:tcPr>
          <w:p w14:paraId="783D966F"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34</w:t>
            </w:r>
          </w:p>
        </w:tc>
        <w:tc>
          <w:tcPr>
            <w:tcW w:w="1187" w:type="dxa"/>
            <w:tcBorders>
              <w:top w:val="nil"/>
              <w:left w:val="nil"/>
              <w:bottom w:val="single" w:sz="4" w:space="0" w:color="auto"/>
              <w:right w:val="single" w:sz="4" w:space="0" w:color="auto"/>
            </w:tcBorders>
            <w:vAlign w:val="center"/>
            <w:hideMark/>
          </w:tcPr>
          <w:p w14:paraId="6DC10D58"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1,15</w:t>
            </w:r>
          </w:p>
        </w:tc>
        <w:tc>
          <w:tcPr>
            <w:tcW w:w="2004" w:type="dxa"/>
            <w:tcBorders>
              <w:top w:val="nil"/>
              <w:left w:val="nil"/>
              <w:bottom w:val="single" w:sz="4" w:space="0" w:color="auto"/>
              <w:right w:val="single" w:sz="4" w:space="0" w:color="auto"/>
            </w:tcBorders>
            <w:vAlign w:val="center"/>
            <w:hideMark/>
          </w:tcPr>
          <w:p w14:paraId="2229CDE6"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559" w:type="dxa"/>
            <w:tcBorders>
              <w:top w:val="nil"/>
              <w:left w:val="nil"/>
              <w:bottom w:val="single" w:sz="4" w:space="0" w:color="auto"/>
              <w:right w:val="single" w:sz="4" w:space="0" w:color="auto"/>
            </w:tcBorders>
            <w:vAlign w:val="center"/>
            <w:hideMark/>
          </w:tcPr>
          <w:p w14:paraId="38CCBDCE"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213" w:type="dxa"/>
            <w:tcBorders>
              <w:top w:val="nil"/>
              <w:left w:val="nil"/>
              <w:bottom w:val="single" w:sz="4" w:space="0" w:color="auto"/>
              <w:right w:val="single" w:sz="4" w:space="0" w:color="auto"/>
            </w:tcBorders>
            <w:vAlign w:val="center"/>
            <w:hideMark/>
          </w:tcPr>
          <w:p w14:paraId="219A6C18"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7,80</w:t>
            </w:r>
          </w:p>
        </w:tc>
      </w:tr>
      <w:tr w:rsidR="001355EB" w:rsidRPr="001355EB" w14:paraId="05305902" w14:textId="77777777" w:rsidTr="001355EB">
        <w:trPr>
          <w:gridAfter w:val="1"/>
          <w:wAfter w:w="6" w:type="dxa"/>
          <w:trHeight w:val="20"/>
          <w:jc w:val="center"/>
        </w:trPr>
        <w:tc>
          <w:tcPr>
            <w:tcW w:w="1897" w:type="dxa"/>
            <w:tcBorders>
              <w:top w:val="nil"/>
              <w:left w:val="single" w:sz="4" w:space="0" w:color="auto"/>
              <w:bottom w:val="single" w:sz="4" w:space="0" w:color="auto"/>
              <w:right w:val="single" w:sz="4" w:space="0" w:color="auto"/>
            </w:tcBorders>
            <w:vAlign w:val="center"/>
            <w:hideMark/>
          </w:tcPr>
          <w:p w14:paraId="53767582" w14:textId="77777777" w:rsidR="001355EB" w:rsidRPr="00E02C8A"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Bombay</w:t>
            </w:r>
          </w:p>
        </w:tc>
        <w:tc>
          <w:tcPr>
            <w:tcW w:w="1296" w:type="dxa"/>
            <w:tcBorders>
              <w:top w:val="nil"/>
              <w:left w:val="nil"/>
              <w:bottom w:val="single" w:sz="4" w:space="0" w:color="auto"/>
              <w:right w:val="single" w:sz="4" w:space="0" w:color="auto"/>
            </w:tcBorders>
            <w:vAlign w:val="center"/>
            <w:hideMark/>
          </w:tcPr>
          <w:p w14:paraId="0286D82B"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9,95</w:t>
            </w:r>
          </w:p>
        </w:tc>
        <w:tc>
          <w:tcPr>
            <w:tcW w:w="1170" w:type="dxa"/>
            <w:tcBorders>
              <w:top w:val="nil"/>
              <w:left w:val="nil"/>
              <w:bottom w:val="single" w:sz="4" w:space="0" w:color="auto"/>
              <w:right w:val="single" w:sz="4" w:space="0" w:color="auto"/>
            </w:tcBorders>
            <w:vAlign w:val="center"/>
            <w:hideMark/>
          </w:tcPr>
          <w:p w14:paraId="0A1F983B"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322" w:type="dxa"/>
            <w:tcBorders>
              <w:top w:val="nil"/>
              <w:left w:val="nil"/>
              <w:bottom w:val="single" w:sz="4" w:space="0" w:color="auto"/>
              <w:right w:val="single" w:sz="4" w:space="0" w:color="auto"/>
            </w:tcBorders>
            <w:vAlign w:val="center"/>
            <w:hideMark/>
          </w:tcPr>
          <w:p w14:paraId="791FC229"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375" w:type="dxa"/>
            <w:tcBorders>
              <w:top w:val="nil"/>
              <w:left w:val="nil"/>
              <w:bottom w:val="single" w:sz="4" w:space="0" w:color="auto"/>
              <w:right w:val="single" w:sz="4" w:space="0" w:color="auto"/>
            </w:tcBorders>
            <w:vAlign w:val="center"/>
            <w:hideMark/>
          </w:tcPr>
          <w:p w14:paraId="52688E9A"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170" w:type="dxa"/>
            <w:tcBorders>
              <w:top w:val="nil"/>
              <w:left w:val="nil"/>
              <w:bottom w:val="single" w:sz="4" w:space="0" w:color="auto"/>
              <w:right w:val="single" w:sz="4" w:space="0" w:color="auto"/>
            </w:tcBorders>
            <w:vAlign w:val="center"/>
            <w:hideMark/>
          </w:tcPr>
          <w:p w14:paraId="10339446"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1,45</w:t>
            </w:r>
          </w:p>
        </w:tc>
        <w:tc>
          <w:tcPr>
            <w:tcW w:w="1474" w:type="dxa"/>
            <w:tcBorders>
              <w:top w:val="nil"/>
              <w:left w:val="nil"/>
              <w:bottom w:val="single" w:sz="4" w:space="0" w:color="auto"/>
              <w:right w:val="single" w:sz="4" w:space="0" w:color="auto"/>
            </w:tcBorders>
            <w:vAlign w:val="center"/>
            <w:hideMark/>
          </w:tcPr>
          <w:p w14:paraId="25CBEB3E"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1,20</w:t>
            </w:r>
          </w:p>
        </w:tc>
        <w:tc>
          <w:tcPr>
            <w:tcW w:w="1187" w:type="dxa"/>
            <w:tcBorders>
              <w:top w:val="nil"/>
              <w:left w:val="nil"/>
              <w:bottom w:val="single" w:sz="4" w:space="0" w:color="auto"/>
              <w:right w:val="single" w:sz="4" w:space="0" w:color="auto"/>
            </w:tcBorders>
            <w:vAlign w:val="center"/>
            <w:hideMark/>
          </w:tcPr>
          <w:p w14:paraId="1B0C6AA4"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-51</w:t>
            </w:r>
          </w:p>
        </w:tc>
        <w:tc>
          <w:tcPr>
            <w:tcW w:w="2004" w:type="dxa"/>
            <w:tcBorders>
              <w:top w:val="nil"/>
              <w:left w:val="nil"/>
              <w:bottom w:val="single" w:sz="4" w:space="0" w:color="auto"/>
              <w:right w:val="single" w:sz="4" w:space="0" w:color="auto"/>
            </w:tcBorders>
            <w:vAlign w:val="center"/>
            <w:hideMark/>
          </w:tcPr>
          <w:p w14:paraId="4663C322"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559" w:type="dxa"/>
            <w:tcBorders>
              <w:top w:val="nil"/>
              <w:left w:val="nil"/>
              <w:bottom w:val="single" w:sz="4" w:space="0" w:color="auto"/>
              <w:right w:val="single" w:sz="4" w:space="0" w:color="auto"/>
            </w:tcBorders>
            <w:vAlign w:val="center"/>
            <w:hideMark/>
          </w:tcPr>
          <w:p w14:paraId="7C41D9F9"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213" w:type="dxa"/>
            <w:tcBorders>
              <w:top w:val="nil"/>
              <w:left w:val="nil"/>
              <w:bottom w:val="single" w:sz="4" w:space="0" w:color="auto"/>
              <w:right w:val="single" w:sz="4" w:space="0" w:color="auto"/>
            </w:tcBorders>
            <w:vAlign w:val="center"/>
            <w:hideMark/>
          </w:tcPr>
          <w:p w14:paraId="05541182"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12,09</w:t>
            </w:r>
          </w:p>
        </w:tc>
      </w:tr>
      <w:tr w:rsidR="001355EB" w:rsidRPr="001355EB" w14:paraId="3218D729" w14:textId="77777777" w:rsidTr="001355EB">
        <w:trPr>
          <w:gridAfter w:val="1"/>
          <w:wAfter w:w="6" w:type="dxa"/>
          <w:trHeight w:val="20"/>
          <w:jc w:val="center"/>
        </w:trPr>
        <w:tc>
          <w:tcPr>
            <w:tcW w:w="1897" w:type="dxa"/>
            <w:tcBorders>
              <w:top w:val="nil"/>
              <w:left w:val="single" w:sz="4" w:space="0" w:color="auto"/>
              <w:bottom w:val="single" w:sz="4" w:space="0" w:color="auto"/>
              <w:right w:val="single" w:sz="4" w:space="0" w:color="auto"/>
            </w:tcBorders>
            <w:vAlign w:val="center"/>
            <w:hideMark/>
          </w:tcPr>
          <w:p w14:paraId="2AD35EB8" w14:textId="77777777" w:rsidR="001355EB" w:rsidRPr="00E02C8A"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Madhya Pradesh</w:t>
            </w:r>
          </w:p>
        </w:tc>
        <w:tc>
          <w:tcPr>
            <w:tcW w:w="1296" w:type="dxa"/>
            <w:tcBorders>
              <w:top w:val="nil"/>
              <w:left w:val="nil"/>
              <w:bottom w:val="single" w:sz="4" w:space="0" w:color="auto"/>
              <w:right w:val="single" w:sz="4" w:space="0" w:color="auto"/>
            </w:tcBorders>
            <w:vAlign w:val="center"/>
            <w:hideMark/>
          </w:tcPr>
          <w:p w14:paraId="09E58D24"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2,84</w:t>
            </w:r>
          </w:p>
        </w:tc>
        <w:tc>
          <w:tcPr>
            <w:tcW w:w="1170" w:type="dxa"/>
            <w:tcBorders>
              <w:top w:val="nil"/>
              <w:left w:val="nil"/>
              <w:bottom w:val="single" w:sz="4" w:space="0" w:color="auto"/>
              <w:right w:val="single" w:sz="4" w:space="0" w:color="auto"/>
            </w:tcBorders>
            <w:vAlign w:val="center"/>
            <w:hideMark/>
          </w:tcPr>
          <w:p w14:paraId="46645ED1"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322" w:type="dxa"/>
            <w:tcBorders>
              <w:top w:val="nil"/>
              <w:left w:val="nil"/>
              <w:bottom w:val="single" w:sz="4" w:space="0" w:color="auto"/>
              <w:right w:val="single" w:sz="4" w:space="0" w:color="auto"/>
            </w:tcBorders>
            <w:vAlign w:val="center"/>
            <w:hideMark/>
          </w:tcPr>
          <w:p w14:paraId="13964F5F"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375" w:type="dxa"/>
            <w:tcBorders>
              <w:top w:val="nil"/>
              <w:left w:val="nil"/>
              <w:bottom w:val="single" w:sz="4" w:space="0" w:color="auto"/>
              <w:right w:val="single" w:sz="4" w:space="0" w:color="auto"/>
            </w:tcBorders>
            <w:vAlign w:val="center"/>
            <w:hideMark/>
          </w:tcPr>
          <w:p w14:paraId="086FA204"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170" w:type="dxa"/>
            <w:tcBorders>
              <w:top w:val="nil"/>
              <w:left w:val="nil"/>
              <w:bottom w:val="single" w:sz="4" w:space="0" w:color="auto"/>
              <w:right w:val="single" w:sz="4" w:space="0" w:color="auto"/>
            </w:tcBorders>
            <w:vAlign w:val="center"/>
            <w:hideMark/>
          </w:tcPr>
          <w:p w14:paraId="3DA73744"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19</w:t>
            </w:r>
          </w:p>
        </w:tc>
        <w:tc>
          <w:tcPr>
            <w:tcW w:w="1474" w:type="dxa"/>
            <w:tcBorders>
              <w:top w:val="nil"/>
              <w:left w:val="nil"/>
              <w:bottom w:val="single" w:sz="4" w:space="0" w:color="auto"/>
              <w:right w:val="single" w:sz="4" w:space="0" w:color="auto"/>
            </w:tcBorders>
            <w:vAlign w:val="center"/>
            <w:hideMark/>
          </w:tcPr>
          <w:p w14:paraId="52FFEDF0"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12</w:t>
            </w:r>
          </w:p>
        </w:tc>
        <w:tc>
          <w:tcPr>
            <w:tcW w:w="1187" w:type="dxa"/>
            <w:tcBorders>
              <w:top w:val="nil"/>
              <w:left w:val="nil"/>
              <w:bottom w:val="single" w:sz="4" w:space="0" w:color="auto"/>
              <w:right w:val="single" w:sz="4" w:space="0" w:color="auto"/>
            </w:tcBorders>
            <w:vAlign w:val="center"/>
            <w:hideMark/>
          </w:tcPr>
          <w:p w14:paraId="3F57FFE8"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-4</w:t>
            </w:r>
          </w:p>
        </w:tc>
        <w:tc>
          <w:tcPr>
            <w:tcW w:w="2004" w:type="dxa"/>
            <w:tcBorders>
              <w:top w:val="nil"/>
              <w:left w:val="nil"/>
              <w:bottom w:val="single" w:sz="4" w:space="0" w:color="auto"/>
              <w:right w:val="single" w:sz="4" w:space="0" w:color="auto"/>
            </w:tcBorders>
            <w:vAlign w:val="center"/>
            <w:hideMark/>
          </w:tcPr>
          <w:p w14:paraId="2E013A74"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559" w:type="dxa"/>
            <w:tcBorders>
              <w:top w:val="nil"/>
              <w:left w:val="nil"/>
              <w:bottom w:val="single" w:sz="4" w:space="0" w:color="auto"/>
              <w:right w:val="single" w:sz="4" w:space="0" w:color="auto"/>
            </w:tcBorders>
            <w:vAlign w:val="center"/>
            <w:hideMark/>
          </w:tcPr>
          <w:p w14:paraId="002C3F73"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213" w:type="dxa"/>
            <w:tcBorders>
              <w:top w:val="nil"/>
              <w:left w:val="nil"/>
              <w:bottom w:val="single" w:sz="4" w:space="0" w:color="auto"/>
              <w:right w:val="single" w:sz="4" w:space="0" w:color="auto"/>
            </w:tcBorders>
            <w:vAlign w:val="center"/>
            <w:hideMark/>
          </w:tcPr>
          <w:p w14:paraId="3C8AC0F2"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3,11</w:t>
            </w:r>
          </w:p>
        </w:tc>
      </w:tr>
      <w:tr w:rsidR="001355EB" w:rsidRPr="001355EB" w14:paraId="329133DF" w14:textId="77777777" w:rsidTr="001355EB">
        <w:trPr>
          <w:gridAfter w:val="1"/>
          <w:wAfter w:w="6" w:type="dxa"/>
          <w:trHeight w:val="20"/>
          <w:jc w:val="center"/>
        </w:trPr>
        <w:tc>
          <w:tcPr>
            <w:tcW w:w="1897" w:type="dxa"/>
            <w:tcBorders>
              <w:top w:val="nil"/>
              <w:left w:val="single" w:sz="4" w:space="0" w:color="auto"/>
              <w:bottom w:val="single" w:sz="4" w:space="0" w:color="auto"/>
              <w:right w:val="single" w:sz="4" w:space="0" w:color="auto"/>
            </w:tcBorders>
            <w:vAlign w:val="center"/>
            <w:hideMark/>
          </w:tcPr>
          <w:p w14:paraId="7E03208C" w14:textId="77777777" w:rsidR="001355EB" w:rsidRPr="00E02C8A"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Madras</w:t>
            </w:r>
          </w:p>
        </w:tc>
        <w:tc>
          <w:tcPr>
            <w:tcW w:w="1296" w:type="dxa"/>
            <w:tcBorders>
              <w:top w:val="nil"/>
              <w:left w:val="nil"/>
              <w:bottom w:val="single" w:sz="4" w:space="0" w:color="auto"/>
              <w:right w:val="single" w:sz="4" w:space="0" w:color="auto"/>
            </w:tcBorders>
            <w:vAlign w:val="center"/>
            <w:hideMark/>
          </w:tcPr>
          <w:p w14:paraId="5904A733"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8,29</w:t>
            </w:r>
          </w:p>
        </w:tc>
        <w:tc>
          <w:tcPr>
            <w:tcW w:w="1170" w:type="dxa"/>
            <w:tcBorders>
              <w:top w:val="nil"/>
              <w:left w:val="nil"/>
              <w:bottom w:val="single" w:sz="4" w:space="0" w:color="auto"/>
              <w:right w:val="single" w:sz="4" w:space="0" w:color="auto"/>
            </w:tcBorders>
            <w:vAlign w:val="center"/>
            <w:hideMark/>
          </w:tcPr>
          <w:p w14:paraId="228F319C"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322" w:type="dxa"/>
            <w:tcBorders>
              <w:top w:val="nil"/>
              <w:left w:val="nil"/>
              <w:bottom w:val="single" w:sz="4" w:space="0" w:color="auto"/>
              <w:right w:val="single" w:sz="4" w:space="0" w:color="auto"/>
            </w:tcBorders>
            <w:vAlign w:val="center"/>
            <w:hideMark/>
          </w:tcPr>
          <w:p w14:paraId="6A6EFE98"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375" w:type="dxa"/>
            <w:tcBorders>
              <w:top w:val="nil"/>
              <w:left w:val="nil"/>
              <w:bottom w:val="single" w:sz="4" w:space="0" w:color="auto"/>
              <w:right w:val="single" w:sz="4" w:space="0" w:color="auto"/>
            </w:tcBorders>
            <w:vAlign w:val="center"/>
            <w:hideMark/>
          </w:tcPr>
          <w:p w14:paraId="3F29EDA7"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170" w:type="dxa"/>
            <w:tcBorders>
              <w:top w:val="nil"/>
              <w:left w:val="nil"/>
              <w:bottom w:val="single" w:sz="4" w:space="0" w:color="auto"/>
              <w:right w:val="single" w:sz="4" w:space="0" w:color="auto"/>
            </w:tcBorders>
            <w:vAlign w:val="center"/>
            <w:hideMark/>
          </w:tcPr>
          <w:p w14:paraId="468EF0BE" w14:textId="5305B819" w:rsidR="001355EB" w:rsidRPr="001355EB" w:rsidRDefault="00AD3303"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474" w:type="dxa"/>
            <w:tcBorders>
              <w:top w:val="nil"/>
              <w:left w:val="nil"/>
              <w:bottom w:val="single" w:sz="4" w:space="0" w:color="auto"/>
              <w:right w:val="single" w:sz="4" w:space="0" w:color="auto"/>
            </w:tcBorders>
            <w:vAlign w:val="center"/>
            <w:hideMark/>
          </w:tcPr>
          <w:p w14:paraId="74B67107"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1</w:t>
            </w:r>
          </w:p>
        </w:tc>
        <w:tc>
          <w:tcPr>
            <w:tcW w:w="1187" w:type="dxa"/>
            <w:tcBorders>
              <w:top w:val="nil"/>
              <w:left w:val="nil"/>
              <w:bottom w:val="single" w:sz="4" w:space="0" w:color="auto"/>
              <w:right w:val="single" w:sz="4" w:space="0" w:color="auto"/>
            </w:tcBorders>
            <w:vAlign w:val="center"/>
            <w:hideMark/>
          </w:tcPr>
          <w:p w14:paraId="161B08BD"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-14</w:t>
            </w:r>
          </w:p>
        </w:tc>
        <w:tc>
          <w:tcPr>
            <w:tcW w:w="2004" w:type="dxa"/>
            <w:tcBorders>
              <w:top w:val="nil"/>
              <w:left w:val="nil"/>
              <w:bottom w:val="single" w:sz="4" w:space="0" w:color="auto"/>
              <w:right w:val="single" w:sz="4" w:space="0" w:color="auto"/>
            </w:tcBorders>
            <w:vAlign w:val="center"/>
            <w:hideMark/>
          </w:tcPr>
          <w:p w14:paraId="262B036B"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559" w:type="dxa"/>
            <w:tcBorders>
              <w:top w:val="nil"/>
              <w:left w:val="nil"/>
              <w:bottom w:val="single" w:sz="4" w:space="0" w:color="auto"/>
              <w:right w:val="single" w:sz="4" w:space="0" w:color="auto"/>
            </w:tcBorders>
            <w:vAlign w:val="center"/>
            <w:hideMark/>
          </w:tcPr>
          <w:p w14:paraId="5B2EE1A8"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213" w:type="dxa"/>
            <w:tcBorders>
              <w:top w:val="nil"/>
              <w:left w:val="nil"/>
              <w:bottom w:val="single" w:sz="4" w:space="0" w:color="auto"/>
              <w:right w:val="single" w:sz="4" w:space="0" w:color="auto"/>
            </w:tcBorders>
            <w:vAlign w:val="center"/>
            <w:hideMark/>
          </w:tcPr>
          <w:p w14:paraId="3093D64E"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8,16</w:t>
            </w:r>
          </w:p>
        </w:tc>
      </w:tr>
      <w:tr w:rsidR="001355EB" w:rsidRPr="001355EB" w14:paraId="6C117088" w14:textId="77777777" w:rsidTr="001355EB">
        <w:trPr>
          <w:gridAfter w:val="1"/>
          <w:wAfter w:w="6" w:type="dxa"/>
          <w:trHeight w:val="20"/>
          <w:jc w:val="center"/>
        </w:trPr>
        <w:tc>
          <w:tcPr>
            <w:tcW w:w="1897" w:type="dxa"/>
            <w:tcBorders>
              <w:top w:val="nil"/>
              <w:left w:val="single" w:sz="4" w:space="0" w:color="auto"/>
              <w:bottom w:val="single" w:sz="4" w:space="0" w:color="auto"/>
              <w:right w:val="single" w:sz="4" w:space="0" w:color="auto"/>
            </w:tcBorders>
            <w:vAlign w:val="center"/>
            <w:hideMark/>
          </w:tcPr>
          <w:p w14:paraId="077FBB12" w14:textId="77777777" w:rsidR="001355EB" w:rsidRPr="00E02C8A"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Orissa</w:t>
            </w:r>
          </w:p>
        </w:tc>
        <w:tc>
          <w:tcPr>
            <w:tcW w:w="1296" w:type="dxa"/>
            <w:tcBorders>
              <w:top w:val="nil"/>
              <w:left w:val="nil"/>
              <w:bottom w:val="single" w:sz="4" w:space="0" w:color="auto"/>
              <w:right w:val="single" w:sz="4" w:space="0" w:color="auto"/>
            </w:tcBorders>
            <w:vAlign w:val="center"/>
            <w:hideMark/>
          </w:tcPr>
          <w:p w14:paraId="4A3858D6"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1,42</w:t>
            </w:r>
          </w:p>
        </w:tc>
        <w:tc>
          <w:tcPr>
            <w:tcW w:w="1170" w:type="dxa"/>
            <w:tcBorders>
              <w:top w:val="nil"/>
              <w:left w:val="nil"/>
              <w:bottom w:val="single" w:sz="4" w:space="0" w:color="auto"/>
              <w:right w:val="single" w:sz="4" w:space="0" w:color="auto"/>
            </w:tcBorders>
            <w:vAlign w:val="center"/>
            <w:hideMark/>
          </w:tcPr>
          <w:p w14:paraId="6EB4E587"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5</w:t>
            </w:r>
          </w:p>
        </w:tc>
        <w:tc>
          <w:tcPr>
            <w:tcW w:w="1322" w:type="dxa"/>
            <w:tcBorders>
              <w:top w:val="nil"/>
              <w:left w:val="nil"/>
              <w:bottom w:val="single" w:sz="4" w:space="0" w:color="auto"/>
              <w:right w:val="single" w:sz="4" w:space="0" w:color="auto"/>
            </w:tcBorders>
            <w:vAlign w:val="center"/>
            <w:hideMark/>
          </w:tcPr>
          <w:p w14:paraId="2CD65971"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40</w:t>
            </w:r>
          </w:p>
        </w:tc>
        <w:tc>
          <w:tcPr>
            <w:tcW w:w="1375" w:type="dxa"/>
            <w:tcBorders>
              <w:top w:val="nil"/>
              <w:left w:val="nil"/>
              <w:bottom w:val="single" w:sz="4" w:space="0" w:color="auto"/>
              <w:right w:val="single" w:sz="4" w:space="0" w:color="auto"/>
            </w:tcBorders>
            <w:vAlign w:val="center"/>
            <w:hideMark/>
          </w:tcPr>
          <w:p w14:paraId="3631FF05"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170" w:type="dxa"/>
            <w:tcBorders>
              <w:top w:val="nil"/>
              <w:left w:val="nil"/>
              <w:bottom w:val="single" w:sz="4" w:space="0" w:color="auto"/>
              <w:right w:val="single" w:sz="4" w:space="0" w:color="auto"/>
            </w:tcBorders>
            <w:vAlign w:val="center"/>
            <w:hideMark/>
          </w:tcPr>
          <w:p w14:paraId="37113AC8" w14:textId="111A50C0" w:rsidR="001355EB" w:rsidRPr="001355EB" w:rsidRDefault="00AD3303" w:rsidP="001355EB">
            <w:pPr>
              <w:spacing w:after="0" w:line="240" w:lineRule="auto"/>
              <w:jc w:val="center"/>
              <w:rPr>
                <w:rFonts w:ascii="Times New Roman" w:eastAsia="Times New Roman" w:hAnsi="Times New Roman" w:cs="Times New Roman"/>
                <w:color w:val="000000"/>
                <w:kern w:val="0"/>
                <w:szCs w:val="24"/>
                <w:lang w:eastAsia="en-IN"/>
                <w14:ligatures w14:val="none"/>
              </w:rPr>
            </w:pPr>
            <w:r>
              <w:rPr>
                <w:rFonts w:ascii="Times New Roman" w:eastAsia="Times New Roman" w:hAnsi="Times New Roman" w:cs="Times New Roman"/>
                <w:color w:val="000000"/>
                <w:kern w:val="0"/>
                <w:szCs w:val="24"/>
                <w:lang w:eastAsia="en-IN"/>
                <w14:ligatures w14:val="none"/>
              </w:rPr>
              <w:t>16</w:t>
            </w:r>
          </w:p>
        </w:tc>
        <w:tc>
          <w:tcPr>
            <w:tcW w:w="1474" w:type="dxa"/>
            <w:tcBorders>
              <w:top w:val="nil"/>
              <w:left w:val="nil"/>
              <w:bottom w:val="single" w:sz="4" w:space="0" w:color="auto"/>
              <w:right w:val="single" w:sz="4" w:space="0" w:color="auto"/>
            </w:tcBorders>
            <w:vAlign w:val="center"/>
            <w:hideMark/>
          </w:tcPr>
          <w:p w14:paraId="2B08EDF0" w14:textId="0A3DF9B8" w:rsidR="001355EB" w:rsidRPr="001355EB" w:rsidRDefault="00AD3303" w:rsidP="001355EB">
            <w:pPr>
              <w:spacing w:after="0" w:line="240" w:lineRule="auto"/>
              <w:jc w:val="center"/>
              <w:rPr>
                <w:rFonts w:ascii="Times New Roman" w:eastAsia="Times New Roman" w:hAnsi="Times New Roman" w:cs="Times New Roman"/>
                <w:color w:val="000000"/>
                <w:kern w:val="0"/>
                <w:szCs w:val="24"/>
                <w:lang w:eastAsia="en-IN"/>
                <w14:ligatures w14:val="none"/>
              </w:rPr>
            </w:pPr>
            <w:r>
              <w:rPr>
                <w:rFonts w:ascii="Times New Roman" w:eastAsia="Times New Roman" w:hAnsi="Times New Roman" w:cs="Times New Roman"/>
                <w:color w:val="000000"/>
                <w:kern w:val="0"/>
                <w:szCs w:val="24"/>
                <w:lang w:eastAsia="en-IN"/>
                <w14:ligatures w14:val="none"/>
              </w:rPr>
              <w:t>49</w:t>
            </w:r>
          </w:p>
        </w:tc>
        <w:tc>
          <w:tcPr>
            <w:tcW w:w="1187" w:type="dxa"/>
            <w:tcBorders>
              <w:top w:val="nil"/>
              <w:left w:val="nil"/>
              <w:bottom w:val="single" w:sz="4" w:space="0" w:color="auto"/>
              <w:right w:val="single" w:sz="4" w:space="0" w:color="auto"/>
            </w:tcBorders>
            <w:vAlign w:val="center"/>
            <w:hideMark/>
          </w:tcPr>
          <w:p w14:paraId="109CDD84" w14:textId="57F7FCAC" w:rsidR="001355EB" w:rsidRPr="001355EB" w:rsidRDefault="00AD3303" w:rsidP="001355EB">
            <w:pPr>
              <w:spacing w:after="0" w:line="240" w:lineRule="auto"/>
              <w:jc w:val="center"/>
              <w:rPr>
                <w:rFonts w:ascii="Times New Roman" w:eastAsia="Times New Roman" w:hAnsi="Times New Roman" w:cs="Times New Roman"/>
                <w:color w:val="000000"/>
                <w:kern w:val="0"/>
                <w:szCs w:val="24"/>
                <w:lang w:eastAsia="en-IN"/>
                <w14:ligatures w14:val="none"/>
              </w:rPr>
            </w:pPr>
            <w:r>
              <w:rPr>
                <w:rFonts w:ascii="Times New Roman" w:eastAsia="Times New Roman" w:hAnsi="Times New Roman" w:cs="Times New Roman"/>
                <w:color w:val="000000"/>
                <w:kern w:val="0"/>
                <w:szCs w:val="24"/>
                <w:lang w:eastAsia="en-IN"/>
                <w14:ligatures w14:val="none"/>
              </w:rPr>
              <w:t>53</w:t>
            </w:r>
          </w:p>
        </w:tc>
        <w:tc>
          <w:tcPr>
            <w:tcW w:w="2004" w:type="dxa"/>
            <w:tcBorders>
              <w:top w:val="nil"/>
              <w:left w:val="nil"/>
              <w:bottom w:val="single" w:sz="4" w:space="0" w:color="auto"/>
              <w:right w:val="single" w:sz="4" w:space="0" w:color="auto"/>
            </w:tcBorders>
            <w:vAlign w:val="center"/>
            <w:hideMark/>
          </w:tcPr>
          <w:p w14:paraId="6CEAD5CF"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559" w:type="dxa"/>
            <w:tcBorders>
              <w:top w:val="nil"/>
              <w:left w:val="nil"/>
              <w:bottom w:val="single" w:sz="4" w:space="0" w:color="auto"/>
              <w:right w:val="single" w:sz="4" w:space="0" w:color="auto"/>
            </w:tcBorders>
            <w:vAlign w:val="center"/>
            <w:hideMark/>
          </w:tcPr>
          <w:p w14:paraId="081963A2"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213" w:type="dxa"/>
            <w:tcBorders>
              <w:top w:val="nil"/>
              <w:left w:val="nil"/>
              <w:bottom w:val="single" w:sz="4" w:space="0" w:color="auto"/>
              <w:right w:val="single" w:sz="4" w:space="0" w:color="auto"/>
            </w:tcBorders>
            <w:vAlign w:val="center"/>
            <w:hideMark/>
          </w:tcPr>
          <w:p w14:paraId="510FF406" w14:textId="4AA15EA3" w:rsidR="001355EB" w:rsidRPr="001355EB" w:rsidRDefault="004A4675" w:rsidP="001355EB">
            <w:pPr>
              <w:spacing w:after="0" w:line="240" w:lineRule="auto"/>
              <w:jc w:val="center"/>
              <w:rPr>
                <w:rFonts w:ascii="Times New Roman" w:eastAsia="Times New Roman" w:hAnsi="Times New Roman" w:cs="Times New Roman"/>
                <w:color w:val="000000"/>
                <w:kern w:val="0"/>
                <w:szCs w:val="24"/>
                <w:lang w:eastAsia="en-IN"/>
                <w14:ligatures w14:val="none"/>
              </w:rPr>
            </w:pPr>
            <w:r>
              <w:rPr>
                <w:rFonts w:ascii="Times New Roman" w:eastAsia="Times New Roman" w:hAnsi="Times New Roman" w:cs="Times New Roman"/>
                <w:color w:val="000000"/>
                <w:kern w:val="0"/>
                <w:szCs w:val="24"/>
                <w:lang w:eastAsia="en-IN"/>
                <w14:ligatures w14:val="none"/>
              </w:rPr>
              <w:t>9.05</w:t>
            </w:r>
          </w:p>
        </w:tc>
      </w:tr>
      <w:tr w:rsidR="001355EB" w:rsidRPr="001355EB" w14:paraId="0012E79D" w14:textId="77777777" w:rsidTr="001355EB">
        <w:trPr>
          <w:gridAfter w:val="1"/>
          <w:wAfter w:w="6" w:type="dxa"/>
          <w:trHeight w:val="20"/>
          <w:jc w:val="center"/>
        </w:trPr>
        <w:tc>
          <w:tcPr>
            <w:tcW w:w="1897" w:type="dxa"/>
            <w:tcBorders>
              <w:top w:val="nil"/>
              <w:left w:val="single" w:sz="4" w:space="0" w:color="auto"/>
              <w:bottom w:val="single" w:sz="4" w:space="0" w:color="auto"/>
              <w:right w:val="single" w:sz="4" w:space="0" w:color="auto"/>
            </w:tcBorders>
            <w:vAlign w:val="center"/>
            <w:hideMark/>
          </w:tcPr>
          <w:p w14:paraId="7416EFE3" w14:textId="77777777" w:rsidR="001355EB" w:rsidRPr="00E02C8A"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Punjab</w:t>
            </w:r>
          </w:p>
        </w:tc>
        <w:tc>
          <w:tcPr>
            <w:tcW w:w="1296" w:type="dxa"/>
            <w:tcBorders>
              <w:top w:val="nil"/>
              <w:left w:val="nil"/>
              <w:bottom w:val="single" w:sz="4" w:space="0" w:color="auto"/>
              <w:right w:val="single" w:sz="4" w:space="0" w:color="auto"/>
            </w:tcBorders>
            <w:vAlign w:val="center"/>
            <w:hideMark/>
          </w:tcPr>
          <w:p w14:paraId="2EFDD99E"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2,61</w:t>
            </w:r>
          </w:p>
        </w:tc>
        <w:tc>
          <w:tcPr>
            <w:tcW w:w="1170" w:type="dxa"/>
            <w:tcBorders>
              <w:top w:val="nil"/>
              <w:left w:val="nil"/>
              <w:bottom w:val="single" w:sz="4" w:space="0" w:color="auto"/>
              <w:right w:val="single" w:sz="4" w:space="0" w:color="auto"/>
            </w:tcBorders>
            <w:vAlign w:val="center"/>
            <w:hideMark/>
          </w:tcPr>
          <w:p w14:paraId="5B924981"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322" w:type="dxa"/>
            <w:tcBorders>
              <w:top w:val="nil"/>
              <w:left w:val="nil"/>
              <w:bottom w:val="single" w:sz="4" w:space="0" w:color="auto"/>
              <w:right w:val="single" w:sz="4" w:space="0" w:color="auto"/>
            </w:tcBorders>
            <w:vAlign w:val="center"/>
            <w:hideMark/>
          </w:tcPr>
          <w:p w14:paraId="161AC22B"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75</w:t>
            </w:r>
          </w:p>
        </w:tc>
        <w:tc>
          <w:tcPr>
            <w:tcW w:w="1375" w:type="dxa"/>
            <w:tcBorders>
              <w:top w:val="nil"/>
              <w:left w:val="nil"/>
              <w:bottom w:val="single" w:sz="4" w:space="0" w:color="auto"/>
              <w:right w:val="single" w:sz="4" w:space="0" w:color="auto"/>
            </w:tcBorders>
            <w:vAlign w:val="center"/>
            <w:hideMark/>
          </w:tcPr>
          <w:p w14:paraId="1B97991B"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170" w:type="dxa"/>
            <w:tcBorders>
              <w:top w:val="nil"/>
              <w:left w:val="nil"/>
              <w:bottom w:val="single" w:sz="4" w:space="0" w:color="auto"/>
              <w:right w:val="single" w:sz="4" w:space="0" w:color="auto"/>
            </w:tcBorders>
            <w:vAlign w:val="center"/>
            <w:hideMark/>
          </w:tcPr>
          <w:p w14:paraId="21D95E1A"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474" w:type="dxa"/>
            <w:tcBorders>
              <w:top w:val="nil"/>
              <w:left w:val="nil"/>
              <w:bottom w:val="single" w:sz="4" w:space="0" w:color="auto"/>
              <w:right w:val="single" w:sz="4" w:space="0" w:color="auto"/>
            </w:tcBorders>
            <w:vAlign w:val="center"/>
            <w:hideMark/>
          </w:tcPr>
          <w:p w14:paraId="2AFBD540" w14:textId="6D0A6016" w:rsidR="001355EB" w:rsidRPr="001355EB" w:rsidRDefault="00AD3303" w:rsidP="001355EB">
            <w:pPr>
              <w:spacing w:after="0" w:line="240" w:lineRule="auto"/>
              <w:jc w:val="center"/>
              <w:rPr>
                <w:rFonts w:ascii="Times New Roman" w:eastAsia="Times New Roman" w:hAnsi="Times New Roman" w:cs="Times New Roman"/>
                <w:color w:val="000000"/>
                <w:kern w:val="0"/>
                <w:szCs w:val="24"/>
                <w:lang w:eastAsia="en-IN"/>
                <w14:ligatures w14:val="none"/>
              </w:rPr>
            </w:pPr>
            <w:r>
              <w:rPr>
                <w:rFonts w:ascii="Times New Roman" w:eastAsia="Times New Roman" w:hAnsi="Times New Roman" w:cs="Times New Roman"/>
                <w:color w:val="000000"/>
                <w:kern w:val="0"/>
                <w:szCs w:val="24"/>
                <w:lang w:eastAsia="en-IN"/>
                <w14:ligatures w14:val="none"/>
              </w:rPr>
              <w:t>1,33</w:t>
            </w:r>
          </w:p>
        </w:tc>
        <w:tc>
          <w:tcPr>
            <w:tcW w:w="1187" w:type="dxa"/>
            <w:tcBorders>
              <w:top w:val="nil"/>
              <w:left w:val="nil"/>
              <w:bottom w:val="single" w:sz="4" w:space="0" w:color="auto"/>
              <w:right w:val="single" w:sz="4" w:space="0" w:color="auto"/>
            </w:tcBorders>
            <w:vAlign w:val="center"/>
            <w:hideMark/>
          </w:tcPr>
          <w:p w14:paraId="1A30CEDF" w14:textId="4788E1E7" w:rsidR="001355EB" w:rsidRPr="001355EB" w:rsidRDefault="00AD3303"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2004" w:type="dxa"/>
            <w:tcBorders>
              <w:top w:val="nil"/>
              <w:left w:val="nil"/>
              <w:bottom w:val="single" w:sz="4" w:space="0" w:color="auto"/>
              <w:right w:val="single" w:sz="4" w:space="0" w:color="auto"/>
            </w:tcBorders>
            <w:vAlign w:val="center"/>
            <w:hideMark/>
          </w:tcPr>
          <w:p w14:paraId="5D7CF396"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559" w:type="dxa"/>
            <w:tcBorders>
              <w:top w:val="nil"/>
              <w:left w:val="nil"/>
              <w:bottom w:val="single" w:sz="4" w:space="0" w:color="auto"/>
              <w:right w:val="single" w:sz="4" w:space="0" w:color="auto"/>
            </w:tcBorders>
            <w:vAlign w:val="center"/>
            <w:hideMark/>
          </w:tcPr>
          <w:p w14:paraId="1D99B2A3"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213" w:type="dxa"/>
            <w:tcBorders>
              <w:top w:val="nil"/>
              <w:left w:val="nil"/>
              <w:bottom w:val="single" w:sz="4" w:space="0" w:color="auto"/>
              <w:right w:val="single" w:sz="4" w:space="0" w:color="auto"/>
            </w:tcBorders>
            <w:vAlign w:val="center"/>
            <w:hideMark/>
          </w:tcPr>
          <w:p w14:paraId="2C66D555" w14:textId="20D56633" w:rsidR="001355EB" w:rsidRPr="001355EB" w:rsidRDefault="004A4675" w:rsidP="001355EB">
            <w:pPr>
              <w:spacing w:after="0" w:line="240" w:lineRule="auto"/>
              <w:jc w:val="center"/>
              <w:rPr>
                <w:rFonts w:ascii="Times New Roman" w:eastAsia="Times New Roman" w:hAnsi="Times New Roman" w:cs="Times New Roman"/>
                <w:color w:val="000000"/>
                <w:kern w:val="0"/>
                <w:szCs w:val="24"/>
                <w:lang w:eastAsia="en-IN"/>
                <w14:ligatures w14:val="none"/>
              </w:rPr>
            </w:pPr>
            <w:r>
              <w:rPr>
                <w:rFonts w:ascii="Times New Roman" w:eastAsia="Times New Roman" w:hAnsi="Times New Roman" w:cs="Times New Roman"/>
                <w:color w:val="000000"/>
                <w:kern w:val="0"/>
                <w:szCs w:val="24"/>
                <w:lang w:eastAsia="en-IN"/>
                <w14:ligatures w14:val="none"/>
              </w:rPr>
              <w:t>4,69</w:t>
            </w:r>
          </w:p>
        </w:tc>
      </w:tr>
      <w:tr w:rsidR="001355EB" w:rsidRPr="001355EB" w14:paraId="448EF681" w14:textId="77777777" w:rsidTr="001355EB">
        <w:trPr>
          <w:gridAfter w:val="1"/>
          <w:wAfter w:w="6" w:type="dxa"/>
          <w:trHeight w:val="20"/>
          <w:jc w:val="center"/>
        </w:trPr>
        <w:tc>
          <w:tcPr>
            <w:tcW w:w="1897" w:type="dxa"/>
            <w:tcBorders>
              <w:top w:val="nil"/>
              <w:left w:val="single" w:sz="4" w:space="0" w:color="auto"/>
              <w:bottom w:val="single" w:sz="4" w:space="0" w:color="auto"/>
              <w:right w:val="single" w:sz="4" w:space="0" w:color="auto"/>
            </w:tcBorders>
            <w:vAlign w:val="center"/>
            <w:hideMark/>
          </w:tcPr>
          <w:p w14:paraId="704C1B51" w14:textId="77777777" w:rsidR="001355EB" w:rsidRPr="00E02C8A"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Uttar Pradesh</w:t>
            </w:r>
          </w:p>
        </w:tc>
        <w:tc>
          <w:tcPr>
            <w:tcW w:w="1296" w:type="dxa"/>
            <w:tcBorders>
              <w:top w:val="nil"/>
              <w:left w:val="nil"/>
              <w:bottom w:val="single" w:sz="4" w:space="0" w:color="auto"/>
              <w:right w:val="single" w:sz="4" w:space="0" w:color="auto"/>
            </w:tcBorders>
            <w:vAlign w:val="center"/>
            <w:hideMark/>
          </w:tcPr>
          <w:p w14:paraId="32C0F5DA"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8,53</w:t>
            </w:r>
          </w:p>
        </w:tc>
        <w:tc>
          <w:tcPr>
            <w:tcW w:w="1170" w:type="dxa"/>
            <w:tcBorders>
              <w:top w:val="nil"/>
              <w:left w:val="nil"/>
              <w:bottom w:val="single" w:sz="4" w:space="0" w:color="auto"/>
              <w:right w:val="single" w:sz="4" w:space="0" w:color="auto"/>
            </w:tcBorders>
            <w:vAlign w:val="center"/>
            <w:hideMark/>
          </w:tcPr>
          <w:p w14:paraId="2FA48463"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322" w:type="dxa"/>
            <w:tcBorders>
              <w:top w:val="nil"/>
              <w:left w:val="nil"/>
              <w:bottom w:val="single" w:sz="4" w:space="0" w:color="auto"/>
              <w:right w:val="single" w:sz="4" w:space="0" w:color="auto"/>
            </w:tcBorders>
            <w:vAlign w:val="center"/>
            <w:hideMark/>
          </w:tcPr>
          <w:p w14:paraId="55779BC9"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375" w:type="dxa"/>
            <w:tcBorders>
              <w:top w:val="nil"/>
              <w:left w:val="nil"/>
              <w:bottom w:val="single" w:sz="4" w:space="0" w:color="auto"/>
              <w:right w:val="single" w:sz="4" w:space="0" w:color="auto"/>
            </w:tcBorders>
            <w:vAlign w:val="center"/>
            <w:hideMark/>
          </w:tcPr>
          <w:p w14:paraId="68A05558"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170" w:type="dxa"/>
            <w:tcBorders>
              <w:top w:val="nil"/>
              <w:left w:val="nil"/>
              <w:bottom w:val="single" w:sz="4" w:space="0" w:color="auto"/>
              <w:right w:val="single" w:sz="4" w:space="0" w:color="auto"/>
            </w:tcBorders>
            <w:vAlign w:val="center"/>
            <w:hideMark/>
          </w:tcPr>
          <w:p w14:paraId="69F6FD50"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474" w:type="dxa"/>
            <w:tcBorders>
              <w:top w:val="nil"/>
              <w:left w:val="nil"/>
              <w:bottom w:val="single" w:sz="4" w:space="0" w:color="auto"/>
              <w:right w:val="single" w:sz="4" w:space="0" w:color="auto"/>
            </w:tcBorders>
            <w:vAlign w:val="center"/>
            <w:hideMark/>
          </w:tcPr>
          <w:p w14:paraId="4360D8ED" w14:textId="23929AF6" w:rsidR="001355EB" w:rsidRPr="001355EB" w:rsidRDefault="00AD3303" w:rsidP="001355EB">
            <w:pPr>
              <w:spacing w:after="0" w:line="240" w:lineRule="auto"/>
              <w:jc w:val="center"/>
              <w:rPr>
                <w:rFonts w:ascii="Times New Roman" w:eastAsia="Times New Roman" w:hAnsi="Times New Roman" w:cs="Times New Roman"/>
                <w:color w:val="000000"/>
                <w:kern w:val="0"/>
                <w:szCs w:val="24"/>
                <w:lang w:eastAsia="en-IN"/>
                <w14:ligatures w14:val="none"/>
              </w:rPr>
            </w:pPr>
            <w:r>
              <w:rPr>
                <w:rFonts w:ascii="Times New Roman" w:eastAsia="Times New Roman" w:hAnsi="Times New Roman" w:cs="Times New Roman"/>
                <w:color w:val="000000"/>
                <w:kern w:val="0"/>
                <w:szCs w:val="24"/>
                <w:lang w:eastAsia="en-IN"/>
                <w14:ligatures w14:val="none"/>
              </w:rPr>
              <w:t>29</w:t>
            </w:r>
          </w:p>
        </w:tc>
        <w:tc>
          <w:tcPr>
            <w:tcW w:w="1187" w:type="dxa"/>
            <w:tcBorders>
              <w:top w:val="nil"/>
              <w:left w:val="nil"/>
              <w:bottom w:val="single" w:sz="4" w:space="0" w:color="auto"/>
              <w:right w:val="single" w:sz="4" w:space="0" w:color="auto"/>
            </w:tcBorders>
            <w:vAlign w:val="center"/>
            <w:hideMark/>
          </w:tcPr>
          <w:p w14:paraId="756EE764" w14:textId="2F38A784" w:rsidR="001355EB" w:rsidRPr="001355EB" w:rsidRDefault="00AD3303"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2004" w:type="dxa"/>
            <w:tcBorders>
              <w:top w:val="nil"/>
              <w:left w:val="nil"/>
              <w:bottom w:val="single" w:sz="4" w:space="0" w:color="auto"/>
              <w:right w:val="single" w:sz="4" w:space="0" w:color="auto"/>
            </w:tcBorders>
            <w:vAlign w:val="center"/>
            <w:hideMark/>
          </w:tcPr>
          <w:p w14:paraId="3AAFEBBA"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559" w:type="dxa"/>
            <w:tcBorders>
              <w:top w:val="nil"/>
              <w:left w:val="nil"/>
              <w:bottom w:val="single" w:sz="4" w:space="0" w:color="auto"/>
              <w:right w:val="single" w:sz="4" w:space="0" w:color="auto"/>
            </w:tcBorders>
            <w:vAlign w:val="center"/>
            <w:hideMark/>
          </w:tcPr>
          <w:p w14:paraId="09F316EA"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213" w:type="dxa"/>
            <w:tcBorders>
              <w:top w:val="nil"/>
              <w:left w:val="nil"/>
              <w:bottom w:val="single" w:sz="4" w:space="0" w:color="auto"/>
              <w:right w:val="single" w:sz="4" w:space="0" w:color="auto"/>
            </w:tcBorders>
            <w:vAlign w:val="center"/>
            <w:hideMark/>
          </w:tcPr>
          <w:p w14:paraId="4DC2C867"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8,82</w:t>
            </w:r>
          </w:p>
        </w:tc>
      </w:tr>
      <w:tr w:rsidR="001355EB" w:rsidRPr="001355EB" w14:paraId="62E88576" w14:textId="77777777" w:rsidTr="001355EB">
        <w:trPr>
          <w:gridAfter w:val="1"/>
          <w:wAfter w:w="6" w:type="dxa"/>
          <w:trHeight w:val="20"/>
          <w:jc w:val="center"/>
        </w:trPr>
        <w:tc>
          <w:tcPr>
            <w:tcW w:w="1897" w:type="dxa"/>
            <w:tcBorders>
              <w:top w:val="nil"/>
              <w:left w:val="single" w:sz="4" w:space="0" w:color="auto"/>
              <w:bottom w:val="single" w:sz="4" w:space="0" w:color="auto"/>
              <w:right w:val="single" w:sz="4" w:space="0" w:color="auto"/>
            </w:tcBorders>
            <w:vAlign w:val="center"/>
            <w:hideMark/>
          </w:tcPr>
          <w:p w14:paraId="3B937999" w14:textId="77777777" w:rsidR="001355EB" w:rsidRPr="00E02C8A"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West Bengal</w:t>
            </w:r>
          </w:p>
        </w:tc>
        <w:tc>
          <w:tcPr>
            <w:tcW w:w="1296" w:type="dxa"/>
            <w:tcBorders>
              <w:top w:val="nil"/>
              <w:left w:val="nil"/>
              <w:bottom w:val="single" w:sz="4" w:space="0" w:color="auto"/>
              <w:right w:val="single" w:sz="4" w:space="0" w:color="auto"/>
            </w:tcBorders>
            <w:vAlign w:val="center"/>
            <w:hideMark/>
          </w:tcPr>
          <w:p w14:paraId="23ACA80B"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6,40</w:t>
            </w:r>
          </w:p>
        </w:tc>
        <w:tc>
          <w:tcPr>
            <w:tcW w:w="1170" w:type="dxa"/>
            <w:tcBorders>
              <w:top w:val="nil"/>
              <w:left w:val="nil"/>
              <w:bottom w:val="single" w:sz="4" w:space="0" w:color="auto"/>
              <w:right w:val="single" w:sz="4" w:space="0" w:color="auto"/>
            </w:tcBorders>
            <w:vAlign w:val="center"/>
            <w:hideMark/>
          </w:tcPr>
          <w:p w14:paraId="31B77016"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1,05</w:t>
            </w:r>
          </w:p>
        </w:tc>
        <w:tc>
          <w:tcPr>
            <w:tcW w:w="1322" w:type="dxa"/>
            <w:tcBorders>
              <w:top w:val="nil"/>
              <w:left w:val="nil"/>
              <w:bottom w:val="single" w:sz="4" w:space="0" w:color="auto"/>
              <w:right w:val="single" w:sz="4" w:space="0" w:color="auto"/>
            </w:tcBorders>
            <w:vAlign w:val="center"/>
            <w:hideMark/>
          </w:tcPr>
          <w:p w14:paraId="6553B769"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375" w:type="dxa"/>
            <w:tcBorders>
              <w:top w:val="nil"/>
              <w:left w:val="nil"/>
              <w:bottom w:val="single" w:sz="4" w:space="0" w:color="auto"/>
              <w:right w:val="single" w:sz="4" w:space="0" w:color="auto"/>
            </w:tcBorders>
            <w:vAlign w:val="center"/>
            <w:hideMark/>
          </w:tcPr>
          <w:p w14:paraId="57B0128E"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170" w:type="dxa"/>
            <w:tcBorders>
              <w:top w:val="nil"/>
              <w:left w:val="nil"/>
              <w:bottom w:val="single" w:sz="4" w:space="0" w:color="auto"/>
              <w:right w:val="single" w:sz="4" w:space="0" w:color="auto"/>
            </w:tcBorders>
            <w:vAlign w:val="center"/>
            <w:hideMark/>
          </w:tcPr>
          <w:p w14:paraId="18C4C281" w14:textId="430C6176" w:rsidR="001355EB" w:rsidRPr="001355EB" w:rsidRDefault="00AD3303" w:rsidP="001355EB">
            <w:pPr>
              <w:spacing w:after="0" w:line="240" w:lineRule="auto"/>
              <w:jc w:val="center"/>
              <w:rPr>
                <w:rFonts w:ascii="Times New Roman" w:eastAsia="Times New Roman" w:hAnsi="Times New Roman" w:cs="Times New Roman"/>
                <w:color w:val="000000"/>
                <w:kern w:val="0"/>
                <w:szCs w:val="24"/>
                <w:lang w:eastAsia="en-IN"/>
                <w14:ligatures w14:val="none"/>
              </w:rPr>
            </w:pPr>
            <w:r>
              <w:rPr>
                <w:rFonts w:ascii="Times New Roman" w:eastAsia="Times New Roman" w:hAnsi="Times New Roman" w:cs="Times New Roman"/>
                <w:color w:val="000000"/>
                <w:kern w:val="0"/>
                <w:szCs w:val="24"/>
                <w:lang w:eastAsia="en-IN"/>
                <w14:ligatures w14:val="none"/>
              </w:rPr>
              <w:t>12</w:t>
            </w:r>
          </w:p>
        </w:tc>
        <w:tc>
          <w:tcPr>
            <w:tcW w:w="1474" w:type="dxa"/>
            <w:tcBorders>
              <w:top w:val="nil"/>
              <w:left w:val="nil"/>
              <w:bottom w:val="single" w:sz="4" w:space="0" w:color="auto"/>
              <w:right w:val="single" w:sz="4" w:space="0" w:color="auto"/>
            </w:tcBorders>
            <w:vAlign w:val="center"/>
            <w:hideMark/>
          </w:tcPr>
          <w:p w14:paraId="4F669E70"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5,38</w:t>
            </w:r>
          </w:p>
        </w:tc>
        <w:tc>
          <w:tcPr>
            <w:tcW w:w="1187" w:type="dxa"/>
            <w:tcBorders>
              <w:top w:val="nil"/>
              <w:left w:val="nil"/>
              <w:bottom w:val="single" w:sz="4" w:space="0" w:color="auto"/>
              <w:right w:val="single" w:sz="4" w:space="0" w:color="auto"/>
            </w:tcBorders>
            <w:vAlign w:val="center"/>
            <w:hideMark/>
          </w:tcPr>
          <w:p w14:paraId="2ED904C8"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10</w:t>
            </w:r>
          </w:p>
        </w:tc>
        <w:tc>
          <w:tcPr>
            <w:tcW w:w="2004" w:type="dxa"/>
            <w:tcBorders>
              <w:top w:val="nil"/>
              <w:left w:val="nil"/>
              <w:bottom w:val="single" w:sz="4" w:space="0" w:color="auto"/>
              <w:right w:val="single" w:sz="4" w:space="0" w:color="auto"/>
            </w:tcBorders>
            <w:vAlign w:val="center"/>
            <w:hideMark/>
          </w:tcPr>
          <w:p w14:paraId="56993B2E"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559" w:type="dxa"/>
            <w:tcBorders>
              <w:top w:val="nil"/>
              <w:left w:val="nil"/>
              <w:bottom w:val="single" w:sz="4" w:space="0" w:color="auto"/>
              <w:right w:val="single" w:sz="4" w:space="0" w:color="auto"/>
            </w:tcBorders>
            <w:vAlign w:val="center"/>
            <w:hideMark/>
          </w:tcPr>
          <w:p w14:paraId="4F803B56"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213" w:type="dxa"/>
            <w:tcBorders>
              <w:top w:val="nil"/>
              <w:left w:val="nil"/>
              <w:bottom w:val="single" w:sz="4" w:space="0" w:color="auto"/>
              <w:right w:val="single" w:sz="4" w:space="0" w:color="auto"/>
            </w:tcBorders>
            <w:vAlign w:val="center"/>
            <w:hideMark/>
          </w:tcPr>
          <w:p w14:paraId="0571341A"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13,05</w:t>
            </w:r>
          </w:p>
        </w:tc>
      </w:tr>
      <w:tr w:rsidR="001355EB" w:rsidRPr="001355EB" w14:paraId="3D5FB585" w14:textId="77777777" w:rsidTr="001355EB">
        <w:trPr>
          <w:gridAfter w:val="1"/>
          <w:wAfter w:w="6" w:type="dxa"/>
          <w:trHeight w:val="20"/>
          <w:jc w:val="center"/>
        </w:trPr>
        <w:tc>
          <w:tcPr>
            <w:tcW w:w="1897" w:type="dxa"/>
            <w:tcBorders>
              <w:top w:val="nil"/>
              <w:left w:val="single" w:sz="4" w:space="0" w:color="auto"/>
              <w:bottom w:val="single" w:sz="4" w:space="0" w:color="auto"/>
              <w:right w:val="single" w:sz="4" w:space="0" w:color="auto"/>
            </w:tcBorders>
            <w:vAlign w:val="center"/>
            <w:hideMark/>
          </w:tcPr>
          <w:p w14:paraId="0D54ECAB" w14:textId="77777777" w:rsidR="001355EB" w:rsidRPr="00E02C8A"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Hyderabad</w:t>
            </w:r>
          </w:p>
        </w:tc>
        <w:tc>
          <w:tcPr>
            <w:tcW w:w="1296" w:type="dxa"/>
            <w:tcBorders>
              <w:top w:val="nil"/>
              <w:left w:val="nil"/>
              <w:bottom w:val="single" w:sz="4" w:space="0" w:color="auto"/>
              <w:right w:val="single" w:sz="4" w:space="0" w:color="auto"/>
            </w:tcBorders>
            <w:vAlign w:val="center"/>
            <w:hideMark/>
          </w:tcPr>
          <w:p w14:paraId="0E0805B6"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170" w:type="dxa"/>
            <w:tcBorders>
              <w:top w:val="nil"/>
              <w:left w:val="nil"/>
              <w:bottom w:val="single" w:sz="4" w:space="0" w:color="auto"/>
              <w:right w:val="single" w:sz="4" w:space="0" w:color="auto"/>
            </w:tcBorders>
            <w:vAlign w:val="center"/>
            <w:hideMark/>
          </w:tcPr>
          <w:p w14:paraId="64CFC353"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322" w:type="dxa"/>
            <w:tcBorders>
              <w:top w:val="nil"/>
              <w:left w:val="nil"/>
              <w:bottom w:val="single" w:sz="4" w:space="0" w:color="auto"/>
              <w:right w:val="single" w:sz="4" w:space="0" w:color="auto"/>
            </w:tcBorders>
            <w:vAlign w:val="center"/>
            <w:hideMark/>
          </w:tcPr>
          <w:p w14:paraId="11852770"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375" w:type="dxa"/>
            <w:tcBorders>
              <w:top w:val="nil"/>
              <w:left w:val="nil"/>
              <w:bottom w:val="single" w:sz="4" w:space="0" w:color="auto"/>
              <w:right w:val="single" w:sz="4" w:space="0" w:color="auto"/>
            </w:tcBorders>
            <w:vAlign w:val="center"/>
            <w:hideMark/>
          </w:tcPr>
          <w:p w14:paraId="3C46B6D3"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170" w:type="dxa"/>
            <w:tcBorders>
              <w:top w:val="nil"/>
              <w:left w:val="nil"/>
              <w:bottom w:val="single" w:sz="4" w:space="0" w:color="auto"/>
              <w:right w:val="single" w:sz="4" w:space="0" w:color="auto"/>
            </w:tcBorders>
            <w:vAlign w:val="center"/>
            <w:hideMark/>
          </w:tcPr>
          <w:p w14:paraId="7FE08CE6" w14:textId="049CD3ED" w:rsidR="001355EB" w:rsidRPr="001355EB" w:rsidRDefault="00AD3303" w:rsidP="001355EB">
            <w:pPr>
              <w:spacing w:after="0" w:line="240" w:lineRule="auto"/>
              <w:jc w:val="center"/>
              <w:rPr>
                <w:rFonts w:ascii="Times New Roman" w:eastAsia="Times New Roman" w:hAnsi="Times New Roman" w:cs="Times New Roman"/>
                <w:color w:val="000000"/>
                <w:kern w:val="0"/>
                <w:szCs w:val="24"/>
                <w:lang w:eastAsia="en-IN"/>
                <w14:ligatures w14:val="none"/>
              </w:rPr>
            </w:pPr>
            <w:r>
              <w:rPr>
                <w:rFonts w:ascii="Times New Roman" w:eastAsia="Times New Roman" w:hAnsi="Times New Roman" w:cs="Times New Roman"/>
                <w:color w:val="000000"/>
                <w:kern w:val="0"/>
                <w:szCs w:val="24"/>
                <w:lang w:eastAsia="en-IN"/>
                <w14:ligatures w14:val="none"/>
              </w:rPr>
              <w:t>1,16</w:t>
            </w:r>
          </w:p>
        </w:tc>
        <w:tc>
          <w:tcPr>
            <w:tcW w:w="1474" w:type="dxa"/>
            <w:tcBorders>
              <w:top w:val="nil"/>
              <w:left w:val="nil"/>
              <w:bottom w:val="single" w:sz="4" w:space="0" w:color="auto"/>
              <w:right w:val="single" w:sz="4" w:space="0" w:color="auto"/>
            </w:tcBorders>
            <w:vAlign w:val="center"/>
            <w:hideMark/>
          </w:tcPr>
          <w:p w14:paraId="648A41FF" w14:textId="16DBE6C8" w:rsidR="001355EB" w:rsidRPr="001355EB" w:rsidRDefault="00AD3303"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187" w:type="dxa"/>
            <w:tcBorders>
              <w:top w:val="nil"/>
              <w:left w:val="nil"/>
              <w:bottom w:val="single" w:sz="4" w:space="0" w:color="auto"/>
              <w:right w:val="single" w:sz="4" w:space="0" w:color="auto"/>
            </w:tcBorders>
            <w:vAlign w:val="center"/>
            <w:hideMark/>
          </w:tcPr>
          <w:p w14:paraId="2712C9F3"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2004" w:type="dxa"/>
            <w:tcBorders>
              <w:top w:val="nil"/>
              <w:left w:val="nil"/>
              <w:bottom w:val="single" w:sz="4" w:space="0" w:color="auto"/>
              <w:right w:val="single" w:sz="4" w:space="0" w:color="auto"/>
            </w:tcBorders>
            <w:vAlign w:val="center"/>
            <w:hideMark/>
          </w:tcPr>
          <w:p w14:paraId="16DA41DA"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559" w:type="dxa"/>
            <w:tcBorders>
              <w:top w:val="nil"/>
              <w:left w:val="nil"/>
              <w:bottom w:val="single" w:sz="4" w:space="0" w:color="auto"/>
              <w:right w:val="single" w:sz="4" w:space="0" w:color="auto"/>
            </w:tcBorders>
            <w:vAlign w:val="center"/>
            <w:hideMark/>
          </w:tcPr>
          <w:p w14:paraId="4E1D021D"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213" w:type="dxa"/>
            <w:tcBorders>
              <w:top w:val="nil"/>
              <w:left w:val="nil"/>
              <w:bottom w:val="single" w:sz="4" w:space="0" w:color="auto"/>
              <w:right w:val="single" w:sz="4" w:space="0" w:color="auto"/>
            </w:tcBorders>
            <w:vAlign w:val="center"/>
            <w:hideMark/>
          </w:tcPr>
          <w:p w14:paraId="49E6FC09"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1,16</w:t>
            </w:r>
          </w:p>
        </w:tc>
      </w:tr>
      <w:tr w:rsidR="001355EB" w:rsidRPr="001355EB" w14:paraId="698ADC83" w14:textId="77777777" w:rsidTr="001355EB">
        <w:trPr>
          <w:gridAfter w:val="1"/>
          <w:wAfter w:w="6" w:type="dxa"/>
          <w:trHeight w:val="20"/>
          <w:jc w:val="center"/>
        </w:trPr>
        <w:tc>
          <w:tcPr>
            <w:tcW w:w="1897" w:type="dxa"/>
            <w:tcBorders>
              <w:top w:val="nil"/>
              <w:left w:val="single" w:sz="4" w:space="0" w:color="auto"/>
              <w:bottom w:val="single" w:sz="4" w:space="0" w:color="auto"/>
              <w:right w:val="single" w:sz="4" w:space="0" w:color="auto"/>
            </w:tcBorders>
            <w:vAlign w:val="center"/>
            <w:hideMark/>
          </w:tcPr>
          <w:p w14:paraId="1BC37766" w14:textId="77777777" w:rsidR="001355EB" w:rsidRPr="00E02C8A"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Madhya Bharat</w:t>
            </w:r>
          </w:p>
        </w:tc>
        <w:tc>
          <w:tcPr>
            <w:tcW w:w="1296" w:type="dxa"/>
            <w:tcBorders>
              <w:top w:val="nil"/>
              <w:left w:val="nil"/>
              <w:bottom w:val="single" w:sz="4" w:space="0" w:color="auto"/>
              <w:right w:val="single" w:sz="4" w:space="0" w:color="auto"/>
            </w:tcBorders>
            <w:vAlign w:val="center"/>
            <w:hideMark/>
          </w:tcPr>
          <w:p w14:paraId="34C853DB" w14:textId="5C1C36D0" w:rsidR="001355EB" w:rsidRPr="001355EB" w:rsidRDefault="00AD3303" w:rsidP="001355EB">
            <w:pPr>
              <w:spacing w:after="0" w:line="240" w:lineRule="auto"/>
              <w:jc w:val="center"/>
              <w:rPr>
                <w:rFonts w:ascii="Times New Roman" w:eastAsia="Times New Roman" w:hAnsi="Times New Roman" w:cs="Times New Roman"/>
                <w:color w:val="000000"/>
                <w:kern w:val="0"/>
                <w:szCs w:val="24"/>
                <w:lang w:eastAsia="en-IN"/>
                <w14:ligatures w14:val="none"/>
              </w:rPr>
            </w:pPr>
            <w:r>
              <w:rPr>
                <w:rFonts w:ascii="Times New Roman" w:eastAsia="Times New Roman" w:hAnsi="Times New Roman" w:cs="Times New Roman"/>
                <w:color w:val="000000"/>
                <w:kern w:val="0"/>
                <w:szCs w:val="24"/>
                <w:lang w:eastAsia="en-IN"/>
                <w14:ligatures w14:val="none"/>
              </w:rPr>
              <w:t>6</w:t>
            </w:r>
          </w:p>
        </w:tc>
        <w:tc>
          <w:tcPr>
            <w:tcW w:w="1170" w:type="dxa"/>
            <w:tcBorders>
              <w:top w:val="nil"/>
              <w:left w:val="nil"/>
              <w:bottom w:val="single" w:sz="4" w:space="0" w:color="auto"/>
              <w:right w:val="single" w:sz="4" w:space="0" w:color="auto"/>
            </w:tcBorders>
            <w:vAlign w:val="center"/>
            <w:hideMark/>
          </w:tcPr>
          <w:p w14:paraId="0445BD32"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322" w:type="dxa"/>
            <w:tcBorders>
              <w:top w:val="nil"/>
              <w:left w:val="nil"/>
              <w:bottom w:val="single" w:sz="4" w:space="0" w:color="auto"/>
              <w:right w:val="single" w:sz="4" w:space="0" w:color="auto"/>
            </w:tcBorders>
            <w:vAlign w:val="center"/>
            <w:hideMark/>
          </w:tcPr>
          <w:p w14:paraId="0277E954"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375" w:type="dxa"/>
            <w:tcBorders>
              <w:top w:val="nil"/>
              <w:left w:val="nil"/>
              <w:bottom w:val="single" w:sz="4" w:space="0" w:color="auto"/>
              <w:right w:val="single" w:sz="4" w:space="0" w:color="auto"/>
            </w:tcBorders>
            <w:vAlign w:val="center"/>
            <w:hideMark/>
          </w:tcPr>
          <w:p w14:paraId="4D3EFDE7"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170" w:type="dxa"/>
            <w:tcBorders>
              <w:top w:val="nil"/>
              <w:left w:val="nil"/>
              <w:bottom w:val="single" w:sz="4" w:space="0" w:color="auto"/>
              <w:right w:val="single" w:sz="4" w:space="0" w:color="auto"/>
            </w:tcBorders>
            <w:vAlign w:val="center"/>
            <w:hideMark/>
          </w:tcPr>
          <w:p w14:paraId="049F5E37" w14:textId="75387BE9" w:rsidR="001355EB" w:rsidRPr="001355EB" w:rsidRDefault="00AD3303"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474" w:type="dxa"/>
            <w:tcBorders>
              <w:top w:val="nil"/>
              <w:left w:val="nil"/>
              <w:bottom w:val="single" w:sz="4" w:space="0" w:color="auto"/>
              <w:right w:val="single" w:sz="4" w:space="0" w:color="auto"/>
            </w:tcBorders>
            <w:vAlign w:val="center"/>
            <w:hideMark/>
          </w:tcPr>
          <w:p w14:paraId="70EE1F8C"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187" w:type="dxa"/>
            <w:tcBorders>
              <w:top w:val="nil"/>
              <w:left w:val="nil"/>
              <w:bottom w:val="single" w:sz="4" w:space="0" w:color="auto"/>
              <w:right w:val="single" w:sz="4" w:space="0" w:color="auto"/>
            </w:tcBorders>
            <w:vAlign w:val="center"/>
            <w:hideMark/>
          </w:tcPr>
          <w:p w14:paraId="7A3D2735"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2004" w:type="dxa"/>
            <w:tcBorders>
              <w:top w:val="nil"/>
              <w:left w:val="nil"/>
              <w:bottom w:val="single" w:sz="4" w:space="0" w:color="auto"/>
              <w:right w:val="single" w:sz="4" w:space="0" w:color="auto"/>
            </w:tcBorders>
            <w:vAlign w:val="center"/>
            <w:hideMark/>
          </w:tcPr>
          <w:p w14:paraId="17160515"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559" w:type="dxa"/>
            <w:tcBorders>
              <w:top w:val="nil"/>
              <w:left w:val="nil"/>
              <w:bottom w:val="single" w:sz="4" w:space="0" w:color="auto"/>
              <w:right w:val="single" w:sz="4" w:space="0" w:color="auto"/>
            </w:tcBorders>
            <w:vAlign w:val="center"/>
            <w:hideMark/>
          </w:tcPr>
          <w:p w14:paraId="42CDAE9A"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213" w:type="dxa"/>
            <w:tcBorders>
              <w:top w:val="nil"/>
              <w:left w:val="nil"/>
              <w:bottom w:val="single" w:sz="4" w:space="0" w:color="auto"/>
              <w:right w:val="single" w:sz="4" w:space="0" w:color="auto"/>
            </w:tcBorders>
            <w:vAlign w:val="center"/>
            <w:hideMark/>
          </w:tcPr>
          <w:p w14:paraId="67B017B8"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6</w:t>
            </w:r>
          </w:p>
        </w:tc>
      </w:tr>
      <w:tr w:rsidR="001355EB" w:rsidRPr="001355EB" w14:paraId="3A1D5F41" w14:textId="77777777" w:rsidTr="001355EB">
        <w:trPr>
          <w:gridAfter w:val="1"/>
          <w:wAfter w:w="6" w:type="dxa"/>
          <w:trHeight w:val="20"/>
          <w:jc w:val="center"/>
        </w:trPr>
        <w:tc>
          <w:tcPr>
            <w:tcW w:w="1897" w:type="dxa"/>
            <w:tcBorders>
              <w:top w:val="nil"/>
              <w:left w:val="single" w:sz="4" w:space="0" w:color="auto"/>
              <w:bottom w:val="single" w:sz="4" w:space="0" w:color="auto"/>
              <w:right w:val="single" w:sz="4" w:space="0" w:color="auto"/>
            </w:tcBorders>
            <w:vAlign w:val="center"/>
            <w:hideMark/>
          </w:tcPr>
          <w:p w14:paraId="0F3A724C" w14:textId="77777777" w:rsidR="001355EB" w:rsidRPr="00E02C8A"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Mysore</w:t>
            </w:r>
          </w:p>
        </w:tc>
        <w:tc>
          <w:tcPr>
            <w:tcW w:w="1296" w:type="dxa"/>
            <w:tcBorders>
              <w:top w:val="nil"/>
              <w:left w:val="nil"/>
              <w:bottom w:val="single" w:sz="4" w:space="0" w:color="auto"/>
              <w:right w:val="single" w:sz="4" w:space="0" w:color="auto"/>
            </w:tcBorders>
            <w:vAlign w:val="center"/>
            <w:hideMark/>
          </w:tcPr>
          <w:p w14:paraId="503F85E1"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170" w:type="dxa"/>
            <w:tcBorders>
              <w:top w:val="nil"/>
              <w:left w:val="nil"/>
              <w:bottom w:val="single" w:sz="4" w:space="0" w:color="auto"/>
              <w:right w:val="single" w:sz="4" w:space="0" w:color="auto"/>
            </w:tcBorders>
            <w:vAlign w:val="center"/>
            <w:hideMark/>
          </w:tcPr>
          <w:p w14:paraId="2FFFF263"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322" w:type="dxa"/>
            <w:tcBorders>
              <w:top w:val="nil"/>
              <w:left w:val="nil"/>
              <w:bottom w:val="single" w:sz="4" w:space="0" w:color="auto"/>
              <w:right w:val="single" w:sz="4" w:space="0" w:color="auto"/>
            </w:tcBorders>
            <w:vAlign w:val="center"/>
            <w:hideMark/>
          </w:tcPr>
          <w:p w14:paraId="09029E27"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375" w:type="dxa"/>
            <w:tcBorders>
              <w:top w:val="nil"/>
              <w:left w:val="nil"/>
              <w:bottom w:val="single" w:sz="4" w:space="0" w:color="auto"/>
              <w:right w:val="single" w:sz="4" w:space="0" w:color="auto"/>
            </w:tcBorders>
            <w:vAlign w:val="center"/>
            <w:hideMark/>
          </w:tcPr>
          <w:p w14:paraId="4479FE02"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170" w:type="dxa"/>
            <w:tcBorders>
              <w:top w:val="nil"/>
              <w:left w:val="nil"/>
              <w:bottom w:val="single" w:sz="4" w:space="0" w:color="auto"/>
              <w:right w:val="single" w:sz="4" w:space="0" w:color="auto"/>
            </w:tcBorders>
            <w:vAlign w:val="center"/>
            <w:hideMark/>
          </w:tcPr>
          <w:p w14:paraId="17126347"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3,45</w:t>
            </w:r>
          </w:p>
        </w:tc>
        <w:tc>
          <w:tcPr>
            <w:tcW w:w="1474" w:type="dxa"/>
            <w:tcBorders>
              <w:top w:val="nil"/>
              <w:left w:val="nil"/>
              <w:bottom w:val="single" w:sz="4" w:space="0" w:color="auto"/>
              <w:right w:val="single" w:sz="4" w:space="0" w:color="auto"/>
            </w:tcBorders>
            <w:vAlign w:val="center"/>
            <w:hideMark/>
          </w:tcPr>
          <w:p w14:paraId="37775863"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187" w:type="dxa"/>
            <w:tcBorders>
              <w:top w:val="nil"/>
              <w:left w:val="nil"/>
              <w:bottom w:val="single" w:sz="4" w:space="0" w:color="auto"/>
              <w:right w:val="single" w:sz="4" w:space="0" w:color="auto"/>
            </w:tcBorders>
            <w:vAlign w:val="center"/>
            <w:hideMark/>
          </w:tcPr>
          <w:p w14:paraId="78868D47"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2004" w:type="dxa"/>
            <w:tcBorders>
              <w:top w:val="nil"/>
              <w:left w:val="nil"/>
              <w:bottom w:val="single" w:sz="4" w:space="0" w:color="auto"/>
              <w:right w:val="single" w:sz="4" w:space="0" w:color="auto"/>
            </w:tcBorders>
            <w:vAlign w:val="center"/>
            <w:hideMark/>
          </w:tcPr>
          <w:p w14:paraId="5CE6C94A"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559" w:type="dxa"/>
            <w:tcBorders>
              <w:top w:val="nil"/>
              <w:left w:val="nil"/>
              <w:bottom w:val="single" w:sz="4" w:space="0" w:color="auto"/>
              <w:right w:val="single" w:sz="4" w:space="0" w:color="auto"/>
            </w:tcBorders>
            <w:vAlign w:val="center"/>
            <w:hideMark/>
          </w:tcPr>
          <w:p w14:paraId="1CC4F653"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213" w:type="dxa"/>
            <w:tcBorders>
              <w:top w:val="nil"/>
              <w:left w:val="nil"/>
              <w:bottom w:val="single" w:sz="4" w:space="0" w:color="auto"/>
              <w:right w:val="single" w:sz="4" w:space="0" w:color="auto"/>
            </w:tcBorders>
            <w:vAlign w:val="center"/>
            <w:hideMark/>
          </w:tcPr>
          <w:p w14:paraId="4B2A8AD8"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3,45</w:t>
            </w:r>
          </w:p>
        </w:tc>
      </w:tr>
      <w:tr w:rsidR="001355EB" w:rsidRPr="001355EB" w14:paraId="7E9D0688" w14:textId="77777777" w:rsidTr="001355EB">
        <w:trPr>
          <w:gridAfter w:val="1"/>
          <w:wAfter w:w="6" w:type="dxa"/>
          <w:trHeight w:val="20"/>
          <w:jc w:val="center"/>
        </w:trPr>
        <w:tc>
          <w:tcPr>
            <w:tcW w:w="1897" w:type="dxa"/>
            <w:tcBorders>
              <w:top w:val="nil"/>
              <w:left w:val="single" w:sz="4" w:space="0" w:color="auto"/>
              <w:bottom w:val="single" w:sz="4" w:space="0" w:color="auto"/>
              <w:right w:val="single" w:sz="4" w:space="0" w:color="auto"/>
            </w:tcBorders>
            <w:vAlign w:val="center"/>
            <w:hideMark/>
          </w:tcPr>
          <w:p w14:paraId="13DC11D7" w14:textId="77777777" w:rsidR="001355EB" w:rsidRPr="00E02C8A"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Patiala &amp; East Punjab States Union</w:t>
            </w:r>
          </w:p>
        </w:tc>
        <w:tc>
          <w:tcPr>
            <w:tcW w:w="1296" w:type="dxa"/>
            <w:tcBorders>
              <w:top w:val="nil"/>
              <w:left w:val="nil"/>
              <w:bottom w:val="single" w:sz="4" w:space="0" w:color="auto"/>
              <w:right w:val="single" w:sz="4" w:space="0" w:color="auto"/>
            </w:tcBorders>
            <w:vAlign w:val="center"/>
            <w:hideMark/>
          </w:tcPr>
          <w:p w14:paraId="7CA514AE" w14:textId="0E9A8C6D" w:rsidR="001355EB" w:rsidRPr="001355EB" w:rsidRDefault="00AD3303" w:rsidP="001355EB">
            <w:pPr>
              <w:spacing w:after="0" w:line="240" w:lineRule="auto"/>
              <w:jc w:val="center"/>
              <w:rPr>
                <w:rFonts w:ascii="Times New Roman" w:eastAsia="Times New Roman" w:hAnsi="Times New Roman" w:cs="Times New Roman"/>
                <w:color w:val="000000"/>
                <w:kern w:val="0"/>
                <w:szCs w:val="24"/>
                <w:lang w:eastAsia="en-IN"/>
                <w14:ligatures w14:val="none"/>
              </w:rPr>
            </w:pPr>
            <w:r>
              <w:rPr>
                <w:rFonts w:ascii="Times New Roman" w:eastAsia="Times New Roman" w:hAnsi="Times New Roman" w:cs="Times New Roman"/>
                <w:color w:val="000000"/>
                <w:kern w:val="0"/>
                <w:szCs w:val="24"/>
                <w:lang w:eastAsia="en-IN"/>
                <w14:ligatures w14:val="none"/>
              </w:rPr>
              <w:t>16</w:t>
            </w:r>
          </w:p>
        </w:tc>
        <w:tc>
          <w:tcPr>
            <w:tcW w:w="1170" w:type="dxa"/>
            <w:tcBorders>
              <w:top w:val="nil"/>
              <w:left w:val="nil"/>
              <w:bottom w:val="single" w:sz="4" w:space="0" w:color="auto"/>
              <w:right w:val="single" w:sz="4" w:space="0" w:color="auto"/>
            </w:tcBorders>
            <w:vAlign w:val="center"/>
            <w:hideMark/>
          </w:tcPr>
          <w:p w14:paraId="64176486"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322" w:type="dxa"/>
            <w:tcBorders>
              <w:top w:val="nil"/>
              <w:left w:val="nil"/>
              <w:bottom w:val="single" w:sz="4" w:space="0" w:color="auto"/>
              <w:right w:val="single" w:sz="4" w:space="0" w:color="auto"/>
            </w:tcBorders>
            <w:vAlign w:val="center"/>
            <w:hideMark/>
          </w:tcPr>
          <w:p w14:paraId="707858B2"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375" w:type="dxa"/>
            <w:tcBorders>
              <w:top w:val="nil"/>
              <w:left w:val="nil"/>
              <w:bottom w:val="single" w:sz="4" w:space="0" w:color="auto"/>
              <w:right w:val="single" w:sz="4" w:space="0" w:color="auto"/>
            </w:tcBorders>
            <w:vAlign w:val="center"/>
            <w:hideMark/>
          </w:tcPr>
          <w:p w14:paraId="53EF93B5"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170" w:type="dxa"/>
            <w:tcBorders>
              <w:top w:val="nil"/>
              <w:left w:val="nil"/>
              <w:bottom w:val="single" w:sz="4" w:space="0" w:color="auto"/>
              <w:right w:val="single" w:sz="4" w:space="0" w:color="auto"/>
            </w:tcBorders>
            <w:vAlign w:val="center"/>
            <w:hideMark/>
          </w:tcPr>
          <w:p w14:paraId="29026816" w14:textId="50FB4E2A" w:rsidR="001355EB" w:rsidRPr="001355EB" w:rsidRDefault="00AD3303"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474" w:type="dxa"/>
            <w:tcBorders>
              <w:top w:val="nil"/>
              <w:left w:val="nil"/>
              <w:bottom w:val="single" w:sz="4" w:space="0" w:color="auto"/>
              <w:right w:val="single" w:sz="4" w:space="0" w:color="auto"/>
            </w:tcBorders>
            <w:vAlign w:val="center"/>
            <w:hideMark/>
          </w:tcPr>
          <w:p w14:paraId="5C5FEBF5"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187" w:type="dxa"/>
            <w:tcBorders>
              <w:top w:val="nil"/>
              <w:left w:val="nil"/>
              <w:bottom w:val="single" w:sz="4" w:space="0" w:color="auto"/>
              <w:right w:val="single" w:sz="4" w:space="0" w:color="auto"/>
            </w:tcBorders>
            <w:vAlign w:val="center"/>
            <w:hideMark/>
          </w:tcPr>
          <w:p w14:paraId="66EBF948"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2004" w:type="dxa"/>
            <w:tcBorders>
              <w:top w:val="nil"/>
              <w:left w:val="nil"/>
              <w:bottom w:val="single" w:sz="4" w:space="0" w:color="auto"/>
              <w:right w:val="single" w:sz="4" w:space="0" w:color="auto"/>
            </w:tcBorders>
            <w:vAlign w:val="center"/>
            <w:hideMark/>
          </w:tcPr>
          <w:p w14:paraId="05C732D9"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559" w:type="dxa"/>
            <w:tcBorders>
              <w:top w:val="nil"/>
              <w:left w:val="nil"/>
              <w:bottom w:val="single" w:sz="4" w:space="0" w:color="auto"/>
              <w:right w:val="single" w:sz="4" w:space="0" w:color="auto"/>
            </w:tcBorders>
            <w:vAlign w:val="center"/>
            <w:hideMark/>
          </w:tcPr>
          <w:p w14:paraId="45F673B1"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213" w:type="dxa"/>
            <w:tcBorders>
              <w:top w:val="nil"/>
              <w:left w:val="nil"/>
              <w:bottom w:val="single" w:sz="4" w:space="0" w:color="auto"/>
              <w:right w:val="single" w:sz="4" w:space="0" w:color="auto"/>
            </w:tcBorders>
            <w:vAlign w:val="center"/>
            <w:hideMark/>
          </w:tcPr>
          <w:p w14:paraId="1AC1245F"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16</w:t>
            </w:r>
          </w:p>
        </w:tc>
      </w:tr>
      <w:tr w:rsidR="001355EB" w:rsidRPr="001355EB" w14:paraId="46FAE2C7" w14:textId="77777777" w:rsidTr="001355EB">
        <w:trPr>
          <w:gridAfter w:val="1"/>
          <w:wAfter w:w="6" w:type="dxa"/>
          <w:trHeight w:val="20"/>
          <w:jc w:val="center"/>
        </w:trPr>
        <w:tc>
          <w:tcPr>
            <w:tcW w:w="1897" w:type="dxa"/>
            <w:tcBorders>
              <w:top w:val="nil"/>
              <w:left w:val="single" w:sz="4" w:space="0" w:color="auto"/>
              <w:bottom w:val="single" w:sz="4" w:space="0" w:color="auto"/>
              <w:right w:val="single" w:sz="4" w:space="0" w:color="auto"/>
            </w:tcBorders>
            <w:vAlign w:val="center"/>
            <w:hideMark/>
          </w:tcPr>
          <w:p w14:paraId="69108E2F" w14:textId="77777777" w:rsidR="001355EB" w:rsidRPr="00E02C8A"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Rajasthan</w:t>
            </w:r>
          </w:p>
        </w:tc>
        <w:tc>
          <w:tcPr>
            <w:tcW w:w="1296" w:type="dxa"/>
            <w:tcBorders>
              <w:top w:val="nil"/>
              <w:left w:val="nil"/>
              <w:bottom w:val="single" w:sz="4" w:space="0" w:color="auto"/>
              <w:right w:val="single" w:sz="4" w:space="0" w:color="auto"/>
            </w:tcBorders>
            <w:vAlign w:val="center"/>
            <w:hideMark/>
          </w:tcPr>
          <w:p w14:paraId="3B2B87CD" w14:textId="4C1B33BE" w:rsidR="001355EB" w:rsidRPr="001355EB" w:rsidRDefault="00AD3303" w:rsidP="001355EB">
            <w:pPr>
              <w:spacing w:after="0" w:line="240" w:lineRule="auto"/>
              <w:jc w:val="center"/>
              <w:rPr>
                <w:rFonts w:ascii="Times New Roman" w:eastAsia="Times New Roman" w:hAnsi="Times New Roman" w:cs="Times New Roman"/>
                <w:color w:val="000000"/>
                <w:kern w:val="0"/>
                <w:szCs w:val="24"/>
                <w:lang w:eastAsia="en-IN"/>
                <w14:ligatures w14:val="none"/>
              </w:rPr>
            </w:pPr>
            <w:r>
              <w:rPr>
                <w:rFonts w:ascii="Times New Roman" w:eastAsia="Times New Roman" w:hAnsi="Times New Roman" w:cs="Times New Roman"/>
                <w:color w:val="000000"/>
                <w:kern w:val="0"/>
                <w:szCs w:val="24"/>
                <w:lang w:eastAsia="en-IN"/>
                <w14:ligatures w14:val="none"/>
              </w:rPr>
              <w:t>8</w:t>
            </w:r>
          </w:p>
        </w:tc>
        <w:tc>
          <w:tcPr>
            <w:tcW w:w="1170" w:type="dxa"/>
            <w:tcBorders>
              <w:top w:val="nil"/>
              <w:left w:val="nil"/>
              <w:bottom w:val="single" w:sz="4" w:space="0" w:color="auto"/>
              <w:right w:val="single" w:sz="4" w:space="0" w:color="auto"/>
            </w:tcBorders>
            <w:vAlign w:val="center"/>
            <w:hideMark/>
          </w:tcPr>
          <w:p w14:paraId="10059E70"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322" w:type="dxa"/>
            <w:tcBorders>
              <w:top w:val="nil"/>
              <w:left w:val="nil"/>
              <w:bottom w:val="single" w:sz="4" w:space="0" w:color="auto"/>
              <w:right w:val="single" w:sz="4" w:space="0" w:color="auto"/>
            </w:tcBorders>
            <w:vAlign w:val="center"/>
            <w:hideMark/>
          </w:tcPr>
          <w:p w14:paraId="429BF5CB"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375" w:type="dxa"/>
            <w:tcBorders>
              <w:top w:val="nil"/>
              <w:left w:val="nil"/>
              <w:bottom w:val="single" w:sz="4" w:space="0" w:color="auto"/>
              <w:right w:val="single" w:sz="4" w:space="0" w:color="auto"/>
            </w:tcBorders>
            <w:vAlign w:val="center"/>
            <w:hideMark/>
          </w:tcPr>
          <w:p w14:paraId="7431550B"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170" w:type="dxa"/>
            <w:tcBorders>
              <w:top w:val="nil"/>
              <w:left w:val="nil"/>
              <w:bottom w:val="single" w:sz="4" w:space="0" w:color="auto"/>
              <w:right w:val="single" w:sz="4" w:space="0" w:color="auto"/>
            </w:tcBorders>
            <w:vAlign w:val="center"/>
            <w:hideMark/>
          </w:tcPr>
          <w:p w14:paraId="23988135" w14:textId="198E7291" w:rsidR="001355EB" w:rsidRPr="001355EB" w:rsidRDefault="00AD3303"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474" w:type="dxa"/>
            <w:tcBorders>
              <w:top w:val="nil"/>
              <w:left w:val="nil"/>
              <w:bottom w:val="single" w:sz="4" w:space="0" w:color="auto"/>
              <w:right w:val="single" w:sz="4" w:space="0" w:color="auto"/>
            </w:tcBorders>
            <w:vAlign w:val="center"/>
            <w:hideMark/>
          </w:tcPr>
          <w:p w14:paraId="2CA18B9F"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32</w:t>
            </w:r>
          </w:p>
        </w:tc>
        <w:tc>
          <w:tcPr>
            <w:tcW w:w="1187" w:type="dxa"/>
            <w:tcBorders>
              <w:top w:val="nil"/>
              <w:left w:val="nil"/>
              <w:bottom w:val="single" w:sz="4" w:space="0" w:color="auto"/>
              <w:right w:val="single" w:sz="4" w:space="0" w:color="auto"/>
            </w:tcBorders>
            <w:vAlign w:val="center"/>
            <w:hideMark/>
          </w:tcPr>
          <w:p w14:paraId="4C762389"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2004" w:type="dxa"/>
            <w:tcBorders>
              <w:top w:val="nil"/>
              <w:left w:val="nil"/>
              <w:bottom w:val="single" w:sz="4" w:space="0" w:color="auto"/>
              <w:right w:val="single" w:sz="4" w:space="0" w:color="auto"/>
            </w:tcBorders>
            <w:vAlign w:val="center"/>
            <w:hideMark/>
          </w:tcPr>
          <w:p w14:paraId="6B3E1143"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559" w:type="dxa"/>
            <w:tcBorders>
              <w:top w:val="nil"/>
              <w:left w:val="nil"/>
              <w:bottom w:val="single" w:sz="4" w:space="0" w:color="auto"/>
              <w:right w:val="single" w:sz="4" w:space="0" w:color="auto"/>
            </w:tcBorders>
            <w:vAlign w:val="center"/>
            <w:hideMark/>
          </w:tcPr>
          <w:p w14:paraId="47293704"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213" w:type="dxa"/>
            <w:tcBorders>
              <w:top w:val="nil"/>
              <w:left w:val="nil"/>
              <w:bottom w:val="single" w:sz="4" w:space="0" w:color="auto"/>
              <w:right w:val="single" w:sz="4" w:space="0" w:color="auto"/>
            </w:tcBorders>
            <w:vAlign w:val="center"/>
            <w:hideMark/>
          </w:tcPr>
          <w:p w14:paraId="13308214"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40</w:t>
            </w:r>
          </w:p>
        </w:tc>
      </w:tr>
      <w:tr w:rsidR="001355EB" w:rsidRPr="001355EB" w14:paraId="3ACBAD22" w14:textId="77777777" w:rsidTr="001355EB">
        <w:trPr>
          <w:gridAfter w:val="1"/>
          <w:wAfter w:w="6" w:type="dxa"/>
          <w:trHeight w:val="20"/>
          <w:jc w:val="center"/>
        </w:trPr>
        <w:tc>
          <w:tcPr>
            <w:tcW w:w="1897" w:type="dxa"/>
            <w:tcBorders>
              <w:top w:val="nil"/>
              <w:left w:val="single" w:sz="4" w:space="0" w:color="auto"/>
              <w:bottom w:val="single" w:sz="4" w:space="0" w:color="auto"/>
              <w:right w:val="single" w:sz="4" w:space="0" w:color="auto"/>
            </w:tcBorders>
            <w:vAlign w:val="center"/>
            <w:hideMark/>
          </w:tcPr>
          <w:p w14:paraId="21DAB7E6" w14:textId="77777777" w:rsidR="001355EB" w:rsidRPr="00E02C8A"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Saurashtra</w:t>
            </w:r>
          </w:p>
        </w:tc>
        <w:tc>
          <w:tcPr>
            <w:tcW w:w="1296" w:type="dxa"/>
            <w:tcBorders>
              <w:top w:val="nil"/>
              <w:left w:val="nil"/>
              <w:bottom w:val="single" w:sz="4" w:space="0" w:color="auto"/>
              <w:right w:val="single" w:sz="4" w:space="0" w:color="auto"/>
            </w:tcBorders>
            <w:vAlign w:val="center"/>
            <w:hideMark/>
          </w:tcPr>
          <w:p w14:paraId="5ECDB098"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170" w:type="dxa"/>
            <w:tcBorders>
              <w:top w:val="nil"/>
              <w:left w:val="nil"/>
              <w:bottom w:val="single" w:sz="4" w:space="0" w:color="auto"/>
              <w:right w:val="single" w:sz="4" w:space="0" w:color="auto"/>
            </w:tcBorders>
            <w:vAlign w:val="center"/>
            <w:hideMark/>
          </w:tcPr>
          <w:p w14:paraId="13FCA059"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322" w:type="dxa"/>
            <w:tcBorders>
              <w:top w:val="nil"/>
              <w:left w:val="nil"/>
              <w:bottom w:val="single" w:sz="4" w:space="0" w:color="auto"/>
              <w:right w:val="single" w:sz="4" w:space="0" w:color="auto"/>
            </w:tcBorders>
            <w:vAlign w:val="center"/>
            <w:hideMark/>
          </w:tcPr>
          <w:p w14:paraId="5DA023BD"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375" w:type="dxa"/>
            <w:tcBorders>
              <w:top w:val="nil"/>
              <w:left w:val="nil"/>
              <w:bottom w:val="single" w:sz="4" w:space="0" w:color="auto"/>
              <w:right w:val="single" w:sz="4" w:space="0" w:color="auto"/>
            </w:tcBorders>
            <w:vAlign w:val="center"/>
            <w:hideMark/>
          </w:tcPr>
          <w:p w14:paraId="6387E658"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170" w:type="dxa"/>
            <w:tcBorders>
              <w:top w:val="nil"/>
              <w:left w:val="nil"/>
              <w:bottom w:val="single" w:sz="4" w:space="0" w:color="auto"/>
              <w:right w:val="single" w:sz="4" w:space="0" w:color="auto"/>
            </w:tcBorders>
            <w:vAlign w:val="center"/>
            <w:hideMark/>
          </w:tcPr>
          <w:p w14:paraId="6F9CB241"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2,50</w:t>
            </w:r>
          </w:p>
        </w:tc>
        <w:tc>
          <w:tcPr>
            <w:tcW w:w="1474" w:type="dxa"/>
            <w:tcBorders>
              <w:top w:val="nil"/>
              <w:left w:val="nil"/>
              <w:bottom w:val="single" w:sz="4" w:space="0" w:color="auto"/>
              <w:right w:val="single" w:sz="4" w:space="0" w:color="auto"/>
            </w:tcBorders>
            <w:vAlign w:val="center"/>
            <w:hideMark/>
          </w:tcPr>
          <w:p w14:paraId="696F6438" w14:textId="7CDF9602" w:rsidR="001355EB" w:rsidRPr="001355EB" w:rsidRDefault="00AD3303" w:rsidP="001355EB">
            <w:pPr>
              <w:spacing w:after="0" w:line="240" w:lineRule="auto"/>
              <w:jc w:val="center"/>
              <w:rPr>
                <w:rFonts w:ascii="Times New Roman" w:eastAsia="Times New Roman" w:hAnsi="Times New Roman" w:cs="Times New Roman"/>
                <w:color w:val="000000"/>
                <w:kern w:val="0"/>
                <w:szCs w:val="24"/>
                <w:lang w:eastAsia="en-IN"/>
                <w14:ligatures w14:val="none"/>
              </w:rPr>
            </w:pPr>
            <w:r>
              <w:rPr>
                <w:rFonts w:ascii="Times New Roman" w:eastAsia="Times New Roman" w:hAnsi="Times New Roman" w:cs="Times New Roman"/>
                <w:color w:val="000000"/>
                <w:kern w:val="0"/>
                <w:szCs w:val="24"/>
                <w:lang w:eastAsia="en-IN"/>
                <w14:ligatures w14:val="none"/>
              </w:rPr>
              <w:t>20</w:t>
            </w:r>
          </w:p>
        </w:tc>
        <w:tc>
          <w:tcPr>
            <w:tcW w:w="1187" w:type="dxa"/>
            <w:tcBorders>
              <w:top w:val="nil"/>
              <w:left w:val="nil"/>
              <w:bottom w:val="single" w:sz="4" w:space="0" w:color="auto"/>
              <w:right w:val="single" w:sz="4" w:space="0" w:color="auto"/>
            </w:tcBorders>
            <w:vAlign w:val="center"/>
            <w:hideMark/>
          </w:tcPr>
          <w:p w14:paraId="716494E1" w14:textId="714426E1" w:rsidR="001355EB" w:rsidRPr="001355EB" w:rsidRDefault="00AD3303"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2004" w:type="dxa"/>
            <w:tcBorders>
              <w:top w:val="nil"/>
              <w:left w:val="nil"/>
              <w:bottom w:val="single" w:sz="4" w:space="0" w:color="auto"/>
              <w:right w:val="single" w:sz="4" w:space="0" w:color="auto"/>
            </w:tcBorders>
            <w:vAlign w:val="center"/>
            <w:hideMark/>
          </w:tcPr>
          <w:p w14:paraId="3AB06217"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559" w:type="dxa"/>
            <w:tcBorders>
              <w:top w:val="nil"/>
              <w:left w:val="nil"/>
              <w:bottom w:val="single" w:sz="4" w:space="0" w:color="auto"/>
              <w:right w:val="single" w:sz="4" w:space="0" w:color="auto"/>
            </w:tcBorders>
            <w:vAlign w:val="center"/>
            <w:hideMark/>
          </w:tcPr>
          <w:p w14:paraId="1BAFEAFE"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213" w:type="dxa"/>
            <w:tcBorders>
              <w:top w:val="nil"/>
              <w:left w:val="nil"/>
              <w:bottom w:val="single" w:sz="4" w:space="0" w:color="auto"/>
              <w:right w:val="single" w:sz="4" w:space="0" w:color="auto"/>
            </w:tcBorders>
            <w:vAlign w:val="center"/>
            <w:hideMark/>
          </w:tcPr>
          <w:p w14:paraId="46D6D58F"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2,70</w:t>
            </w:r>
          </w:p>
        </w:tc>
      </w:tr>
      <w:tr w:rsidR="001355EB" w:rsidRPr="001355EB" w14:paraId="321DD3D7" w14:textId="77777777" w:rsidTr="001355EB">
        <w:trPr>
          <w:gridAfter w:val="1"/>
          <w:wAfter w:w="6" w:type="dxa"/>
          <w:trHeight w:val="20"/>
          <w:jc w:val="center"/>
        </w:trPr>
        <w:tc>
          <w:tcPr>
            <w:tcW w:w="1897" w:type="dxa"/>
            <w:tcBorders>
              <w:top w:val="nil"/>
              <w:left w:val="single" w:sz="4" w:space="0" w:color="auto"/>
              <w:bottom w:val="single" w:sz="4" w:space="0" w:color="auto"/>
              <w:right w:val="single" w:sz="4" w:space="0" w:color="auto"/>
            </w:tcBorders>
            <w:vAlign w:val="center"/>
            <w:hideMark/>
          </w:tcPr>
          <w:p w14:paraId="32BDD78E" w14:textId="77777777" w:rsidR="001355EB" w:rsidRPr="00E02C8A"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Travancore-Cochin</w:t>
            </w:r>
          </w:p>
        </w:tc>
        <w:tc>
          <w:tcPr>
            <w:tcW w:w="1296" w:type="dxa"/>
            <w:tcBorders>
              <w:top w:val="nil"/>
              <w:left w:val="nil"/>
              <w:bottom w:val="single" w:sz="4" w:space="0" w:color="auto"/>
              <w:right w:val="single" w:sz="4" w:space="0" w:color="auto"/>
            </w:tcBorders>
            <w:vAlign w:val="center"/>
            <w:hideMark/>
          </w:tcPr>
          <w:p w14:paraId="38033322"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170" w:type="dxa"/>
            <w:tcBorders>
              <w:top w:val="nil"/>
              <w:left w:val="nil"/>
              <w:bottom w:val="single" w:sz="4" w:space="0" w:color="auto"/>
              <w:right w:val="single" w:sz="4" w:space="0" w:color="auto"/>
            </w:tcBorders>
            <w:vAlign w:val="center"/>
            <w:hideMark/>
          </w:tcPr>
          <w:p w14:paraId="6DCD834E"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322" w:type="dxa"/>
            <w:tcBorders>
              <w:top w:val="nil"/>
              <w:left w:val="nil"/>
              <w:bottom w:val="single" w:sz="4" w:space="0" w:color="auto"/>
              <w:right w:val="single" w:sz="4" w:space="0" w:color="auto"/>
            </w:tcBorders>
            <w:vAlign w:val="center"/>
            <w:hideMark/>
          </w:tcPr>
          <w:p w14:paraId="00332D05"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375" w:type="dxa"/>
            <w:tcBorders>
              <w:top w:val="nil"/>
              <w:left w:val="nil"/>
              <w:bottom w:val="single" w:sz="4" w:space="0" w:color="auto"/>
              <w:right w:val="single" w:sz="4" w:space="0" w:color="auto"/>
            </w:tcBorders>
            <w:vAlign w:val="center"/>
            <w:hideMark/>
          </w:tcPr>
          <w:p w14:paraId="4652B8A9"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170" w:type="dxa"/>
            <w:tcBorders>
              <w:top w:val="nil"/>
              <w:left w:val="nil"/>
              <w:bottom w:val="single" w:sz="4" w:space="0" w:color="auto"/>
              <w:right w:val="single" w:sz="4" w:space="0" w:color="auto"/>
            </w:tcBorders>
            <w:vAlign w:val="center"/>
            <w:hideMark/>
          </w:tcPr>
          <w:p w14:paraId="6E830CCD"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2,80</w:t>
            </w:r>
          </w:p>
        </w:tc>
        <w:tc>
          <w:tcPr>
            <w:tcW w:w="1474" w:type="dxa"/>
            <w:tcBorders>
              <w:top w:val="nil"/>
              <w:left w:val="nil"/>
              <w:bottom w:val="single" w:sz="4" w:space="0" w:color="auto"/>
              <w:right w:val="single" w:sz="4" w:space="0" w:color="auto"/>
            </w:tcBorders>
            <w:vAlign w:val="center"/>
            <w:hideMark/>
          </w:tcPr>
          <w:p w14:paraId="348F01CB"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187" w:type="dxa"/>
            <w:tcBorders>
              <w:top w:val="nil"/>
              <w:left w:val="nil"/>
              <w:bottom w:val="single" w:sz="4" w:space="0" w:color="auto"/>
              <w:right w:val="single" w:sz="4" w:space="0" w:color="auto"/>
            </w:tcBorders>
            <w:vAlign w:val="center"/>
            <w:hideMark/>
          </w:tcPr>
          <w:p w14:paraId="6D44A32F"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2004" w:type="dxa"/>
            <w:tcBorders>
              <w:top w:val="nil"/>
              <w:left w:val="nil"/>
              <w:bottom w:val="single" w:sz="4" w:space="0" w:color="auto"/>
              <w:right w:val="single" w:sz="4" w:space="0" w:color="auto"/>
            </w:tcBorders>
            <w:vAlign w:val="center"/>
            <w:hideMark/>
          </w:tcPr>
          <w:p w14:paraId="7D352520"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559" w:type="dxa"/>
            <w:tcBorders>
              <w:top w:val="nil"/>
              <w:left w:val="nil"/>
              <w:bottom w:val="single" w:sz="4" w:space="0" w:color="auto"/>
              <w:right w:val="single" w:sz="4" w:space="0" w:color="auto"/>
            </w:tcBorders>
            <w:vAlign w:val="center"/>
            <w:hideMark/>
          </w:tcPr>
          <w:p w14:paraId="7ADE41EB"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213" w:type="dxa"/>
            <w:tcBorders>
              <w:top w:val="nil"/>
              <w:left w:val="nil"/>
              <w:bottom w:val="single" w:sz="4" w:space="0" w:color="auto"/>
              <w:right w:val="single" w:sz="4" w:space="0" w:color="auto"/>
            </w:tcBorders>
            <w:vAlign w:val="center"/>
            <w:hideMark/>
          </w:tcPr>
          <w:p w14:paraId="3B93D9F8"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2,80</w:t>
            </w:r>
          </w:p>
        </w:tc>
      </w:tr>
      <w:tr w:rsidR="001355EB" w:rsidRPr="00E02C8A" w14:paraId="0C53A7EB" w14:textId="77777777" w:rsidTr="001355EB">
        <w:trPr>
          <w:gridAfter w:val="1"/>
          <w:wAfter w:w="6" w:type="dxa"/>
          <w:trHeight w:val="20"/>
          <w:jc w:val="center"/>
        </w:trPr>
        <w:tc>
          <w:tcPr>
            <w:tcW w:w="1897" w:type="dxa"/>
            <w:tcBorders>
              <w:top w:val="nil"/>
              <w:left w:val="single" w:sz="4" w:space="0" w:color="auto"/>
              <w:bottom w:val="single" w:sz="4" w:space="0" w:color="auto"/>
              <w:right w:val="single" w:sz="4" w:space="0" w:color="auto"/>
            </w:tcBorders>
            <w:vAlign w:val="center"/>
            <w:hideMark/>
          </w:tcPr>
          <w:p w14:paraId="3D54A34A" w14:textId="77777777" w:rsidR="001355EB" w:rsidRPr="00E02C8A"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TOTAL</w:t>
            </w:r>
          </w:p>
        </w:tc>
        <w:tc>
          <w:tcPr>
            <w:tcW w:w="1296" w:type="dxa"/>
            <w:tcBorders>
              <w:top w:val="nil"/>
              <w:left w:val="nil"/>
              <w:bottom w:val="single" w:sz="4" w:space="0" w:color="auto"/>
              <w:right w:val="single" w:sz="4" w:space="0" w:color="auto"/>
            </w:tcBorders>
            <w:vAlign w:val="center"/>
            <w:hideMark/>
          </w:tcPr>
          <w:p w14:paraId="730932F5" w14:textId="77777777" w:rsidR="001355EB" w:rsidRPr="00E02C8A"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(c)47,68</w:t>
            </w:r>
          </w:p>
        </w:tc>
        <w:tc>
          <w:tcPr>
            <w:tcW w:w="1170" w:type="dxa"/>
            <w:tcBorders>
              <w:top w:val="nil"/>
              <w:left w:val="nil"/>
              <w:bottom w:val="single" w:sz="4" w:space="0" w:color="auto"/>
              <w:right w:val="single" w:sz="4" w:space="0" w:color="auto"/>
            </w:tcBorders>
            <w:vAlign w:val="center"/>
            <w:hideMark/>
          </w:tcPr>
          <w:p w14:paraId="42F4E27B" w14:textId="77777777" w:rsidR="001355EB" w:rsidRPr="00E02C8A"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1,85</w:t>
            </w:r>
          </w:p>
        </w:tc>
        <w:tc>
          <w:tcPr>
            <w:tcW w:w="1322" w:type="dxa"/>
            <w:tcBorders>
              <w:top w:val="nil"/>
              <w:left w:val="nil"/>
              <w:bottom w:val="single" w:sz="4" w:space="0" w:color="auto"/>
              <w:right w:val="single" w:sz="4" w:space="0" w:color="auto"/>
            </w:tcBorders>
            <w:vAlign w:val="center"/>
            <w:hideMark/>
          </w:tcPr>
          <w:p w14:paraId="47A15DBA" w14:textId="77777777" w:rsidR="001355EB" w:rsidRPr="00E02C8A"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1,45</w:t>
            </w:r>
          </w:p>
        </w:tc>
        <w:tc>
          <w:tcPr>
            <w:tcW w:w="1375" w:type="dxa"/>
            <w:tcBorders>
              <w:top w:val="nil"/>
              <w:left w:val="nil"/>
              <w:bottom w:val="single" w:sz="4" w:space="0" w:color="auto"/>
              <w:right w:val="single" w:sz="4" w:space="0" w:color="auto"/>
            </w:tcBorders>
            <w:vAlign w:val="center"/>
            <w:hideMark/>
          </w:tcPr>
          <w:p w14:paraId="149588A2" w14:textId="77777777" w:rsidR="001355EB" w:rsidRPr="00E02C8A"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41</w:t>
            </w:r>
          </w:p>
        </w:tc>
        <w:tc>
          <w:tcPr>
            <w:tcW w:w="1170" w:type="dxa"/>
            <w:tcBorders>
              <w:top w:val="nil"/>
              <w:left w:val="nil"/>
              <w:bottom w:val="single" w:sz="4" w:space="0" w:color="auto"/>
              <w:right w:val="single" w:sz="4" w:space="0" w:color="auto"/>
            </w:tcBorders>
            <w:vAlign w:val="center"/>
            <w:hideMark/>
          </w:tcPr>
          <w:p w14:paraId="47A75D15" w14:textId="77777777" w:rsidR="001355EB" w:rsidRPr="00E02C8A"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11,87</w:t>
            </w:r>
          </w:p>
        </w:tc>
        <w:tc>
          <w:tcPr>
            <w:tcW w:w="1474" w:type="dxa"/>
            <w:tcBorders>
              <w:top w:val="nil"/>
              <w:left w:val="nil"/>
              <w:bottom w:val="single" w:sz="4" w:space="0" w:color="auto"/>
              <w:right w:val="single" w:sz="4" w:space="0" w:color="auto"/>
            </w:tcBorders>
            <w:vAlign w:val="center"/>
            <w:hideMark/>
          </w:tcPr>
          <w:p w14:paraId="7AAACB3D" w14:textId="77777777" w:rsidR="001355EB" w:rsidRPr="00E02C8A"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(a)9,92</w:t>
            </w:r>
          </w:p>
        </w:tc>
        <w:tc>
          <w:tcPr>
            <w:tcW w:w="1187" w:type="dxa"/>
            <w:tcBorders>
              <w:top w:val="nil"/>
              <w:left w:val="nil"/>
              <w:bottom w:val="single" w:sz="4" w:space="0" w:color="auto"/>
              <w:right w:val="single" w:sz="4" w:space="0" w:color="auto"/>
            </w:tcBorders>
            <w:vAlign w:val="center"/>
            <w:hideMark/>
          </w:tcPr>
          <w:p w14:paraId="0543D07C" w14:textId="77777777" w:rsidR="001355EB" w:rsidRPr="00E02C8A"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(b)1,42</w:t>
            </w:r>
          </w:p>
        </w:tc>
        <w:tc>
          <w:tcPr>
            <w:tcW w:w="2004" w:type="dxa"/>
            <w:tcBorders>
              <w:top w:val="nil"/>
              <w:left w:val="nil"/>
              <w:bottom w:val="single" w:sz="4" w:space="0" w:color="auto"/>
              <w:right w:val="single" w:sz="4" w:space="0" w:color="auto"/>
            </w:tcBorders>
            <w:vAlign w:val="center"/>
            <w:hideMark/>
          </w:tcPr>
          <w:p w14:paraId="15A1D920" w14:textId="7422360A" w:rsidR="001355EB" w:rsidRPr="00E02C8A" w:rsidRDefault="00AD3303"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w:t>
            </w:r>
          </w:p>
        </w:tc>
        <w:tc>
          <w:tcPr>
            <w:tcW w:w="1559" w:type="dxa"/>
            <w:tcBorders>
              <w:top w:val="nil"/>
              <w:left w:val="nil"/>
              <w:bottom w:val="single" w:sz="4" w:space="0" w:color="auto"/>
              <w:right w:val="single" w:sz="4" w:space="0" w:color="auto"/>
            </w:tcBorders>
            <w:vAlign w:val="center"/>
            <w:hideMark/>
          </w:tcPr>
          <w:p w14:paraId="7D135D50" w14:textId="612F794D" w:rsidR="001355EB" w:rsidRPr="00E02C8A" w:rsidRDefault="00AD3303"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2</w:t>
            </w:r>
          </w:p>
        </w:tc>
        <w:tc>
          <w:tcPr>
            <w:tcW w:w="1213" w:type="dxa"/>
            <w:tcBorders>
              <w:top w:val="nil"/>
              <w:left w:val="nil"/>
              <w:bottom w:val="single" w:sz="4" w:space="0" w:color="auto"/>
              <w:right w:val="single" w:sz="4" w:space="0" w:color="auto"/>
            </w:tcBorders>
            <w:vAlign w:val="center"/>
            <w:hideMark/>
          </w:tcPr>
          <w:p w14:paraId="6AEFCB35" w14:textId="77777777" w:rsidR="001355EB" w:rsidRPr="00E02C8A"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(bb)74,62</w:t>
            </w:r>
          </w:p>
        </w:tc>
      </w:tr>
    </w:tbl>
    <w:p w14:paraId="09128135" w14:textId="295285B3" w:rsidR="001C4D86" w:rsidRPr="002056F1" w:rsidRDefault="001C4D86" w:rsidP="001C4D86">
      <w:pPr>
        <w:jc w:val="center"/>
        <w:rPr>
          <w:rFonts w:ascii="Times New Roman" w:hAnsi="Times New Roman" w:cs="Times New Roman"/>
          <w:b/>
          <w:bCs/>
          <w:sz w:val="28"/>
          <w:szCs w:val="22"/>
        </w:rPr>
      </w:pPr>
      <w:r w:rsidRPr="002056F1">
        <w:rPr>
          <w:rFonts w:ascii="Times New Roman" w:hAnsi="Times New Roman" w:cs="Times New Roman"/>
          <w:b/>
          <w:bCs/>
          <w:sz w:val="28"/>
          <w:szCs w:val="22"/>
        </w:rPr>
        <w:lastRenderedPageBreak/>
        <w:t>10.—Resources transferred from the Centre to the States through devolution of Revenue and Grants:</w:t>
      </w:r>
      <w:r w:rsidRPr="002056F1">
        <w:rPr>
          <w:rFonts w:ascii="Times New Roman" w:hAnsi="Times New Roman" w:cs="Times New Roman"/>
          <w:sz w:val="28"/>
          <w:szCs w:val="22"/>
        </w:rPr>
        <w:br/>
      </w:r>
      <w:r w:rsidRPr="002056F1">
        <w:rPr>
          <w:rFonts w:ascii="Times New Roman" w:hAnsi="Times New Roman" w:cs="Times New Roman"/>
          <w:b/>
          <w:bCs/>
          <w:sz w:val="28"/>
          <w:szCs w:val="22"/>
        </w:rPr>
        <w:t>Details—1950-51 to 1952-53—contd.</w:t>
      </w:r>
    </w:p>
    <w:tbl>
      <w:tblPr>
        <w:tblW w:w="15152" w:type="dxa"/>
        <w:jc w:val="center"/>
        <w:tblLayout w:type="fixed"/>
        <w:tblLook w:val="04A0" w:firstRow="1" w:lastRow="0" w:firstColumn="1" w:lastColumn="0" w:noHBand="0" w:noVBand="1"/>
      </w:tblPr>
      <w:tblGrid>
        <w:gridCol w:w="1852"/>
        <w:gridCol w:w="1265"/>
        <w:gridCol w:w="1142"/>
        <w:gridCol w:w="1291"/>
        <w:gridCol w:w="1340"/>
        <w:gridCol w:w="1142"/>
        <w:gridCol w:w="1177"/>
        <w:gridCol w:w="1134"/>
        <w:gridCol w:w="2101"/>
        <w:gridCol w:w="1621"/>
        <w:gridCol w:w="1087"/>
      </w:tblGrid>
      <w:tr w:rsidR="001355EB" w:rsidRPr="001355EB" w14:paraId="26B9D333" w14:textId="77777777" w:rsidTr="001355EB">
        <w:trPr>
          <w:trHeight w:val="20"/>
          <w:jc w:val="center"/>
        </w:trPr>
        <w:tc>
          <w:tcPr>
            <w:tcW w:w="1852" w:type="dxa"/>
            <w:vMerge w:val="restart"/>
            <w:tcBorders>
              <w:top w:val="single" w:sz="4" w:space="0" w:color="auto"/>
              <w:left w:val="single" w:sz="4" w:space="0" w:color="auto"/>
              <w:bottom w:val="single" w:sz="4" w:space="0" w:color="auto"/>
              <w:right w:val="single" w:sz="4" w:space="0" w:color="auto"/>
            </w:tcBorders>
            <w:vAlign w:val="center"/>
            <w:hideMark/>
          </w:tcPr>
          <w:p w14:paraId="3BBD7F0B" w14:textId="77777777" w:rsidR="001355EB" w:rsidRPr="00E02C8A"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State</w:t>
            </w:r>
          </w:p>
        </w:tc>
        <w:tc>
          <w:tcPr>
            <w:tcW w:w="13300" w:type="dxa"/>
            <w:gridSpan w:val="10"/>
            <w:tcBorders>
              <w:top w:val="single" w:sz="4" w:space="0" w:color="auto"/>
              <w:left w:val="nil"/>
              <w:bottom w:val="single" w:sz="4" w:space="0" w:color="auto"/>
              <w:right w:val="single" w:sz="4" w:space="0" w:color="auto"/>
            </w:tcBorders>
            <w:vAlign w:val="center"/>
            <w:hideMark/>
          </w:tcPr>
          <w:p w14:paraId="6FBFA8C0" w14:textId="77777777" w:rsidR="001355EB" w:rsidRPr="00E02C8A"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1951-52 (Provisional Figures)</w:t>
            </w:r>
          </w:p>
        </w:tc>
      </w:tr>
      <w:tr w:rsidR="001355EB" w:rsidRPr="001355EB" w14:paraId="3158E13F" w14:textId="77777777" w:rsidTr="003323C6">
        <w:trPr>
          <w:trHeight w:val="20"/>
          <w:jc w:val="center"/>
        </w:trPr>
        <w:tc>
          <w:tcPr>
            <w:tcW w:w="1852" w:type="dxa"/>
            <w:vMerge/>
            <w:tcBorders>
              <w:top w:val="single" w:sz="4" w:space="0" w:color="auto"/>
              <w:left w:val="single" w:sz="4" w:space="0" w:color="auto"/>
              <w:bottom w:val="single" w:sz="4" w:space="0" w:color="auto"/>
              <w:right w:val="single" w:sz="4" w:space="0" w:color="auto"/>
            </w:tcBorders>
            <w:vAlign w:val="center"/>
            <w:hideMark/>
          </w:tcPr>
          <w:p w14:paraId="41E81256" w14:textId="77777777" w:rsidR="001355EB" w:rsidRPr="00E02C8A"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p>
        </w:tc>
        <w:tc>
          <w:tcPr>
            <w:tcW w:w="1265" w:type="dxa"/>
            <w:vMerge w:val="restart"/>
            <w:tcBorders>
              <w:top w:val="nil"/>
              <w:left w:val="single" w:sz="4" w:space="0" w:color="auto"/>
              <w:bottom w:val="single" w:sz="4" w:space="0" w:color="auto"/>
              <w:right w:val="single" w:sz="4" w:space="0" w:color="auto"/>
            </w:tcBorders>
            <w:vAlign w:val="center"/>
            <w:hideMark/>
          </w:tcPr>
          <w:p w14:paraId="7F1439AA" w14:textId="77777777" w:rsidR="001355EB" w:rsidRPr="00E02C8A"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Share of Income Tax</w:t>
            </w:r>
          </w:p>
        </w:tc>
        <w:tc>
          <w:tcPr>
            <w:tcW w:w="4915" w:type="dxa"/>
            <w:gridSpan w:val="4"/>
            <w:tcBorders>
              <w:top w:val="single" w:sz="4" w:space="0" w:color="auto"/>
              <w:left w:val="nil"/>
              <w:bottom w:val="single" w:sz="4" w:space="0" w:color="auto"/>
              <w:right w:val="single" w:sz="4" w:space="0" w:color="auto"/>
            </w:tcBorders>
            <w:vAlign w:val="center"/>
            <w:hideMark/>
          </w:tcPr>
          <w:p w14:paraId="6BA9D302" w14:textId="5B4538E9" w:rsidR="001355EB" w:rsidRPr="00E02C8A" w:rsidRDefault="001355EB" w:rsidP="001355EB">
            <w:pPr>
              <w:spacing w:after="0" w:line="240" w:lineRule="auto"/>
              <w:jc w:val="center"/>
              <w:rPr>
                <w:rFonts w:ascii="Aptos" w:eastAsia="Times New Roman" w:hAnsi="Aptos"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Grants under</w:t>
            </w:r>
          </w:p>
        </w:tc>
        <w:tc>
          <w:tcPr>
            <w:tcW w:w="1177" w:type="dxa"/>
            <w:vMerge w:val="restart"/>
            <w:tcBorders>
              <w:top w:val="nil"/>
              <w:left w:val="single" w:sz="4" w:space="0" w:color="auto"/>
              <w:bottom w:val="single" w:sz="4" w:space="0" w:color="auto"/>
              <w:right w:val="single" w:sz="4" w:space="0" w:color="auto"/>
            </w:tcBorders>
            <w:vAlign w:val="center"/>
            <w:hideMark/>
          </w:tcPr>
          <w:p w14:paraId="6D10D295" w14:textId="4E9CF4FD" w:rsidR="001355EB" w:rsidRPr="00E02C8A"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Rehabilitation Grants</w:t>
            </w:r>
          </w:p>
        </w:tc>
        <w:tc>
          <w:tcPr>
            <w:tcW w:w="1134" w:type="dxa"/>
            <w:vMerge w:val="restart"/>
            <w:tcBorders>
              <w:top w:val="nil"/>
              <w:left w:val="single" w:sz="4" w:space="0" w:color="auto"/>
              <w:bottom w:val="single" w:sz="4" w:space="0" w:color="auto"/>
              <w:right w:val="single" w:sz="4" w:space="0" w:color="auto"/>
            </w:tcBorders>
            <w:vAlign w:val="center"/>
            <w:hideMark/>
          </w:tcPr>
          <w:p w14:paraId="396B9CD5" w14:textId="77777777" w:rsidR="001355EB" w:rsidRPr="00E02C8A"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Grow More Food Grants</w:t>
            </w:r>
          </w:p>
        </w:tc>
        <w:tc>
          <w:tcPr>
            <w:tcW w:w="3722" w:type="dxa"/>
            <w:gridSpan w:val="2"/>
            <w:vMerge w:val="restart"/>
            <w:tcBorders>
              <w:top w:val="single" w:sz="4" w:space="0" w:color="auto"/>
              <w:left w:val="nil"/>
              <w:right w:val="single" w:sz="4" w:space="0" w:color="auto"/>
            </w:tcBorders>
            <w:vAlign w:val="center"/>
            <w:hideMark/>
          </w:tcPr>
          <w:p w14:paraId="706C7736" w14:textId="77777777" w:rsidR="001355EB" w:rsidRPr="00E02C8A"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Other Grants</w:t>
            </w:r>
          </w:p>
        </w:tc>
        <w:tc>
          <w:tcPr>
            <w:tcW w:w="1087" w:type="dxa"/>
            <w:vMerge w:val="restart"/>
            <w:tcBorders>
              <w:top w:val="nil"/>
              <w:left w:val="single" w:sz="4" w:space="0" w:color="auto"/>
              <w:bottom w:val="single" w:sz="4" w:space="0" w:color="auto"/>
              <w:right w:val="single" w:sz="4" w:space="0" w:color="auto"/>
            </w:tcBorders>
            <w:vAlign w:val="center"/>
            <w:hideMark/>
          </w:tcPr>
          <w:p w14:paraId="0C2638AC" w14:textId="77777777" w:rsidR="001355EB" w:rsidRPr="00E02C8A"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Total</w:t>
            </w:r>
          </w:p>
        </w:tc>
      </w:tr>
      <w:tr w:rsidR="001355EB" w:rsidRPr="001355EB" w14:paraId="2F1C16D1" w14:textId="77777777" w:rsidTr="003323C6">
        <w:trPr>
          <w:trHeight w:val="20"/>
          <w:jc w:val="center"/>
        </w:trPr>
        <w:tc>
          <w:tcPr>
            <w:tcW w:w="1852" w:type="dxa"/>
            <w:vMerge/>
            <w:tcBorders>
              <w:top w:val="single" w:sz="4" w:space="0" w:color="auto"/>
              <w:left w:val="single" w:sz="4" w:space="0" w:color="auto"/>
              <w:bottom w:val="single" w:sz="4" w:space="0" w:color="auto"/>
              <w:right w:val="single" w:sz="4" w:space="0" w:color="auto"/>
            </w:tcBorders>
            <w:vAlign w:val="center"/>
            <w:hideMark/>
          </w:tcPr>
          <w:p w14:paraId="39C601A8" w14:textId="77777777" w:rsidR="001355EB" w:rsidRPr="001355EB" w:rsidRDefault="001355EB" w:rsidP="001355EB">
            <w:pPr>
              <w:spacing w:after="0" w:line="240" w:lineRule="auto"/>
              <w:jc w:val="center"/>
              <w:rPr>
                <w:rFonts w:ascii="Times New Roman" w:eastAsia="Times New Roman" w:hAnsi="Times New Roman" w:cs="Times New Roman"/>
                <w:b/>
                <w:bCs/>
                <w:color w:val="000000"/>
                <w:kern w:val="0"/>
                <w:szCs w:val="24"/>
                <w:lang w:eastAsia="en-IN"/>
                <w14:ligatures w14:val="none"/>
              </w:rPr>
            </w:pPr>
          </w:p>
        </w:tc>
        <w:tc>
          <w:tcPr>
            <w:tcW w:w="1265" w:type="dxa"/>
            <w:vMerge/>
            <w:tcBorders>
              <w:top w:val="nil"/>
              <w:left w:val="single" w:sz="4" w:space="0" w:color="auto"/>
              <w:bottom w:val="single" w:sz="4" w:space="0" w:color="auto"/>
              <w:right w:val="single" w:sz="4" w:space="0" w:color="auto"/>
            </w:tcBorders>
            <w:vAlign w:val="center"/>
            <w:hideMark/>
          </w:tcPr>
          <w:p w14:paraId="7C3A66B7" w14:textId="77777777" w:rsidR="001355EB" w:rsidRPr="001355EB" w:rsidRDefault="001355EB" w:rsidP="001355EB">
            <w:pPr>
              <w:spacing w:after="0" w:line="240" w:lineRule="auto"/>
              <w:jc w:val="center"/>
              <w:rPr>
                <w:rFonts w:ascii="Times New Roman" w:eastAsia="Times New Roman" w:hAnsi="Times New Roman" w:cs="Times New Roman"/>
                <w:b/>
                <w:bCs/>
                <w:color w:val="000000"/>
                <w:kern w:val="0"/>
                <w:szCs w:val="24"/>
                <w:lang w:eastAsia="en-IN"/>
                <w14:ligatures w14:val="none"/>
              </w:rPr>
            </w:pPr>
          </w:p>
        </w:tc>
        <w:tc>
          <w:tcPr>
            <w:tcW w:w="1142" w:type="dxa"/>
            <w:vMerge w:val="restart"/>
            <w:tcBorders>
              <w:top w:val="nil"/>
              <w:left w:val="single" w:sz="4" w:space="0" w:color="auto"/>
              <w:bottom w:val="single" w:sz="4" w:space="0" w:color="auto"/>
              <w:right w:val="single" w:sz="4" w:space="0" w:color="auto"/>
            </w:tcBorders>
            <w:vAlign w:val="center"/>
            <w:hideMark/>
          </w:tcPr>
          <w:p w14:paraId="67836EC4" w14:textId="77777777" w:rsidR="001355EB" w:rsidRPr="00E02C8A"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Article 273</w:t>
            </w:r>
          </w:p>
        </w:tc>
        <w:tc>
          <w:tcPr>
            <w:tcW w:w="2631" w:type="dxa"/>
            <w:gridSpan w:val="2"/>
            <w:tcBorders>
              <w:top w:val="single" w:sz="4" w:space="0" w:color="auto"/>
              <w:left w:val="nil"/>
              <w:bottom w:val="single" w:sz="4" w:space="0" w:color="auto"/>
              <w:right w:val="single" w:sz="4" w:space="0" w:color="auto"/>
            </w:tcBorders>
            <w:vAlign w:val="center"/>
            <w:hideMark/>
          </w:tcPr>
          <w:p w14:paraId="383D51CF" w14:textId="77777777" w:rsidR="001355EB" w:rsidRPr="00E02C8A"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Article 275</w:t>
            </w:r>
          </w:p>
        </w:tc>
        <w:tc>
          <w:tcPr>
            <w:tcW w:w="1142" w:type="dxa"/>
            <w:vMerge w:val="restart"/>
            <w:tcBorders>
              <w:top w:val="nil"/>
              <w:left w:val="single" w:sz="4" w:space="0" w:color="auto"/>
              <w:bottom w:val="single" w:sz="4" w:space="0" w:color="auto"/>
              <w:right w:val="single" w:sz="4" w:space="0" w:color="auto"/>
            </w:tcBorders>
            <w:vAlign w:val="center"/>
            <w:hideMark/>
          </w:tcPr>
          <w:p w14:paraId="23784EAA" w14:textId="77777777" w:rsidR="001355EB" w:rsidRPr="00E02C8A"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Article 278</w:t>
            </w:r>
          </w:p>
        </w:tc>
        <w:tc>
          <w:tcPr>
            <w:tcW w:w="1177" w:type="dxa"/>
            <w:vMerge/>
            <w:tcBorders>
              <w:top w:val="nil"/>
              <w:left w:val="single" w:sz="4" w:space="0" w:color="auto"/>
              <w:bottom w:val="single" w:sz="4" w:space="0" w:color="auto"/>
              <w:right w:val="single" w:sz="4" w:space="0" w:color="auto"/>
            </w:tcBorders>
            <w:vAlign w:val="center"/>
            <w:hideMark/>
          </w:tcPr>
          <w:p w14:paraId="596E88C7" w14:textId="77777777" w:rsidR="001355EB" w:rsidRPr="00E02C8A"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00821CE7" w14:textId="77777777" w:rsidR="001355EB" w:rsidRPr="00E02C8A"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p>
        </w:tc>
        <w:tc>
          <w:tcPr>
            <w:tcW w:w="3722" w:type="dxa"/>
            <w:gridSpan w:val="2"/>
            <w:vMerge/>
            <w:tcBorders>
              <w:left w:val="nil"/>
              <w:bottom w:val="single" w:sz="4" w:space="0" w:color="auto"/>
              <w:right w:val="single" w:sz="4" w:space="0" w:color="auto"/>
            </w:tcBorders>
            <w:vAlign w:val="center"/>
            <w:hideMark/>
          </w:tcPr>
          <w:p w14:paraId="5A5FDAC7" w14:textId="2ED65E46" w:rsidR="001355EB" w:rsidRPr="00E02C8A" w:rsidRDefault="001355EB" w:rsidP="001355EB">
            <w:pPr>
              <w:spacing w:after="0" w:line="240" w:lineRule="auto"/>
              <w:jc w:val="center"/>
              <w:rPr>
                <w:rFonts w:ascii="Aptos" w:eastAsia="Times New Roman" w:hAnsi="Aptos" w:cs="Times New Roman"/>
                <w:color w:val="000000"/>
                <w:kern w:val="0"/>
                <w:szCs w:val="24"/>
                <w:lang w:eastAsia="en-IN"/>
                <w14:ligatures w14:val="none"/>
              </w:rPr>
            </w:pPr>
          </w:p>
        </w:tc>
        <w:tc>
          <w:tcPr>
            <w:tcW w:w="1087" w:type="dxa"/>
            <w:vMerge/>
            <w:tcBorders>
              <w:top w:val="nil"/>
              <w:left w:val="single" w:sz="4" w:space="0" w:color="auto"/>
              <w:bottom w:val="single" w:sz="4" w:space="0" w:color="auto"/>
              <w:right w:val="single" w:sz="4" w:space="0" w:color="auto"/>
            </w:tcBorders>
            <w:vAlign w:val="center"/>
            <w:hideMark/>
          </w:tcPr>
          <w:p w14:paraId="2A58E37E" w14:textId="77777777" w:rsidR="001355EB" w:rsidRPr="001355EB" w:rsidRDefault="001355EB" w:rsidP="001355EB">
            <w:pPr>
              <w:spacing w:after="0" w:line="240" w:lineRule="auto"/>
              <w:jc w:val="center"/>
              <w:rPr>
                <w:rFonts w:ascii="Times New Roman" w:eastAsia="Times New Roman" w:hAnsi="Times New Roman" w:cs="Times New Roman"/>
                <w:b/>
                <w:bCs/>
                <w:color w:val="000000"/>
                <w:kern w:val="0"/>
                <w:szCs w:val="24"/>
                <w:lang w:eastAsia="en-IN"/>
                <w14:ligatures w14:val="none"/>
              </w:rPr>
            </w:pPr>
          </w:p>
        </w:tc>
      </w:tr>
      <w:tr w:rsidR="001355EB" w:rsidRPr="001355EB" w14:paraId="3A675309" w14:textId="77777777" w:rsidTr="001355EB">
        <w:trPr>
          <w:trHeight w:val="20"/>
          <w:jc w:val="center"/>
        </w:trPr>
        <w:tc>
          <w:tcPr>
            <w:tcW w:w="1852" w:type="dxa"/>
            <w:vMerge/>
            <w:tcBorders>
              <w:top w:val="single" w:sz="4" w:space="0" w:color="auto"/>
              <w:left w:val="single" w:sz="4" w:space="0" w:color="auto"/>
              <w:bottom w:val="single" w:sz="4" w:space="0" w:color="auto"/>
              <w:right w:val="single" w:sz="4" w:space="0" w:color="auto"/>
            </w:tcBorders>
            <w:vAlign w:val="center"/>
            <w:hideMark/>
          </w:tcPr>
          <w:p w14:paraId="63A412AF" w14:textId="77777777" w:rsidR="001355EB" w:rsidRPr="001355EB" w:rsidRDefault="001355EB" w:rsidP="001355EB">
            <w:pPr>
              <w:spacing w:after="0" w:line="240" w:lineRule="auto"/>
              <w:jc w:val="center"/>
              <w:rPr>
                <w:rFonts w:ascii="Times New Roman" w:eastAsia="Times New Roman" w:hAnsi="Times New Roman" w:cs="Times New Roman"/>
                <w:b/>
                <w:bCs/>
                <w:color w:val="000000"/>
                <w:kern w:val="0"/>
                <w:szCs w:val="24"/>
                <w:lang w:eastAsia="en-IN"/>
                <w14:ligatures w14:val="none"/>
              </w:rPr>
            </w:pPr>
          </w:p>
        </w:tc>
        <w:tc>
          <w:tcPr>
            <w:tcW w:w="1265" w:type="dxa"/>
            <w:vMerge/>
            <w:tcBorders>
              <w:top w:val="nil"/>
              <w:left w:val="single" w:sz="4" w:space="0" w:color="auto"/>
              <w:bottom w:val="single" w:sz="4" w:space="0" w:color="auto"/>
              <w:right w:val="single" w:sz="4" w:space="0" w:color="auto"/>
            </w:tcBorders>
            <w:vAlign w:val="center"/>
            <w:hideMark/>
          </w:tcPr>
          <w:p w14:paraId="286DBDB6" w14:textId="77777777" w:rsidR="001355EB" w:rsidRPr="001355EB" w:rsidRDefault="001355EB" w:rsidP="001355EB">
            <w:pPr>
              <w:spacing w:after="0" w:line="240" w:lineRule="auto"/>
              <w:jc w:val="center"/>
              <w:rPr>
                <w:rFonts w:ascii="Times New Roman" w:eastAsia="Times New Roman" w:hAnsi="Times New Roman" w:cs="Times New Roman"/>
                <w:b/>
                <w:bCs/>
                <w:color w:val="000000"/>
                <w:kern w:val="0"/>
                <w:szCs w:val="24"/>
                <w:lang w:eastAsia="en-IN"/>
                <w14:ligatures w14:val="none"/>
              </w:rPr>
            </w:pPr>
          </w:p>
        </w:tc>
        <w:tc>
          <w:tcPr>
            <w:tcW w:w="1142" w:type="dxa"/>
            <w:vMerge/>
            <w:tcBorders>
              <w:top w:val="nil"/>
              <w:left w:val="single" w:sz="4" w:space="0" w:color="auto"/>
              <w:bottom w:val="single" w:sz="4" w:space="0" w:color="auto"/>
              <w:right w:val="single" w:sz="4" w:space="0" w:color="auto"/>
            </w:tcBorders>
            <w:vAlign w:val="center"/>
            <w:hideMark/>
          </w:tcPr>
          <w:p w14:paraId="1513A571" w14:textId="77777777" w:rsidR="001355EB" w:rsidRPr="00E02C8A"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p>
        </w:tc>
        <w:tc>
          <w:tcPr>
            <w:tcW w:w="1291" w:type="dxa"/>
            <w:tcBorders>
              <w:top w:val="nil"/>
              <w:left w:val="nil"/>
              <w:bottom w:val="single" w:sz="4" w:space="0" w:color="auto"/>
              <w:right w:val="single" w:sz="4" w:space="0" w:color="auto"/>
            </w:tcBorders>
            <w:vAlign w:val="center"/>
            <w:hideMark/>
          </w:tcPr>
          <w:p w14:paraId="2DBEADFA" w14:textId="77777777" w:rsidR="001355EB" w:rsidRPr="00E02C8A"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General Grants-in-aid</w:t>
            </w:r>
          </w:p>
        </w:tc>
        <w:tc>
          <w:tcPr>
            <w:tcW w:w="1340" w:type="dxa"/>
            <w:tcBorders>
              <w:top w:val="nil"/>
              <w:left w:val="nil"/>
              <w:bottom w:val="single" w:sz="4" w:space="0" w:color="auto"/>
              <w:right w:val="single" w:sz="4" w:space="0" w:color="auto"/>
            </w:tcBorders>
            <w:vAlign w:val="center"/>
            <w:hideMark/>
          </w:tcPr>
          <w:p w14:paraId="07252611" w14:textId="77777777" w:rsidR="001355EB" w:rsidRPr="00E02C8A"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Grants under Provisos</w:t>
            </w:r>
          </w:p>
        </w:tc>
        <w:tc>
          <w:tcPr>
            <w:tcW w:w="1142" w:type="dxa"/>
            <w:vMerge/>
            <w:tcBorders>
              <w:top w:val="nil"/>
              <w:left w:val="single" w:sz="4" w:space="0" w:color="auto"/>
              <w:bottom w:val="single" w:sz="4" w:space="0" w:color="auto"/>
              <w:right w:val="single" w:sz="4" w:space="0" w:color="auto"/>
            </w:tcBorders>
            <w:vAlign w:val="center"/>
            <w:hideMark/>
          </w:tcPr>
          <w:p w14:paraId="37321046" w14:textId="77777777" w:rsidR="001355EB" w:rsidRPr="00E02C8A"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p>
        </w:tc>
        <w:tc>
          <w:tcPr>
            <w:tcW w:w="1177" w:type="dxa"/>
            <w:vMerge/>
            <w:tcBorders>
              <w:top w:val="nil"/>
              <w:left w:val="single" w:sz="4" w:space="0" w:color="auto"/>
              <w:bottom w:val="single" w:sz="4" w:space="0" w:color="auto"/>
              <w:right w:val="single" w:sz="4" w:space="0" w:color="auto"/>
            </w:tcBorders>
            <w:vAlign w:val="center"/>
            <w:hideMark/>
          </w:tcPr>
          <w:p w14:paraId="16A72CD1" w14:textId="77777777" w:rsidR="001355EB" w:rsidRPr="00E02C8A"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266F0A2C" w14:textId="77777777" w:rsidR="001355EB" w:rsidRPr="00E02C8A"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p>
        </w:tc>
        <w:tc>
          <w:tcPr>
            <w:tcW w:w="2101" w:type="dxa"/>
            <w:tcBorders>
              <w:top w:val="nil"/>
              <w:left w:val="nil"/>
              <w:bottom w:val="single" w:sz="4" w:space="0" w:color="auto"/>
              <w:right w:val="single" w:sz="4" w:space="0" w:color="auto"/>
            </w:tcBorders>
            <w:vAlign w:val="center"/>
            <w:hideMark/>
          </w:tcPr>
          <w:p w14:paraId="0CE5EEF6" w14:textId="77777777" w:rsidR="001355EB" w:rsidRPr="00E02C8A"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Special Develop-ment Grants to Backward States</w:t>
            </w:r>
          </w:p>
        </w:tc>
        <w:tc>
          <w:tcPr>
            <w:tcW w:w="1621" w:type="dxa"/>
            <w:tcBorders>
              <w:top w:val="nil"/>
              <w:left w:val="nil"/>
              <w:bottom w:val="single" w:sz="4" w:space="0" w:color="auto"/>
              <w:right w:val="single" w:sz="4" w:space="0" w:color="auto"/>
            </w:tcBorders>
            <w:vAlign w:val="center"/>
            <w:hideMark/>
          </w:tcPr>
          <w:p w14:paraId="6C0D16F3" w14:textId="77777777" w:rsidR="001355EB" w:rsidRPr="00E02C8A"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Assistance for Natural Calamities</w:t>
            </w:r>
          </w:p>
        </w:tc>
        <w:tc>
          <w:tcPr>
            <w:tcW w:w="1087" w:type="dxa"/>
            <w:vMerge/>
            <w:tcBorders>
              <w:top w:val="nil"/>
              <w:left w:val="single" w:sz="4" w:space="0" w:color="auto"/>
              <w:bottom w:val="single" w:sz="4" w:space="0" w:color="auto"/>
              <w:right w:val="single" w:sz="4" w:space="0" w:color="auto"/>
            </w:tcBorders>
            <w:vAlign w:val="center"/>
            <w:hideMark/>
          </w:tcPr>
          <w:p w14:paraId="4D366256" w14:textId="77777777" w:rsidR="001355EB" w:rsidRPr="001355EB" w:rsidRDefault="001355EB" w:rsidP="001355EB">
            <w:pPr>
              <w:spacing w:after="0" w:line="240" w:lineRule="auto"/>
              <w:jc w:val="center"/>
              <w:rPr>
                <w:rFonts w:ascii="Times New Roman" w:eastAsia="Times New Roman" w:hAnsi="Times New Roman" w:cs="Times New Roman"/>
                <w:b/>
                <w:bCs/>
                <w:color w:val="000000"/>
                <w:kern w:val="0"/>
                <w:szCs w:val="24"/>
                <w:lang w:eastAsia="en-IN"/>
                <w14:ligatures w14:val="none"/>
              </w:rPr>
            </w:pPr>
          </w:p>
        </w:tc>
      </w:tr>
      <w:tr w:rsidR="001355EB" w:rsidRPr="001355EB" w14:paraId="7735EEE8" w14:textId="77777777" w:rsidTr="001355EB">
        <w:trPr>
          <w:trHeight w:val="20"/>
          <w:jc w:val="center"/>
        </w:trPr>
        <w:tc>
          <w:tcPr>
            <w:tcW w:w="1852" w:type="dxa"/>
            <w:tcBorders>
              <w:top w:val="nil"/>
              <w:left w:val="single" w:sz="4" w:space="0" w:color="auto"/>
              <w:bottom w:val="single" w:sz="4" w:space="0" w:color="auto"/>
              <w:right w:val="single" w:sz="4" w:space="0" w:color="auto"/>
            </w:tcBorders>
            <w:vAlign w:val="center"/>
            <w:hideMark/>
          </w:tcPr>
          <w:p w14:paraId="28E95949" w14:textId="77777777" w:rsidR="001355EB" w:rsidRPr="00E02C8A"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Assam</w:t>
            </w:r>
          </w:p>
        </w:tc>
        <w:tc>
          <w:tcPr>
            <w:tcW w:w="1265" w:type="dxa"/>
            <w:tcBorders>
              <w:top w:val="nil"/>
              <w:left w:val="nil"/>
              <w:bottom w:val="single" w:sz="4" w:space="0" w:color="auto"/>
              <w:right w:val="single" w:sz="4" w:space="0" w:color="auto"/>
            </w:tcBorders>
            <w:vAlign w:val="center"/>
            <w:hideMark/>
          </w:tcPr>
          <w:p w14:paraId="1B131745"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1,54</w:t>
            </w:r>
          </w:p>
        </w:tc>
        <w:tc>
          <w:tcPr>
            <w:tcW w:w="1142" w:type="dxa"/>
            <w:tcBorders>
              <w:top w:val="nil"/>
              <w:left w:val="nil"/>
              <w:bottom w:val="single" w:sz="4" w:space="0" w:color="auto"/>
              <w:right w:val="single" w:sz="4" w:space="0" w:color="auto"/>
            </w:tcBorders>
            <w:vAlign w:val="center"/>
            <w:hideMark/>
          </w:tcPr>
          <w:p w14:paraId="46706C10"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40</w:t>
            </w:r>
          </w:p>
        </w:tc>
        <w:tc>
          <w:tcPr>
            <w:tcW w:w="1291" w:type="dxa"/>
            <w:tcBorders>
              <w:top w:val="nil"/>
              <w:left w:val="nil"/>
              <w:bottom w:val="single" w:sz="4" w:space="0" w:color="auto"/>
              <w:right w:val="single" w:sz="4" w:space="0" w:color="auto"/>
            </w:tcBorders>
            <w:vAlign w:val="center"/>
            <w:hideMark/>
          </w:tcPr>
          <w:p w14:paraId="61EE6BEA"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30</w:t>
            </w:r>
          </w:p>
        </w:tc>
        <w:tc>
          <w:tcPr>
            <w:tcW w:w="1340" w:type="dxa"/>
            <w:tcBorders>
              <w:top w:val="nil"/>
              <w:left w:val="nil"/>
              <w:bottom w:val="single" w:sz="4" w:space="0" w:color="auto"/>
              <w:right w:val="single" w:sz="4" w:space="0" w:color="auto"/>
            </w:tcBorders>
            <w:vAlign w:val="center"/>
            <w:hideMark/>
          </w:tcPr>
          <w:p w14:paraId="12AEE280"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99</w:t>
            </w:r>
          </w:p>
        </w:tc>
        <w:tc>
          <w:tcPr>
            <w:tcW w:w="1142" w:type="dxa"/>
            <w:tcBorders>
              <w:top w:val="nil"/>
              <w:left w:val="nil"/>
              <w:bottom w:val="single" w:sz="4" w:space="0" w:color="auto"/>
              <w:right w:val="single" w:sz="4" w:space="0" w:color="auto"/>
            </w:tcBorders>
            <w:vAlign w:val="center"/>
            <w:hideMark/>
          </w:tcPr>
          <w:p w14:paraId="5A3410F4"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177" w:type="dxa"/>
            <w:tcBorders>
              <w:top w:val="nil"/>
              <w:left w:val="nil"/>
              <w:bottom w:val="single" w:sz="4" w:space="0" w:color="auto"/>
              <w:right w:val="single" w:sz="4" w:space="0" w:color="auto"/>
            </w:tcBorders>
            <w:vAlign w:val="center"/>
            <w:hideMark/>
          </w:tcPr>
          <w:p w14:paraId="1A7B5349"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134" w:type="dxa"/>
            <w:tcBorders>
              <w:top w:val="nil"/>
              <w:left w:val="nil"/>
              <w:bottom w:val="single" w:sz="4" w:space="0" w:color="auto"/>
              <w:right w:val="single" w:sz="4" w:space="0" w:color="auto"/>
            </w:tcBorders>
            <w:vAlign w:val="center"/>
            <w:hideMark/>
          </w:tcPr>
          <w:p w14:paraId="0836C78D"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2101" w:type="dxa"/>
            <w:tcBorders>
              <w:top w:val="nil"/>
              <w:left w:val="nil"/>
              <w:bottom w:val="single" w:sz="4" w:space="0" w:color="auto"/>
              <w:right w:val="single" w:sz="4" w:space="0" w:color="auto"/>
            </w:tcBorders>
            <w:vAlign w:val="center"/>
            <w:hideMark/>
          </w:tcPr>
          <w:p w14:paraId="38923042"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621" w:type="dxa"/>
            <w:tcBorders>
              <w:top w:val="nil"/>
              <w:left w:val="nil"/>
              <w:bottom w:val="single" w:sz="4" w:space="0" w:color="auto"/>
              <w:right w:val="single" w:sz="4" w:space="0" w:color="auto"/>
            </w:tcBorders>
            <w:vAlign w:val="center"/>
            <w:hideMark/>
          </w:tcPr>
          <w:p w14:paraId="5B522B1E"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19</w:t>
            </w:r>
          </w:p>
        </w:tc>
        <w:tc>
          <w:tcPr>
            <w:tcW w:w="1087" w:type="dxa"/>
            <w:tcBorders>
              <w:top w:val="nil"/>
              <w:left w:val="nil"/>
              <w:bottom w:val="single" w:sz="4" w:space="0" w:color="auto"/>
              <w:right w:val="single" w:sz="4" w:space="0" w:color="auto"/>
            </w:tcBorders>
            <w:vAlign w:val="center"/>
            <w:hideMark/>
          </w:tcPr>
          <w:p w14:paraId="7A4D0140"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3,42</w:t>
            </w:r>
          </w:p>
        </w:tc>
      </w:tr>
      <w:tr w:rsidR="001355EB" w:rsidRPr="001355EB" w14:paraId="7F63185B" w14:textId="77777777" w:rsidTr="001355EB">
        <w:trPr>
          <w:trHeight w:val="20"/>
          <w:jc w:val="center"/>
        </w:trPr>
        <w:tc>
          <w:tcPr>
            <w:tcW w:w="1852" w:type="dxa"/>
            <w:tcBorders>
              <w:top w:val="nil"/>
              <w:left w:val="single" w:sz="4" w:space="0" w:color="auto"/>
              <w:bottom w:val="single" w:sz="4" w:space="0" w:color="auto"/>
              <w:right w:val="single" w:sz="4" w:space="0" w:color="auto"/>
            </w:tcBorders>
            <w:vAlign w:val="center"/>
            <w:hideMark/>
          </w:tcPr>
          <w:p w14:paraId="6B1B2175" w14:textId="77777777" w:rsidR="001355EB" w:rsidRPr="00E02C8A"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Bihar</w:t>
            </w:r>
          </w:p>
        </w:tc>
        <w:tc>
          <w:tcPr>
            <w:tcW w:w="1265" w:type="dxa"/>
            <w:tcBorders>
              <w:top w:val="nil"/>
              <w:left w:val="nil"/>
              <w:bottom w:val="single" w:sz="4" w:space="0" w:color="auto"/>
              <w:right w:val="single" w:sz="4" w:space="0" w:color="auto"/>
            </w:tcBorders>
            <w:vAlign w:val="center"/>
            <w:hideMark/>
          </w:tcPr>
          <w:p w14:paraId="0ADF63FE"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6,54</w:t>
            </w:r>
          </w:p>
        </w:tc>
        <w:tc>
          <w:tcPr>
            <w:tcW w:w="1142" w:type="dxa"/>
            <w:tcBorders>
              <w:top w:val="nil"/>
              <w:left w:val="nil"/>
              <w:bottom w:val="single" w:sz="4" w:space="0" w:color="auto"/>
              <w:right w:val="single" w:sz="4" w:space="0" w:color="auto"/>
            </w:tcBorders>
            <w:vAlign w:val="center"/>
            <w:hideMark/>
          </w:tcPr>
          <w:p w14:paraId="370BBCB3"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35</w:t>
            </w:r>
          </w:p>
        </w:tc>
        <w:tc>
          <w:tcPr>
            <w:tcW w:w="1291" w:type="dxa"/>
            <w:tcBorders>
              <w:top w:val="nil"/>
              <w:left w:val="nil"/>
              <w:bottom w:val="single" w:sz="4" w:space="0" w:color="auto"/>
              <w:right w:val="single" w:sz="4" w:space="0" w:color="auto"/>
            </w:tcBorders>
            <w:vAlign w:val="center"/>
            <w:hideMark/>
          </w:tcPr>
          <w:p w14:paraId="5852E60F"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340" w:type="dxa"/>
            <w:tcBorders>
              <w:top w:val="nil"/>
              <w:left w:val="nil"/>
              <w:bottom w:val="single" w:sz="4" w:space="0" w:color="auto"/>
              <w:right w:val="single" w:sz="4" w:space="0" w:color="auto"/>
            </w:tcBorders>
            <w:vAlign w:val="center"/>
            <w:hideMark/>
          </w:tcPr>
          <w:p w14:paraId="7F50AEC7"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15</w:t>
            </w:r>
          </w:p>
        </w:tc>
        <w:tc>
          <w:tcPr>
            <w:tcW w:w="1142" w:type="dxa"/>
            <w:tcBorders>
              <w:top w:val="nil"/>
              <w:left w:val="nil"/>
              <w:bottom w:val="single" w:sz="4" w:space="0" w:color="auto"/>
              <w:right w:val="single" w:sz="4" w:space="0" w:color="auto"/>
            </w:tcBorders>
            <w:vAlign w:val="center"/>
            <w:hideMark/>
          </w:tcPr>
          <w:p w14:paraId="554E069F"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4</w:t>
            </w:r>
          </w:p>
        </w:tc>
        <w:tc>
          <w:tcPr>
            <w:tcW w:w="1177" w:type="dxa"/>
            <w:tcBorders>
              <w:top w:val="nil"/>
              <w:left w:val="nil"/>
              <w:bottom w:val="single" w:sz="4" w:space="0" w:color="auto"/>
              <w:right w:val="single" w:sz="4" w:space="0" w:color="auto"/>
            </w:tcBorders>
            <w:vAlign w:val="center"/>
            <w:hideMark/>
          </w:tcPr>
          <w:p w14:paraId="2D60E531"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134" w:type="dxa"/>
            <w:tcBorders>
              <w:top w:val="nil"/>
              <w:left w:val="nil"/>
              <w:bottom w:val="single" w:sz="4" w:space="0" w:color="auto"/>
              <w:right w:val="single" w:sz="4" w:space="0" w:color="auto"/>
            </w:tcBorders>
            <w:vAlign w:val="center"/>
            <w:hideMark/>
          </w:tcPr>
          <w:p w14:paraId="7945640F"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2101" w:type="dxa"/>
            <w:tcBorders>
              <w:top w:val="nil"/>
              <w:left w:val="nil"/>
              <w:bottom w:val="single" w:sz="4" w:space="0" w:color="auto"/>
              <w:right w:val="single" w:sz="4" w:space="0" w:color="auto"/>
            </w:tcBorders>
            <w:vAlign w:val="center"/>
            <w:hideMark/>
          </w:tcPr>
          <w:p w14:paraId="761C9CCA"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621" w:type="dxa"/>
            <w:tcBorders>
              <w:top w:val="nil"/>
              <w:left w:val="nil"/>
              <w:bottom w:val="single" w:sz="4" w:space="0" w:color="auto"/>
              <w:right w:val="single" w:sz="4" w:space="0" w:color="auto"/>
            </w:tcBorders>
            <w:vAlign w:val="center"/>
            <w:hideMark/>
          </w:tcPr>
          <w:p w14:paraId="42B7EFA3"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23</w:t>
            </w:r>
          </w:p>
        </w:tc>
        <w:tc>
          <w:tcPr>
            <w:tcW w:w="1087" w:type="dxa"/>
            <w:tcBorders>
              <w:top w:val="nil"/>
              <w:left w:val="nil"/>
              <w:bottom w:val="single" w:sz="4" w:space="0" w:color="auto"/>
              <w:right w:val="single" w:sz="4" w:space="0" w:color="auto"/>
            </w:tcBorders>
            <w:vAlign w:val="center"/>
            <w:hideMark/>
          </w:tcPr>
          <w:p w14:paraId="25711C9A"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(f)7,70</w:t>
            </w:r>
          </w:p>
        </w:tc>
      </w:tr>
      <w:tr w:rsidR="001355EB" w:rsidRPr="001355EB" w14:paraId="4D8C9435" w14:textId="77777777" w:rsidTr="001355EB">
        <w:trPr>
          <w:trHeight w:val="20"/>
          <w:jc w:val="center"/>
        </w:trPr>
        <w:tc>
          <w:tcPr>
            <w:tcW w:w="1852" w:type="dxa"/>
            <w:tcBorders>
              <w:top w:val="nil"/>
              <w:left w:val="single" w:sz="4" w:space="0" w:color="auto"/>
              <w:bottom w:val="single" w:sz="4" w:space="0" w:color="auto"/>
              <w:right w:val="single" w:sz="4" w:space="0" w:color="auto"/>
            </w:tcBorders>
            <w:vAlign w:val="center"/>
            <w:hideMark/>
          </w:tcPr>
          <w:p w14:paraId="17AA6827" w14:textId="77777777" w:rsidR="001355EB" w:rsidRPr="00E02C8A"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Bombay</w:t>
            </w:r>
          </w:p>
        </w:tc>
        <w:tc>
          <w:tcPr>
            <w:tcW w:w="1265" w:type="dxa"/>
            <w:tcBorders>
              <w:top w:val="nil"/>
              <w:left w:val="nil"/>
              <w:bottom w:val="single" w:sz="4" w:space="0" w:color="auto"/>
              <w:right w:val="single" w:sz="4" w:space="0" w:color="auto"/>
            </w:tcBorders>
            <w:vAlign w:val="center"/>
            <w:hideMark/>
          </w:tcPr>
          <w:p w14:paraId="7F6A54D7"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10,99</w:t>
            </w:r>
          </w:p>
        </w:tc>
        <w:tc>
          <w:tcPr>
            <w:tcW w:w="1142" w:type="dxa"/>
            <w:tcBorders>
              <w:top w:val="nil"/>
              <w:left w:val="nil"/>
              <w:bottom w:val="single" w:sz="4" w:space="0" w:color="auto"/>
              <w:right w:val="single" w:sz="4" w:space="0" w:color="auto"/>
            </w:tcBorders>
            <w:vAlign w:val="center"/>
            <w:hideMark/>
          </w:tcPr>
          <w:p w14:paraId="2D45B08C"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291" w:type="dxa"/>
            <w:tcBorders>
              <w:top w:val="nil"/>
              <w:left w:val="nil"/>
              <w:bottom w:val="single" w:sz="4" w:space="0" w:color="auto"/>
              <w:right w:val="single" w:sz="4" w:space="0" w:color="auto"/>
            </w:tcBorders>
            <w:vAlign w:val="center"/>
            <w:hideMark/>
          </w:tcPr>
          <w:p w14:paraId="6592A8D3"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340" w:type="dxa"/>
            <w:tcBorders>
              <w:top w:val="nil"/>
              <w:left w:val="nil"/>
              <w:bottom w:val="single" w:sz="4" w:space="0" w:color="auto"/>
              <w:right w:val="single" w:sz="4" w:space="0" w:color="auto"/>
            </w:tcBorders>
            <w:vAlign w:val="center"/>
            <w:hideMark/>
          </w:tcPr>
          <w:p w14:paraId="466388CF"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1</w:t>
            </w:r>
          </w:p>
        </w:tc>
        <w:tc>
          <w:tcPr>
            <w:tcW w:w="1142" w:type="dxa"/>
            <w:tcBorders>
              <w:top w:val="nil"/>
              <w:left w:val="nil"/>
              <w:bottom w:val="single" w:sz="4" w:space="0" w:color="auto"/>
              <w:right w:val="single" w:sz="4" w:space="0" w:color="auto"/>
            </w:tcBorders>
            <w:vAlign w:val="center"/>
            <w:hideMark/>
          </w:tcPr>
          <w:p w14:paraId="73844516"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1,45</w:t>
            </w:r>
          </w:p>
        </w:tc>
        <w:tc>
          <w:tcPr>
            <w:tcW w:w="1177" w:type="dxa"/>
            <w:tcBorders>
              <w:top w:val="nil"/>
              <w:left w:val="nil"/>
              <w:bottom w:val="single" w:sz="4" w:space="0" w:color="auto"/>
              <w:right w:val="single" w:sz="4" w:space="0" w:color="auto"/>
            </w:tcBorders>
            <w:vAlign w:val="center"/>
            <w:hideMark/>
          </w:tcPr>
          <w:p w14:paraId="345B5FAB"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134" w:type="dxa"/>
            <w:tcBorders>
              <w:top w:val="nil"/>
              <w:left w:val="nil"/>
              <w:bottom w:val="single" w:sz="4" w:space="0" w:color="auto"/>
              <w:right w:val="single" w:sz="4" w:space="0" w:color="auto"/>
            </w:tcBorders>
            <w:vAlign w:val="center"/>
            <w:hideMark/>
          </w:tcPr>
          <w:p w14:paraId="3071F492"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2101" w:type="dxa"/>
            <w:tcBorders>
              <w:top w:val="nil"/>
              <w:left w:val="nil"/>
              <w:bottom w:val="single" w:sz="4" w:space="0" w:color="auto"/>
              <w:right w:val="single" w:sz="4" w:space="0" w:color="auto"/>
            </w:tcBorders>
            <w:vAlign w:val="center"/>
            <w:hideMark/>
          </w:tcPr>
          <w:p w14:paraId="1EC04987"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621" w:type="dxa"/>
            <w:tcBorders>
              <w:top w:val="nil"/>
              <w:left w:val="nil"/>
              <w:bottom w:val="single" w:sz="4" w:space="0" w:color="auto"/>
              <w:right w:val="single" w:sz="4" w:space="0" w:color="auto"/>
            </w:tcBorders>
            <w:vAlign w:val="center"/>
            <w:hideMark/>
          </w:tcPr>
          <w:p w14:paraId="51D17444"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087" w:type="dxa"/>
            <w:tcBorders>
              <w:top w:val="nil"/>
              <w:left w:val="nil"/>
              <w:bottom w:val="single" w:sz="4" w:space="0" w:color="auto"/>
              <w:right w:val="single" w:sz="4" w:space="0" w:color="auto"/>
            </w:tcBorders>
            <w:vAlign w:val="center"/>
            <w:hideMark/>
          </w:tcPr>
          <w:p w14:paraId="6B6645B1"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12,45</w:t>
            </w:r>
          </w:p>
        </w:tc>
      </w:tr>
      <w:tr w:rsidR="001355EB" w:rsidRPr="001355EB" w14:paraId="0D3FC0D4" w14:textId="77777777" w:rsidTr="001355EB">
        <w:trPr>
          <w:trHeight w:val="20"/>
          <w:jc w:val="center"/>
        </w:trPr>
        <w:tc>
          <w:tcPr>
            <w:tcW w:w="1852" w:type="dxa"/>
            <w:tcBorders>
              <w:top w:val="nil"/>
              <w:left w:val="single" w:sz="4" w:space="0" w:color="auto"/>
              <w:bottom w:val="single" w:sz="4" w:space="0" w:color="auto"/>
              <w:right w:val="single" w:sz="4" w:space="0" w:color="auto"/>
            </w:tcBorders>
            <w:vAlign w:val="center"/>
            <w:hideMark/>
          </w:tcPr>
          <w:p w14:paraId="251E874D" w14:textId="77777777" w:rsidR="001355EB" w:rsidRPr="00E02C8A"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Madhya Pradesh</w:t>
            </w:r>
          </w:p>
        </w:tc>
        <w:tc>
          <w:tcPr>
            <w:tcW w:w="1265" w:type="dxa"/>
            <w:tcBorders>
              <w:top w:val="nil"/>
              <w:left w:val="nil"/>
              <w:bottom w:val="single" w:sz="4" w:space="0" w:color="auto"/>
              <w:right w:val="single" w:sz="4" w:space="0" w:color="auto"/>
            </w:tcBorders>
            <w:vAlign w:val="center"/>
            <w:hideMark/>
          </w:tcPr>
          <w:p w14:paraId="1F396AD8"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3,14</w:t>
            </w:r>
          </w:p>
        </w:tc>
        <w:tc>
          <w:tcPr>
            <w:tcW w:w="1142" w:type="dxa"/>
            <w:tcBorders>
              <w:top w:val="nil"/>
              <w:left w:val="nil"/>
              <w:bottom w:val="single" w:sz="4" w:space="0" w:color="auto"/>
              <w:right w:val="single" w:sz="4" w:space="0" w:color="auto"/>
            </w:tcBorders>
            <w:vAlign w:val="center"/>
            <w:hideMark/>
          </w:tcPr>
          <w:p w14:paraId="78C49A16"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291" w:type="dxa"/>
            <w:tcBorders>
              <w:top w:val="nil"/>
              <w:left w:val="nil"/>
              <w:bottom w:val="single" w:sz="4" w:space="0" w:color="auto"/>
              <w:right w:val="single" w:sz="4" w:space="0" w:color="auto"/>
            </w:tcBorders>
            <w:vAlign w:val="center"/>
            <w:hideMark/>
          </w:tcPr>
          <w:p w14:paraId="295831FC"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340" w:type="dxa"/>
            <w:tcBorders>
              <w:top w:val="nil"/>
              <w:left w:val="nil"/>
              <w:bottom w:val="single" w:sz="4" w:space="0" w:color="auto"/>
              <w:right w:val="single" w:sz="4" w:space="0" w:color="auto"/>
            </w:tcBorders>
            <w:vAlign w:val="center"/>
            <w:hideMark/>
          </w:tcPr>
          <w:p w14:paraId="37824AEB"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12</w:t>
            </w:r>
          </w:p>
        </w:tc>
        <w:tc>
          <w:tcPr>
            <w:tcW w:w="1142" w:type="dxa"/>
            <w:tcBorders>
              <w:top w:val="nil"/>
              <w:left w:val="nil"/>
              <w:bottom w:val="single" w:sz="4" w:space="0" w:color="auto"/>
              <w:right w:val="single" w:sz="4" w:space="0" w:color="auto"/>
            </w:tcBorders>
            <w:vAlign w:val="center"/>
            <w:hideMark/>
          </w:tcPr>
          <w:p w14:paraId="1C80DFF5"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55</w:t>
            </w:r>
          </w:p>
        </w:tc>
        <w:tc>
          <w:tcPr>
            <w:tcW w:w="1177" w:type="dxa"/>
            <w:tcBorders>
              <w:top w:val="nil"/>
              <w:left w:val="nil"/>
              <w:bottom w:val="single" w:sz="4" w:space="0" w:color="auto"/>
              <w:right w:val="single" w:sz="4" w:space="0" w:color="auto"/>
            </w:tcBorders>
            <w:vAlign w:val="center"/>
            <w:hideMark/>
          </w:tcPr>
          <w:p w14:paraId="171C7187"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134" w:type="dxa"/>
            <w:tcBorders>
              <w:top w:val="nil"/>
              <w:left w:val="nil"/>
              <w:bottom w:val="single" w:sz="4" w:space="0" w:color="auto"/>
              <w:right w:val="single" w:sz="4" w:space="0" w:color="auto"/>
            </w:tcBorders>
            <w:vAlign w:val="center"/>
            <w:hideMark/>
          </w:tcPr>
          <w:p w14:paraId="393C125F"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2101" w:type="dxa"/>
            <w:tcBorders>
              <w:top w:val="nil"/>
              <w:left w:val="nil"/>
              <w:bottom w:val="single" w:sz="4" w:space="0" w:color="auto"/>
              <w:right w:val="single" w:sz="4" w:space="0" w:color="auto"/>
            </w:tcBorders>
            <w:vAlign w:val="center"/>
            <w:hideMark/>
          </w:tcPr>
          <w:p w14:paraId="5099A78B"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621" w:type="dxa"/>
            <w:tcBorders>
              <w:top w:val="nil"/>
              <w:left w:val="nil"/>
              <w:bottom w:val="single" w:sz="4" w:space="0" w:color="auto"/>
              <w:right w:val="single" w:sz="4" w:space="0" w:color="auto"/>
            </w:tcBorders>
            <w:vAlign w:val="center"/>
            <w:hideMark/>
          </w:tcPr>
          <w:p w14:paraId="31BD61F4"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087" w:type="dxa"/>
            <w:tcBorders>
              <w:top w:val="nil"/>
              <w:left w:val="nil"/>
              <w:bottom w:val="single" w:sz="4" w:space="0" w:color="auto"/>
              <w:right w:val="single" w:sz="4" w:space="0" w:color="auto"/>
            </w:tcBorders>
            <w:vAlign w:val="center"/>
            <w:hideMark/>
          </w:tcPr>
          <w:p w14:paraId="49639B0B"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3,81</w:t>
            </w:r>
          </w:p>
        </w:tc>
      </w:tr>
      <w:tr w:rsidR="001355EB" w:rsidRPr="001355EB" w14:paraId="3EF149DF" w14:textId="77777777" w:rsidTr="001355EB">
        <w:trPr>
          <w:trHeight w:val="20"/>
          <w:jc w:val="center"/>
        </w:trPr>
        <w:tc>
          <w:tcPr>
            <w:tcW w:w="1852" w:type="dxa"/>
            <w:tcBorders>
              <w:top w:val="nil"/>
              <w:left w:val="single" w:sz="4" w:space="0" w:color="auto"/>
              <w:bottom w:val="single" w:sz="4" w:space="0" w:color="auto"/>
              <w:right w:val="single" w:sz="4" w:space="0" w:color="auto"/>
            </w:tcBorders>
            <w:vAlign w:val="center"/>
            <w:hideMark/>
          </w:tcPr>
          <w:p w14:paraId="61D53199" w14:textId="77777777" w:rsidR="001355EB" w:rsidRPr="00E02C8A"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Madras</w:t>
            </w:r>
          </w:p>
        </w:tc>
        <w:tc>
          <w:tcPr>
            <w:tcW w:w="1265" w:type="dxa"/>
            <w:tcBorders>
              <w:top w:val="nil"/>
              <w:left w:val="nil"/>
              <w:bottom w:val="single" w:sz="4" w:space="0" w:color="auto"/>
              <w:right w:val="single" w:sz="4" w:space="0" w:color="auto"/>
            </w:tcBorders>
            <w:vAlign w:val="center"/>
            <w:hideMark/>
          </w:tcPr>
          <w:p w14:paraId="4ADC9758"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9,15</w:t>
            </w:r>
          </w:p>
        </w:tc>
        <w:tc>
          <w:tcPr>
            <w:tcW w:w="1142" w:type="dxa"/>
            <w:tcBorders>
              <w:top w:val="nil"/>
              <w:left w:val="nil"/>
              <w:bottom w:val="single" w:sz="4" w:space="0" w:color="auto"/>
              <w:right w:val="single" w:sz="4" w:space="0" w:color="auto"/>
            </w:tcBorders>
            <w:vAlign w:val="center"/>
            <w:hideMark/>
          </w:tcPr>
          <w:p w14:paraId="0BA6DFDE"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291" w:type="dxa"/>
            <w:tcBorders>
              <w:top w:val="nil"/>
              <w:left w:val="nil"/>
              <w:bottom w:val="single" w:sz="4" w:space="0" w:color="auto"/>
              <w:right w:val="single" w:sz="4" w:space="0" w:color="auto"/>
            </w:tcBorders>
            <w:vAlign w:val="center"/>
            <w:hideMark/>
          </w:tcPr>
          <w:p w14:paraId="1BE6F369"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340" w:type="dxa"/>
            <w:tcBorders>
              <w:top w:val="nil"/>
              <w:left w:val="nil"/>
              <w:bottom w:val="single" w:sz="4" w:space="0" w:color="auto"/>
              <w:right w:val="single" w:sz="4" w:space="0" w:color="auto"/>
            </w:tcBorders>
            <w:vAlign w:val="center"/>
            <w:hideMark/>
          </w:tcPr>
          <w:p w14:paraId="0614B99F"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4</w:t>
            </w:r>
          </w:p>
        </w:tc>
        <w:tc>
          <w:tcPr>
            <w:tcW w:w="1142" w:type="dxa"/>
            <w:tcBorders>
              <w:top w:val="nil"/>
              <w:left w:val="nil"/>
              <w:bottom w:val="single" w:sz="4" w:space="0" w:color="auto"/>
              <w:right w:val="single" w:sz="4" w:space="0" w:color="auto"/>
            </w:tcBorders>
            <w:vAlign w:val="center"/>
            <w:hideMark/>
          </w:tcPr>
          <w:p w14:paraId="6421BE42"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177" w:type="dxa"/>
            <w:tcBorders>
              <w:top w:val="nil"/>
              <w:left w:val="nil"/>
              <w:bottom w:val="single" w:sz="4" w:space="0" w:color="auto"/>
              <w:right w:val="single" w:sz="4" w:space="0" w:color="auto"/>
            </w:tcBorders>
            <w:vAlign w:val="center"/>
            <w:hideMark/>
          </w:tcPr>
          <w:p w14:paraId="7D8CDE56"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134" w:type="dxa"/>
            <w:tcBorders>
              <w:top w:val="nil"/>
              <w:left w:val="nil"/>
              <w:bottom w:val="single" w:sz="4" w:space="0" w:color="auto"/>
              <w:right w:val="single" w:sz="4" w:space="0" w:color="auto"/>
            </w:tcBorders>
            <w:vAlign w:val="center"/>
            <w:hideMark/>
          </w:tcPr>
          <w:p w14:paraId="203A8CD2"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2101" w:type="dxa"/>
            <w:tcBorders>
              <w:top w:val="nil"/>
              <w:left w:val="nil"/>
              <w:bottom w:val="single" w:sz="4" w:space="0" w:color="auto"/>
              <w:right w:val="single" w:sz="4" w:space="0" w:color="auto"/>
            </w:tcBorders>
            <w:vAlign w:val="center"/>
            <w:hideMark/>
          </w:tcPr>
          <w:p w14:paraId="01390645"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621" w:type="dxa"/>
            <w:tcBorders>
              <w:top w:val="nil"/>
              <w:left w:val="nil"/>
              <w:bottom w:val="single" w:sz="4" w:space="0" w:color="auto"/>
              <w:right w:val="single" w:sz="4" w:space="0" w:color="auto"/>
            </w:tcBorders>
            <w:vAlign w:val="center"/>
            <w:hideMark/>
          </w:tcPr>
          <w:p w14:paraId="03B23E77"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087" w:type="dxa"/>
            <w:tcBorders>
              <w:top w:val="nil"/>
              <w:left w:val="nil"/>
              <w:bottom w:val="single" w:sz="4" w:space="0" w:color="auto"/>
              <w:right w:val="single" w:sz="4" w:space="0" w:color="auto"/>
            </w:tcBorders>
            <w:vAlign w:val="center"/>
            <w:hideMark/>
          </w:tcPr>
          <w:p w14:paraId="681313F3"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9,19</w:t>
            </w:r>
          </w:p>
        </w:tc>
      </w:tr>
      <w:tr w:rsidR="001355EB" w:rsidRPr="001355EB" w14:paraId="561EAAF5" w14:textId="77777777" w:rsidTr="001355EB">
        <w:trPr>
          <w:trHeight w:val="20"/>
          <w:jc w:val="center"/>
        </w:trPr>
        <w:tc>
          <w:tcPr>
            <w:tcW w:w="1852" w:type="dxa"/>
            <w:tcBorders>
              <w:top w:val="nil"/>
              <w:left w:val="single" w:sz="4" w:space="0" w:color="auto"/>
              <w:bottom w:val="single" w:sz="4" w:space="0" w:color="auto"/>
              <w:right w:val="single" w:sz="4" w:space="0" w:color="auto"/>
            </w:tcBorders>
            <w:vAlign w:val="center"/>
            <w:hideMark/>
          </w:tcPr>
          <w:p w14:paraId="49ABBC83" w14:textId="77777777" w:rsidR="001355EB" w:rsidRPr="00E02C8A"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Orissa</w:t>
            </w:r>
          </w:p>
        </w:tc>
        <w:tc>
          <w:tcPr>
            <w:tcW w:w="1265" w:type="dxa"/>
            <w:tcBorders>
              <w:top w:val="nil"/>
              <w:left w:val="nil"/>
              <w:bottom w:val="single" w:sz="4" w:space="0" w:color="auto"/>
              <w:right w:val="single" w:sz="4" w:space="0" w:color="auto"/>
            </w:tcBorders>
            <w:vAlign w:val="center"/>
            <w:hideMark/>
          </w:tcPr>
          <w:p w14:paraId="5C6BD8E3"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1,54</w:t>
            </w:r>
          </w:p>
        </w:tc>
        <w:tc>
          <w:tcPr>
            <w:tcW w:w="1142" w:type="dxa"/>
            <w:tcBorders>
              <w:top w:val="nil"/>
              <w:left w:val="nil"/>
              <w:bottom w:val="single" w:sz="4" w:space="0" w:color="auto"/>
              <w:right w:val="single" w:sz="4" w:space="0" w:color="auto"/>
            </w:tcBorders>
            <w:vAlign w:val="center"/>
            <w:hideMark/>
          </w:tcPr>
          <w:p w14:paraId="306C5A80"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5</w:t>
            </w:r>
          </w:p>
        </w:tc>
        <w:tc>
          <w:tcPr>
            <w:tcW w:w="1291" w:type="dxa"/>
            <w:tcBorders>
              <w:top w:val="nil"/>
              <w:left w:val="nil"/>
              <w:bottom w:val="single" w:sz="4" w:space="0" w:color="auto"/>
              <w:right w:val="single" w:sz="4" w:space="0" w:color="auto"/>
            </w:tcBorders>
            <w:vAlign w:val="center"/>
            <w:hideMark/>
          </w:tcPr>
          <w:p w14:paraId="47D8B8C4"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40</w:t>
            </w:r>
          </w:p>
        </w:tc>
        <w:tc>
          <w:tcPr>
            <w:tcW w:w="1340" w:type="dxa"/>
            <w:tcBorders>
              <w:top w:val="nil"/>
              <w:left w:val="nil"/>
              <w:bottom w:val="single" w:sz="4" w:space="0" w:color="auto"/>
              <w:right w:val="single" w:sz="4" w:space="0" w:color="auto"/>
            </w:tcBorders>
            <w:vAlign w:val="center"/>
            <w:hideMark/>
          </w:tcPr>
          <w:p w14:paraId="60350FFE"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(f) 30</w:t>
            </w:r>
          </w:p>
        </w:tc>
        <w:tc>
          <w:tcPr>
            <w:tcW w:w="1142" w:type="dxa"/>
            <w:tcBorders>
              <w:top w:val="nil"/>
              <w:left w:val="nil"/>
              <w:bottom w:val="single" w:sz="4" w:space="0" w:color="auto"/>
              <w:right w:val="single" w:sz="4" w:space="0" w:color="auto"/>
            </w:tcBorders>
            <w:vAlign w:val="center"/>
            <w:hideMark/>
          </w:tcPr>
          <w:p w14:paraId="6EB3667A"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177" w:type="dxa"/>
            <w:tcBorders>
              <w:top w:val="nil"/>
              <w:left w:val="nil"/>
              <w:bottom w:val="single" w:sz="4" w:space="0" w:color="auto"/>
              <w:right w:val="single" w:sz="4" w:space="0" w:color="auto"/>
            </w:tcBorders>
            <w:vAlign w:val="center"/>
            <w:hideMark/>
          </w:tcPr>
          <w:p w14:paraId="736F430A"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134" w:type="dxa"/>
            <w:tcBorders>
              <w:top w:val="nil"/>
              <w:left w:val="nil"/>
              <w:bottom w:val="single" w:sz="4" w:space="0" w:color="auto"/>
              <w:right w:val="single" w:sz="4" w:space="0" w:color="auto"/>
            </w:tcBorders>
            <w:vAlign w:val="center"/>
            <w:hideMark/>
          </w:tcPr>
          <w:p w14:paraId="0E6BC60E"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2101" w:type="dxa"/>
            <w:tcBorders>
              <w:top w:val="nil"/>
              <w:left w:val="nil"/>
              <w:bottom w:val="single" w:sz="4" w:space="0" w:color="auto"/>
              <w:right w:val="single" w:sz="4" w:space="0" w:color="auto"/>
            </w:tcBorders>
            <w:vAlign w:val="center"/>
            <w:hideMark/>
          </w:tcPr>
          <w:p w14:paraId="5799BE75"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621" w:type="dxa"/>
            <w:tcBorders>
              <w:top w:val="nil"/>
              <w:left w:val="nil"/>
              <w:bottom w:val="single" w:sz="4" w:space="0" w:color="auto"/>
              <w:right w:val="single" w:sz="4" w:space="0" w:color="auto"/>
            </w:tcBorders>
            <w:vAlign w:val="center"/>
            <w:hideMark/>
          </w:tcPr>
          <w:p w14:paraId="402C7142"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087" w:type="dxa"/>
            <w:tcBorders>
              <w:top w:val="nil"/>
              <w:left w:val="nil"/>
              <w:bottom w:val="single" w:sz="4" w:space="0" w:color="auto"/>
              <w:right w:val="single" w:sz="4" w:space="0" w:color="auto"/>
            </w:tcBorders>
            <w:vAlign w:val="center"/>
            <w:hideMark/>
          </w:tcPr>
          <w:p w14:paraId="0401DA41" w14:textId="5EE2FC5B"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2,</w:t>
            </w:r>
            <w:r w:rsidR="00121940">
              <w:rPr>
                <w:rFonts w:ascii="Times New Roman" w:eastAsia="Times New Roman" w:hAnsi="Times New Roman" w:cs="Times New Roman"/>
                <w:color w:val="000000"/>
                <w:kern w:val="0"/>
                <w:szCs w:val="24"/>
                <w:lang w:eastAsia="en-IN"/>
                <w14:ligatures w14:val="none"/>
              </w:rPr>
              <w:t>3</w:t>
            </w:r>
            <w:r w:rsidRPr="001355EB">
              <w:rPr>
                <w:rFonts w:ascii="Times New Roman" w:eastAsia="Times New Roman" w:hAnsi="Times New Roman" w:cs="Times New Roman"/>
                <w:color w:val="000000"/>
                <w:kern w:val="0"/>
                <w:szCs w:val="24"/>
                <w:lang w:eastAsia="en-IN"/>
                <w14:ligatures w14:val="none"/>
              </w:rPr>
              <w:t>9</w:t>
            </w:r>
          </w:p>
        </w:tc>
      </w:tr>
      <w:tr w:rsidR="001355EB" w:rsidRPr="001355EB" w14:paraId="1026BCFA" w14:textId="77777777" w:rsidTr="001355EB">
        <w:trPr>
          <w:trHeight w:val="20"/>
          <w:jc w:val="center"/>
        </w:trPr>
        <w:tc>
          <w:tcPr>
            <w:tcW w:w="1852" w:type="dxa"/>
            <w:tcBorders>
              <w:top w:val="nil"/>
              <w:left w:val="single" w:sz="4" w:space="0" w:color="auto"/>
              <w:bottom w:val="single" w:sz="4" w:space="0" w:color="auto"/>
              <w:right w:val="single" w:sz="4" w:space="0" w:color="auto"/>
            </w:tcBorders>
            <w:vAlign w:val="center"/>
            <w:hideMark/>
          </w:tcPr>
          <w:p w14:paraId="71914D72" w14:textId="77777777" w:rsidR="001355EB" w:rsidRPr="00E02C8A"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Punjab</w:t>
            </w:r>
          </w:p>
        </w:tc>
        <w:tc>
          <w:tcPr>
            <w:tcW w:w="1265" w:type="dxa"/>
            <w:tcBorders>
              <w:top w:val="nil"/>
              <w:left w:val="nil"/>
              <w:bottom w:val="single" w:sz="4" w:space="0" w:color="auto"/>
              <w:right w:val="single" w:sz="4" w:space="0" w:color="auto"/>
            </w:tcBorders>
            <w:vAlign w:val="center"/>
            <w:hideMark/>
          </w:tcPr>
          <w:p w14:paraId="6E550373"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2,88</w:t>
            </w:r>
          </w:p>
        </w:tc>
        <w:tc>
          <w:tcPr>
            <w:tcW w:w="1142" w:type="dxa"/>
            <w:tcBorders>
              <w:top w:val="nil"/>
              <w:left w:val="nil"/>
              <w:bottom w:val="single" w:sz="4" w:space="0" w:color="auto"/>
              <w:right w:val="single" w:sz="4" w:space="0" w:color="auto"/>
            </w:tcBorders>
            <w:vAlign w:val="center"/>
            <w:hideMark/>
          </w:tcPr>
          <w:p w14:paraId="4E72487D"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291" w:type="dxa"/>
            <w:tcBorders>
              <w:top w:val="nil"/>
              <w:left w:val="nil"/>
              <w:bottom w:val="single" w:sz="4" w:space="0" w:color="auto"/>
              <w:right w:val="single" w:sz="4" w:space="0" w:color="auto"/>
            </w:tcBorders>
            <w:vAlign w:val="center"/>
            <w:hideMark/>
          </w:tcPr>
          <w:p w14:paraId="1153CB0A"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340" w:type="dxa"/>
            <w:tcBorders>
              <w:top w:val="nil"/>
              <w:left w:val="nil"/>
              <w:bottom w:val="single" w:sz="4" w:space="0" w:color="auto"/>
              <w:right w:val="single" w:sz="4" w:space="0" w:color="auto"/>
            </w:tcBorders>
            <w:vAlign w:val="center"/>
            <w:hideMark/>
          </w:tcPr>
          <w:p w14:paraId="56A0FA20" w14:textId="3CFFBF0C"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 xml:space="preserve"> 1</w:t>
            </w:r>
          </w:p>
        </w:tc>
        <w:tc>
          <w:tcPr>
            <w:tcW w:w="1142" w:type="dxa"/>
            <w:tcBorders>
              <w:top w:val="nil"/>
              <w:left w:val="nil"/>
              <w:bottom w:val="single" w:sz="4" w:space="0" w:color="auto"/>
              <w:right w:val="single" w:sz="4" w:space="0" w:color="auto"/>
            </w:tcBorders>
            <w:vAlign w:val="center"/>
            <w:hideMark/>
          </w:tcPr>
          <w:p w14:paraId="78A88001"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177" w:type="dxa"/>
            <w:tcBorders>
              <w:top w:val="nil"/>
              <w:left w:val="nil"/>
              <w:bottom w:val="single" w:sz="4" w:space="0" w:color="auto"/>
              <w:right w:val="single" w:sz="4" w:space="0" w:color="auto"/>
            </w:tcBorders>
            <w:vAlign w:val="center"/>
            <w:hideMark/>
          </w:tcPr>
          <w:p w14:paraId="73439328"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134" w:type="dxa"/>
            <w:tcBorders>
              <w:top w:val="nil"/>
              <w:left w:val="nil"/>
              <w:bottom w:val="single" w:sz="4" w:space="0" w:color="auto"/>
              <w:right w:val="single" w:sz="4" w:space="0" w:color="auto"/>
            </w:tcBorders>
            <w:vAlign w:val="center"/>
            <w:hideMark/>
          </w:tcPr>
          <w:p w14:paraId="02715BD9"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2101" w:type="dxa"/>
            <w:tcBorders>
              <w:top w:val="nil"/>
              <w:left w:val="nil"/>
              <w:bottom w:val="single" w:sz="4" w:space="0" w:color="auto"/>
              <w:right w:val="single" w:sz="4" w:space="0" w:color="auto"/>
            </w:tcBorders>
            <w:vAlign w:val="center"/>
            <w:hideMark/>
          </w:tcPr>
          <w:p w14:paraId="51DD401D"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621" w:type="dxa"/>
            <w:tcBorders>
              <w:top w:val="nil"/>
              <w:left w:val="nil"/>
              <w:bottom w:val="single" w:sz="4" w:space="0" w:color="auto"/>
              <w:right w:val="single" w:sz="4" w:space="0" w:color="auto"/>
            </w:tcBorders>
            <w:vAlign w:val="center"/>
            <w:hideMark/>
          </w:tcPr>
          <w:p w14:paraId="2FF17FCA"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087" w:type="dxa"/>
            <w:tcBorders>
              <w:top w:val="nil"/>
              <w:left w:val="nil"/>
              <w:bottom w:val="single" w:sz="4" w:space="0" w:color="auto"/>
              <w:right w:val="single" w:sz="4" w:space="0" w:color="auto"/>
            </w:tcBorders>
            <w:vAlign w:val="center"/>
            <w:hideMark/>
          </w:tcPr>
          <w:p w14:paraId="5EC03E66"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2,89</w:t>
            </w:r>
          </w:p>
        </w:tc>
      </w:tr>
      <w:tr w:rsidR="001355EB" w:rsidRPr="001355EB" w14:paraId="4C63BE11" w14:textId="77777777" w:rsidTr="001355EB">
        <w:trPr>
          <w:trHeight w:val="20"/>
          <w:jc w:val="center"/>
        </w:trPr>
        <w:tc>
          <w:tcPr>
            <w:tcW w:w="1852" w:type="dxa"/>
            <w:tcBorders>
              <w:top w:val="nil"/>
              <w:left w:val="single" w:sz="4" w:space="0" w:color="auto"/>
              <w:bottom w:val="single" w:sz="4" w:space="0" w:color="auto"/>
              <w:right w:val="single" w:sz="4" w:space="0" w:color="auto"/>
            </w:tcBorders>
            <w:vAlign w:val="center"/>
            <w:hideMark/>
          </w:tcPr>
          <w:p w14:paraId="392C8834" w14:textId="77777777" w:rsidR="001355EB" w:rsidRPr="00E02C8A"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Uttar Pradesh</w:t>
            </w:r>
          </w:p>
        </w:tc>
        <w:tc>
          <w:tcPr>
            <w:tcW w:w="1265" w:type="dxa"/>
            <w:tcBorders>
              <w:top w:val="nil"/>
              <w:left w:val="nil"/>
              <w:bottom w:val="single" w:sz="4" w:space="0" w:color="auto"/>
              <w:right w:val="single" w:sz="4" w:space="0" w:color="auto"/>
            </w:tcBorders>
            <w:vAlign w:val="center"/>
            <w:hideMark/>
          </w:tcPr>
          <w:p w14:paraId="7C72145E"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9,42</w:t>
            </w:r>
          </w:p>
        </w:tc>
        <w:tc>
          <w:tcPr>
            <w:tcW w:w="1142" w:type="dxa"/>
            <w:tcBorders>
              <w:top w:val="nil"/>
              <w:left w:val="nil"/>
              <w:bottom w:val="single" w:sz="4" w:space="0" w:color="auto"/>
              <w:right w:val="single" w:sz="4" w:space="0" w:color="auto"/>
            </w:tcBorders>
            <w:vAlign w:val="center"/>
            <w:hideMark/>
          </w:tcPr>
          <w:p w14:paraId="3F84666A"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291" w:type="dxa"/>
            <w:tcBorders>
              <w:top w:val="nil"/>
              <w:left w:val="nil"/>
              <w:bottom w:val="single" w:sz="4" w:space="0" w:color="auto"/>
              <w:right w:val="single" w:sz="4" w:space="0" w:color="auto"/>
            </w:tcBorders>
            <w:vAlign w:val="center"/>
            <w:hideMark/>
          </w:tcPr>
          <w:p w14:paraId="5559CB8B"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340" w:type="dxa"/>
            <w:tcBorders>
              <w:top w:val="nil"/>
              <w:left w:val="nil"/>
              <w:bottom w:val="single" w:sz="4" w:space="0" w:color="auto"/>
              <w:right w:val="single" w:sz="4" w:space="0" w:color="auto"/>
            </w:tcBorders>
            <w:vAlign w:val="center"/>
            <w:hideMark/>
          </w:tcPr>
          <w:p w14:paraId="70E287EF"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142" w:type="dxa"/>
            <w:tcBorders>
              <w:top w:val="nil"/>
              <w:left w:val="nil"/>
              <w:bottom w:val="single" w:sz="4" w:space="0" w:color="auto"/>
              <w:right w:val="single" w:sz="4" w:space="0" w:color="auto"/>
            </w:tcBorders>
            <w:vAlign w:val="center"/>
            <w:hideMark/>
          </w:tcPr>
          <w:p w14:paraId="3D85C001"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177" w:type="dxa"/>
            <w:tcBorders>
              <w:top w:val="nil"/>
              <w:left w:val="nil"/>
              <w:bottom w:val="single" w:sz="4" w:space="0" w:color="auto"/>
              <w:right w:val="single" w:sz="4" w:space="0" w:color="auto"/>
            </w:tcBorders>
            <w:vAlign w:val="center"/>
            <w:hideMark/>
          </w:tcPr>
          <w:p w14:paraId="4F23BAA8"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134" w:type="dxa"/>
            <w:tcBorders>
              <w:top w:val="nil"/>
              <w:left w:val="nil"/>
              <w:bottom w:val="single" w:sz="4" w:space="0" w:color="auto"/>
              <w:right w:val="single" w:sz="4" w:space="0" w:color="auto"/>
            </w:tcBorders>
            <w:vAlign w:val="center"/>
            <w:hideMark/>
          </w:tcPr>
          <w:p w14:paraId="28BCA622"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2101" w:type="dxa"/>
            <w:tcBorders>
              <w:top w:val="nil"/>
              <w:left w:val="nil"/>
              <w:bottom w:val="single" w:sz="4" w:space="0" w:color="auto"/>
              <w:right w:val="single" w:sz="4" w:space="0" w:color="auto"/>
            </w:tcBorders>
            <w:vAlign w:val="center"/>
            <w:hideMark/>
          </w:tcPr>
          <w:p w14:paraId="683E3DCA"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621" w:type="dxa"/>
            <w:tcBorders>
              <w:top w:val="nil"/>
              <w:left w:val="nil"/>
              <w:bottom w:val="single" w:sz="4" w:space="0" w:color="auto"/>
              <w:right w:val="single" w:sz="4" w:space="0" w:color="auto"/>
            </w:tcBorders>
            <w:vAlign w:val="center"/>
            <w:hideMark/>
          </w:tcPr>
          <w:p w14:paraId="36D56D9D"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087" w:type="dxa"/>
            <w:tcBorders>
              <w:top w:val="nil"/>
              <w:left w:val="nil"/>
              <w:bottom w:val="single" w:sz="4" w:space="0" w:color="auto"/>
              <w:right w:val="single" w:sz="4" w:space="0" w:color="auto"/>
            </w:tcBorders>
            <w:vAlign w:val="center"/>
            <w:hideMark/>
          </w:tcPr>
          <w:p w14:paraId="34DAE3D9"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9,42</w:t>
            </w:r>
          </w:p>
        </w:tc>
      </w:tr>
      <w:tr w:rsidR="001355EB" w:rsidRPr="001355EB" w14:paraId="1CAB3C93" w14:textId="77777777" w:rsidTr="001355EB">
        <w:trPr>
          <w:trHeight w:val="20"/>
          <w:jc w:val="center"/>
        </w:trPr>
        <w:tc>
          <w:tcPr>
            <w:tcW w:w="1852" w:type="dxa"/>
            <w:tcBorders>
              <w:top w:val="nil"/>
              <w:left w:val="single" w:sz="4" w:space="0" w:color="auto"/>
              <w:bottom w:val="single" w:sz="4" w:space="0" w:color="auto"/>
              <w:right w:val="single" w:sz="4" w:space="0" w:color="auto"/>
            </w:tcBorders>
            <w:vAlign w:val="center"/>
            <w:hideMark/>
          </w:tcPr>
          <w:p w14:paraId="297F81E5" w14:textId="77777777" w:rsidR="001355EB" w:rsidRPr="00E02C8A"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West Bengal</w:t>
            </w:r>
          </w:p>
        </w:tc>
        <w:tc>
          <w:tcPr>
            <w:tcW w:w="1265" w:type="dxa"/>
            <w:tcBorders>
              <w:top w:val="nil"/>
              <w:left w:val="nil"/>
              <w:bottom w:val="single" w:sz="4" w:space="0" w:color="auto"/>
              <w:right w:val="single" w:sz="4" w:space="0" w:color="auto"/>
            </w:tcBorders>
            <w:vAlign w:val="center"/>
            <w:hideMark/>
          </w:tcPr>
          <w:p w14:paraId="1BA7015D"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7,06</w:t>
            </w:r>
          </w:p>
        </w:tc>
        <w:tc>
          <w:tcPr>
            <w:tcW w:w="1142" w:type="dxa"/>
            <w:tcBorders>
              <w:top w:val="nil"/>
              <w:left w:val="nil"/>
              <w:bottom w:val="single" w:sz="4" w:space="0" w:color="auto"/>
              <w:right w:val="single" w:sz="4" w:space="0" w:color="auto"/>
            </w:tcBorders>
            <w:vAlign w:val="center"/>
            <w:hideMark/>
          </w:tcPr>
          <w:p w14:paraId="70EC1816"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1,05</w:t>
            </w:r>
          </w:p>
        </w:tc>
        <w:tc>
          <w:tcPr>
            <w:tcW w:w="1291" w:type="dxa"/>
            <w:tcBorders>
              <w:top w:val="nil"/>
              <w:left w:val="nil"/>
              <w:bottom w:val="single" w:sz="4" w:space="0" w:color="auto"/>
              <w:right w:val="single" w:sz="4" w:space="0" w:color="auto"/>
            </w:tcBorders>
            <w:vAlign w:val="center"/>
            <w:hideMark/>
          </w:tcPr>
          <w:p w14:paraId="2C64F2E3"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340" w:type="dxa"/>
            <w:tcBorders>
              <w:top w:val="nil"/>
              <w:left w:val="nil"/>
              <w:bottom w:val="single" w:sz="4" w:space="0" w:color="auto"/>
              <w:right w:val="single" w:sz="4" w:space="0" w:color="auto"/>
            </w:tcBorders>
            <w:vAlign w:val="center"/>
            <w:hideMark/>
          </w:tcPr>
          <w:p w14:paraId="37C6C1B6" w14:textId="406A7F26" w:rsidR="001355EB" w:rsidRPr="001355EB" w:rsidRDefault="00205F65" w:rsidP="001355EB">
            <w:pPr>
              <w:spacing w:after="0" w:line="240" w:lineRule="auto"/>
              <w:jc w:val="center"/>
              <w:rPr>
                <w:rFonts w:ascii="Times New Roman" w:eastAsia="Times New Roman" w:hAnsi="Times New Roman" w:cs="Times New Roman"/>
                <w:color w:val="000000"/>
                <w:kern w:val="0"/>
                <w:szCs w:val="24"/>
                <w:lang w:eastAsia="en-IN"/>
                <w14:ligatures w14:val="none"/>
              </w:rPr>
            </w:pPr>
            <w:r>
              <w:rPr>
                <w:rFonts w:ascii="Times New Roman" w:eastAsia="Times New Roman" w:hAnsi="Times New Roman" w:cs="Times New Roman"/>
                <w:color w:val="000000"/>
                <w:kern w:val="0"/>
                <w:szCs w:val="24"/>
                <w:lang w:eastAsia="en-IN"/>
                <w14:ligatures w14:val="none"/>
              </w:rPr>
              <w:t>2</w:t>
            </w:r>
          </w:p>
        </w:tc>
        <w:tc>
          <w:tcPr>
            <w:tcW w:w="1142" w:type="dxa"/>
            <w:tcBorders>
              <w:top w:val="nil"/>
              <w:left w:val="nil"/>
              <w:bottom w:val="single" w:sz="4" w:space="0" w:color="auto"/>
              <w:right w:val="single" w:sz="4" w:space="0" w:color="auto"/>
            </w:tcBorders>
            <w:vAlign w:val="center"/>
            <w:hideMark/>
          </w:tcPr>
          <w:p w14:paraId="5F023563"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49</w:t>
            </w:r>
          </w:p>
        </w:tc>
        <w:tc>
          <w:tcPr>
            <w:tcW w:w="1177" w:type="dxa"/>
            <w:tcBorders>
              <w:top w:val="nil"/>
              <w:left w:val="nil"/>
              <w:bottom w:val="single" w:sz="4" w:space="0" w:color="auto"/>
              <w:right w:val="single" w:sz="4" w:space="0" w:color="auto"/>
            </w:tcBorders>
            <w:vAlign w:val="center"/>
            <w:hideMark/>
          </w:tcPr>
          <w:p w14:paraId="72C701BC"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134" w:type="dxa"/>
            <w:tcBorders>
              <w:top w:val="nil"/>
              <w:left w:val="nil"/>
              <w:bottom w:val="single" w:sz="4" w:space="0" w:color="auto"/>
              <w:right w:val="single" w:sz="4" w:space="0" w:color="auto"/>
            </w:tcBorders>
            <w:vAlign w:val="center"/>
            <w:hideMark/>
          </w:tcPr>
          <w:p w14:paraId="579A8347"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2101" w:type="dxa"/>
            <w:tcBorders>
              <w:top w:val="nil"/>
              <w:left w:val="nil"/>
              <w:bottom w:val="single" w:sz="4" w:space="0" w:color="auto"/>
              <w:right w:val="single" w:sz="4" w:space="0" w:color="auto"/>
            </w:tcBorders>
            <w:vAlign w:val="center"/>
            <w:hideMark/>
          </w:tcPr>
          <w:p w14:paraId="5DAB2FE8"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621" w:type="dxa"/>
            <w:tcBorders>
              <w:top w:val="nil"/>
              <w:left w:val="nil"/>
              <w:bottom w:val="single" w:sz="4" w:space="0" w:color="auto"/>
              <w:right w:val="single" w:sz="4" w:space="0" w:color="auto"/>
            </w:tcBorders>
            <w:vAlign w:val="center"/>
            <w:hideMark/>
          </w:tcPr>
          <w:p w14:paraId="0B59AD74"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087" w:type="dxa"/>
            <w:tcBorders>
              <w:top w:val="nil"/>
              <w:left w:val="nil"/>
              <w:bottom w:val="single" w:sz="4" w:space="0" w:color="auto"/>
              <w:right w:val="single" w:sz="4" w:space="0" w:color="auto"/>
            </w:tcBorders>
            <w:vAlign w:val="center"/>
            <w:hideMark/>
          </w:tcPr>
          <w:p w14:paraId="0A5FEA46"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8,62</w:t>
            </w:r>
          </w:p>
        </w:tc>
      </w:tr>
      <w:tr w:rsidR="001355EB" w:rsidRPr="001355EB" w14:paraId="54F7F8B9" w14:textId="77777777" w:rsidTr="001355EB">
        <w:trPr>
          <w:trHeight w:val="20"/>
          <w:jc w:val="center"/>
        </w:trPr>
        <w:tc>
          <w:tcPr>
            <w:tcW w:w="1852" w:type="dxa"/>
            <w:tcBorders>
              <w:top w:val="nil"/>
              <w:left w:val="single" w:sz="4" w:space="0" w:color="auto"/>
              <w:bottom w:val="single" w:sz="4" w:space="0" w:color="auto"/>
              <w:right w:val="single" w:sz="4" w:space="0" w:color="auto"/>
            </w:tcBorders>
            <w:vAlign w:val="center"/>
            <w:hideMark/>
          </w:tcPr>
          <w:p w14:paraId="703F8F44" w14:textId="77777777" w:rsidR="001355EB" w:rsidRPr="00E02C8A"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Hyderabad</w:t>
            </w:r>
          </w:p>
        </w:tc>
        <w:tc>
          <w:tcPr>
            <w:tcW w:w="1265" w:type="dxa"/>
            <w:tcBorders>
              <w:top w:val="nil"/>
              <w:left w:val="nil"/>
              <w:bottom w:val="single" w:sz="4" w:space="0" w:color="auto"/>
              <w:right w:val="single" w:sz="4" w:space="0" w:color="auto"/>
            </w:tcBorders>
            <w:vAlign w:val="center"/>
            <w:hideMark/>
          </w:tcPr>
          <w:p w14:paraId="516828ED"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142" w:type="dxa"/>
            <w:tcBorders>
              <w:top w:val="nil"/>
              <w:left w:val="nil"/>
              <w:bottom w:val="single" w:sz="4" w:space="0" w:color="auto"/>
              <w:right w:val="single" w:sz="4" w:space="0" w:color="auto"/>
            </w:tcBorders>
            <w:vAlign w:val="center"/>
            <w:hideMark/>
          </w:tcPr>
          <w:p w14:paraId="23F6E471"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291" w:type="dxa"/>
            <w:tcBorders>
              <w:top w:val="nil"/>
              <w:left w:val="nil"/>
              <w:bottom w:val="single" w:sz="4" w:space="0" w:color="auto"/>
              <w:right w:val="single" w:sz="4" w:space="0" w:color="auto"/>
            </w:tcBorders>
            <w:vAlign w:val="center"/>
            <w:hideMark/>
          </w:tcPr>
          <w:p w14:paraId="51A67C72"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340" w:type="dxa"/>
            <w:tcBorders>
              <w:top w:val="nil"/>
              <w:left w:val="nil"/>
              <w:bottom w:val="single" w:sz="4" w:space="0" w:color="auto"/>
              <w:right w:val="single" w:sz="4" w:space="0" w:color="auto"/>
            </w:tcBorders>
            <w:vAlign w:val="center"/>
            <w:hideMark/>
          </w:tcPr>
          <w:p w14:paraId="7B01007F" w14:textId="2449B41C" w:rsidR="001355EB" w:rsidRPr="001355EB" w:rsidRDefault="00205F65" w:rsidP="001355EB">
            <w:pPr>
              <w:spacing w:after="0" w:line="240" w:lineRule="auto"/>
              <w:jc w:val="center"/>
              <w:rPr>
                <w:rFonts w:ascii="Times New Roman" w:eastAsia="Times New Roman" w:hAnsi="Times New Roman" w:cs="Times New Roman"/>
                <w:color w:val="000000"/>
                <w:kern w:val="0"/>
                <w:szCs w:val="24"/>
                <w:lang w:eastAsia="en-IN"/>
                <w14:ligatures w14:val="none"/>
              </w:rPr>
            </w:pPr>
            <w:r>
              <w:rPr>
                <w:rFonts w:ascii="Times New Roman" w:eastAsia="Times New Roman" w:hAnsi="Times New Roman" w:cs="Times New Roman"/>
                <w:color w:val="000000"/>
                <w:kern w:val="0"/>
                <w:szCs w:val="24"/>
                <w:lang w:eastAsia="en-IN"/>
                <w14:ligatures w14:val="none"/>
              </w:rPr>
              <w:t>2</w:t>
            </w:r>
          </w:p>
        </w:tc>
        <w:tc>
          <w:tcPr>
            <w:tcW w:w="1142" w:type="dxa"/>
            <w:tcBorders>
              <w:top w:val="nil"/>
              <w:left w:val="nil"/>
              <w:bottom w:val="single" w:sz="4" w:space="0" w:color="auto"/>
              <w:right w:val="single" w:sz="4" w:space="0" w:color="auto"/>
            </w:tcBorders>
            <w:vAlign w:val="center"/>
            <w:hideMark/>
          </w:tcPr>
          <w:p w14:paraId="707CF53B"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1,16</w:t>
            </w:r>
          </w:p>
        </w:tc>
        <w:tc>
          <w:tcPr>
            <w:tcW w:w="1177" w:type="dxa"/>
            <w:tcBorders>
              <w:top w:val="nil"/>
              <w:left w:val="nil"/>
              <w:bottom w:val="single" w:sz="4" w:space="0" w:color="auto"/>
              <w:right w:val="single" w:sz="4" w:space="0" w:color="auto"/>
            </w:tcBorders>
            <w:vAlign w:val="center"/>
            <w:hideMark/>
          </w:tcPr>
          <w:p w14:paraId="04D8C442"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134" w:type="dxa"/>
            <w:tcBorders>
              <w:top w:val="nil"/>
              <w:left w:val="nil"/>
              <w:bottom w:val="single" w:sz="4" w:space="0" w:color="auto"/>
              <w:right w:val="single" w:sz="4" w:space="0" w:color="auto"/>
            </w:tcBorders>
            <w:vAlign w:val="center"/>
            <w:hideMark/>
          </w:tcPr>
          <w:p w14:paraId="0AEDDA24"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2101" w:type="dxa"/>
            <w:tcBorders>
              <w:top w:val="nil"/>
              <w:left w:val="nil"/>
              <w:bottom w:val="single" w:sz="4" w:space="0" w:color="auto"/>
              <w:right w:val="single" w:sz="4" w:space="0" w:color="auto"/>
            </w:tcBorders>
            <w:vAlign w:val="center"/>
            <w:hideMark/>
          </w:tcPr>
          <w:p w14:paraId="61D65976"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621" w:type="dxa"/>
            <w:tcBorders>
              <w:top w:val="nil"/>
              <w:left w:val="nil"/>
              <w:bottom w:val="single" w:sz="4" w:space="0" w:color="auto"/>
              <w:right w:val="single" w:sz="4" w:space="0" w:color="auto"/>
            </w:tcBorders>
            <w:vAlign w:val="center"/>
            <w:hideMark/>
          </w:tcPr>
          <w:p w14:paraId="77330185"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087" w:type="dxa"/>
            <w:tcBorders>
              <w:top w:val="nil"/>
              <w:left w:val="nil"/>
              <w:bottom w:val="single" w:sz="4" w:space="0" w:color="auto"/>
              <w:right w:val="single" w:sz="4" w:space="0" w:color="auto"/>
            </w:tcBorders>
            <w:vAlign w:val="center"/>
            <w:hideMark/>
          </w:tcPr>
          <w:p w14:paraId="7ACE3C9B" w14:textId="79FBB6EA"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1,1</w:t>
            </w:r>
            <w:r w:rsidR="00121940">
              <w:rPr>
                <w:rFonts w:ascii="Times New Roman" w:eastAsia="Times New Roman" w:hAnsi="Times New Roman" w:cs="Times New Roman"/>
                <w:color w:val="000000"/>
                <w:kern w:val="0"/>
                <w:szCs w:val="24"/>
                <w:lang w:eastAsia="en-IN"/>
                <w14:ligatures w14:val="none"/>
              </w:rPr>
              <w:t>8</w:t>
            </w:r>
          </w:p>
        </w:tc>
      </w:tr>
      <w:tr w:rsidR="001355EB" w:rsidRPr="001355EB" w14:paraId="7B8467BA" w14:textId="77777777" w:rsidTr="001355EB">
        <w:trPr>
          <w:trHeight w:val="20"/>
          <w:jc w:val="center"/>
        </w:trPr>
        <w:tc>
          <w:tcPr>
            <w:tcW w:w="1852" w:type="dxa"/>
            <w:tcBorders>
              <w:top w:val="nil"/>
              <w:left w:val="single" w:sz="4" w:space="0" w:color="auto"/>
              <w:bottom w:val="single" w:sz="4" w:space="0" w:color="auto"/>
              <w:right w:val="single" w:sz="4" w:space="0" w:color="auto"/>
            </w:tcBorders>
            <w:vAlign w:val="center"/>
            <w:hideMark/>
          </w:tcPr>
          <w:p w14:paraId="480DB922" w14:textId="77777777" w:rsidR="001355EB" w:rsidRPr="00E02C8A"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Madhya Bharat</w:t>
            </w:r>
          </w:p>
        </w:tc>
        <w:tc>
          <w:tcPr>
            <w:tcW w:w="1265" w:type="dxa"/>
            <w:tcBorders>
              <w:top w:val="nil"/>
              <w:left w:val="nil"/>
              <w:bottom w:val="single" w:sz="4" w:space="0" w:color="auto"/>
              <w:right w:val="single" w:sz="4" w:space="0" w:color="auto"/>
            </w:tcBorders>
            <w:vAlign w:val="center"/>
            <w:hideMark/>
          </w:tcPr>
          <w:p w14:paraId="518424B8"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6</w:t>
            </w:r>
          </w:p>
        </w:tc>
        <w:tc>
          <w:tcPr>
            <w:tcW w:w="1142" w:type="dxa"/>
            <w:tcBorders>
              <w:top w:val="nil"/>
              <w:left w:val="nil"/>
              <w:bottom w:val="single" w:sz="4" w:space="0" w:color="auto"/>
              <w:right w:val="single" w:sz="4" w:space="0" w:color="auto"/>
            </w:tcBorders>
            <w:vAlign w:val="center"/>
            <w:hideMark/>
          </w:tcPr>
          <w:p w14:paraId="558178BD"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291" w:type="dxa"/>
            <w:tcBorders>
              <w:top w:val="nil"/>
              <w:left w:val="nil"/>
              <w:bottom w:val="single" w:sz="4" w:space="0" w:color="auto"/>
              <w:right w:val="single" w:sz="4" w:space="0" w:color="auto"/>
            </w:tcBorders>
            <w:vAlign w:val="center"/>
            <w:hideMark/>
          </w:tcPr>
          <w:p w14:paraId="6301D8F4"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340" w:type="dxa"/>
            <w:tcBorders>
              <w:top w:val="nil"/>
              <w:left w:val="nil"/>
              <w:bottom w:val="single" w:sz="4" w:space="0" w:color="auto"/>
              <w:right w:val="single" w:sz="4" w:space="0" w:color="auto"/>
            </w:tcBorders>
            <w:vAlign w:val="center"/>
            <w:hideMark/>
          </w:tcPr>
          <w:p w14:paraId="58ECF0DD"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4</w:t>
            </w:r>
          </w:p>
        </w:tc>
        <w:tc>
          <w:tcPr>
            <w:tcW w:w="1142" w:type="dxa"/>
            <w:tcBorders>
              <w:top w:val="nil"/>
              <w:left w:val="nil"/>
              <w:bottom w:val="single" w:sz="4" w:space="0" w:color="auto"/>
              <w:right w:val="single" w:sz="4" w:space="0" w:color="auto"/>
            </w:tcBorders>
            <w:vAlign w:val="center"/>
            <w:hideMark/>
          </w:tcPr>
          <w:p w14:paraId="14E14187"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177" w:type="dxa"/>
            <w:tcBorders>
              <w:top w:val="nil"/>
              <w:left w:val="nil"/>
              <w:bottom w:val="single" w:sz="4" w:space="0" w:color="auto"/>
              <w:right w:val="single" w:sz="4" w:space="0" w:color="auto"/>
            </w:tcBorders>
            <w:vAlign w:val="center"/>
            <w:hideMark/>
          </w:tcPr>
          <w:p w14:paraId="209B9975"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134" w:type="dxa"/>
            <w:tcBorders>
              <w:top w:val="nil"/>
              <w:left w:val="nil"/>
              <w:bottom w:val="single" w:sz="4" w:space="0" w:color="auto"/>
              <w:right w:val="single" w:sz="4" w:space="0" w:color="auto"/>
            </w:tcBorders>
            <w:vAlign w:val="center"/>
            <w:hideMark/>
          </w:tcPr>
          <w:p w14:paraId="0C5AE6F0"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2101" w:type="dxa"/>
            <w:tcBorders>
              <w:top w:val="nil"/>
              <w:left w:val="nil"/>
              <w:bottom w:val="single" w:sz="4" w:space="0" w:color="auto"/>
              <w:right w:val="single" w:sz="4" w:space="0" w:color="auto"/>
            </w:tcBorders>
            <w:vAlign w:val="center"/>
            <w:hideMark/>
          </w:tcPr>
          <w:p w14:paraId="165A38F7" w14:textId="753F9C44" w:rsidR="001355EB" w:rsidRPr="001355EB" w:rsidRDefault="00503C08" w:rsidP="001355EB">
            <w:pPr>
              <w:spacing w:after="0" w:line="240" w:lineRule="auto"/>
              <w:jc w:val="center"/>
              <w:rPr>
                <w:rFonts w:ascii="Times New Roman" w:eastAsia="Times New Roman" w:hAnsi="Times New Roman" w:cs="Times New Roman"/>
                <w:color w:val="000000"/>
                <w:kern w:val="0"/>
                <w:szCs w:val="24"/>
                <w:lang w:eastAsia="en-IN"/>
                <w14:ligatures w14:val="none"/>
              </w:rPr>
            </w:pPr>
            <w:r>
              <w:rPr>
                <w:rFonts w:ascii="Times New Roman" w:eastAsia="Times New Roman" w:hAnsi="Times New Roman" w:cs="Times New Roman"/>
                <w:color w:val="000000"/>
                <w:kern w:val="0"/>
                <w:szCs w:val="24"/>
                <w:lang w:eastAsia="en-IN"/>
                <w14:ligatures w14:val="none"/>
              </w:rPr>
              <w:t>30</w:t>
            </w:r>
          </w:p>
        </w:tc>
        <w:tc>
          <w:tcPr>
            <w:tcW w:w="1621" w:type="dxa"/>
            <w:tcBorders>
              <w:top w:val="nil"/>
              <w:left w:val="nil"/>
              <w:bottom w:val="single" w:sz="4" w:space="0" w:color="auto"/>
              <w:right w:val="single" w:sz="4" w:space="0" w:color="auto"/>
            </w:tcBorders>
            <w:vAlign w:val="center"/>
            <w:hideMark/>
          </w:tcPr>
          <w:p w14:paraId="1E4822EA"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087" w:type="dxa"/>
            <w:tcBorders>
              <w:top w:val="nil"/>
              <w:left w:val="nil"/>
              <w:bottom w:val="single" w:sz="4" w:space="0" w:color="auto"/>
              <w:right w:val="single" w:sz="4" w:space="0" w:color="auto"/>
            </w:tcBorders>
            <w:vAlign w:val="center"/>
            <w:hideMark/>
          </w:tcPr>
          <w:p w14:paraId="507033EA" w14:textId="0CC09105" w:rsidR="001355EB" w:rsidRPr="001355EB" w:rsidRDefault="0082168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Pr>
                <w:rFonts w:ascii="Times New Roman" w:eastAsia="Times New Roman" w:hAnsi="Times New Roman" w:cs="Times New Roman"/>
                <w:color w:val="000000"/>
                <w:kern w:val="0"/>
                <w:szCs w:val="24"/>
                <w:lang w:eastAsia="en-IN"/>
                <w14:ligatures w14:val="none"/>
              </w:rPr>
              <w:t>40</w:t>
            </w:r>
          </w:p>
        </w:tc>
      </w:tr>
      <w:tr w:rsidR="001355EB" w:rsidRPr="001355EB" w14:paraId="27462D0C" w14:textId="77777777" w:rsidTr="001355EB">
        <w:trPr>
          <w:trHeight w:val="20"/>
          <w:jc w:val="center"/>
        </w:trPr>
        <w:tc>
          <w:tcPr>
            <w:tcW w:w="1852" w:type="dxa"/>
            <w:tcBorders>
              <w:top w:val="nil"/>
              <w:left w:val="single" w:sz="4" w:space="0" w:color="auto"/>
              <w:bottom w:val="single" w:sz="4" w:space="0" w:color="auto"/>
              <w:right w:val="single" w:sz="4" w:space="0" w:color="auto"/>
            </w:tcBorders>
            <w:vAlign w:val="center"/>
            <w:hideMark/>
          </w:tcPr>
          <w:p w14:paraId="218C54F7" w14:textId="77777777" w:rsidR="001355EB" w:rsidRPr="00E02C8A"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Mysore</w:t>
            </w:r>
          </w:p>
        </w:tc>
        <w:tc>
          <w:tcPr>
            <w:tcW w:w="1265" w:type="dxa"/>
            <w:tcBorders>
              <w:top w:val="nil"/>
              <w:left w:val="nil"/>
              <w:bottom w:val="single" w:sz="4" w:space="0" w:color="auto"/>
              <w:right w:val="single" w:sz="4" w:space="0" w:color="auto"/>
            </w:tcBorders>
            <w:vAlign w:val="center"/>
            <w:hideMark/>
          </w:tcPr>
          <w:p w14:paraId="1FA44E17"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142" w:type="dxa"/>
            <w:tcBorders>
              <w:top w:val="nil"/>
              <w:left w:val="nil"/>
              <w:bottom w:val="single" w:sz="4" w:space="0" w:color="auto"/>
              <w:right w:val="single" w:sz="4" w:space="0" w:color="auto"/>
            </w:tcBorders>
            <w:vAlign w:val="center"/>
            <w:hideMark/>
          </w:tcPr>
          <w:p w14:paraId="7D549155"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291" w:type="dxa"/>
            <w:tcBorders>
              <w:top w:val="nil"/>
              <w:left w:val="nil"/>
              <w:bottom w:val="single" w:sz="4" w:space="0" w:color="auto"/>
              <w:right w:val="single" w:sz="4" w:space="0" w:color="auto"/>
            </w:tcBorders>
            <w:vAlign w:val="center"/>
            <w:hideMark/>
          </w:tcPr>
          <w:p w14:paraId="305866EF"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340" w:type="dxa"/>
            <w:tcBorders>
              <w:top w:val="nil"/>
              <w:left w:val="nil"/>
              <w:bottom w:val="single" w:sz="4" w:space="0" w:color="auto"/>
              <w:right w:val="single" w:sz="4" w:space="0" w:color="auto"/>
            </w:tcBorders>
            <w:vAlign w:val="center"/>
            <w:hideMark/>
          </w:tcPr>
          <w:p w14:paraId="4A71BECF"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142" w:type="dxa"/>
            <w:tcBorders>
              <w:top w:val="nil"/>
              <w:left w:val="nil"/>
              <w:bottom w:val="single" w:sz="4" w:space="0" w:color="auto"/>
              <w:right w:val="single" w:sz="4" w:space="0" w:color="auto"/>
            </w:tcBorders>
            <w:vAlign w:val="center"/>
            <w:hideMark/>
          </w:tcPr>
          <w:p w14:paraId="08B1D8D4"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3,45</w:t>
            </w:r>
          </w:p>
        </w:tc>
        <w:tc>
          <w:tcPr>
            <w:tcW w:w="1177" w:type="dxa"/>
            <w:tcBorders>
              <w:top w:val="nil"/>
              <w:left w:val="nil"/>
              <w:bottom w:val="single" w:sz="4" w:space="0" w:color="auto"/>
              <w:right w:val="single" w:sz="4" w:space="0" w:color="auto"/>
            </w:tcBorders>
            <w:vAlign w:val="center"/>
            <w:hideMark/>
          </w:tcPr>
          <w:p w14:paraId="29D7F763"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134" w:type="dxa"/>
            <w:tcBorders>
              <w:top w:val="nil"/>
              <w:left w:val="nil"/>
              <w:bottom w:val="single" w:sz="4" w:space="0" w:color="auto"/>
              <w:right w:val="single" w:sz="4" w:space="0" w:color="auto"/>
            </w:tcBorders>
            <w:vAlign w:val="center"/>
            <w:hideMark/>
          </w:tcPr>
          <w:p w14:paraId="5D3A578C"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2101" w:type="dxa"/>
            <w:tcBorders>
              <w:top w:val="nil"/>
              <w:left w:val="nil"/>
              <w:bottom w:val="single" w:sz="4" w:space="0" w:color="auto"/>
              <w:right w:val="single" w:sz="4" w:space="0" w:color="auto"/>
            </w:tcBorders>
            <w:vAlign w:val="center"/>
            <w:hideMark/>
          </w:tcPr>
          <w:p w14:paraId="223D73BF"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621" w:type="dxa"/>
            <w:tcBorders>
              <w:top w:val="nil"/>
              <w:left w:val="nil"/>
              <w:bottom w:val="single" w:sz="4" w:space="0" w:color="auto"/>
              <w:right w:val="single" w:sz="4" w:space="0" w:color="auto"/>
            </w:tcBorders>
            <w:vAlign w:val="center"/>
            <w:hideMark/>
          </w:tcPr>
          <w:p w14:paraId="2A8E30B8"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087" w:type="dxa"/>
            <w:tcBorders>
              <w:top w:val="nil"/>
              <w:left w:val="nil"/>
              <w:bottom w:val="single" w:sz="4" w:space="0" w:color="auto"/>
              <w:right w:val="single" w:sz="4" w:space="0" w:color="auto"/>
            </w:tcBorders>
            <w:vAlign w:val="center"/>
            <w:hideMark/>
          </w:tcPr>
          <w:p w14:paraId="2BEFBD84" w14:textId="47F3905B" w:rsidR="001355EB" w:rsidRPr="001355EB" w:rsidRDefault="0082168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Pr>
                <w:rFonts w:ascii="Times New Roman" w:eastAsia="Times New Roman" w:hAnsi="Times New Roman" w:cs="Times New Roman"/>
                <w:color w:val="000000"/>
                <w:kern w:val="0"/>
                <w:szCs w:val="24"/>
                <w:lang w:eastAsia="en-IN"/>
                <w14:ligatures w14:val="none"/>
              </w:rPr>
              <w:t>3,45</w:t>
            </w:r>
          </w:p>
        </w:tc>
      </w:tr>
      <w:tr w:rsidR="001355EB" w:rsidRPr="001355EB" w14:paraId="3A49D6EF" w14:textId="77777777" w:rsidTr="001355EB">
        <w:trPr>
          <w:trHeight w:val="20"/>
          <w:jc w:val="center"/>
        </w:trPr>
        <w:tc>
          <w:tcPr>
            <w:tcW w:w="1852" w:type="dxa"/>
            <w:tcBorders>
              <w:top w:val="nil"/>
              <w:left w:val="single" w:sz="4" w:space="0" w:color="auto"/>
              <w:bottom w:val="single" w:sz="4" w:space="0" w:color="auto"/>
              <w:right w:val="single" w:sz="4" w:space="0" w:color="auto"/>
            </w:tcBorders>
            <w:vAlign w:val="center"/>
            <w:hideMark/>
          </w:tcPr>
          <w:p w14:paraId="4A3AF2C3" w14:textId="77777777" w:rsidR="001355EB" w:rsidRPr="00E02C8A"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Patiala &amp; East Punjab States Union</w:t>
            </w:r>
          </w:p>
        </w:tc>
        <w:tc>
          <w:tcPr>
            <w:tcW w:w="1265" w:type="dxa"/>
            <w:tcBorders>
              <w:top w:val="nil"/>
              <w:left w:val="nil"/>
              <w:bottom w:val="single" w:sz="4" w:space="0" w:color="auto"/>
              <w:right w:val="single" w:sz="4" w:space="0" w:color="auto"/>
            </w:tcBorders>
            <w:vAlign w:val="center"/>
            <w:hideMark/>
          </w:tcPr>
          <w:p w14:paraId="527FEEAB"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15</w:t>
            </w:r>
          </w:p>
        </w:tc>
        <w:tc>
          <w:tcPr>
            <w:tcW w:w="1142" w:type="dxa"/>
            <w:tcBorders>
              <w:top w:val="nil"/>
              <w:left w:val="nil"/>
              <w:bottom w:val="single" w:sz="4" w:space="0" w:color="auto"/>
              <w:right w:val="single" w:sz="4" w:space="0" w:color="auto"/>
            </w:tcBorders>
            <w:vAlign w:val="center"/>
            <w:hideMark/>
          </w:tcPr>
          <w:p w14:paraId="10F3E912"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291" w:type="dxa"/>
            <w:tcBorders>
              <w:top w:val="nil"/>
              <w:left w:val="nil"/>
              <w:bottom w:val="single" w:sz="4" w:space="0" w:color="auto"/>
              <w:right w:val="single" w:sz="4" w:space="0" w:color="auto"/>
            </w:tcBorders>
            <w:vAlign w:val="center"/>
            <w:hideMark/>
          </w:tcPr>
          <w:p w14:paraId="78410DEF"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340" w:type="dxa"/>
            <w:tcBorders>
              <w:top w:val="nil"/>
              <w:left w:val="nil"/>
              <w:bottom w:val="single" w:sz="4" w:space="0" w:color="auto"/>
              <w:right w:val="single" w:sz="4" w:space="0" w:color="auto"/>
            </w:tcBorders>
            <w:vAlign w:val="center"/>
            <w:hideMark/>
          </w:tcPr>
          <w:p w14:paraId="72C08514"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142" w:type="dxa"/>
            <w:tcBorders>
              <w:top w:val="nil"/>
              <w:left w:val="nil"/>
              <w:bottom w:val="single" w:sz="4" w:space="0" w:color="auto"/>
              <w:right w:val="single" w:sz="4" w:space="0" w:color="auto"/>
            </w:tcBorders>
            <w:vAlign w:val="center"/>
            <w:hideMark/>
          </w:tcPr>
          <w:p w14:paraId="5EBE48D3"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177" w:type="dxa"/>
            <w:tcBorders>
              <w:top w:val="nil"/>
              <w:left w:val="nil"/>
              <w:bottom w:val="single" w:sz="4" w:space="0" w:color="auto"/>
              <w:right w:val="single" w:sz="4" w:space="0" w:color="auto"/>
            </w:tcBorders>
            <w:vAlign w:val="center"/>
            <w:hideMark/>
          </w:tcPr>
          <w:p w14:paraId="44FCAA88"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134" w:type="dxa"/>
            <w:tcBorders>
              <w:top w:val="nil"/>
              <w:left w:val="nil"/>
              <w:bottom w:val="single" w:sz="4" w:space="0" w:color="auto"/>
              <w:right w:val="single" w:sz="4" w:space="0" w:color="auto"/>
            </w:tcBorders>
            <w:vAlign w:val="center"/>
            <w:hideMark/>
          </w:tcPr>
          <w:p w14:paraId="2C27021E"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2101" w:type="dxa"/>
            <w:tcBorders>
              <w:top w:val="nil"/>
              <w:left w:val="nil"/>
              <w:bottom w:val="single" w:sz="4" w:space="0" w:color="auto"/>
              <w:right w:val="single" w:sz="4" w:space="0" w:color="auto"/>
            </w:tcBorders>
            <w:vAlign w:val="center"/>
            <w:hideMark/>
          </w:tcPr>
          <w:p w14:paraId="6F890326" w14:textId="32EB7456" w:rsidR="001355EB" w:rsidRPr="001355EB" w:rsidRDefault="00503C08" w:rsidP="001355EB">
            <w:pPr>
              <w:spacing w:after="0" w:line="240" w:lineRule="auto"/>
              <w:jc w:val="center"/>
              <w:rPr>
                <w:rFonts w:ascii="Times New Roman" w:eastAsia="Times New Roman" w:hAnsi="Times New Roman" w:cs="Times New Roman"/>
                <w:color w:val="000000"/>
                <w:kern w:val="0"/>
                <w:szCs w:val="24"/>
                <w:lang w:eastAsia="en-IN"/>
                <w14:ligatures w14:val="none"/>
              </w:rPr>
            </w:pPr>
            <w:r>
              <w:rPr>
                <w:rFonts w:ascii="Times New Roman" w:eastAsia="Times New Roman" w:hAnsi="Times New Roman" w:cs="Times New Roman"/>
                <w:color w:val="000000"/>
                <w:kern w:val="0"/>
                <w:szCs w:val="24"/>
                <w:lang w:eastAsia="en-IN"/>
                <w14:ligatures w14:val="none"/>
              </w:rPr>
              <w:t>15</w:t>
            </w:r>
          </w:p>
        </w:tc>
        <w:tc>
          <w:tcPr>
            <w:tcW w:w="1621" w:type="dxa"/>
            <w:tcBorders>
              <w:top w:val="nil"/>
              <w:left w:val="nil"/>
              <w:bottom w:val="single" w:sz="4" w:space="0" w:color="auto"/>
              <w:right w:val="single" w:sz="4" w:space="0" w:color="auto"/>
            </w:tcBorders>
            <w:vAlign w:val="center"/>
            <w:hideMark/>
          </w:tcPr>
          <w:p w14:paraId="764AC93B"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087" w:type="dxa"/>
            <w:tcBorders>
              <w:top w:val="nil"/>
              <w:left w:val="nil"/>
              <w:bottom w:val="single" w:sz="4" w:space="0" w:color="auto"/>
              <w:right w:val="single" w:sz="4" w:space="0" w:color="auto"/>
            </w:tcBorders>
            <w:vAlign w:val="center"/>
            <w:hideMark/>
          </w:tcPr>
          <w:p w14:paraId="2E16C329" w14:textId="0E3F4E3C" w:rsidR="001355EB" w:rsidRPr="001355EB" w:rsidRDefault="0082168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Pr>
                <w:rFonts w:ascii="Times New Roman" w:eastAsia="Times New Roman" w:hAnsi="Times New Roman" w:cs="Times New Roman"/>
                <w:color w:val="000000"/>
                <w:kern w:val="0"/>
                <w:szCs w:val="24"/>
                <w:lang w:eastAsia="en-IN"/>
                <w14:ligatures w14:val="none"/>
              </w:rPr>
              <w:t>30</w:t>
            </w:r>
          </w:p>
        </w:tc>
      </w:tr>
      <w:tr w:rsidR="001355EB" w:rsidRPr="001355EB" w14:paraId="2E65A6E5" w14:textId="77777777" w:rsidTr="001355EB">
        <w:trPr>
          <w:trHeight w:val="20"/>
          <w:jc w:val="center"/>
        </w:trPr>
        <w:tc>
          <w:tcPr>
            <w:tcW w:w="1852" w:type="dxa"/>
            <w:tcBorders>
              <w:top w:val="nil"/>
              <w:left w:val="single" w:sz="4" w:space="0" w:color="auto"/>
              <w:bottom w:val="single" w:sz="4" w:space="0" w:color="auto"/>
              <w:right w:val="single" w:sz="4" w:space="0" w:color="auto"/>
            </w:tcBorders>
            <w:vAlign w:val="center"/>
            <w:hideMark/>
          </w:tcPr>
          <w:p w14:paraId="3DC75CE6" w14:textId="77777777" w:rsidR="001355EB" w:rsidRPr="00E02C8A"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Rajasthan</w:t>
            </w:r>
          </w:p>
        </w:tc>
        <w:tc>
          <w:tcPr>
            <w:tcW w:w="1265" w:type="dxa"/>
            <w:tcBorders>
              <w:top w:val="nil"/>
              <w:left w:val="nil"/>
              <w:bottom w:val="single" w:sz="4" w:space="0" w:color="auto"/>
              <w:right w:val="single" w:sz="4" w:space="0" w:color="auto"/>
            </w:tcBorders>
            <w:vAlign w:val="center"/>
            <w:hideMark/>
          </w:tcPr>
          <w:p w14:paraId="2443C7BC"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13</w:t>
            </w:r>
          </w:p>
        </w:tc>
        <w:tc>
          <w:tcPr>
            <w:tcW w:w="1142" w:type="dxa"/>
            <w:tcBorders>
              <w:top w:val="nil"/>
              <w:left w:val="nil"/>
              <w:bottom w:val="single" w:sz="4" w:space="0" w:color="auto"/>
              <w:right w:val="single" w:sz="4" w:space="0" w:color="auto"/>
            </w:tcBorders>
            <w:vAlign w:val="center"/>
            <w:hideMark/>
          </w:tcPr>
          <w:p w14:paraId="57524B84"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291" w:type="dxa"/>
            <w:tcBorders>
              <w:top w:val="nil"/>
              <w:left w:val="nil"/>
              <w:bottom w:val="single" w:sz="4" w:space="0" w:color="auto"/>
              <w:right w:val="single" w:sz="4" w:space="0" w:color="auto"/>
            </w:tcBorders>
            <w:vAlign w:val="center"/>
            <w:hideMark/>
          </w:tcPr>
          <w:p w14:paraId="0B27E717"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340" w:type="dxa"/>
            <w:tcBorders>
              <w:top w:val="nil"/>
              <w:left w:val="nil"/>
              <w:bottom w:val="single" w:sz="4" w:space="0" w:color="auto"/>
              <w:right w:val="single" w:sz="4" w:space="0" w:color="auto"/>
            </w:tcBorders>
            <w:vAlign w:val="center"/>
            <w:hideMark/>
          </w:tcPr>
          <w:p w14:paraId="14D9128F" w14:textId="45FEACA1" w:rsidR="001355EB" w:rsidRPr="001355EB" w:rsidRDefault="00205F65" w:rsidP="001355EB">
            <w:pPr>
              <w:spacing w:after="0" w:line="240" w:lineRule="auto"/>
              <w:jc w:val="center"/>
              <w:rPr>
                <w:rFonts w:ascii="Times New Roman" w:eastAsia="Times New Roman" w:hAnsi="Times New Roman" w:cs="Times New Roman"/>
                <w:color w:val="000000"/>
                <w:kern w:val="0"/>
                <w:szCs w:val="24"/>
                <w:lang w:eastAsia="en-IN"/>
                <w14:ligatures w14:val="none"/>
              </w:rPr>
            </w:pPr>
            <w:r>
              <w:rPr>
                <w:rFonts w:ascii="Times New Roman" w:eastAsia="Times New Roman" w:hAnsi="Times New Roman" w:cs="Times New Roman"/>
                <w:color w:val="000000"/>
                <w:kern w:val="0"/>
                <w:szCs w:val="24"/>
                <w:lang w:eastAsia="en-IN"/>
                <w14:ligatures w14:val="none"/>
              </w:rPr>
              <w:t>5</w:t>
            </w:r>
          </w:p>
        </w:tc>
        <w:tc>
          <w:tcPr>
            <w:tcW w:w="1142" w:type="dxa"/>
            <w:tcBorders>
              <w:top w:val="nil"/>
              <w:left w:val="nil"/>
              <w:bottom w:val="single" w:sz="4" w:space="0" w:color="auto"/>
              <w:right w:val="single" w:sz="4" w:space="0" w:color="auto"/>
            </w:tcBorders>
            <w:vAlign w:val="center"/>
            <w:hideMark/>
          </w:tcPr>
          <w:p w14:paraId="66A9AA13"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177" w:type="dxa"/>
            <w:tcBorders>
              <w:top w:val="nil"/>
              <w:left w:val="nil"/>
              <w:bottom w:val="single" w:sz="4" w:space="0" w:color="auto"/>
              <w:right w:val="single" w:sz="4" w:space="0" w:color="auto"/>
            </w:tcBorders>
            <w:vAlign w:val="center"/>
            <w:hideMark/>
          </w:tcPr>
          <w:p w14:paraId="15EE889A"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134" w:type="dxa"/>
            <w:tcBorders>
              <w:top w:val="nil"/>
              <w:left w:val="nil"/>
              <w:bottom w:val="single" w:sz="4" w:space="0" w:color="auto"/>
              <w:right w:val="single" w:sz="4" w:space="0" w:color="auto"/>
            </w:tcBorders>
            <w:vAlign w:val="center"/>
            <w:hideMark/>
          </w:tcPr>
          <w:p w14:paraId="7AFB2C6C"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2101" w:type="dxa"/>
            <w:tcBorders>
              <w:top w:val="nil"/>
              <w:left w:val="nil"/>
              <w:bottom w:val="single" w:sz="4" w:space="0" w:color="auto"/>
              <w:right w:val="single" w:sz="4" w:space="0" w:color="auto"/>
            </w:tcBorders>
            <w:vAlign w:val="center"/>
            <w:hideMark/>
          </w:tcPr>
          <w:p w14:paraId="10E41915" w14:textId="568810C1" w:rsidR="001355EB" w:rsidRPr="001355EB" w:rsidRDefault="00503C08" w:rsidP="001355EB">
            <w:pPr>
              <w:spacing w:after="0" w:line="240" w:lineRule="auto"/>
              <w:jc w:val="center"/>
              <w:rPr>
                <w:rFonts w:ascii="Times New Roman" w:eastAsia="Times New Roman" w:hAnsi="Times New Roman" w:cs="Times New Roman"/>
                <w:color w:val="000000"/>
                <w:kern w:val="0"/>
                <w:szCs w:val="24"/>
                <w:lang w:eastAsia="en-IN"/>
                <w14:ligatures w14:val="none"/>
              </w:rPr>
            </w:pPr>
            <w:r>
              <w:rPr>
                <w:rFonts w:ascii="Times New Roman" w:eastAsia="Times New Roman" w:hAnsi="Times New Roman" w:cs="Times New Roman"/>
                <w:color w:val="000000"/>
                <w:kern w:val="0"/>
                <w:szCs w:val="24"/>
                <w:lang w:eastAsia="en-IN"/>
                <w14:ligatures w14:val="none"/>
              </w:rPr>
              <w:t>45</w:t>
            </w:r>
          </w:p>
        </w:tc>
        <w:tc>
          <w:tcPr>
            <w:tcW w:w="1621" w:type="dxa"/>
            <w:tcBorders>
              <w:top w:val="nil"/>
              <w:left w:val="nil"/>
              <w:bottom w:val="single" w:sz="4" w:space="0" w:color="auto"/>
              <w:right w:val="single" w:sz="4" w:space="0" w:color="auto"/>
            </w:tcBorders>
            <w:vAlign w:val="center"/>
            <w:hideMark/>
          </w:tcPr>
          <w:p w14:paraId="19A2F932"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087" w:type="dxa"/>
            <w:tcBorders>
              <w:top w:val="nil"/>
              <w:left w:val="nil"/>
              <w:bottom w:val="single" w:sz="4" w:space="0" w:color="auto"/>
              <w:right w:val="single" w:sz="4" w:space="0" w:color="auto"/>
            </w:tcBorders>
            <w:vAlign w:val="center"/>
            <w:hideMark/>
          </w:tcPr>
          <w:p w14:paraId="1C3EC058" w14:textId="136F3EE8" w:rsidR="001355EB" w:rsidRPr="001355EB" w:rsidRDefault="0082168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Pr>
                <w:rFonts w:ascii="Times New Roman" w:eastAsia="Times New Roman" w:hAnsi="Times New Roman" w:cs="Times New Roman"/>
                <w:color w:val="000000"/>
                <w:kern w:val="0"/>
                <w:szCs w:val="24"/>
                <w:lang w:eastAsia="en-IN"/>
                <w14:ligatures w14:val="none"/>
              </w:rPr>
              <w:t>63</w:t>
            </w:r>
          </w:p>
        </w:tc>
      </w:tr>
      <w:tr w:rsidR="001355EB" w:rsidRPr="001355EB" w14:paraId="6EB6D2AB" w14:textId="77777777" w:rsidTr="001355EB">
        <w:trPr>
          <w:trHeight w:val="20"/>
          <w:jc w:val="center"/>
        </w:trPr>
        <w:tc>
          <w:tcPr>
            <w:tcW w:w="1852" w:type="dxa"/>
            <w:tcBorders>
              <w:top w:val="nil"/>
              <w:left w:val="single" w:sz="4" w:space="0" w:color="auto"/>
              <w:bottom w:val="single" w:sz="4" w:space="0" w:color="auto"/>
              <w:right w:val="single" w:sz="4" w:space="0" w:color="auto"/>
            </w:tcBorders>
            <w:vAlign w:val="center"/>
            <w:hideMark/>
          </w:tcPr>
          <w:p w14:paraId="0CC05824" w14:textId="77777777" w:rsidR="001355EB" w:rsidRPr="00E02C8A"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Saurashtra</w:t>
            </w:r>
          </w:p>
        </w:tc>
        <w:tc>
          <w:tcPr>
            <w:tcW w:w="1265" w:type="dxa"/>
            <w:tcBorders>
              <w:top w:val="nil"/>
              <w:left w:val="nil"/>
              <w:bottom w:val="single" w:sz="4" w:space="0" w:color="auto"/>
              <w:right w:val="single" w:sz="4" w:space="0" w:color="auto"/>
            </w:tcBorders>
            <w:vAlign w:val="center"/>
            <w:hideMark/>
          </w:tcPr>
          <w:p w14:paraId="4A02125A"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142" w:type="dxa"/>
            <w:tcBorders>
              <w:top w:val="nil"/>
              <w:left w:val="nil"/>
              <w:bottom w:val="single" w:sz="4" w:space="0" w:color="auto"/>
              <w:right w:val="single" w:sz="4" w:space="0" w:color="auto"/>
            </w:tcBorders>
            <w:vAlign w:val="center"/>
            <w:hideMark/>
          </w:tcPr>
          <w:p w14:paraId="4C86E627"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291" w:type="dxa"/>
            <w:tcBorders>
              <w:top w:val="nil"/>
              <w:left w:val="nil"/>
              <w:bottom w:val="single" w:sz="4" w:space="0" w:color="auto"/>
              <w:right w:val="single" w:sz="4" w:space="0" w:color="auto"/>
            </w:tcBorders>
            <w:vAlign w:val="center"/>
            <w:hideMark/>
          </w:tcPr>
          <w:p w14:paraId="6E384FBD"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340" w:type="dxa"/>
            <w:tcBorders>
              <w:top w:val="nil"/>
              <w:left w:val="nil"/>
              <w:bottom w:val="single" w:sz="4" w:space="0" w:color="auto"/>
              <w:right w:val="single" w:sz="4" w:space="0" w:color="auto"/>
            </w:tcBorders>
            <w:vAlign w:val="center"/>
            <w:hideMark/>
          </w:tcPr>
          <w:p w14:paraId="0158033E"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142" w:type="dxa"/>
            <w:tcBorders>
              <w:top w:val="nil"/>
              <w:left w:val="nil"/>
              <w:bottom w:val="single" w:sz="4" w:space="0" w:color="auto"/>
              <w:right w:val="single" w:sz="4" w:space="0" w:color="auto"/>
            </w:tcBorders>
            <w:vAlign w:val="center"/>
            <w:hideMark/>
          </w:tcPr>
          <w:p w14:paraId="2881257C" w14:textId="6A68751A" w:rsidR="001355EB" w:rsidRPr="001355EB" w:rsidRDefault="00205F65" w:rsidP="001355EB">
            <w:pPr>
              <w:spacing w:after="0" w:line="240" w:lineRule="auto"/>
              <w:jc w:val="center"/>
              <w:rPr>
                <w:rFonts w:ascii="Times New Roman" w:eastAsia="Times New Roman" w:hAnsi="Times New Roman" w:cs="Times New Roman"/>
                <w:color w:val="000000"/>
                <w:kern w:val="0"/>
                <w:szCs w:val="24"/>
                <w:lang w:eastAsia="en-IN"/>
                <w14:ligatures w14:val="none"/>
              </w:rPr>
            </w:pPr>
            <w:r>
              <w:rPr>
                <w:rFonts w:ascii="Times New Roman" w:eastAsia="Times New Roman" w:hAnsi="Times New Roman" w:cs="Times New Roman"/>
                <w:color w:val="000000"/>
                <w:kern w:val="0"/>
                <w:szCs w:val="24"/>
                <w:lang w:eastAsia="en-IN"/>
                <w14:ligatures w14:val="none"/>
              </w:rPr>
              <w:t>3,00</w:t>
            </w:r>
          </w:p>
        </w:tc>
        <w:tc>
          <w:tcPr>
            <w:tcW w:w="1177" w:type="dxa"/>
            <w:tcBorders>
              <w:top w:val="nil"/>
              <w:left w:val="nil"/>
              <w:bottom w:val="single" w:sz="4" w:space="0" w:color="auto"/>
              <w:right w:val="single" w:sz="4" w:space="0" w:color="auto"/>
            </w:tcBorders>
            <w:vAlign w:val="center"/>
            <w:hideMark/>
          </w:tcPr>
          <w:p w14:paraId="7D87D638"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134" w:type="dxa"/>
            <w:tcBorders>
              <w:top w:val="nil"/>
              <w:left w:val="nil"/>
              <w:bottom w:val="single" w:sz="4" w:space="0" w:color="auto"/>
              <w:right w:val="single" w:sz="4" w:space="0" w:color="auto"/>
            </w:tcBorders>
            <w:vAlign w:val="center"/>
            <w:hideMark/>
          </w:tcPr>
          <w:p w14:paraId="5F321552"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2101" w:type="dxa"/>
            <w:tcBorders>
              <w:top w:val="nil"/>
              <w:left w:val="nil"/>
              <w:bottom w:val="single" w:sz="4" w:space="0" w:color="auto"/>
              <w:right w:val="single" w:sz="4" w:space="0" w:color="auto"/>
            </w:tcBorders>
            <w:vAlign w:val="center"/>
            <w:hideMark/>
          </w:tcPr>
          <w:p w14:paraId="1F68CD79" w14:textId="5E2B8138" w:rsidR="001355EB" w:rsidRPr="001355EB" w:rsidRDefault="00503C08" w:rsidP="001355EB">
            <w:pPr>
              <w:spacing w:after="0" w:line="240" w:lineRule="auto"/>
              <w:jc w:val="center"/>
              <w:rPr>
                <w:rFonts w:ascii="Times New Roman" w:eastAsia="Times New Roman" w:hAnsi="Times New Roman" w:cs="Times New Roman"/>
                <w:color w:val="000000"/>
                <w:kern w:val="0"/>
                <w:szCs w:val="24"/>
                <w:lang w:eastAsia="en-IN"/>
                <w14:ligatures w14:val="none"/>
              </w:rPr>
            </w:pPr>
            <w:r>
              <w:rPr>
                <w:rFonts w:ascii="Times New Roman" w:eastAsia="Times New Roman" w:hAnsi="Times New Roman" w:cs="Times New Roman"/>
                <w:color w:val="000000"/>
                <w:kern w:val="0"/>
                <w:szCs w:val="24"/>
                <w:lang w:eastAsia="en-IN"/>
                <w14:ligatures w14:val="none"/>
              </w:rPr>
              <w:t>15</w:t>
            </w:r>
          </w:p>
        </w:tc>
        <w:tc>
          <w:tcPr>
            <w:tcW w:w="1621" w:type="dxa"/>
            <w:tcBorders>
              <w:top w:val="nil"/>
              <w:left w:val="nil"/>
              <w:bottom w:val="single" w:sz="4" w:space="0" w:color="auto"/>
              <w:right w:val="single" w:sz="4" w:space="0" w:color="auto"/>
            </w:tcBorders>
            <w:vAlign w:val="center"/>
            <w:hideMark/>
          </w:tcPr>
          <w:p w14:paraId="129F56E7"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087" w:type="dxa"/>
            <w:tcBorders>
              <w:top w:val="nil"/>
              <w:left w:val="nil"/>
              <w:bottom w:val="single" w:sz="4" w:space="0" w:color="auto"/>
              <w:right w:val="single" w:sz="4" w:space="0" w:color="auto"/>
            </w:tcBorders>
            <w:vAlign w:val="center"/>
            <w:hideMark/>
          </w:tcPr>
          <w:p w14:paraId="05D59B63" w14:textId="7A68B8C9" w:rsidR="001355EB" w:rsidRPr="001355EB" w:rsidRDefault="0082168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Pr>
                <w:rFonts w:ascii="Times New Roman" w:eastAsia="Times New Roman" w:hAnsi="Times New Roman" w:cs="Times New Roman"/>
                <w:color w:val="000000"/>
                <w:kern w:val="0"/>
                <w:szCs w:val="24"/>
                <w:lang w:eastAsia="en-IN"/>
                <w14:ligatures w14:val="none"/>
              </w:rPr>
              <w:t>3,15</w:t>
            </w:r>
          </w:p>
        </w:tc>
      </w:tr>
      <w:tr w:rsidR="001355EB" w:rsidRPr="001355EB" w14:paraId="2A04E978" w14:textId="77777777" w:rsidTr="001355EB">
        <w:trPr>
          <w:trHeight w:val="20"/>
          <w:jc w:val="center"/>
        </w:trPr>
        <w:tc>
          <w:tcPr>
            <w:tcW w:w="1852" w:type="dxa"/>
            <w:tcBorders>
              <w:top w:val="nil"/>
              <w:left w:val="single" w:sz="4" w:space="0" w:color="auto"/>
              <w:bottom w:val="single" w:sz="4" w:space="0" w:color="auto"/>
              <w:right w:val="single" w:sz="4" w:space="0" w:color="auto"/>
            </w:tcBorders>
            <w:vAlign w:val="center"/>
            <w:hideMark/>
          </w:tcPr>
          <w:p w14:paraId="76BCE2AD" w14:textId="77777777" w:rsidR="001355EB" w:rsidRPr="00E02C8A"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Travancore-Cochin</w:t>
            </w:r>
          </w:p>
        </w:tc>
        <w:tc>
          <w:tcPr>
            <w:tcW w:w="1265" w:type="dxa"/>
            <w:tcBorders>
              <w:top w:val="nil"/>
              <w:left w:val="nil"/>
              <w:bottom w:val="single" w:sz="4" w:space="0" w:color="auto"/>
              <w:right w:val="single" w:sz="4" w:space="0" w:color="auto"/>
            </w:tcBorders>
            <w:vAlign w:val="center"/>
            <w:hideMark/>
          </w:tcPr>
          <w:p w14:paraId="47511117"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142" w:type="dxa"/>
            <w:tcBorders>
              <w:top w:val="nil"/>
              <w:left w:val="nil"/>
              <w:bottom w:val="single" w:sz="4" w:space="0" w:color="auto"/>
              <w:right w:val="single" w:sz="4" w:space="0" w:color="auto"/>
            </w:tcBorders>
            <w:vAlign w:val="center"/>
            <w:hideMark/>
          </w:tcPr>
          <w:p w14:paraId="0C097E25"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291" w:type="dxa"/>
            <w:tcBorders>
              <w:top w:val="nil"/>
              <w:left w:val="nil"/>
              <w:bottom w:val="single" w:sz="4" w:space="0" w:color="auto"/>
              <w:right w:val="single" w:sz="4" w:space="0" w:color="auto"/>
            </w:tcBorders>
            <w:vAlign w:val="center"/>
            <w:hideMark/>
          </w:tcPr>
          <w:p w14:paraId="6338FC4C"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340" w:type="dxa"/>
            <w:tcBorders>
              <w:top w:val="nil"/>
              <w:left w:val="nil"/>
              <w:bottom w:val="single" w:sz="4" w:space="0" w:color="auto"/>
              <w:right w:val="single" w:sz="4" w:space="0" w:color="auto"/>
            </w:tcBorders>
            <w:vAlign w:val="center"/>
            <w:hideMark/>
          </w:tcPr>
          <w:p w14:paraId="1C33EBEB"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142" w:type="dxa"/>
            <w:tcBorders>
              <w:top w:val="nil"/>
              <w:left w:val="nil"/>
              <w:bottom w:val="single" w:sz="4" w:space="0" w:color="auto"/>
              <w:right w:val="single" w:sz="4" w:space="0" w:color="auto"/>
            </w:tcBorders>
            <w:vAlign w:val="center"/>
            <w:hideMark/>
          </w:tcPr>
          <w:p w14:paraId="0EEE56F6" w14:textId="31C84E06"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3,</w:t>
            </w:r>
            <w:r w:rsidR="00205F65">
              <w:rPr>
                <w:rFonts w:ascii="Times New Roman" w:eastAsia="Times New Roman" w:hAnsi="Times New Roman" w:cs="Times New Roman"/>
                <w:color w:val="000000"/>
                <w:kern w:val="0"/>
                <w:szCs w:val="24"/>
                <w:lang w:eastAsia="en-IN"/>
                <w14:ligatures w14:val="none"/>
              </w:rPr>
              <w:t>63</w:t>
            </w:r>
          </w:p>
        </w:tc>
        <w:tc>
          <w:tcPr>
            <w:tcW w:w="1177" w:type="dxa"/>
            <w:tcBorders>
              <w:top w:val="nil"/>
              <w:left w:val="nil"/>
              <w:bottom w:val="single" w:sz="4" w:space="0" w:color="auto"/>
              <w:right w:val="single" w:sz="4" w:space="0" w:color="auto"/>
            </w:tcBorders>
            <w:vAlign w:val="center"/>
            <w:hideMark/>
          </w:tcPr>
          <w:p w14:paraId="688AE4DF"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134" w:type="dxa"/>
            <w:tcBorders>
              <w:top w:val="nil"/>
              <w:left w:val="nil"/>
              <w:bottom w:val="single" w:sz="4" w:space="0" w:color="auto"/>
              <w:right w:val="single" w:sz="4" w:space="0" w:color="auto"/>
            </w:tcBorders>
            <w:vAlign w:val="center"/>
            <w:hideMark/>
          </w:tcPr>
          <w:p w14:paraId="337B201F"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2101" w:type="dxa"/>
            <w:tcBorders>
              <w:top w:val="nil"/>
              <w:left w:val="nil"/>
              <w:bottom w:val="single" w:sz="4" w:space="0" w:color="auto"/>
              <w:right w:val="single" w:sz="4" w:space="0" w:color="auto"/>
            </w:tcBorders>
            <w:vAlign w:val="center"/>
            <w:hideMark/>
          </w:tcPr>
          <w:p w14:paraId="158C0853" w14:textId="5D0A9E6F" w:rsidR="001355EB" w:rsidRPr="001355EB" w:rsidRDefault="00503C08" w:rsidP="00503C08">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621" w:type="dxa"/>
            <w:tcBorders>
              <w:top w:val="nil"/>
              <w:left w:val="nil"/>
              <w:bottom w:val="single" w:sz="4" w:space="0" w:color="auto"/>
              <w:right w:val="single" w:sz="4" w:space="0" w:color="auto"/>
            </w:tcBorders>
            <w:vAlign w:val="center"/>
            <w:hideMark/>
          </w:tcPr>
          <w:p w14:paraId="3828216F"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087" w:type="dxa"/>
            <w:tcBorders>
              <w:top w:val="nil"/>
              <w:left w:val="nil"/>
              <w:bottom w:val="single" w:sz="4" w:space="0" w:color="auto"/>
              <w:right w:val="single" w:sz="4" w:space="0" w:color="auto"/>
            </w:tcBorders>
            <w:vAlign w:val="center"/>
            <w:hideMark/>
          </w:tcPr>
          <w:p w14:paraId="76976B86"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3,63</w:t>
            </w:r>
          </w:p>
        </w:tc>
      </w:tr>
      <w:tr w:rsidR="001355EB" w:rsidRPr="001355EB" w14:paraId="7E55C150" w14:textId="77777777" w:rsidTr="001355EB">
        <w:trPr>
          <w:trHeight w:val="20"/>
          <w:jc w:val="center"/>
        </w:trPr>
        <w:tc>
          <w:tcPr>
            <w:tcW w:w="1852" w:type="dxa"/>
            <w:tcBorders>
              <w:top w:val="nil"/>
              <w:left w:val="single" w:sz="4" w:space="0" w:color="auto"/>
              <w:bottom w:val="single" w:sz="4" w:space="0" w:color="auto"/>
              <w:right w:val="single" w:sz="4" w:space="0" w:color="auto"/>
            </w:tcBorders>
            <w:vAlign w:val="center"/>
            <w:hideMark/>
          </w:tcPr>
          <w:p w14:paraId="197D68C1" w14:textId="77777777" w:rsidR="001355EB" w:rsidRPr="00E02C8A"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TOTAL</w:t>
            </w:r>
          </w:p>
        </w:tc>
        <w:tc>
          <w:tcPr>
            <w:tcW w:w="1265" w:type="dxa"/>
            <w:tcBorders>
              <w:top w:val="nil"/>
              <w:left w:val="nil"/>
              <w:bottom w:val="single" w:sz="4" w:space="0" w:color="auto"/>
              <w:right w:val="single" w:sz="4" w:space="0" w:color="auto"/>
            </w:tcBorders>
            <w:vAlign w:val="center"/>
            <w:hideMark/>
          </w:tcPr>
          <w:p w14:paraId="7B286484" w14:textId="77777777" w:rsidR="001355EB" w:rsidRPr="00E02C8A"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(c)52,60</w:t>
            </w:r>
          </w:p>
        </w:tc>
        <w:tc>
          <w:tcPr>
            <w:tcW w:w="1142" w:type="dxa"/>
            <w:tcBorders>
              <w:top w:val="nil"/>
              <w:left w:val="nil"/>
              <w:bottom w:val="single" w:sz="4" w:space="0" w:color="auto"/>
              <w:right w:val="single" w:sz="4" w:space="0" w:color="auto"/>
            </w:tcBorders>
            <w:vAlign w:val="center"/>
            <w:hideMark/>
          </w:tcPr>
          <w:p w14:paraId="57A502D4" w14:textId="77777777" w:rsidR="001355EB" w:rsidRPr="00E02C8A"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1,85</w:t>
            </w:r>
          </w:p>
        </w:tc>
        <w:tc>
          <w:tcPr>
            <w:tcW w:w="1291" w:type="dxa"/>
            <w:tcBorders>
              <w:top w:val="nil"/>
              <w:left w:val="nil"/>
              <w:bottom w:val="single" w:sz="4" w:space="0" w:color="auto"/>
              <w:right w:val="single" w:sz="4" w:space="0" w:color="auto"/>
            </w:tcBorders>
            <w:vAlign w:val="center"/>
            <w:hideMark/>
          </w:tcPr>
          <w:p w14:paraId="706A67FD" w14:textId="77777777" w:rsidR="001355EB" w:rsidRPr="00E02C8A"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70</w:t>
            </w:r>
          </w:p>
        </w:tc>
        <w:tc>
          <w:tcPr>
            <w:tcW w:w="1340" w:type="dxa"/>
            <w:tcBorders>
              <w:top w:val="nil"/>
              <w:left w:val="nil"/>
              <w:bottom w:val="single" w:sz="4" w:space="0" w:color="auto"/>
              <w:right w:val="single" w:sz="4" w:space="0" w:color="auto"/>
            </w:tcBorders>
            <w:vAlign w:val="center"/>
            <w:hideMark/>
          </w:tcPr>
          <w:p w14:paraId="3D24411B" w14:textId="77777777" w:rsidR="001355EB" w:rsidRPr="00E02C8A"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1,75</w:t>
            </w:r>
          </w:p>
        </w:tc>
        <w:tc>
          <w:tcPr>
            <w:tcW w:w="1142" w:type="dxa"/>
            <w:tcBorders>
              <w:top w:val="nil"/>
              <w:left w:val="nil"/>
              <w:bottom w:val="single" w:sz="4" w:space="0" w:color="auto"/>
              <w:right w:val="single" w:sz="4" w:space="0" w:color="auto"/>
            </w:tcBorders>
            <w:vAlign w:val="center"/>
            <w:hideMark/>
          </w:tcPr>
          <w:p w14:paraId="32E28DBD" w14:textId="77777777" w:rsidR="001355EB" w:rsidRPr="00E02C8A"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13,77</w:t>
            </w:r>
          </w:p>
        </w:tc>
        <w:tc>
          <w:tcPr>
            <w:tcW w:w="1177" w:type="dxa"/>
            <w:tcBorders>
              <w:top w:val="nil"/>
              <w:left w:val="nil"/>
              <w:bottom w:val="single" w:sz="4" w:space="0" w:color="auto"/>
              <w:right w:val="single" w:sz="4" w:space="0" w:color="auto"/>
            </w:tcBorders>
            <w:vAlign w:val="center"/>
            <w:hideMark/>
          </w:tcPr>
          <w:p w14:paraId="386458D6" w14:textId="77777777" w:rsidR="001355EB" w:rsidRPr="00E02C8A"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(d)8,78</w:t>
            </w:r>
          </w:p>
        </w:tc>
        <w:tc>
          <w:tcPr>
            <w:tcW w:w="1134" w:type="dxa"/>
            <w:tcBorders>
              <w:top w:val="nil"/>
              <w:left w:val="nil"/>
              <w:bottom w:val="single" w:sz="4" w:space="0" w:color="auto"/>
              <w:right w:val="single" w:sz="4" w:space="0" w:color="auto"/>
            </w:tcBorders>
            <w:vAlign w:val="center"/>
            <w:hideMark/>
          </w:tcPr>
          <w:p w14:paraId="7CB0E706" w14:textId="77777777" w:rsidR="001355EB" w:rsidRPr="00E02C8A"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(d)5,31</w:t>
            </w:r>
          </w:p>
        </w:tc>
        <w:tc>
          <w:tcPr>
            <w:tcW w:w="2101" w:type="dxa"/>
            <w:tcBorders>
              <w:top w:val="nil"/>
              <w:left w:val="nil"/>
              <w:bottom w:val="single" w:sz="4" w:space="0" w:color="auto"/>
              <w:right w:val="single" w:sz="4" w:space="0" w:color="auto"/>
            </w:tcBorders>
            <w:vAlign w:val="center"/>
            <w:hideMark/>
          </w:tcPr>
          <w:p w14:paraId="299BD6DA" w14:textId="77777777" w:rsidR="001355EB" w:rsidRPr="00E02C8A"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1,05</w:t>
            </w:r>
          </w:p>
        </w:tc>
        <w:tc>
          <w:tcPr>
            <w:tcW w:w="1621" w:type="dxa"/>
            <w:tcBorders>
              <w:top w:val="nil"/>
              <w:left w:val="nil"/>
              <w:bottom w:val="single" w:sz="4" w:space="0" w:color="auto"/>
              <w:right w:val="single" w:sz="4" w:space="0" w:color="auto"/>
            </w:tcBorders>
            <w:vAlign w:val="center"/>
            <w:hideMark/>
          </w:tcPr>
          <w:p w14:paraId="5A8E44D5" w14:textId="77777777" w:rsidR="001355EB" w:rsidRPr="00E02C8A"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42</w:t>
            </w:r>
          </w:p>
        </w:tc>
        <w:tc>
          <w:tcPr>
            <w:tcW w:w="1087" w:type="dxa"/>
            <w:tcBorders>
              <w:top w:val="nil"/>
              <w:left w:val="nil"/>
              <w:bottom w:val="single" w:sz="4" w:space="0" w:color="auto"/>
              <w:right w:val="single" w:sz="4" w:space="0" w:color="auto"/>
            </w:tcBorders>
            <w:vAlign w:val="center"/>
            <w:hideMark/>
          </w:tcPr>
          <w:p w14:paraId="1EF37ED7" w14:textId="77777777" w:rsidR="001355EB" w:rsidRPr="00E02C8A"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(e) 86,62</w:t>
            </w:r>
          </w:p>
        </w:tc>
      </w:tr>
    </w:tbl>
    <w:p w14:paraId="1284F90E" w14:textId="77777777" w:rsidR="001355EB" w:rsidRDefault="001355EB" w:rsidP="001C4D86">
      <w:pPr>
        <w:jc w:val="center"/>
        <w:rPr>
          <w:rFonts w:ascii="Times New Roman" w:hAnsi="Times New Roman" w:cs="Times New Roman"/>
          <w:b/>
          <w:bCs/>
        </w:rPr>
      </w:pPr>
    </w:p>
    <w:p w14:paraId="55CA7BD5" w14:textId="53FD762A" w:rsidR="001355EB" w:rsidRPr="002056F1" w:rsidRDefault="001C4D86" w:rsidP="001355EB">
      <w:pPr>
        <w:jc w:val="center"/>
        <w:rPr>
          <w:rFonts w:ascii="Times New Roman" w:hAnsi="Times New Roman" w:cs="Times New Roman"/>
          <w:b/>
          <w:bCs/>
          <w:sz w:val="28"/>
          <w:szCs w:val="22"/>
        </w:rPr>
      </w:pPr>
      <w:r w:rsidRPr="002056F1">
        <w:rPr>
          <w:rFonts w:ascii="Times New Roman" w:hAnsi="Times New Roman" w:cs="Times New Roman"/>
          <w:b/>
          <w:bCs/>
          <w:sz w:val="28"/>
          <w:szCs w:val="22"/>
        </w:rPr>
        <w:lastRenderedPageBreak/>
        <w:t>10.—Resources transferred from the Centre to the States through devolution of Revenue and Grants:</w:t>
      </w:r>
      <w:r w:rsidRPr="002056F1">
        <w:rPr>
          <w:rFonts w:ascii="Times New Roman" w:hAnsi="Times New Roman" w:cs="Times New Roman"/>
          <w:sz w:val="28"/>
          <w:szCs w:val="22"/>
        </w:rPr>
        <w:br/>
      </w:r>
      <w:r w:rsidRPr="002056F1">
        <w:rPr>
          <w:rFonts w:ascii="Times New Roman" w:hAnsi="Times New Roman" w:cs="Times New Roman"/>
          <w:b/>
          <w:bCs/>
          <w:sz w:val="28"/>
          <w:szCs w:val="22"/>
        </w:rPr>
        <w:t>Details—1950-51 to 1952-53—contd.</w:t>
      </w:r>
    </w:p>
    <w:tbl>
      <w:tblPr>
        <w:tblW w:w="15002" w:type="dxa"/>
        <w:jc w:val="center"/>
        <w:tblLook w:val="04A0" w:firstRow="1" w:lastRow="0" w:firstColumn="1" w:lastColumn="0" w:noHBand="0" w:noVBand="1"/>
      </w:tblPr>
      <w:tblGrid>
        <w:gridCol w:w="1850"/>
        <w:gridCol w:w="1232"/>
        <w:gridCol w:w="1141"/>
        <w:gridCol w:w="1289"/>
        <w:gridCol w:w="1341"/>
        <w:gridCol w:w="1142"/>
        <w:gridCol w:w="1438"/>
        <w:gridCol w:w="1157"/>
        <w:gridCol w:w="1570"/>
        <w:gridCol w:w="1622"/>
        <w:gridCol w:w="1220"/>
      </w:tblGrid>
      <w:tr w:rsidR="001355EB" w:rsidRPr="001355EB" w14:paraId="4EB0B225" w14:textId="77777777" w:rsidTr="001355EB">
        <w:trPr>
          <w:trHeight w:val="19"/>
          <w:jc w:val="center"/>
        </w:trPr>
        <w:tc>
          <w:tcPr>
            <w:tcW w:w="1850" w:type="dxa"/>
            <w:vMerge w:val="restart"/>
            <w:tcBorders>
              <w:top w:val="single" w:sz="4" w:space="0" w:color="auto"/>
              <w:left w:val="single" w:sz="4" w:space="0" w:color="auto"/>
              <w:bottom w:val="single" w:sz="4" w:space="0" w:color="auto"/>
              <w:right w:val="single" w:sz="4" w:space="0" w:color="auto"/>
            </w:tcBorders>
            <w:vAlign w:val="center"/>
            <w:hideMark/>
          </w:tcPr>
          <w:p w14:paraId="665CE18C" w14:textId="77777777" w:rsidR="001355EB" w:rsidRPr="001355EB" w:rsidRDefault="001355EB" w:rsidP="001355EB">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1355EB">
              <w:rPr>
                <w:rFonts w:ascii="Times New Roman" w:eastAsia="Times New Roman" w:hAnsi="Times New Roman" w:cs="Times New Roman"/>
                <w:b/>
                <w:bCs/>
                <w:color w:val="000000"/>
                <w:kern w:val="0"/>
                <w:szCs w:val="24"/>
                <w:lang w:eastAsia="en-IN"/>
                <w14:ligatures w14:val="none"/>
              </w:rPr>
              <w:t>State</w:t>
            </w:r>
          </w:p>
        </w:tc>
        <w:tc>
          <w:tcPr>
            <w:tcW w:w="13152" w:type="dxa"/>
            <w:gridSpan w:val="10"/>
            <w:tcBorders>
              <w:top w:val="single" w:sz="4" w:space="0" w:color="auto"/>
              <w:left w:val="nil"/>
              <w:bottom w:val="single" w:sz="4" w:space="0" w:color="auto"/>
              <w:right w:val="single" w:sz="4" w:space="0" w:color="auto"/>
            </w:tcBorders>
            <w:vAlign w:val="center"/>
            <w:hideMark/>
          </w:tcPr>
          <w:p w14:paraId="1445A3FC" w14:textId="4514F892" w:rsidR="001355EB" w:rsidRPr="001355EB" w:rsidRDefault="001355EB" w:rsidP="001355EB">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1355EB">
              <w:rPr>
                <w:rFonts w:ascii="Times New Roman" w:eastAsia="Times New Roman" w:hAnsi="Times New Roman" w:cs="Times New Roman"/>
                <w:b/>
                <w:bCs/>
                <w:color w:val="000000"/>
                <w:kern w:val="0"/>
                <w:szCs w:val="24"/>
                <w:lang w:eastAsia="en-IN"/>
                <w14:ligatures w14:val="none"/>
              </w:rPr>
              <w:t>195</w:t>
            </w:r>
            <w:r>
              <w:rPr>
                <w:rFonts w:ascii="Times New Roman" w:eastAsia="Times New Roman" w:hAnsi="Times New Roman" w:cs="Times New Roman"/>
                <w:b/>
                <w:bCs/>
                <w:color w:val="000000"/>
                <w:kern w:val="0"/>
                <w:szCs w:val="24"/>
                <w:lang w:eastAsia="en-IN"/>
                <w14:ligatures w14:val="none"/>
              </w:rPr>
              <w:t>2</w:t>
            </w:r>
            <w:r w:rsidRPr="001355EB">
              <w:rPr>
                <w:rFonts w:ascii="Times New Roman" w:eastAsia="Times New Roman" w:hAnsi="Times New Roman" w:cs="Times New Roman"/>
                <w:b/>
                <w:bCs/>
                <w:color w:val="000000"/>
                <w:kern w:val="0"/>
                <w:szCs w:val="24"/>
                <w:lang w:eastAsia="en-IN"/>
                <w14:ligatures w14:val="none"/>
              </w:rPr>
              <w:t>-5</w:t>
            </w:r>
            <w:r>
              <w:rPr>
                <w:rFonts w:ascii="Times New Roman" w:eastAsia="Times New Roman" w:hAnsi="Times New Roman" w:cs="Times New Roman"/>
                <w:b/>
                <w:bCs/>
                <w:color w:val="000000"/>
                <w:kern w:val="0"/>
                <w:szCs w:val="24"/>
                <w:lang w:eastAsia="en-IN"/>
                <w14:ligatures w14:val="none"/>
              </w:rPr>
              <w:t>3</w:t>
            </w:r>
            <w:r w:rsidRPr="001355EB">
              <w:rPr>
                <w:rFonts w:ascii="Times New Roman" w:eastAsia="Times New Roman" w:hAnsi="Times New Roman" w:cs="Times New Roman"/>
                <w:b/>
                <w:bCs/>
                <w:color w:val="000000"/>
                <w:kern w:val="0"/>
                <w:szCs w:val="24"/>
                <w:lang w:eastAsia="en-IN"/>
                <w14:ligatures w14:val="none"/>
              </w:rPr>
              <w:t xml:space="preserve"> (Budget Figures)</w:t>
            </w:r>
          </w:p>
        </w:tc>
      </w:tr>
      <w:tr w:rsidR="001355EB" w:rsidRPr="001355EB" w14:paraId="7408A513" w14:textId="77777777" w:rsidTr="001355EB">
        <w:trPr>
          <w:trHeight w:val="19"/>
          <w:jc w:val="center"/>
        </w:trPr>
        <w:tc>
          <w:tcPr>
            <w:tcW w:w="1850" w:type="dxa"/>
            <w:vMerge/>
            <w:tcBorders>
              <w:top w:val="single" w:sz="4" w:space="0" w:color="auto"/>
              <w:left w:val="single" w:sz="4" w:space="0" w:color="auto"/>
              <w:bottom w:val="single" w:sz="4" w:space="0" w:color="auto"/>
              <w:right w:val="single" w:sz="4" w:space="0" w:color="auto"/>
            </w:tcBorders>
            <w:vAlign w:val="center"/>
            <w:hideMark/>
          </w:tcPr>
          <w:p w14:paraId="6BAF06BC" w14:textId="77777777" w:rsidR="001355EB" w:rsidRPr="001355EB" w:rsidRDefault="001355EB" w:rsidP="001355EB">
            <w:pPr>
              <w:spacing w:after="0" w:line="240" w:lineRule="auto"/>
              <w:jc w:val="center"/>
              <w:rPr>
                <w:rFonts w:ascii="Times New Roman" w:eastAsia="Times New Roman" w:hAnsi="Times New Roman" w:cs="Times New Roman"/>
                <w:b/>
                <w:bCs/>
                <w:color w:val="000000"/>
                <w:kern w:val="0"/>
                <w:szCs w:val="24"/>
                <w:lang w:eastAsia="en-IN"/>
                <w14:ligatures w14:val="none"/>
              </w:rPr>
            </w:pPr>
          </w:p>
        </w:tc>
        <w:tc>
          <w:tcPr>
            <w:tcW w:w="1232" w:type="dxa"/>
            <w:vMerge w:val="restart"/>
            <w:tcBorders>
              <w:top w:val="nil"/>
              <w:left w:val="single" w:sz="4" w:space="0" w:color="auto"/>
              <w:bottom w:val="single" w:sz="4" w:space="0" w:color="auto"/>
              <w:right w:val="single" w:sz="4" w:space="0" w:color="auto"/>
            </w:tcBorders>
            <w:vAlign w:val="center"/>
            <w:hideMark/>
          </w:tcPr>
          <w:p w14:paraId="34A25D92" w14:textId="77777777" w:rsidR="001355EB" w:rsidRPr="001355EB" w:rsidRDefault="001355EB" w:rsidP="001355EB">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1355EB">
              <w:rPr>
                <w:rFonts w:ascii="Times New Roman" w:eastAsia="Times New Roman" w:hAnsi="Times New Roman" w:cs="Times New Roman"/>
                <w:b/>
                <w:bCs/>
                <w:color w:val="000000"/>
                <w:kern w:val="0"/>
                <w:szCs w:val="24"/>
                <w:lang w:eastAsia="en-IN"/>
                <w14:ligatures w14:val="none"/>
              </w:rPr>
              <w:t>Share of Income Tax</w:t>
            </w:r>
          </w:p>
        </w:tc>
        <w:tc>
          <w:tcPr>
            <w:tcW w:w="4913" w:type="dxa"/>
            <w:gridSpan w:val="4"/>
            <w:tcBorders>
              <w:top w:val="single" w:sz="4" w:space="0" w:color="auto"/>
              <w:left w:val="nil"/>
              <w:bottom w:val="single" w:sz="4" w:space="0" w:color="auto"/>
              <w:right w:val="single" w:sz="4" w:space="0" w:color="auto"/>
            </w:tcBorders>
            <w:vAlign w:val="center"/>
            <w:hideMark/>
          </w:tcPr>
          <w:p w14:paraId="53EC8CDE" w14:textId="77777777" w:rsidR="001355EB" w:rsidRPr="001355EB" w:rsidRDefault="001355EB" w:rsidP="001355EB">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1355EB">
              <w:rPr>
                <w:rFonts w:ascii="Times New Roman" w:eastAsia="Times New Roman" w:hAnsi="Times New Roman" w:cs="Times New Roman"/>
                <w:b/>
                <w:bCs/>
                <w:color w:val="000000"/>
                <w:kern w:val="0"/>
                <w:szCs w:val="24"/>
                <w:lang w:eastAsia="en-IN"/>
                <w14:ligatures w14:val="none"/>
              </w:rPr>
              <w:t>Grants under</w:t>
            </w:r>
          </w:p>
        </w:tc>
        <w:tc>
          <w:tcPr>
            <w:tcW w:w="1438" w:type="dxa"/>
            <w:vMerge w:val="restart"/>
            <w:tcBorders>
              <w:top w:val="nil"/>
              <w:left w:val="single" w:sz="4" w:space="0" w:color="auto"/>
              <w:bottom w:val="single" w:sz="4" w:space="0" w:color="auto"/>
              <w:right w:val="single" w:sz="4" w:space="0" w:color="auto"/>
            </w:tcBorders>
            <w:vAlign w:val="center"/>
            <w:hideMark/>
          </w:tcPr>
          <w:p w14:paraId="34E510E4" w14:textId="77777777" w:rsidR="001355EB" w:rsidRPr="001355EB" w:rsidRDefault="001355EB" w:rsidP="001355EB">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1355EB">
              <w:rPr>
                <w:rFonts w:ascii="Times New Roman" w:eastAsia="Times New Roman" w:hAnsi="Times New Roman" w:cs="Times New Roman"/>
                <w:b/>
                <w:bCs/>
                <w:color w:val="000000"/>
                <w:kern w:val="0"/>
                <w:szCs w:val="24"/>
                <w:lang w:eastAsia="en-IN"/>
                <w14:ligatures w14:val="none"/>
              </w:rPr>
              <w:t>Rehabili-tation Grants</w:t>
            </w:r>
          </w:p>
        </w:tc>
        <w:tc>
          <w:tcPr>
            <w:tcW w:w="1157" w:type="dxa"/>
            <w:vMerge w:val="restart"/>
            <w:tcBorders>
              <w:top w:val="nil"/>
              <w:left w:val="single" w:sz="4" w:space="0" w:color="auto"/>
              <w:bottom w:val="single" w:sz="4" w:space="0" w:color="auto"/>
              <w:right w:val="single" w:sz="4" w:space="0" w:color="auto"/>
            </w:tcBorders>
            <w:vAlign w:val="center"/>
            <w:hideMark/>
          </w:tcPr>
          <w:p w14:paraId="52C5D86A" w14:textId="77777777" w:rsidR="001355EB" w:rsidRPr="001355EB" w:rsidRDefault="001355EB" w:rsidP="001355EB">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1355EB">
              <w:rPr>
                <w:rFonts w:ascii="Times New Roman" w:eastAsia="Times New Roman" w:hAnsi="Times New Roman" w:cs="Times New Roman"/>
                <w:b/>
                <w:bCs/>
                <w:color w:val="000000"/>
                <w:kern w:val="0"/>
                <w:szCs w:val="24"/>
                <w:lang w:eastAsia="en-IN"/>
                <w14:ligatures w14:val="none"/>
              </w:rPr>
              <w:t>Grow More Food Grants</w:t>
            </w:r>
          </w:p>
        </w:tc>
        <w:tc>
          <w:tcPr>
            <w:tcW w:w="319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B0C2F55" w14:textId="77777777" w:rsidR="001355EB" w:rsidRPr="001355EB" w:rsidRDefault="001355EB" w:rsidP="001355EB">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1355EB">
              <w:rPr>
                <w:rFonts w:ascii="Times New Roman" w:eastAsia="Times New Roman" w:hAnsi="Times New Roman" w:cs="Times New Roman"/>
                <w:b/>
                <w:bCs/>
                <w:color w:val="000000"/>
                <w:kern w:val="0"/>
                <w:szCs w:val="24"/>
                <w:lang w:eastAsia="en-IN"/>
                <w14:ligatures w14:val="none"/>
              </w:rPr>
              <w:t>Other Grants</w:t>
            </w:r>
          </w:p>
        </w:tc>
        <w:tc>
          <w:tcPr>
            <w:tcW w:w="1218" w:type="dxa"/>
            <w:vMerge w:val="restart"/>
            <w:tcBorders>
              <w:top w:val="nil"/>
              <w:left w:val="single" w:sz="4" w:space="0" w:color="auto"/>
              <w:bottom w:val="single" w:sz="4" w:space="0" w:color="auto"/>
              <w:right w:val="single" w:sz="4" w:space="0" w:color="auto"/>
            </w:tcBorders>
            <w:vAlign w:val="center"/>
            <w:hideMark/>
          </w:tcPr>
          <w:p w14:paraId="6D8074AB" w14:textId="77777777" w:rsidR="001355EB" w:rsidRPr="001355EB" w:rsidRDefault="001355EB" w:rsidP="001355EB">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1355EB">
              <w:rPr>
                <w:rFonts w:ascii="Times New Roman" w:eastAsia="Times New Roman" w:hAnsi="Times New Roman" w:cs="Times New Roman"/>
                <w:b/>
                <w:bCs/>
                <w:color w:val="000000"/>
                <w:kern w:val="0"/>
                <w:szCs w:val="24"/>
                <w:lang w:eastAsia="en-IN"/>
                <w14:ligatures w14:val="none"/>
              </w:rPr>
              <w:t>Total</w:t>
            </w:r>
          </w:p>
        </w:tc>
      </w:tr>
      <w:tr w:rsidR="001355EB" w:rsidRPr="001355EB" w14:paraId="324F3425" w14:textId="77777777" w:rsidTr="001355EB">
        <w:trPr>
          <w:trHeight w:val="19"/>
          <w:jc w:val="center"/>
        </w:trPr>
        <w:tc>
          <w:tcPr>
            <w:tcW w:w="1850" w:type="dxa"/>
            <w:vMerge/>
            <w:tcBorders>
              <w:top w:val="single" w:sz="4" w:space="0" w:color="auto"/>
              <w:left w:val="single" w:sz="4" w:space="0" w:color="auto"/>
              <w:bottom w:val="single" w:sz="4" w:space="0" w:color="auto"/>
              <w:right w:val="single" w:sz="4" w:space="0" w:color="auto"/>
            </w:tcBorders>
            <w:vAlign w:val="center"/>
            <w:hideMark/>
          </w:tcPr>
          <w:p w14:paraId="0AB1CBE8" w14:textId="77777777" w:rsidR="001355EB" w:rsidRPr="001355EB" w:rsidRDefault="001355EB" w:rsidP="001355EB">
            <w:pPr>
              <w:spacing w:after="0" w:line="240" w:lineRule="auto"/>
              <w:jc w:val="center"/>
              <w:rPr>
                <w:rFonts w:ascii="Times New Roman" w:eastAsia="Times New Roman" w:hAnsi="Times New Roman" w:cs="Times New Roman"/>
                <w:b/>
                <w:bCs/>
                <w:color w:val="000000"/>
                <w:kern w:val="0"/>
                <w:szCs w:val="24"/>
                <w:lang w:eastAsia="en-IN"/>
                <w14:ligatures w14:val="none"/>
              </w:rPr>
            </w:pPr>
          </w:p>
        </w:tc>
        <w:tc>
          <w:tcPr>
            <w:tcW w:w="1232" w:type="dxa"/>
            <w:vMerge/>
            <w:tcBorders>
              <w:top w:val="nil"/>
              <w:left w:val="single" w:sz="4" w:space="0" w:color="auto"/>
              <w:bottom w:val="single" w:sz="4" w:space="0" w:color="auto"/>
              <w:right w:val="single" w:sz="4" w:space="0" w:color="auto"/>
            </w:tcBorders>
            <w:vAlign w:val="center"/>
            <w:hideMark/>
          </w:tcPr>
          <w:p w14:paraId="61E83C73" w14:textId="77777777" w:rsidR="001355EB" w:rsidRPr="001355EB" w:rsidRDefault="001355EB" w:rsidP="001355EB">
            <w:pPr>
              <w:spacing w:after="0" w:line="240" w:lineRule="auto"/>
              <w:jc w:val="center"/>
              <w:rPr>
                <w:rFonts w:ascii="Times New Roman" w:eastAsia="Times New Roman" w:hAnsi="Times New Roman" w:cs="Times New Roman"/>
                <w:b/>
                <w:bCs/>
                <w:color w:val="000000"/>
                <w:kern w:val="0"/>
                <w:szCs w:val="24"/>
                <w:lang w:eastAsia="en-IN"/>
                <w14:ligatures w14:val="none"/>
              </w:rPr>
            </w:pPr>
          </w:p>
        </w:tc>
        <w:tc>
          <w:tcPr>
            <w:tcW w:w="1141" w:type="dxa"/>
            <w:vMerge w:val="restart"/>
            <w:tcBorders>
              <w:top w:val="nil"/>
              <w:left w:val="single" w:sz="4" w:space="0" w:color="auto"/>
              <w:bottom w:val="single" w:sz="4" w:space="0" w:color="auto"/>
              <w:right w:val="single" w:sz="4" w:space="0" w:color="auto"/>
            </w:tcBorders>
            <w:vAlign w:val="center"/>
            <w:hideMark/>
          </w:tcPr>
          <w:p w14:paraId="2563F852" w14:textId="77777777" w:rsidR="001355EB" w:rsidRPr="001355EB" w:rsidRDefault="001355EB" w:rsidP="001355EB">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1355EB">
              <w:rPr>
                <w:rFonts w:ascii="Times New Roman" w:eastAsia="Times New Roman" w:hAnsi="Times New Roman" w:cs="Times New Roman"/>
                <w:b/>
                <w:bCs/>
                <w:color w:val="000000"/>
                <w:kern w:val="0"/>
                <w:szCs w:val="24"/>
                <w:lang w:eastAsia="en-IN"/>
                <w14:ligatures w14:val="none"/>
              </w:rPr>
              <w:t>Article 273</w:t>
            </w:r>
          </w:p>
        </w:tc>
        <w:tc>
          <w:tcPr>
            <w:tcW w:w="2630" w:type="dxa"/>
            <w:gridSpan w:val="2"/>
            <w:tcBorders>
              <w:top w:val="single" w:sz="4" w:space="0" w:color="auto"/>
              <w:left w:val="nil"/>
              <w:bottom w:val="single" w:sz="4" w:space="0" w:color="auto"/>
              <w:right w:val="single" w:sz="4" w:space="0" w:color="auto"/>
            </w:tcBorders>
            <w:vAlign w:val="center"/>
            <w:hideMark/>
          </w:tcPr>
          <w:p w14:paraId="073A34E3" w14:textId="77777777" w:rsidR="001355EB" w:rsidRPr="001355EB" w:rsidRDefault="001355EB" w:rsidP="001355EB">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1355EB">
              <w:rPr>
                <w:rFonts w:ascii="Times New Roman" w:eastAsia="Times New Roman" w:hAnsi="Times New Roman" w:cs="Times New Roman"/>
                <w:b/>
                <w:bCs/>
                <w:color w:val="000000"/>
                <w:kern w:val="0"/>
                <w:szCs w:val="24"/>
                <w:lang w:eastAsia="en-IN"/>
                <w14:ligatures w14:val="none"/>
              </w:rPr>
              <w:t>Article 275</w:t>
            </w:r>
          </w:p>
        </w:tc>
        <w:tc>
          <w:tcPr>
            <w:tcW w:w="1142" w:type="dxa"/>
            <w:vMerge w:val="restart"/>
            <w:tcBorders>
              <w:top w:val="nil"/>
              <w:left w:val="single" w:sz="4" w:space="0" w:color="auto"/>
              <w:bottom w:val="single" w:sz="4" w:space="0" w:color="auto"/>
              <w:right w:val="single" w:sz="4" w:space="0" w:color="auto"/>
            </w:tcBorders>
            <w:vAlign w:val="center"/>
            <w:hideMark/>
          </w:tcPr>
          <w:p w14:paraId="5F0BACCC" w14:textId="77777777" w:rsidR="001355EB" w:rsidRPr="001355EB" w:rsidRDefault="001355EB" w:rsidP="001355EB">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1355EB">
              <w:rPr>
                <w:rFonts w:ascii="Times New Roman" w:eastAsia="Times New Roman" w:hAnsi="Times New Roman" w:cs="Times New Roman"/>
                <w:b/>
                <w:bCs/>
                <w:color w:val="000000"/>
                <w:kern w:val="0"/>
                <w:szCs w:val="24"/>
                <w:lang w:eastAsia="en-IN"/>
                <w14:ligatures w14:val="none"/>
              </w:rPr>
              <w:t>Article 278</w:t>
            </w:r>
          </w:p>
        </w:tc>
        <w:tc>
          <w:tcPr>
            <w:tcW w:w="1438" w:type="dxa"/>
            <w:vMerge/>
            <w:tcBorders>
              <w:top w:val="nil"/>
              <w:left w:val="single" w:sz="4" w:space="0" w:color="auto"/>
              <w:bottom w:val="single" w:sz="4" w:space="0" w:color="auto"/>
              <w:right w:val="single" w:sz="4" w:space="0" w:color="auto"/>
            </w:tcBorders>
            <w:vAlign w:val="center"/>
            <w:hideMark/>
          </w:tcPr>
          <w:p w14:paraId="5DF1011F" w14:textId="77777777" w:rsidR="001355EB" w:rsidRPr="001355EB" w:rsidRDefault="001355EB" w:rsidP="001355EB">
            <w:pPr>
              <w:spacing w:after="0" w:line="240" w:lineRule="auto"/>
              <w:jc w:val="center"/>
              <w:rPr>
                <w:rFonts w:ascii="Times New Roman" w:eastAsia="Times New Roman" w:hAnsi="Times New Roman" w:cs="Times New Roman"/>
                <w:b/>
                <w:bCs/>
                <w:color w:val="000000"/>
                <w:kern w:val="0"/>
                <w:szCs w:val="24"/>
                <w:lang w:eastAsia="en-IN"/>
                <w14:ligatures w14:val="none"/>
              </w:rPr>
            </w:pPr>
          </w:p>
        </w:tc>
        <w:tc>
          <w:tcPr>
            <w:tcW w:w="1157" w:type="dxa"/>
            <w:vMerge/>
            <w:tcBorders>
              <w:top w:val="nil"/>
              <w:left w:val="single" w:sz="4" w:space="0" w:color="auto"/>
              <w:bottom w:val="single" w:sz="4" w:space="0" w:color="auto"/>
              <w:right w:val="single" w:sz="4" w:space="0" w:color="auto"/>
            </w:tcBorders>
            <w:vAlign w:val="center"/>
            <w:hideMark/>
          </w:tcPr>
          <w:p w14:paraId="01C4FB80" w14:textId="77777777" w:rsidR="001355EB" w:rsidRPr="001355EB" w:rsidRDefault="001355EB" w:rsidP="001355EB">
            <w:pPr>
              <w:spacing w:after="0" w:line="240" w:lineRule="auto"/>
              <w:jc w:val="center"/>
              <w:rPr>
                <w:rFonts w:ascii="Times New Roman" w:eastAsia="Times New Roman" w:hAnsi="Times New Roman" w:cs="Times New Roman"/>
                <w:b/>
                <w:bCs/>
                <w:color w:val="000000"/>
                <w:kern w:val="0"/>
                <w:szCs w:val="24"/>
                <w:lang w:eastAsia="en-IN"/>
                <w14:ligatures w14:val="none"/>
              </w:rPr>
            </w:pPr>
          </w:p>
        </w:tc>
        <w:tc>
          <w:tcPr>
            <w:tcW w:w="3192" w:type="dxa"/>
            <w:gridSpan w:val="2"/>
            <w:vMerge/>
            <w:tcBorders>
              <w:top w:val="single" w:sz="4" w:space="0" w:color="auto"/>
              <w:left w:val="single" w:sz="4" w:space="0" w:color="auto"/>
              <w:bottom w:val="single" w:sz="4" w:space="0" w:color="auto"/>
              <w:right w:val="single" w:sz="4" w:space="0" w:color="auto"/>
            </w:tcBorders>
            <w:vAlign w:val="center"/>
            <w:hideMark/>
          </w:tcPr>
          <w:p w14:paraId="7CF10CED" w14:textId="77777777" w:rsidR="001355EB" w:rsidRPr="001355EB" w:rsidRDefault="001355EB" w:rsidP="001355EB">
            <w:pPr>
              <w:spacing w:after="0" w:line="240" w:lineRule="auto"/>
              <w:jc w:val="center"/>
              <w:rPr>
                <w:rFonts w:ascii="Times New Roman" w:eastAsia="Times New Roman" w:hAnsi="Times New Roman" w:cs="Times New Roman"/>
                <w:b/>
                <w:bCs/>
                <w:color w:val="000000"/>
                <w:kern w:val="0"/>
                <w:szCs w:val="24"/>
                <w:lang w:eastAsia="en-IN"/>
                <w14:ligatures w14:val="none"/>
              </w:rPr>
            </w:pPr>
          </w:p>
        </w:tc>
        <w:tc>
          <w:tcPr>
            <w:tcW w:w="1218" w:type="dxa"/>
            <w:vMerge/>
            <w:tcBorders>
              <w:top w:val="nil"/>
              <w:left w:val="single" w:sz="4" w:space="0" w:color="auto"/>
              <w:bottom w:val="single" w:sz="4" w:space="0" w:color="auto"/>
              <w:right w:val="single" w:sz="4" w:space="0" w:color="auto"/>
            </w:tcBorders>
            <w:vAlign w:val="center"/>
            <w:hideMark/>
          </w:tcPr>
          <w:p w14:paraId="4689DF7A" w14:textId="77777777" w:rsidR="001355EB" w:rsidRPr="001355EB" w:rsidRDefault="001355EB" w:rsidP="001355EB">
            <w:pPr>
              <w:spacing w:after="0" w:line="240" w:lineRule="auto"/>
              <w:jc w:val="center"/>
              <w:rPr>
                <w:rFonts w:ascii="Times New Roman" w:eastAsia="Times New Roman" w:hAnsi="Times New Roman" w:cs="Times New Roman"/>
                <w:b/>
                <w:bCs/>
                <w:color w:val="000000"/>
                <w:kern w:val="0"/>
                <w:szCs w:val="24"/>
                <w:lang w:eastAsia="en-IN"/>
                <w14:ligatures w14:val="none"/>
              </w:rPr>
            </w:pPr>
          </w:p>
        </w:tc>
      </w:tr>
      <w:tr w:rsidR="001355EB" w:rsidRPr="001355EB" w14:paraId="5F51C079" w14:textId="77777777" w:rsidTr="001355EB">
        <w:trPr>
          <w:trHeight w:val="19"/>
          <w:jc w:val="center"/>
        </w:trPr>
        <w:tc>
          <w:tcPr>
            <w:tcW w:w="1850" w:type="dxa"/>
            <w:vMerge/>
            <w:tcBorders>
              <w:top w:val="single" w:sz="4" w:space="0" w:color="auto"/>
              <w:left w:val="single" w:sz="4" w:space="0" w:color="auto"/>
              <w:bottom w:val="single" w:sz="4" w:space="0" w:color="auto"/>
              <w:right w:val="single" w:sz="4" w:space="0" w:color="auto"/>
            </w:tcBorders>
            <w:vAlign w:val="center"/>
            <w:hideMark/>
          </w:tcPr>
          <w:p w14:paraId="23904DB4" w14:textId="77777777" w:rsidR="001355EB" w:rsidRPr="001355EB" w:rsidRDefault="001355EB" w:rsidP="001355EB">
            <w:pPr>
              <w:spacing w:after="0" w:line="240" w:lineRule="auto"/>
              <w:jc w:val="center"/>
              <w:rPr>
                <w:rFonts w:ascii="Times New Roman" w:eastAsia="Times New Roman" w:hAnsi="Times New Roman" w:cs="Times New Roman"/>
                <w:b/>
                <w:bCs/>
                <w:color w:val="000000"/>
                <w:kern w:val="0"/>
                <w:szCs w:val="24"/>
                <w:lang w:eastAsia="en-IN"/>
                <w14:ligatures w14:val="none"/>
              </w:rPr>
            </w:pPr>
          </w:p>
        </w:tc>
        <w:tc>
          <w:tcPr>
            <w:tcW w:w="1232" w:type="dxa"/>
            <w:vMerge/>
            <w:tcBorders>
              <w:top w:val="nil"/>
              <w:left w:val="single" w:sz="4" w:space="0" w:color="auto"/>
              <w:bottom w:val="single" w:sz="4" w:space="0" w:color="auto"/>
              <w:right w:val="single" w:sz="4" w:space="0" w:color="auto"/>
            </w:tcBorders>
            <w:vAlign w:val="center"/>
            <w:hideMark/>
          </w:tcPr>
          <w:p w14:paraId="7201B932" w14:textId="77777777" w:rsidR="001355EB" w:rsidRPr="001355EB" w:rsidRDefault="001355EB" w:rsidP="001355EB">
            <w:pPr>
              <w:spacing w:after="0" w:line="240" w:lineRule="auto"/>
              <w:jc w:val="center"/>
              <w:rPr>
                <w:rFonts w:ascii="Times New Roman" w:eastAsia="Times New Roman" w:hAnsi="Times New Roman" w:cs="Times New Roman"/>
                <w:b/>
                <w:bCs/>
                <w:color w:val="000000"/>
                <w:kern w:val="0"/>
                <w:szCs w:val="24"/>
                <w:lang w:eastAsia="en-IN"/>
                <w14:ligatures w14:val="none"/>
              </w:rPr>
            </w:pPr>
          </w:p>
        </w:tc>
        <w:tc>
          <w:tcPr>
            <w:tcW w:w="1141" w:type="dxa"/>
            <w:vMerge/>
            <w:tcBorders>
              <w:top w:val="nil"/>
              <w:left w:val="single" w:sz="4" w:space="0" w:color="auto"/>
              <w:bottom w:val="single" w:sz="4" w:space="0" w:color="auto"/>
              <w:right w:val="single" w:sz="4" w:space="0" w:color="auto"/>
            </w:tcBorders>
            <w:vAlign w:val="center"/>
            <w:hideMark/>
          </w:tcPr>
          <w:p w14:paraId="472AA5F4" w14:textId="77777777" w:rsidR="001355EB" w:rsidRPr="001355EB" w:rsidRDefault="001355EB" w:rsidP="001355EB">
            <w:pPr>
              <w:spacing w:after="0" w:line="240" w:lineRule="auto"/>
              <w:jc w:val="center"/>
              <w:rPr>
                <w:rFonts w:ascii="Times New Roman" w:eastAsia="Times New Roman" w:hAnsi="Times New Roman" w:cs="Times New Roman"/>
                <w:b/>
                <w:bCs/>
                <w:color w:val="000000"/>
                <w:kern w:val="0"/>
                <w:szCs w:val="24"/>
                <w:lang w:eastAsia="en-IN"/>
                <w14:ligatures w14:val="none"/>
              </w:rPr>
            </w:pPr>
          </w:p>
        </w:tc>
        <w:tc>
          <w:tcPr>
            <w:tcW w:w="1289" w:type="dxa"/>
            <w:tcBorders>
              <w:top w:val="nil"/>
              <w:left w:val="nil"/>
              <w:bottom w:val="single" w:sz="4" w:space="0" w:color="auto"/>
              <w:right w:val="single" w:sz="4" w:space="0" w:color="auto"/>
            </w:tcBorders>
            <w:vAlign w:val="center"/>
            <w:hideMark/>
          </w:tcPr>
          <w:p w14:paraId="4A2D65F8" w14:textId="77777777" w:rsidR="001355EB" w:rsidRPr="001355EB" w:rsidRDefault="001355EB" w:rsidP="001355EB">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1355EB">
              <w:rPr>
                <w:rFonts w:ascii="Times New Roman" w:eastAsia="Times New Roman" w:hAnsi="Times New Roman" w:cs="Times New Roman"/>
                <w:b/>
                <w:bCs/>
                <w:color w:val="000000"/>
                <w:kern w:val="0"/>
                <w:szCs w:val="24"/>
                <w:lang w:eastAsia="en-IN"/>
                <w14:ligatures w14:val="none"/>
              </w:rPr>
              <w:t>General Grants-in-aid</w:t>
            </w:r>
          </w:p>
        </w:tc>
        <w:tc>
          <w:tcPr>
            <w:tcW w:w="1340" w:type="dxa"/>
            <w:tcBorders>
              <w:top w:val="nil"/>
              <w:left w:val="nil"/>
              <w:bottom w:val="single" w:sz="4" w:space="0" w:color="auto"/>
              <w:right w:val="single" w:sz="4" w:space="0" w:color="auto"/>
            </w:tcBorders>
            <w:vAlign w:val="center"/>
            <w:hideMark/>
          </w:tcPr>
          <w:p w14:paraId="4AADBD40" w14:textId="77777777" w:rsidR="001355EB" w:rsidRPr="001355EB" w:rsidRDefault="001355EB" w:rsidP="001355EB">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1355EB">
              <w:rPr>
                <w:rFonts w:ascii="Times New Roman" w:eastAsia="Times New Roman" w:hAnsi="Times New Roman" w:cs="Times New Roman"/>
                <w:b/>
                <w:bCs/>
                <w:color w:val="000000"/>
                <w:kern w:val="0"/>
                <w:szCs w:val="24"/>
                <w:lang w:eastAsia="en-IN"/>
                <w14:ligatures w14:val="none"/>
              </w:rPr>
              <w:t>Grants under Provisos</w:t>
            </w:r>
          </w:p>
        </w:tc>
        <w:tc>
          <w:tcPr>
            <w:tcW w:w="1142" w:type="dxa"/>
            <w:vMerge/>
            <w:tcBorders>
              <w:top w:val="nil"/>
              <w:left w:val="single" w:sz="4" w:space="0" w:color="auto"/>
              <w:bottom w:val="single" w:sz="4" w:space="0" w:color="auto"/>
              <w:right w:val="single" w:sz="4" w:space="0" w:color="auto"/>
            </w:tcBorders>
            <w:vAlign w:val="center"/>
            <w:hideMark/>
          </w:tcPr>
          <w:p w14:paraId="06421825" w14:textId="77777777" w:rsidR="001355EB" w:rsidRPr="001355EB" w:rsidRDefault="001355EB" w:rsidP="001355EB">
            <w:pPr>
              <w:spacing w:after="0" w:line="240" w:lineRule="auto"/>
              <w:jc w:val="center"/>
              <w:rPr>
                <w:rFonts w:ascii="Times New Roman" w:eastAsia="Times New Roman" w:hAnsi="Times New Roman" w:cs="Times New Roman"/>
                <w:b/>
                <w:bCs/>
                <w:color w:val="000000"/>
                <w:kern w:val="0"/>
                <w:szCs w:val="24"/>
                <w:lang w:eastAsia="en-IN"/>
                <w14:ligatures w14:val="none"/>
              </w:rPr>
            </w:pPr>
          </w:p>
        </w:tc>
        <w:tc>
          <w:tcPr>
            <w:tcW w:w="1438" w:type="dxa"/>
            <w:vMerge/>
            <w:tcBorders>
              <w:top w:val="nil"/>
              <w:left w:val="single" w:sz="4" w:space="0" w:color="auto"/>
              <w:bottom w:val="single" w:sz="4" w:space="0" w:color="auto"/>
              <w:right w:val="single" w:sz="4" w:space="0" w:color="auto"/>
            </w:tcBorders>
            <w:vAlign w:val="center"/>
            <w:hideMark/>
          </w:tcPr>
          <w:p w14:paraId="30A4F964" w14:textId="77777777" w:rsidR="001355EB" w:rsidRPr="001355EB" w:rsidRDefault="001355EB" w:rsidP="001355EB">
            <w:pPr>
              <w:spacing w:after="0" w:line="240" w:lineRule="auto"/>
              <w:jc w:val="center"/>
              <w:rPr>
                <w:rFonts w:ascii="Times New Roman" w:eastAsia="Times New Roman" w:hAnsi="Times New Roman" w:cs="Times New Roman"/>
                <w:b/>
                <w:bCs/>
                <w:color w:val="000000"/>
                <w:kern w:val="0"/>
                <w:szCs w:val="24"/>
                <w:lang w:eastAsia="en-IN"/>
                <w14:ligatures w14:val="none"/>
              </w:rPr>
            </w:pPr>
          </w:p>
        </w:tc>
        <w:tc>
          <w:tcPr>
            <w:tcW w:w="1157" w:type="dxa"/>
            <w:vMerge/>
            <w:tcBorders>
              <w:top w:val="nil"/>
              <w:left w:val="single" w:sz="4" w:space="0" w:color="auto"/>
              <w:bottom w:val="single" w:sz="4" w:space="0" w:color="auto"/>
              <w:right w:val="single" w:sz="4" w:space="0" w:color="auto"/>
            </w:tcBorders>
            <w:vAlign w:val="center"/>
            <w:hideMark/>
          </w:tcPr>
          <w:p w14:paraId="440042C6" w14:textId="77777777" w:rsidR="001355EB" w:rsidRPr="001355EB" w:rsidRDefault="001355EB" w:rsidP="001355EB">
            <w:pPr>
              <w:spacing w:after="0" w:line="240" w:lineRule="auto"/>
              <w:jc w:val="center"/>
              <w:rPr>
                <w:rFonts w:ascii="Times New Roman" w:eastAsia="Times New Roman" w:hAnsi="Times New Roman" w:cs="Times New Roman"/>
                <w:b/>
                <w:bCs/>
                <w:color w:val="000000"/>
                <w:kern w:val="0"/>
                <w:szCs w:val="24"/>
                <w:lang w:eastAsia="en-IN"/>
                <w14:ligatures w14:val="none"/>
              </w:rPr>
            </w:pPr>
          </w:p>
        </w:tc>
        <w:tc>
          <w:tcPr>
            <w:tcW w:w="1570" w:type="dxa"/>
            <w:tcBorders>
              <w:top w:val="nil"/>
              <w:left w:val="nil"/>
              <w:bottom w:val="single" w:sz="4" w:space="0" w:color="auto"/>
              <w:right w:val="single" w:sz="4" w:space="0" w:color="auto"/>
            </w:tcBorders>
            <w:vAlign w:val="center"/>
            <w:hideMark/>
          </w:tcPr>
          <w:p w14:paraId="590E90C7" w14:textId="77777777" w:rsidR="001355EB" w:rsidRPr="001355EB" w:rsidRDefault="001355EB" w:rsidP="001355EB">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1355EB">
              <w:rPr>
                <w:rFonts w:ascii="Times New Roman" w:eastAsia="Times New Roman" w:hAnsi="Times New Roman" w:cs="Times New Roman"/>
                <w:b/>
                <w:bCs/>
                <w:color w:val="000000"/>
                <w:kern w:val="0"/>
                <w:szCs w:val="24"/>
                <w:lang w:eastAsia="en-IN"/>
                <w14:ligatures w14:val="none"/>
              </w:rPr>
              <w:t>Special Develop-ment Grants to Backward States</w:t>
            </w:r>
          </w:p>
        </w:tc>
        <w:tc>
          <w:tcPr>
            <w:tcW w:w="1621" w:type="dxa"/>
            <w:tcBorders>
              <w:top w:val="nil"/>
              <w:left w:val="nil"/>
              <w:bottom w:val="single" w:sz="4" w:space="0" w:color="auto"/>
              <w:right w:val="single" w:sz="4" w:space="0" w:color="auto"/>
            </w:tcBorders>
            <w:vAlign w:val="center"/>
            <w:hideMark/>
          </w:tcPr>
          <w:p w14:paraId="1ED4FCE2" w14:textId="77777777" w:rsidR="001355EB" w:rsidRPr="001355EB" w:rsidRDefault="001355EB" w:rsidP="001355EB">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1355EB">
              <w:rPr>
                <w:rFonts w:ascii="Times New Roman" w:eastAsia="Times New Roman" w:hAnsi="Times New Roman" w:cs="Times New Roman"/>
                <w:b/>
                <w:bCs/>
                <w:color w:val="000000"/>
                <w:kern w:val="0"/>
                <w:szCs w:val="24"/>
                <w:lang w:eastAsia="en-IN"/>
                <w14:ligatures w14:val="none"/>
              </w:rPr>
              <w:t>Assistance for Natural Calamities</w:t>
            </w:r>
          </w:p>
        </w:tc>
        <w:tc>
          <w:tcPr>
            <w:tcW w:w="1218" w:type="dxa"/>
            <w:vMerge/>
            <w:tcBorders>
              <w:top w:val="nil"/>
              <w:left w:val="single" w:sz="4" w:space="0" w:color="auto"/>
              <w:bottom w:val="single" w:sz="4" w:space="0" w:color="auto"/>
              <w:right w:val="single" w:sz="4" w:space="0" w:color="auto"/>
            </w:tcBorders>
            <w:vAlign w:val="center"/>
            <w:hideMark/>
          </w:tcPr>
          <w:p w14:paraId="6BF634BA" w14:textId="77777777" w:rsidR="001355EB" w:rsidRPr="001355EB" w:rsidRDefault="001355EB" w:rsidP="001355EB">
            <w:pPr>
              <w:spacing w:after="0" w:line="240" w:lineRule="auto"/>
              <w:jc w:val="center"/>
              <w:rPr>
                <w:rFonts w:ascii="Times New Roman" w:eastAsia="Times New Roman" w:hAnsi="Times New Roman" w:cs="Times New Roman"/>
                <w:b/>
                <w:bCs/>
                <w:color w:val="000000"/>
                <w:kern w:val="0"/>
                <w:szCs w:val="24"/>
                <w:lang w:eastAsia="en-IN"/>
                <w14:ligatures w14:val="none"/>
              </w:rPr>
            </w:pPr>
          </w:p>
        </w:tc>
      </w:tr>
      <w:tr w:rsidR="001355EB" w:rsidRPr="001355EB" w14:paraId="76E81190" w14:textId="77777777" w:rsidTr="001355EB">
        <w:trPr>
          <w:trHeight w:val="19"/>
          <w:jc w:val="center"/>
        </w:trPr>
        <w:tc>
          <w:tcPr>
            <w:tcW w:w="1850" w:type="dxa"/>
            <w:tcBorders>
              <w:top w:val="nil"/>
              <w:left w:val="single" w:sz="4" w:space="0" w:color="auto"/>
              <w:bottom w:val="single" w:sz="4" w:space="0" w:color="auto"/>
              <w:right w:val="single" w:sz="4" w:space="0" w:color="auto"/>
            </w:tcBorders>
            <w:vAlign w:val="center"/>
            <w:hideMark/>
          </w:tcPr>
          <w:p w14:paraId="5E51DA5E" w14:textId="77777777" w:rsidR="001355EB" w:rsidRPr="00E02C8A"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Assam</w:t>
            </w:r>
          </w:p>
        </w:tc>
        <w:tc>
          <w:tcPr>
            <w:tcW w:w="1232" w:type="dxa"/>
            <w:tcBorders>
              <w:top w:val="nil"/>
              <w:left w:val="nil"/>
              <w:bottom w:val="single" w:sz="4" w:space="0" w:color="auto"/>
              <w:right w:val="single" w:sz="4" w:space="0" w:color="auto"/>
            </w:tcBorders>
            <w:vAlign w:val="center"/>
            <w:hideMark/>
          </w:tcPr>
          <w:p w14:paraId="05331E05"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1,36</w:t>
            </w:r>
          </w:p>
        </w:tc>
        <w:tc>
          <w:tcPr>
            <w:tcW w:w="1141" w:type="dxa"/>
            <w:tcBorders>
              <w:top w:val="nil"/>
              <w:left w:val="nil"/>
              <w:bottom w:val="single" w:sz="4" w:space="0" w:color="auto"/>
              <w:right w:val="single" w:sz="4" w:space="0" w:color="auto"/>
            </w:tcBorders>
            <w:vAlign w:val="center"/>
            <w:hideMark/>
          </w:tcPr>
          <w:p w14:paraId="15135F70"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40</w:t>
            </w:r>
          </w:p>
        </w:tc>
        <w:tc>
          <w:tcPr>
            <w:tcW w:w="1289" w:type="dxa"/>
            <w:tcBorders>
              <w:top w:val="nil"/>
              <w:left w:val="nil"/>
              <w:bottom w:val="single" w:sz="4" w:space="0" w:color="auto"/>
              <w:right w:val="single" w:sz="4" w:space="0" w:color="auto"/>
            </w:tcBorders>
            <w:vAlign w:val="center"/>
            <w:hideMark/>
          </w:tcPr>
          <w:p w14:paraId="23411951"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30</w:t>
            </w:r>
          </w:p>
        </w:tc>
        <w:tc>
          <w:tcPr>
            <w:tcW w:w="1340" w:type="dxa"/>
            <w:tcBorders>
              <w:top w:val="nil"/>
              <w:left w:val="nil"/>
              <w:bottom w:val="single" w:sz="4" w:space="0" w:color="auto"/>
              <w:right w:val="single" w:sz="4" w:space="0" w:color="auto"/>
            </w:tcBorders>
            <w:vAlign w:val="center"/>
            <w:hideMark/>
          </w:tcPr>
          <w:p w14:paraId="1374F2CC"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77</w:t>
            </w:r>
          </w:p>
        </w:tc>
        <w:tc>
          <w:tcPr>
            <w:tcW w:w="1142" w:type="dxa"/>
            <w:tcBorders>
              <w:top w:val="nil"/>
              <w:left w:val="nil"/>
              <w:bottom w:val="single" w:sz="4" w:space="0" w:color="auto"/>
              <w:right w:val="single" w:sz="4" w:space="0" w:color="auto"/>
            </w:tcBorders>
            <w:vAlign w:val="center"/>
            <w:hideMark/>
          </w:tcPr>
          <w:p w14:paraId="089342B2"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438" w:type="dxa"/>
            <w:tcBorders>
              <w:top w:val="nil"/>
              <w:left w:val="nil"/>
              <w:bottom w:val="single" w:sz="4" w:space="0" w:color="auto"/>
              <w:right w:val="single" w:sz="4" w:space="0" w:color="auto"/>
            </w:tcBorders>
            <w:vAlign w:val="center"/>
            <w:hideMark/>
          </w:tcPr>
          <w:p w14:paraId="14725E30"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157" w:type="dxa"/>
            <w:tcBorders>
              <w:top w:val="nil"/>
              <w:left w:val="nil"/>
              <w:bottom w:val="single" w:sz="4" w:space="0" w:color="auto"/>
              <w:right w:val="single" w:sz="4" w:space="0" w:color="auto"/>
            </w:tcBorders>
            <w:vAlign w:val="center"/>
            <w:hideMark/>
          </w:tcPr>
          <w:p w14:paraId="029421C5"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570" w:type="dxa"/>
            <w:tcBorders>
              <w:top w:val="nil"/>
              <w:left w:val="nil"/>
              <w:bottom w:val="single" w:sz="4" w:space="0" w:color="auto"/>
              <w:right w:val="single" w:sz="4" w:space="0" w:color="auto"/>
            </w:tcBorders>
            <w:vAlign w:val="center"/>
            <w:hideMark/>
          </w:tcPr>
          <w:p w14:paraId="07E03D3D"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621" w:type="dxa"/>
            <w:tcBorders>
              <w:top w:val="nil"/>
              <w:left w:val="nil"/>
              <w:bottom w:val="single" w:sz="4" w:space="0" w:color="auto"/>
              <w:right w:val="single" w:sz="4" w:space="0" w:color="auto"/>
            </w:tcBorders>
            <w:vAlign w:val="center"/>
            <w:hideMark/>
          </w:tcPr>
          <w:p w14:paraId="409A0941"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218" w:type="dxa"/>
            <w:tcBorders>
              <w:top w:val="nil"/>
              <w:left w:val="nil"/>
              <w:bottom w:val="single" w:sz="4" w:space="0" w:color="auto"/>
              <w:right w:val="single" w:sz="4" w:space="0" w:color="auto"/>
            </w:tcBorders>
            <w:vAlign w:val="center"/>
            <w:hideMark/>
          </w:tcPr>
          <w:p w14:paraId="7061E701"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2,83</w:t>
            </w:r>
          </w:p>
        </w:tc>
      </w:tr>
      <w:tr w:rsidR="001355EB" w:rsidRPr="001355EB" w14:paraId="7617A60F" w14:textId="77777777" w:rsidTr="001355EB">
        <w:trPr>
          <w:trHeight w:val="19"/>
          <w:jc w:val="center"/>
        </w:trPr>
        <w:tc>
          <w:tcPr>
            <w:tcW w:w="1850" w:type="dxa"/>
            <w:tcBorders>
              <w:top w:val="nil"/>
              <w:left w:val="single" w:sz="4" w:space="0" w:color="auto"/>
              <w:bottom w:val="single" w:sz="4" w:space="0" w:color="auto"/>
              <w:right w:val="single" w:sz="4" w:space="0" w:color="auto"/>
            </w:tcBorders>
            <w:vAlign w:val="center"/>
            <w:hideMark/>
          </w:tcPr>
          <w:p w14:paraId="3FF6B96C" w14:textId="77777777" w:rsidR="001355EB" w:rsidRPr="00E02C8A"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Bihar</w:t>
            </w:r>
          </w:p>
        </w:tc>
        <w:tc>
          <w:tcPr>
            <w:tcW w:w="1232" w:type="dxa"/>
            <w:tcBorders>
              <w:top w:val="nil"/>
              <w:left w:val="nil"/>
              <w:bottom w:val="single" w:sz="4" w:space="0" w:color="auto"/>
              <w:right w:val="single" w:sz="4" w:space="0" w:color="auto"/>
            </w:tcBorders>
            <w:vAlign w:val="center"/>
            <w:hideMark/>
          </w:tcPr>
          <w:p w14:paraId="773444AA"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5,69</w:t>
            </w:r>
          </w:p>
        </w:tc>
        <w:tc>
          <w:tcPr>
            <w:tcW w:w="1141" w:type="dxa"/>
            <w:tcBorders>
              <w:top w:val="nil"/>
              <w:left w:val="nil"/>
              <w:bottom w:val="single" w:sz="4" w:space="0" w:color="auto"/>
              <w:right w:val="single" w:sz="4" w:space="0" w:color="auto"/>
            </w:tcBorders>
            <w:vAlign w:val="center"/>
            <w:hideMark/>
          </w:tcPr>
          <w:p w14:paraId="2B3B2532"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35</w:t>
            </w:r>
          </w:p>
        </w:tc>
        <w:tc>
          <w:tcPr>
            <w:tcW w:w="1289" w:type="dxa"/>
            <w:tcBorders>
              <w:top w:val="nil"/>
              <w:left w:val="nil"/>
              <w:bottom w:val="single" w:sz="4" w:space="0" w:color="auto"/>
              <w:right w:val="single" w:sz="4" w:space="0" w:color="auto"/>
            </w:tcBorders>
            <w:vAlign w:val="center"/>
            <w:hideMark/>
          </w:tcPr>
          <w:p w14:paraId="170EB753"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340" w:type="dxa"/>
            <w:tcBorders>
              <w:top w:val="nil"/>
              <w:left w:val="nil"/>
              <w:bottom w:val="single" w:sz="4" w:space="0" w:color="auto"/>
              <w:right w:val="single" w:sz="4" w:space="0" w:color="auto"/>
            </w:tcBorders>
            <w:vAlign w:val="center"/>
            <w:hideMark/>
          </w:tcPr>
          <w:p w14:paraId="2A9B9B8F"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18</w:t>
            </w:r>
          </w:p>
        </w:tc>
        <w:tc>
          <w:tcPr>
            <w:tcW w:w="1142" w:type="dxa"/>
            <w:tcBorders>
              <w:top w:val="nil"/>
              <w:left w:val="nil"/>
              <w:bottom w:val="single" w:sz="4" w:space="0" w:color="auto"/>
              <w:right w:val="single" w:sz="4" w:space="0" w:color="auto"/>
            </w:tcBorders>
            <w:vAlign w:val="center"/>
            <w:hideMark/>
          </w:tcPr>
          <w:p w14:paraId="2EAB7D77"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1</w:t>
            </w:r>
          </w:p>
        </w:tc>
        <w:tc>
          <w:tcPr>
            <w:tcW w:w="1438" w:type="dxa"/>
            <w:tcBorders>
              <w:top w:val="nil"/>
              <w:left w:val="nil"/>
              <w:bottom w:val="single" w:sz="4" w:space="0" w:color="auto"/>
              <w:right w:val="single" w:sz="4" w:space="0" w:color="auto"/>
            </w:tcBorders>
            <w:vAlign w:val="center"/>
            <w:hideMark/>
          </w:tcPr>
          <w:p w14:paraId="03F900C5"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157" w:type="dxa"/>
            <w:tcBorders>
              <w:top w:val="nil"/>
              <w:left w:val="nil"/>
              <w:bottom w:val="single" w:sz="4" w:space="0" w:color="auto"/>
              <w:right w:val="single" w:sz="4" w:space="0" w:color="auto"/>
            </w:tcBorders>
            <w:vAlign w:val="center"/>
            <w:hideMark/>
          </w:tcPr>
          <w:p w14:paraId="029F446F"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570" w:type="dxa"/>
            <w:tcBorders>
              <w:top w:val="nil"/>
              <w:left w:val="nil"/>
              <w:bottom w:val="single" w:sz="4" w:space="0" w:color="auto"/>
              <w:right w:val="single" w:sz="4" w:space="0" w:color="auto"/>
            </w:tcBorders>
            <w:vAlign w:val="center"/>
            <w:hideMark/>
          </w:tcPr>
          <w:p w14:paraId="33111903"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621" w:type="dxa"/>
            <w:tcBorders>
              <w:top w:val="nil"/>
              <w:left w:val="nil"/>
              <w:bottom w:val="single" w:sz="4" w:space="0" w:color="auto"/>
              <w:right w:val="single" w:sz="4" w:space="0" w:color="auto"/>
            </w:tcBorders>
            <w:vAlign w:val="center"/>
            <w:hideMark/>
          </w:tcPr>
          <w:p w14:paraId="31F954E5"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218" w:type="dxa"/>
            <w:tcBorders>
              <w:top w:val="nil"/>
              <w:left w:val="nil"/>
              <w:bottom w:val="single" w:sz="4" w:space="0" w:color="auto"/>
              <w:right w:val="single" w:sz="4" w:space="0" w:color="auto"/>
            </w:tcBorders>
            <w:vAlign w:val="center"/>
            <w:hideMark/>
          </w:tcPr>
          <w:p w14:paraId="453AA6A3"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6,23</w:t>
            </w:r>
          </w:p>
        </w:tc>
      </w:tr>
      <w:tr w:rsidR="001355EB" w:rsidRPr="001355EB" w14:paraId="20BFB587" w14:textId="77777777" w:rsidTr="001355EB">
        <w:trPr>
          <w:trHeight w:val="19"/>
          <w:jc w:val="center"/>
        </w:trPr>
        <w:tc>
          <w:tcPr>
            <w:tcW w:w="1850" w:type="dxa"/>
            <w:tcBorders>
              <w:top w:val="nil"/>
              <w:left w:val="single" w:sz="4" w:space="0" w:color="auto"/>
              <w:bottom w:val="single" w:sz="4" w:space="0" w:color="auto"/>
              <w:right w:val="single" w:sz="4" w:space="0" w:color="auto"/>
            </w:tcBorders>
            <w:vAlign w:val="center"/>
            <w:hideMark/>
          </w:tcPr>
          <w:p w14:paraId="044A8E68" w14:textId="77777777" w:rsidR="001355EB" w:rsidRPr="00E02C8A"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Bombay</w:t>
            </w:r>
          </w:p>
        </w:tc>
        <w:tc>
          <w:tcPr>
            <w:tcW w:w="1232" w:type="dxa"/>
            <w:tcBorders>
              <w:top w:val="nil"/>
              <w:left w:val="nil"/>
              <w:bottom w:val="single" w:sz="4" w:space="0" w:color="auto"/>
              <w:right w:val="single" w:sz="4" w:space="0" w:color="auto"/>
            </w:tcBorders>
            <w:vAlign w:val="center"/>
            <w:hideMark/>
          </w:tcPr>
          <w:p w14:paraId="3B45D01F"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9,55</w:t>
            </w:r>
          </w:p>
        </w:tc>
        <w:tc>
          <w:tcPr>
            <w:tcW w:w="1141" w:type="dxa"/>
            <w:tcBorders>
              <w:top w:val="nil"/>
              <w:left w:val="nil"/>
              <w:bottom w:val="single" w:sz="4" w:space="0" w:color="auto"/>
              <w:right w:val="single" w:sz="4" w:space="0" w:color="auto"/>
            </w:tcBorders>
            <w:vAlign w:val="center"/>
            <w:hideMark/>
          </w:tcPr>
          <w:p w14:paraId="004E12C7"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289" w:type="dxa"/>
            <w:tcBorders>
              <w:top w:val="nil"/>
              <w:left w:val="nil"/>
              <w:bottom w:val="single" w:sz="4" w:space="0" w:color="auto"/>
              <w:right w:val="single" w:sz="4" w:space="0" w:color="auto"/>
            </w:tcBorders>
            <w:vAlign w:val="center"/>
            <w:hideMark/>
          </w:tcPr>
          <w:p w14:paraId="4E3303C8"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340" w:type="dxa"/>
            <w:tcBorders>
              <w:top w:val="nil"/>
              <w:left w:val="nil"/>
              <w:bottom w:val="single" w:sz="4" w:space="0" w:color="auto"/>
              <w:right w:val="single" w:sz="4" w:space="0" w:color="auto"/>
            </w:tcBorders>
            <w:vAlign w:val="center"/>
            <w:hideMark/>
          </w:tcPr>
          <w:p w14:paraId="1624DEEF"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7.5</w:t>
            </w:r>
          </w:p>
        </w:tc>
        <w:tc>
          <w:tcPr>
            <w:tcW w:w="1142" w:type="dxa"/>
            <w:tcBorders>
              <w:top w:val="nil"/>
              <w:left w:val="nil"/>
              <w:bottom w:val="single" w:sz="4" w:space="0" w:color="auto"/>
              <w:right w:val="single" w:sz="4" w:space="0" w:color="auto"/>
            </w:tcBorders>
            <w:vAlign w:val="center"/>
            <w:hideMark/>
          </w:tcPr>
          <w:p w14:paraId="1F893F6F"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1,16</w:t>
            </w:r>
          </w:p>
        </w:tc>
        <w:tc>
          <w:tcPr>
            <w:tcW w:w="1438" w:type="dxa"/>
            <w:tcBorders>
              <w:top w:val="nil"/>
              <w:left w:val="nil"/>
              <w:bottom w:val="single" w:sz="4" w:space="0" w:color="auto"/>
              <w:right w:val="single" w:sz="4" w:space="0" w:color="auto"/>
            </w:tcBorders>
            <w:vAlign w:val="center"/>
            <w:hideMark/>
          </w:tcPr>
          <w:p w14:paraId="6F53392C"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157" w:type="dxa"/>
            <w:tcBorders>
              <w:top w:val="nil"/>
              <w:left w:val="nil"/>
              <w:bottom w:val="single" w:sz="4" w:space="0" w:color="auto"/>
              <w:right w:val="single" w:sz="4" w:space="0" w:color="auto"/>
            </w:tcBorders>
            <w:vAlign w:val="center"/>
            <w:hideMark/>
          </w:tcPr>
          <w:p w14:paraId="66C5417F"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570" w:type="dxa"/>
            <w:tcBorders>
              <w:top w:val="nil"/>
              <w:left w:val="nil"/>
              <w:bottom w:val="single" w:sz="4" w:space="0" w:color="auto"/>
              <w:right w:val="single" w:sz="4" w:space="0" w:color="auto"/>
            </w:tcBorders>
            <w:vAlign w:val="center"/>
            <w:hideMark/>
          </w:tcPr>
          <w:p w14:paraId="386E905C"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621" w:type="dxa"/>
            <w:tcBorders>
              <w:top w:val="nil"/>
              <w:left w:val="nil"/>
              <w:bottom w:val="single" w:sz="4" w:space="0" w:color="auto"/>
              <w:right w:val="single" w:sz="4" w:space="0" w:color="auto"/>
            </w:tcBorders>
            <w:vAlign w:val="center"/>
            <w:hideMark/>
          </w:tcPr>
          <w:p w14:paraId="04A4F07E"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218" w:type="dxa"/>
            <w:tcBorders>
              <w:top w:val="nil"/>
              <w:left w:val="nil"/>
              <w:bottom w:val="single" w:sz="4" w:space="0" w:color="auto"/>
              <w:right w:val="single" w:sz="4" w:space="0" w:color="auto"/>
            </w:tcBorders>
            <w:vAlign w:val="center"/>
            <w:hideMark/>
          </w:tcPr>
          <w:p w14:paraId="46AAC7CC"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10,79</w:t>
            </w:r>
          </w:p>
        </w:tc>
      </w:tr>
      <w:tr w:rsidR="001355EB" w:rsidRPr="001355EB" w14:paraId="13262240" w14:textId="77777777" w:rsidTr="001355EB">
        <w:trPr>
          <w:trHeight w:val="19"/>
          <w:jc w:val="center"/>
        </w:trPr>
        <w:tc>
          <w:tcPr>
            <w:tcW w:w="1850" w:type="dxa"/>
            <w:tcBorders>
              <w:top w:val="nil"/>
              <w:left w:val="single" w:sz="4" w:space="0" w:color="auto"/>
              <w:bottom w:val="single" w:sz="4" w:space="0" w:color="auto"/>
              <w:right w:val="single" w:sz="4" w:space="0" w:color="auto"/>
            </w:tcBorders>
            <w:vAlign w:val="center"/>
            <w:hideMark/>
          </w:tcPr>
          <w:p w14:paraId="75A3BC67" w14:textId="77777777" w:rsidR="001355EB" w:rsidRPr="00E02C8A"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Madhya Pradesh</w:t>
            </w:r>
          </w:p>
        </w:tc>
        <w:tc>
          <w:tcPr>
            <w:tcW w:w="1232" w:type="dxa"/>
            <w:tcBorders>
              <w:top w:val="nil"/>
              <w:left w:val="nil"/>
              <w:bottom w:val="single" w:sz="4" w:space="0" w:color="auto"/>
              <w:right w:val="single" w:sz="4" w:space="0" w:color="auto"/>
            </w:tcBorders>
            <w:vAlign w:val="center"/>
            <w:hideMark/>
          </w:tcPr>
          <w:p w14:paraId="257FBCBF"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2,73</w:t>
            </w:r>
          </w:p>
        </w:tc>
        <w:tc>
          <w:tcPr>
            <w:tcW w:w="1141" w:type="dxa"/>
            <w:tcBorders>
              <w:top w:val="nil"/>
              <w:left w:val="nil"/>
              <w:bottom w:val="single" w:sz="4" w:space="0" w:color="auto"/>
              <w:right w:val="single" w:sz="4" w:space="0" w:color="auto"/>
            </w:tcBorders>
            <w:vAlign w:val="center"/>
            <w:hideMark/>
          </w:tcPr>
          <w:p w14:paraId="3078B2A5"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289" w:type="dxa"/>
            <w:tcBorders>
              <w:top w:val="nil"/>
              <w:left w:val="nil"/>
              <w:bottom w:val="single" w:sz="4" w:space="0" w:color="auto"/>
              <w:right w:val="single" w:sz="4" w:space="0" w:color="auto"/>
            </w:tcBorders>
            <w:vAlign w:val="center"/>
            <w:hideMark/>
          </w:tcPr>
          <w:p w14:paraId="216A33D1"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340" w:type="dxa"/>
            <w:tcBorders>
              <w:top w:val="nil"/>
              <w:left w:val="nil"/>
              <w:bottom w:val="single" w:sz="4" w:space="0" w:color="auto"/>
              <w:right w:val="single" w:sz="4" w:space="0" w:color="auto"/>
            </w:tcBorders>
            <w:vAlign w:val="center"/>
            <w:hideMark/>
          </w:tcPr>
          <w:p w14:paraId="0252A488"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17</w:t>
            </w:r>
          </w:p>
        </w:tc>
        <w:tc>
          <w:tcPr>
            <w:tcW w:w="1142" w:type="dxa"/>
            <w:tcBorders>
              <w:top w:val="nil"/>
              <w:left w:val="nil"/>
              <w:bottom w:val="single" w:sz="4" w:space="0" w:color="auto"/>
              <w:right w:val="single" w:sz="4" w:space="0" w:color="auto"/>
            </w:tcBorders>
            <w:vAlign w:val="center"/>
            <w:hideMark/>
          </w:tcPr>
          <w:p w14:paraId="377EB373"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12</w:t>
            </w:r>
          </w:p>
        </w:tc>
        <w:tc>
          <w:tcPr>
            <w:tcW w:w="1438" w:type="dxa"/>
            <w:tcBorders>
              <w:top w:val="nil"/>
              <w:left w:val="nil"/>
              <w:bottom w:val="single" w:sz="4" w:space="0" w:color="auto"/>
              <w:right w:val="single" w:sz="4" w:space="0" w:color="auto"/>
            </w:tcBorders>
            <w:vAlign w:val="center"/>
            <w:hideMark/>
          </w:tcPr>
          <w:p w14:paraId="12B7058B"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157" w:type="dxa"/>
            <w:tcBorders>
              <w:top w:val="nil"/>
              <w:left w:val="nil"/>
              <w:bottom w:val="single" w:sz="4" w:space="0" w:color="auto"/>
              <w:right w:val="single" w:sz="4" w:space="0" w:color="auto"/>
            </w:tcBorders>
            <w:vAlign w:val="center"/>
            <w:hideMark/>
          </w:tcPr>
          <w:p w14:paraId="125C69E9"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570" w:type="dxa"/>
            <w:tcBorders>
              <w:top w:val="nil"/>
              <w:left w:val="nil"/>
              <w:bottom w:val="single" w:sz="4" w:space="0" w:color="auto"/>
              <w:right w:val="single" w:sz="4" w:space="0" w:color="auto"/>
            </w:tcBorders>
            <w:vAlign w:val="center"/>
            <w:hideMark/>
          </w:tcPr>
          <w:p w14:paraId="7E57BCE6"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621" w:type="dxa"/>
            <w:tcBorders>
              <w:top w:val="nil"/>
              <w:left w:val="nil"/>
              <w:bottom w:val="single" w:sz="4" w:space="0" w:color="auto"/>
              <w:right w:val="single" w:sz="4" w:space="0" w:color="auto"/>
            </w:tcBorders>
            <w:vAlign w:val="center"/>
            <w:hideMark/>
          </w:tcPr>
          <w:p w14:paraId="06F6B8AC"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218" w:type="dxa"/>
            <w:tcBorders>
              <w:top w:val="nil"/>
              <w:left w:val="nil"/>
              <w:bottom w:val="single" w:sz="4" w:space="0" w:color="auto"/>
              <w:right w:val="single" w:sz="4" w:space="0" w:color="auto"/>
            </w:tcBorders>
            <w:vAlign w:val="center"/>
            <w:hideMark/>
          </w:tcPr>
          <w:p w14:paraId="42174E5D"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3,02</w:t>
            </w:r>
          </w:p>
        </w:tc>
      </w:tr>
      <w:tr w:rsidR="001355EB" w:rsidRPr="001355EB" w14:paraId="492F4121" w14:textId="77777777" w:rsidTr="001355EB">
        <w:trPr>
          <w:trHeight w:val="19"/>
          <w:jc w:val="center"/>
        </w:trPr>
        <w:tc>
          <w:tcPr>
            <w:tcW w:w="1850" w:type="dxa"/>
            <w:tcBorders>
              <w:top w:val="nil"/>
              <w:left w:val="single" w:sz="4" w:space="0" w:color="auto"/>
              <w:bottom w:val="single" w:sz="4" w:space="0" w:color="auto"/>
              <w:right w:val="single" w:sz="4" w:space="0" w:color="auto"/>
            </w:tcBorders>
            <w:vAlign w:val="center"/>
            <w:hideMark/>
          </w:tcPr>
          <w:p w14:paraId="38FCAA45" w14:textId="77777777" w:rsidR="001355EB" w:rsidRPr="00E02C8A"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Madras</w:t>
            </w:r>
          </w:p>
        </w:tc>
        <w:tc>
          <w:tcPr>
            <w:tcW w:w="1232" w:type="dxa"/>
            <w:tcBorders>
              <w:top w:val="nil"/>
              <w:left w:val="nil"/>
              <w:bottom w:val="single" w:sz="4" w:space="0" w:color="auto"/>
              <w:right w:val="single" w:sz="4" w:space="0" w:color="auto"/>
            </w:tcBorders>
            <w:vAlign w:val="center"/>
            <w:hideMark/>
          </w:tcPr>
          <w:p w14:paraId="501CFBAC"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7,96</w:t>
            </w:r>
          </w:p>
        </w:tc>
        <w:tc>
          <w:tcPr>
            <w:tcW w:w="1141" w:type="dxa"/>
            <w:tcBorders>
              <w:top w:val="nil"/>
              <w:left w:val="nil"/>
              <w:bottom w:val="single" w:sz="4" w:space="0" w:color="auto"/>
              <w:right w:val="single" w:sz="4" w:space="0" w:color="auto"/>
            </w:tcBorders>
            <w:vAlign w:val="center"/>
            <w:hideMark/>
          </w:tcPr>
          <w:p w14:paraId="02EFD0D3"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289" w:type="dxa"/>
            <w:tcBorders>
              <w:top w:val="nil"/>
              <w:left w:val="nil"/>
              <w:bottom w:val="single" w:sz="4" w:space="0" w:color="auto"/>
              <w:right w:val="single" w:sz="4" w:space="0" w:color="auto"/>
            </w:tcBorders>
            <w:vAlign w:val="center"/>
            <w:hideMark/>
          </w:tcPr>
          <w:p w14:paraId="452AF23D"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340" w:type="dxa"/>
            <w:tcBorders>
              <w:top w:val="nil"/>
              <w:left w:val="nil"/>
              <w:bottom w:val="single" w:sz="4" w:space="0" w:color="auto"/>
              <w:right w:val="single" w:sz="4" w:space="0" w:color="auto"/>
            </w:tcBorders>
            <w:vAlign w:val="center"/>
            <w:hideMark/>
          </w:tcPr>
          <w:p w14:paraId="1B9BE1DC"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7.5</w:t>
            </w:r>
          </w:p>
        </w:tc>
        <w:tc>
          <w:tcPr>
            <w:tcW w:w="1142" w:type="dxa"/>
            <w:tcBorders>
              <w:top w:val="nil"/>
              <w:left w:val="nil"/>
              <w:bottom w:val="single" w:sz="4" w:space="0" w:color="auto"/>
              <w:right w:val="single" w:sz="4" w:space="0" w:color="auto"/>
            </w:tcBorders>
            <w:vAlign w:val="center"/>
            <w:hideMark/>
          </w:tcPr>
          <w:p w14:paraId="46347B48"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438" w:type="dxa"/>
            <w:tcBorders>
              <w:top w:val="nil"/>
              <w:left w:val="nil"/>
              <w:bottom w:val="single" w:sz="4" w:space="0" w:color="auto"/>
              <w:right w:val="single" w:sz="4" w:space="0" w:color="auto"/>
            </w:tcBorders>
            <w:vAlign w:val="center"/>
            <w:hideMark/>
          </w:tcPr>
          <w:p w14:paraId="666A4222"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157" w:type="dxa"/>
            <w:tcBorders>
              <w:top w:val="nil"/>
              <w:left w:val="nil"/>
              <w:bottom w:val="single" w:sz="4" w:space="0" w:color="auto"/>
              <w:right w:val="single" w:sz="4" w:space="0" w:color="auto"/>
            </w:tcBorders>
            <w:vAlign w:val="center"/>
            <w:hideMark/>
          </w:tcPr>
          <w:p w14:paraId="15780F69"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570" w:type="dxa"/>
            <w:tcBorders>
              <w:top w:val="nil"/>
              <w:left w:val="nil"/>
              <w:bottom w:val="single" w:sz="4" w:space="0" w:color="auto"/>
              <w:right w:val="single" w:sz="4" w:space="0" w:color="auto"/>
            </w:tcBorders>
            <w:vAlign w:val="center"/>
            <w:hideMark/>
          </w:tcPr>
          <w:p w14:paraId="39F3E8B1"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621" w:type="dxa"/>
            <w:tcBorders>
              <w:top w:val="nil"/>
              <w:left w:val="nil"/>
              <w:bottom w:val="single" w:sz="4" w:space="0" w:color="auto"/>
              <w:right w:val="single" w:sz="4" w:space="0" w:color="auto"/>
            </w:tcBorders>
            <w:vAlign w:val="center"/>
            <w:hideMark/>
          </w:tcPr>
          <w:p w14:paraId="5D3294F5"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218" w:type="dxa"/>
            <w:tcBorders>
              <w:top w:val="nil"/>
              <w:left w:val="nil"/>
              <w:bottom w:val="single" w:sz="4" w:space="0" w:color="auto"/>
              <w:right w:val="single" w:sz="4" w:space="0" w:color="auto"/>
            </w:tcBorders>
            <w:vAlign w:val="center"/>
            <w:hideMark/>
          </w:tcPr>
          <w:p w14:paraId="78895FDB"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8,03</w:t>
            </w:r>
          </w:p>
        </w:tc>
      </w:tr>
      <w:tr w:rsidR="001355EB" w:rsidRPr="001355EB" w14:paraId="0E825C94" w14:textId="77777777" w:rsidTr="001355EB">
        <w:trPr>
          <w:trHeight w:val="19"/>
          <w:jc w:val="center"/>
        </w:trPr>
        <w:tc>
          <w:tcPr>
            <w:tcW w:w="1850" w:type="dxa"/>
            <w:tcBorders>
              <w:top w:val="nil"/>
              <w:left w:val="single" w:sz="4" w:space="0" w:color="auto"/>
              <w:bottom w:val="single" w:sz="4" w:space="0" w:color="auto"/>
              <w:right w:val="single" w:sz="4" w:space="0" w:color="auto"/>
            </w:tcBorders>
            <w:vAlign w:val="center"/>
            <w:hideMark/>
          </w:tcPr>
          <w:p w14:paraId="34E27079" w14:textId="77777777" w:rsidR="001355EB" w:rsidRPr="00E02C8A"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Orissa</w:t>
            </w:r>
          </w:p>
        </w:tc>
        <w:tc>
          <w:tcPr>
            <w:tcW w:w="1232" w:type="dxa"/>
            <w:tcBorders>
              <w:top w:val="nil"/>
              <w:left w:val="nil"/>
              <w:bottom w:val="single" w:sz="4" w:space="0" w:color="auto"/>
              <w:right w:val="single" w:sz="4" w:space="0" w:color="auto"/>
            </w:tcBorders>
            <w:vAlign w:val="center"/>
            <w:hideMark/>
          </w:tcPr>
          <w:p w14:paraId="6E01917E"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1,40</w:t>
            </w:r>
          </w:p>
        </w:tc>
        <w:tc>
          <w:tcPr>
            <w:tcW w:w="1141" w:type="dxa"/>
            <w:tcBorders>
              <w:top w:val="nil"/>
              <w:left w:val="nil"/>
              <w:bottom w:val="single" w:sz="4" w:space="0" w:color="auto"/>
              <w:right w:val="single" w:sz="4" w:space="0" w:color="auto"/>
            </w:tcBorders>
            <w:vAlign w:val="center"/>
            <w:hideMark/>
          </w:tcPr>
          <w:p w14:paraId="4D37902D"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5</w:t>
            </w:r>
          </w:p>
        </w:tc>
        <w:tc>
          <w:tcPr>
            <w:tcW w:w="1289" w:type="dxa"/>
            <w:tcBorders>
              <w:top w:val="nil"/>
              <w:left w:val="nil"/>
              <w:bottom w:val="single" w:sz="4" w:space="0" w:color="auto"/>
              <w:right w:val="single" w:sz="4" w:space="0" w:color="auto"/>
            </w:tcBorders>
            <w:vAlign w:val="center"/>
            <w:hideMark/>
          </w:tcPr>
          <w:p w14:paraId="67A2DC7F"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40</w:t>
            </w:r>
          </w:p>
        </w:tc>
        <w:tc>
          <w:tcPr>
            <w:tcW w:w="1340" w:type="dxa"/>
            <w:tcBorders>
              <w:top w:val="nil"/>
              <w:left w:val="nil"/>
              <w:bottom w:val="single" w:sz="4" w:space="0" w:color="auto"/>
              <w:right w:val="single" w:sz="4" w:space="0" w:color="auto"/>
            </w:tcBorders>
            <w:vAlign w:val="center"/>
            <w:hideMark/>
          </w:tcPr>
          <w:p w14:paraId="6DF1DF48"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22</w:t>
            </w:r>
          </w:p>
        </w:tc>
        <w:tc>
          <w:tcPr>
            <w:tcW w:w="1142" w:type="dxa"/>
            <w:tcBorders>
              <w:top w:val="nil"/>
              <w:left w:val="nil"/>
              <w:bottom w:val="single" w:sz="4" w:space="0" w:color="auto"/>
              <w:right w:val="single" w:sz="4" w:space="0" w:color="auto"/>
            </w:tcBorders>
            <w:vAlign w:val="center"/>
            <w:hideMark/>
          </w:tcPr>
          <w:p w14:paraId="730FC39D"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438" w:type="dxa"/>
            <w:tcBorders>
              <w:top w:val="nil"/>
              <w:left w:val="nil"/>
              <w:bottom w:val="single" w:sz="4" w:space="0" w:color="auto"/>
              <w:right w:val="single" w:sz="4" w:space="0" w:color="auto"/>
            </w:tcBorders>
            <w:vAlign w:val="center"/>
            <w:hideMark/>
          </w:tcPr>
          <w:p w14:paraId="3ED064FB"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157" w:type="dxa"/>
            <w:tcBorders>
              <w:top w:val="nil"/>
              <w:left w:val="nil"/>
              <w:bottom w:val="single" w:sz="4" w:space="0" w:color="auto"/>
              <w:right w:val="single" w:sz="4" w:space="0" w:color="auto"/>
            </w:tcBorders>
            <w:vAlign w:val="center"/>
            <w:hideMark/>
          </w:tcPr>
          <w:p w14:paraId="5BBED044"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570" w:type="dxa"/>
            <w:tcBorders>
              <w:top w:val="nil"/>
              <w:left w:val="nil"/>
              <w:bottom w:val="single" w:sz="4" w:space="0" w:color="auto"/>
              <w:right w:val="single" w:sz="4" w:space="0" w:color="auto"/>
            </w:tcBorders>
            <w:vAlign w:val="center"/>
            <w:hideMark/>
          </w:tcPr>
          <w:p w14:paraId="4248ADCD"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621" w:type="dxa"/>
            <w:tcBorders>
              <w:top w:val="nil"/>
              <w:left w:val="nil"/>
              <w:bottom w:val="single" w:sz="4" w:space="0" w:color="auto"/>
              <w:right w:val="single" w:sz="4" w:space="0" w:color="auto"/>
            </w:tcBorders>
            <w:vAlign w:val="center"/>
            <w:hideMark/>
          </w:tcPr>
          <w:p w14:paraId="794056EE"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218" w:type="dxa"/>
            <w:tcBorders>
              <w:top w:val="nil"/>
              <w:left w:val="nil"/>
              <w:bottom w:val="single" w:sz="4" w:space="0" w:color="auto"/>
              <w:right w:val="single" w:sz="4" w:space="0" w:color="auto"/>
            </w:tcBorders>
            <w:vAlign w:val="center"/>
            <w:hideMark/>
          </w:tcPr>
          <w:p w14:paraId="3453D0E9"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2,07</w:t>
            </w:r>
          </w:p>
        </w:tc>
      </w:tr>
      <w:tr w:rsidR="001355EB" w:rsidRPr="001355EB" w14:paraId="22967AE5" w14:textId="77777777" w:rsidTr="001355EB">
        <w:trPr>
          <w:trHeight w:val="19"/>
          <w:jc w:val="center"/>
        </w:trPr>
        <w:tc>
          <w:tcPr>
            <w:tcW w:w="1850" w:type="dxa"/>
            <w:tcBorders>
              <w:top w:val="nil"/>
              <w:left w:val="single" w:sz="4" w:space="0" w:color="auto"/>
              <w:bottom w:val="single" w:sz="4" w:space="0" w:color="auto"/>
              <w:right w:val="single" w:sz="4" w:space="0" w:color="auto"/>
            </w:tcBorders>
            <w:vAlign w:val="center"/>
            <w:hideMark/>
          </w:tcPr>
          <w:p w14:paraId="3A265CC1" w14:textId="77777777" w:rsidR="001355EB" w:rsidRPr="00E02C8A"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Punjab</w:t>
            </w:r>
          </w:p>
        </w:tc>
        <w:tc>
          <w:tcPr>
            <w:tcW w:w="1232" w:type="dxa"/>
            <w:tcBorders>
              <w:top w:val="nil"/>
              <w:left w:val="nil"/>
              <w:bottom w:val="single" w:sz="4" w:space="0" w:color="auto"/>
              <w:right w:val="single" w:sz="4" w:space="0" w:color="auto"/>
            </w:tcBorders>
            <w:vAlign w:val="center"/>
            <w:hideMark/>
          </w:tcPr>
          <w:p w14:paraId="6CC11A6C"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2,50</w:t>
            </w:r>
          </w:p>
        </w:tc>
        <w:tc>
          <w:tcPr>
            <w:tcW w:w="1141" w:type="dxa"/>
            <w:tcBorders>
              <w:top w:val="nil"/>
              <w:left w:val="nil"/>
              <w:bottom w:val="single" w:sz="4" w:space="0" w:color="auto"/>
              <w:right w:val="single" w:sz="4" w:space="0" w:color="auto"/>
            </w:tcBorders>
            <w:vAlign w:val="center"/>
            <w:hideMark/>
          </w:tcPr>
          <w:p w14:paraId="471F97EC"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289" w:type="dxa"/>
            <w:tcBorders>
              <w:top w:val="nil"/>
              <w:left w:val="nil"/>
              <w:bottom w:val="single" w:sz="4" w:space="0" w:color="auto"/>
              <w:right w:val="single" w:sz="4" w:space="0" w:color="auto"/>
            </w:tcBorders>
            <w:vAlign w:val="center"/>
            <w:hideMark/>
          </w:tcPr>
          <w:p w14:paraId="221407C9"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340" w:type="dxa"/>
            <w:tcBorders>
              <w:top w:val="nil"/>
              <w:left w:val="nil"/>
              <w:bottom w:val="single" w:sz="4" w:space="0" w:color="auto"/>
              <w:right w:val="single" w:sz="4" w:space="0" w:color="auto"/>
            </w:tcBorders>
            <w:vAlign w:val="center"/>
            <w:hideMark/>
          </w:tcPr>
          <w:p w14:paraId="757B75B2"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5</w:t>
            </w:r>
          </w:p>
        </w:tc>
        <w:tc>
          <w:tcPr>
            <w:tcW w:w="1142" w:type="dxa"/>
            <w:tcBorders>
              <w:top w:val="nil"/>
              <w:left w:val="nil"/>
              <w:bottom w:val="single" w:sz="4" w:space="0" w:color="auto"/>
              <w:right w:val="single" w:sz="4" w:space="0" w:color="auto"/>
            </w:tcBorders>
            <w:vAlign w:val="center"/>
            <w:hideMark/>
          </w:tcPr>
          <w:p w14:paraId="1C5F190A"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438" w:type="dxa"/>
            <w:tcBorders>
              <w:top w:val="nil"/>
              <w:left w:val="nil"/>
              <w:bottom w:val="single" w:sz="4" w:space="0" w:color="auto"/>
              <w:right w:val="single" w:sz="4" w:space="0" w:color="auto"/>
            </w:tcBorders>
            <w:vAlign w:val="center"/>
            <w:hideMark/>
          </w:tcPr>
          <w:p w14:paraId="0750535A"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157" w:type="dxa"/>
            <w:tcBorders>
              <w:top w:val="nil"/>
              <w:left w:val="nil"/>
              <w:bottom w:val="single" w:sz="4" w:space="0" w:color="auto"/>
              <w:right w:val="single" w:sz="4" w:space="0" w:color="auto"/>
            </w:tcBorders>
            <w:vAlign w:val="center"/>
            <w:hideMark/>
          </w:tcPr>
          <w:p w14:paraId="2F9A5872"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570" w:type="dxa"/>
            <w:tcBorders>
              <w:top w:val="nil"/>
              <w:left w:val="nil"/>
              <w:bottom w:val="single" w:sz="4" w:space="0" w:color="auto"/>
              <w:right w:val="single" w:sz="4" w:space="0" w:color="auto"/>
            </w:tcBorders>
            <w:vAlign w:val="center"/>
            <w:hideMark/>
          </w:tcPr>
          <w:p w14:paraId="4F3FE275"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621" w:type="dxa"/>
            <w:tcBorders>
              <w:top w:val="nil"/>
              <w:left w:val="nil"/>
              <w:bottom w:val="single" w:sz="4" w:space="0" w:color="auto"/>
              <w:right w:val="single" w:sz="4" w:space="0" w:color="auto"/>
            </w:tcBorders>
            <w:vAlign w:val="center"/>
            <w:hideMark/>
          </w:tcPr>
          <w:p w14:paraId="60DF828F"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218" w:type="dxa"/>
            <w:tcBorders>
              <w:top w:val="nil"/>
              <w:left w:val="nil"/>
              <w:bottom w:val="single" w:sz="4" w:space="0" w:color="auto"/>
              <w:right w:val="single" w:sz="4" w:space="0" w:color="auto"/>
            </w:tcBorders>
            <w:vAlign w:val="center"/>
            <w:hideMark/>
          </w:tcPr>
          <w:p w14:paraId="79A0A2E7"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2,55</w:t>
            </w:r>
          </w:p>
        </w:tc>
      </w:tr>
      <w:tr w:rsidR="001355EB" w:rsidRPr="001355EB" w14:paraId="2E9D84B2" w14:textId="77777777" w:rsidTr="001355EB">
        <w:trPr>
          <w:trHeight w:val="19"/>
          <w:jc w:val="center"/>
        </w:trPr>
        <w:tc>
          <w:tcPr>
            <w:tcW w:w="1850" w:type="dxa"/>
            <w:tcBorders>
              <w:top w:val="nil"/>
              <w:left w:val="single" w:sz="4" w:space="0" w:color="auto"/>
              <w:bottom w:val="single" w:sz="4" w:space="0" w:color="auto"/>
              <w:right w:val="single" w:sz="4" w:space="0" w:color="auto"/>
            </w:tcBorders>
            <w:vAlign w:val="center"/>
            <w:hideMark/>
          </w:tcPr>
          <w:p w14:paraId="01F56A27" w14:textId="77777777" w:rsidR="001355EB" w:rsidRPr="00E02C8A"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Uttar Pradesh</w:t>
            </w:r>
          </w:p>
        </w:tc>
        <w:tc>
          <w:tcPr>
            <w:tcW w:w="1232" w:type="dxa"/>
            <w:tcBorders>
              <w:top w:val="nil"/>
              <w:left w:val="nil"/>
              <w:bottom w:val="single" w:sz="4" w:space="0" w:color="auto"/>
              <w:right w:val="single" w:sz="4" w:space="0" w:color="auto"/>
            </w:tcBorders>
            <w:vAlign w:val="center"/>
            <w:hideMark/>
          </w:tcPr>
          <w:p w14:paraId="3EF60E2B"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8,19</w:t>
            </w:r>
          </w:p>
        </w:tc>
        <w:tc>
          <w:tcPr>
            <w:tcW w:w="1141" w:type="dxa"/>
            <w:tcBorders>
              <w:top w:val="nil"/>
              <w:left w:val="nil"/>
              <w:bottom w:val="single" w:sz="4" w:space="0" w:color="auto"/>
              <w:right w:val="single" w:sz="4" w:space="0" w:color="auto"/>
            </w:tcBorders>
            <w:vAlign w:val="center"/>
            <w:hideMark/>
          </w:tcPr>
          <w:p w14:paraId="008A63B7"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289" w:type="dxa"/>
            <w:tcBorders>
              <w:top w:val="nil"/>
              <w:left w:val="nil"/>
              <w:bottom w:val="single" w:sz="4" w:space="0" w:color="auto"/>
              <w:right w:val="single" w:sz="4" w:space="0" w:color="auto"/>
            </w:tcBorders>
            <w:vAlign w:val="center"/>
            <w:hideMark/>
          </w:tcPr>
          <w:p w14:paraId="582010A9"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340" w:type="dxa"/>
            <w:tcBorders>
              <w:top w:val="nil"/>
              <w:left w:val="nil"/>
              <w:bottom w:val="single" w:sz="4" w:space="0" w:color="auto"/>
              <w:right w:val="single" w:sz="4" w:space="0" w:color="auto"/>
            </w:tcBorders>
            <w:vAlign w:val="center"/>
            <w:hideMark/>
          </w:tcPr>
          <w:p w14:paraId="612C118A"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142" w:type="dxa"/>
            <w:tcBorders>
              <w:top w:val="nil"/>
              <w:left w:val="nil"/>
              <w:bottom w:val="single" w:sz="4" w:space="0" w:color="auto"/>
              <w:right w:val="single" w:sz="4" w:space="0" w:color="auto"/>
            </w:tcBorders>
            <w:vAlign w:val="center"/>
            <w:hideMark/>
          </w:tcPr>
          <w:p w14:paraId="72A9C0E2"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438" w:type="dxa"/>
            <w:tcBorders>
              <w:top w:val="nil"/>
              <w:left w:val="nil"/>
              <w:bottom w:val="single" w:sz="4" w:space="0" w:color="auto"/>
              <w:right w:val="single" w:sz="4" w:space="0" w:color="auto"/>
            </w:tcBorders>
            <w:vAlign w:val="center"/>
            <w:hideMark/>
          </w:tcPr>
          <w:p w14:paraId="75599190"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157" w:type="dxa"/>
            <w:tcBorders>
              <w:top w:val="nil"/>
              <w:left w:val="nil"/>
              <w:bottom w:val="single" w:sz="4" w:space="0" w:color="auto"/>
              <w:right w:val="single" w:sz="4" w:space="0" w:color="auto"/>
            </w:tcBorders>
            <w:vAlign w:val="center"/>
            <w:hideMark/>
          </w:tcPr>
          <w:p w14:paraId="08323E12"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570" w:type="dxa"/>
            <w:tcBorders>
              <w:top w:val="nil"/>
              <w:left w:val="nil"/>
              <w:bottom w:val="single" w:sz="4" w:space="0" w:color="auto"/>
              <w:right w:val="single" w:sz="4" w:space="0" w:color="auto"/>
            </w:tcBorders>
            <w:vAlign w:val="center"/>
            <w:hideMark/>
          </w:tcPr>
          <w:p w14:paraId="0A83FCA7"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621" w:type="dxa"/>
            <w:tcBorders>
              <w:top w:val="nil"/>
              <w:left w:val="nil"/>
              <w:bottom w:val="single" w:sz="4" w:space="0" w:color="auto"/>
              <w:right w:val="single" w:sz="4" w:space="0" w:color="auto"/>
            </w:tcBorders>
            <w:vAlign w:val="center"/>
            <w:hideMark/>
          </w:tcPr>
          <w:p w14:paraId="04804A6B"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218" w:type="dxa"/>
            <w:tcBorders>
              <w:top w:val="nil"/>
              <w:left w:val="nil"/>
              <w:bottom w:val="single" w:sz="4" w:space="0" w:color="auto"/>
              <w:right w:val="single" w:sz="4" w:space="0" w:color="auto"/>
            </w:tcBorders>
            <w:vAlign w:val="center"/>
            <w:hideMark/>
          </w:tcPr>
          <w:p w14:paraId="48B3A3BE"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8,19</w:t>
            </w:r>
          </w:p>
        </w:tc>
      </w:tr>
      <w:tr w:rsidR="001355EB" w:rsidRPr="001355EB" w14:paraId="1B068DA6" w14:textId="77777777" w:rsidTr="001355EB">
        <w:trPr>
          <w:trHeight w:val="19"/>
          <w:jc w:val="center"/>
        </w:trPr>
        <w:tc>
          <w:tcPr>
            <w:tcW w:w="1850" w:type="dxa"/>
            <w:tcBorders>
              <w:top w:val="nil"/>
              <w:left w:val="single" w:sz="4" w:space="0" w:color="auto"/>
              <w:bottom w:val="single" w:sz="4" w:space="0" w:color="auto"/>
              <w:right w:val="single" w:sz="4" w:space="0" w:color="auto"/>
            </w:tcBorders>
            <w:vAlign w:val="center"/>
            <w:hideMark/>
          </w:tcPr>
          <w:p w14:paraId="6BF85DE1" w14:textId="77777777" w:rsidR="001355EB" w:rsidRPr="00E02C8A"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West Bengal</w:t>
            </w:r>
          </w:p>
        </w:tc>
        <w:tc>
          <w:tcPr>
            <w:tcW w:w="1232" w:type="dxa"/>
            <w:tcBorders>
              <w:top w:val="nil"/>
              <w:left w:val="nil"/>
              <w:bottom w:val="single" w:sz="4" w:space="0" w:color="auto"/>
              <w:right w:val="single" w:sz="4" w:space="0" w:color="auto"/>
            </w:tcBorders>
            <w:vAlign w:val="center"/>
            <w:hideMark/>
          </w:tcPr>
          <w:p w14:paraId="323669F0"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6,14</w:t>
            </w:r>
          </w:p>
        </w:tc>
        <w:tc>
          <w:tcPr>
            <w:tcW w:w="1141" w:type="dxa"/>
            <w:tcBorders>
              <w:top w:val="nil"/>
              <w:left w:val="nil"/>
              <w:bottom w:val="single" w:sz="4" w:space="0" w:color="auto"/>
              <w:right w:val="single" w:sz="4" w:space="0" w:color="auto"/>
            </w:tcBorders>
            <w:vAlign w:val="center"/>
            <w:hideMark/>
          </w:tcPr>
          <w:p w14:paraId="6C8AF6EC"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1,05</w:t>
            </w:r>
          </w:p>
        </w:tc>
        <w:tc>
          <w:tcPr>
            <w:tcW w:w="1289" w:type="dxa"/>
            <w:tcBorders>
              <w:top w:val="nil"/>
              <w:left w:val="nil"/>
              <w:bottom w:val="single" w:sz="4" w:space="0" w:color="auto"/>
              <w:right w:val="single" w:sz="4" w:space="0" w:color="auto"/>
            </w:tcBorders>
            <w:vAlign w:val="center"/>
            <w:hideMark/>
          </w:tcPr>
          <w:p w14:paraId="2A2FBAAA"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340" w:type="dxa"/>
            <w:tcBorders>
              <w:top w:val="nil"/>
              <w:left w:val="nil"/>
              <w:bottom w:val="single" w:sz="4" w:space="0" w:color="auto"/>
              <w:right w:val="single" w:sz="4" w:space="0" w:color="auto"/>
            </w:tcBorders>
            <w:vAlign w:val="center"/>
            <w:hideMark/>
          </w:tcPr>
          <w:p w14:paraId="0418DA36"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6</w:t>
            </w:r>
          </w:p>
        </w:tc>
        <w:tc>
          <w:tcPr>
            <w:tcW w:w="1142" w:type="dxa"/>
            <w:tcBorders>
              <w:top w:val="nil"/>
              <w:left w:val="nil"/>
              <w:bottom w:val="single" w:sz="4" w:space="0" w:color="auto"/>
              <w:right w:val="single" w:sz="4" w:space="0" w:color="auto"/>
            </w:tcBorders>
            <w:vAlign w:val="center"/>
            <w:hideMark/>
          </w:tcPr>
          <w:p w14:paraId="487803E9"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22</w:t>
            </w:r>
          </w:p>
        </w:tc>
        <w:tc>
          <w:tcPr>
            <w:tcW w:w="1438" w:type="dxa"/>
            <w:tcBorders>
              <w:top w:val="nil"/>
              <w:left w:val="nil"/>
              <w:bottom w:val="single" w:sz="4" w:space="0" w:color="auto"/>
              <w:right w:val="single" w:sz="4" w:space="0" w:color="auto"/>
            </w:tcBorders>
            <w:vAlign w:val="center"/>
            <w:hideMark/>
          </w:tcPr>
          <w:p w14:paraId="3F3AE79F"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157" w:type="dxa"/>
            <w:tcBorders>
              <w:top w:val="nil"/>
              <w:left w:val="nil"/>
              <w:bottom w:val="single" w:sz="4" w:space="0" w:color="auto"/>
              <w:right w:val="single" w:sz="4" w:space="0" w:color="auto"/>
            </w:tcBorders>
            <w:vAlign w:val="center"/>
            <w:hideMark/>
          </w:tcPr>
          <w:p w14:paraId="51D4A0C4"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570" w:type="dxa"/>
            <w:tcBorders>
              <w:top w:val="nil"/>
              <w:left w:val="nil"/>
              <w:bottom w:val="single" w:sz="4" w:space="0" w:color="auto"/>
              <w:right w:val="single" w:sz="4" w:space="0" w:color="auto"/>
            </w:tcBorders>
            <w:vAlign w:val="center"/>
            <w:hideMark/>
          </w:tcPr>
          <w:p w14:paraId="65286F85"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621" w:type="dxa"/>
            <w:tcBorders>
              <w:top w:val="nil"/>
              <w:left w:val="nil"/>
              <w:bottom w:val="single" w:sz="4" w:space="0" w:color="auto"/>
              <w:right w:val="single" w:sz="4" w:space="0" w:color="auto"/>
            </w:tcBorders>
            <w:vAlign w:val="center"/>
            <w:hideMark/>
          </w:tcPr>
          <w:p w14:paraId="5B4B25DE"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218" w:type="dxa"/>
            <w:tcBorders>
              <w:top w:val="nil"/>
              <w:left w:val="nil"/>
              <w:bottom w:val="single" w:sz="4" w:space="0" w:color="auto"/>
              <w:right w:val="single" w:sz="4" w:space="0" w:color="auto"/>
            </w:tcBorders>
            <w:vAlign w:val="center"/>
            <w:hideMark/>
          </w:tcPr>
          <w:p w14:paraId="6CF8ACB5"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7,47</w:t>
            </w:r>
          </w:p>
        </w:tc>
      </w:tr>
      <w:tr w:rsidR="001355EB" w:rsidRPr="001355EB" w14:paraId="152A894D" w14:textId="77777777" w:rsidTr="001355EB">
        <w:trPr>
          <w:trHeight w:val="19"/>
          <w:jc w:val="center"/>
        </w:trPr>
        <w:tc>
          <w:tcPr>
            <w:tcW w:w="1850" w:type="dxa"/>
            <w:tcBorders>
              <w:top w:val="nil"/>
              <w:left w:val="single" w:sz="4" w:space="0" w:color="auto"/>
              <w:bottom w:val="single" w:sz="4" w:space="0" w:color="auto"/>
              <w:right w:val="single" w:sz="4" w:space="0" w:color="auto"/>
            </w:tcBorders>
            <w:vAlign w:val="center"/>
            <w:hideMark/>
          </w:tcPr>
          <w:p w14:paraId="6574D060" w14:textId="77777777" w:rsidR="001355EB" w:rsidRPr="00E02C8A"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Hyderabad</w:t>
            </w:r>
          </w:p>
        </w:tc>
        <w:tc>
          <w:tcPr>
            <w:tcW w:w="1232" w:type="dxa"/>
            <w:tcBorders>
              <w:top w:val="nil"/>
              <w:left w:val="nil"/>
              <w:bottom w:val="single" w:sz="4" w:space="0" w:color="auto"/>
              <w:right w:val="single" w:sz="4" w:space="0" w:color="auto"/>
            </w:tcBorders>
            <w:vAlign w:val="center"/>
            <w:hideMark/>
          </w:tcPr>
          <w:p w14:paraId="4D6AE01F"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141" w:type="dxa"/>
            <w:tcBorders>
              <w:top w:val="nil"/>
              <w:left w:val="nil"/>
              <w:bottom w:val="single" w:sz="4" w:space="0" w:color="auto"/>
              <w:right w:val="single" w:sz="4" w:space="0" w:color="auto"/>
            </w:tcBorders>
            <w:vAlign w:val="center"/>
            <w:hideMark/>
          </w:tcPr>
          <w:p w14:paraId="1824D8A9"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289" w:type="dxa"/>
            <w:tcBorders>
              <w:top w:val="nil"/>
              <w:left w:val="nil"/>
              <w:bottom w:val="single" w:sz="4" w:space="0" w:color="auto"/>
              <w:right w:val="single" w:sz="4" w:space="0" w:color="auto"/>
            </w:tcBorders>
            <w:vAlign w:val="center"/>
            <w:hideMark/>
          </w:tcPr>
          <w:p w14:paraId="5898853D"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340" w:type="dxa"/>
            <w:tcBorders>
              <w:top w:val="nil"/>
              <w:left w:val="nil"/>
              <w:bottom w:val="single" w:sz="4" w:space="0" w:color="auto"/>
              <w:right w:val="single" w:sz="4" w:space="0" w:color="auto"/>
            </w:tcBorders>
            <w:vAlign w:val="center"/>
            <w:hideMark/>
          </w:tcPr>
          <w:p w14:paraId="6E3C57B0"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3</w:t>
            </w:r>
          </w:p>
        </w:tc>
        <w:tc>
          <w:tcPr>
            <w:tcW w:w="1142" w:type="dxa"/>
            <w:tcBorders>
              <w:top w:val="nil"/>
              <w:left w:val="nil"/>
              <w:bottom w:val="single" w:sz="4" w:space="0" w:color="auto"/>
              <w:right w:val="single" w:sz="4" w:space="0" w:color="auto"/>
            </w:tcBorders>
            <w:vAlign w:val="center"/>
            <w:hideMark/>
          </w:tcPr>
          <w:p w14:paraId="1BFCF5AC"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1,16</w:t>
            </w:r>
          </w:p>
        </w:tc>
        <w:tc>
          <w:tcPr>
            <w:tcW w:w="1438" w:type="dxa"/>
            <w:tcBorders>
              <w:top w:val="nil"/>
              <w:left w:val="nil"/>
              <w:bottom w:val="single" w:sz="4" w:space="0" w:color="auto"/>
              <w:right w:val="single" w:sz="4" w:space="0" w:color="auto"/>
            </w:tcBorders>
            <w:vAlign w:val="center"/>
            <w:hideMark/>
          </w:tcPr>
          <w:p w14:paraId="52698F57"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157" w:type="dxa"/>
            <w:tcBorders>
              <w:top w:val="nil"/>
              <w:left w:val="nil"/>
              <w:bottom w:val="single" w:sz="4" w:space="0" w:color="auto"/>
              <w:right w:val="single" w:sz="4" w:space="0" w:color="auto"/>
            </w:tcBorders>
            <w:vAlign w:val="center"/>
            <w:hideMark/>
          </w:tcPr>
          <w:p w14:paraId="36ACDDDD"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570" w:type="dxa"/>
            <w:tcBorders>
              <w:top w:val="nil"/>
              <w:left w:val="nil"/>
              <w:bottom w:val="single" w:sz="4" w:space="0" w:color="auto"/>
              <w:right w:val="single" w:sz="4" w:space="0" w:color="auto"/>
            </w:tcBorders>
            <w:vAlign w:val="center"/>
            <w:hideMark/>
          </w:tcPr>
          <w:p w14:paraId="20C83849"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621" w:type="dxa"/>
            <w:tcBorders>
              <w:top w:val="nil"/>
              <w:left w:val="nil"/>
              <w:bottom w:val="single" w:sz="4" w:space="0" w:color="auto"/>
              <w:right w:val="single" w:sz="4" w:space="0" w:color="auto"/>
            </w:tcBorders>
            <w:vAlign w:val="center"/>
            <w:hideMark/>
          </w:tcPr>
          <w:p w14:paraId="3C24098F"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218" w:type="dxa"/>
            <w:tcBorders>
              <w:top w:val="nil"/>
              <w:left w:val="nil"/>
              <w:bottom w:val="single" w:sz="4" w:space="0" w:color="auto"/>
              <w:right w:val="single" w:sz="4" w:space="0" w:color="auto"/>
            </w:tcBorders>
            <w:vAlign w:val="center"/>
            <w:hideMark/>
          </w:tcPr>
          <w:p w14:paraId="4D8F7FE6"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1,19</w:t>
            </w:r>
          </w:p>
        </w:tc>
      </w:tr>
      <w:tr w:rsidR="001355EB" w:rsidRPr="001355EB" w14:paraId="043460A4" w14:textId="77777777" w:rsidTr="001355EB">
        <w:trPr>
          <w:trHeight w:val="19"/>
          <w:jc w:val="center"/>
        </w:trPr>
        <w:tc>
          <w:tcPr>
            <w:tcW w:w="1850" w:type="dxa"/>
            <w:tcBorders>
              <w:top w:val="nil"/>
              <w:left w:val="single" w:sz="4" w:space="0" w:color="auto"/>
              <w:bottom w:val="single" w:sz="4" w:space="0" w:color="auto"/>
              <w:right w:val="single" w:sz="4" w:space="0" w:color="auto"/>
            </w:tcBorders>
            <w:vAlign w:val="center"/>
            <w:hideMark/>
          </w:tcPr>
          <w:p w14:paraId="1BE21449" w14:textId="77777777" w:rsidR="001355EB" w:rsidRPr="00E02C8A"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Madhya Bharat</w:t>
            </w:r>
          </w:p>
        </w:tc>
        <w:tc>
          <w:tcPr>
            <w:tcW w:w="1232" w:type="dxa"/>
            <w:tcBorders>
              <w:top w:val="nil"/>
              <w:left w:val="nil"/>
              <w:bottom w:val="single" w:sz="4" w:space="0" w:color="auto"/>
              <w:right w:val="single" w:sz="4" w:space="0" w:color="auto"/>
            </w:tcBorders>
            <w:vAlign w:val="center"/>
            <w:hideMark/>
          </w:tcPr>
          <w:p w14:paraId="4B30E8AB"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8</w:t>
            </w:r>
          </w:p>
        </w:tc>
        <w:tc>
          <w:tcPr>
            <w:tcW w:w="1141" w:type="dxa"/>
            <w:tcBorders>
              <w:top w:val="nil"/>
              <w:left w:val="nil"/>
              <w:bottom w:val="single" w:sz="4" w:space="0" w:color="auto"/>
              <w:right w:val="single" w:sz="4" w:space="0" w:color="auto"/>
            </w:tcBorders>
            <w:vAlign w:val="center"/>
            <w:hideMark/>
          </w:tcPr>
          <w:p w14:paraId="2E5AD225"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289" w:type="dxa"/>
            <w:tcBorders>
              <w:top w:val="nil"/>
              <w:left w:val="nil"/>
              <w:bottom w:val="single" w:sz="4" w:space="0" w:color="auto"/>
              <w:right w:val="single" w:sz="4" w:space="0" w:color="auto"/>
            </w:tcBorders>
            <w:vAlign w:val="center"/>
            <w:hideMark/>
          </w:tcPr>
          <w:p w14:paraId="6D3CB01A"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340" w:type="dxa"/>
            <w:tcBorders>
              <w:top w:val="nil"/>
              <w:left w:val="nil"/>
              <w:bottom w:val="single" w:sz="4" w:space="0" w:color="auto"/>
              <w:right w:val="single" w:sz="4" w:space="0" w:color="auto"/>
            </w:tcBorders>
            <w:vAlign w:val="center"/>
            <w:hideMark/>
          </w:tcPr>
          <w:p w14:paraId="4C3CCD68"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4.5</w:t>
            </w:r>
          </w:p>
        </w:tc>
        <w:tc>
          <w:tcPr>
            <w:tcW w:w="1142" w:type="dxa"/>
            <w:tcBorders>
              <w:top w:val="nil"/>
              <w:left w:val="nil"/>
              <w:bottom w:val="single" w:sz="4" w:space="0" w:color="auto"/>
              <w:right w:val="single" w:sz="4" w:space="0" w:color="auto"/>
            </w:tcBorders>
            <w:vAlign w:val="center"/>
            <w:hideMark/>
          </w:tcPr>
          <w:p w14:paraId="53A0E147"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438" w:type="dxa"/>
            <w:tcBorders>
              <w:top w:val="nil"/>
              <w:left w:val="nil"/>
              <w:bottom w:val="single" w:sz="4" w:space="0" w:color="auto"/>
              <w:right w:val="single" w:sz="4" w:space="0" w:color="auto"/>
            </w:tcBorders>
            <w:vAlign w:val="center"/>
            <w:hideMark/>
          </w:tcPr>
          <w:p w14:paraId="5DEF3A1B"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157" w:type="dxa"/>
            <w:tcBorders>
              <w:top w:val="nil"/>
              <w:left w:val="nil"/>
              <w:bottom w:val="single" w:sz="4" w:space="0" w:color="auto"/>
              <w:right w:val="single" w:sz="4" w:space="0" w:color="auto"/>
            </w:tcBorders>
            <w:vAlign w:val="center"/>
            <w:hideMark/>
          </w:tcPr>
          <w:p w14:paraId="3D950B6E"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570" w:type="dxa"/>
            <w:tcBorders>
              <w:top w:val="nil"/>
              <w:left w:val="nil"/>
              <w:bottom w:val="single" w:sz="4" w:space="0" w:color="auto"/>
              <w:right w:val="single" w:sz="4" w:space="0" w:color="auto"/>
            </w:tcBorders>
            <w:vAlign w:val="center"/>
            <w:hideMark/>
          </w:tcPr>
          <w:p w14:paraId="19E44AD6"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45</w:t>
            </w:r>
          </w:p>
        </w:tc>
        <w:tc>
          <w:tcPr>
            <w:tcW w:w="1621" w:type="dxa"/>
            <w:tcBorders>
              <w:top w:val="nil"/>
              <w:left w:val="nil"/>
              <w:bottom w:val="single" w:sz="4" w:space="0" w:color="auto"/>
              <w:right w:val="single" w:sz="4" w:space="0" w:color="auto"/>
            </w:tcBorders>
            <w:vAlign w:val="center"/>
            <w:hideMark/>
          </w:tcPr>
          <w:p w14:paraId="6617BF58"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218" w:type="dxa"/>
            <w:tcBorders>
              <w:top w:val="nil"/>
              <w:left w:val="nil"/>
              <w:bottom w:val="single" w:sz="4" w:space="0" w:color="auto"/>
              <w:right w:val="single" w:sz="4" w:space="0" w:color="auto"/>
            </w:tcBorders>
            <w:vAlign w:val="center"/>
            <w:hideMark/>
          </w:tcPr>
          <w:p w14:paraId="38147760"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57</w:t>
            </w:r>
          </w:p>
        </w:tc>
      </w:tr>
      <w:tr w:rsidR="001355EB" w:rsidRPr="001355EB" w14:paraId="3535878C" w14:textId="77777777" w:rsidTr="001355EB">
        <w:trPr>
          <w:trHeight w:val="19"/>
          <w:jc w:val="center"/>
        </w:trPr>
        <w:tc>
          <w:tcPr>
            <w:tcW w:w="1850" w:type="dxa"/>
            <w:tcBorders>
              <w:top w:val="nil"/>
              <w:left w:val="single" w:sz="4" w:space="0" w:color="auto"/>
              <w:bottom w:val="single" w:sz="4" w:space="0" w:color="auto"/>
              <w:right w:val="single" w:sz="4" w:space="0" w:color="auto"/>
            </w:tcBorders>
            <w:vAlign w:val="center"/>
            <w:hideMark/>
          </w:tcPr>
          <w:p w14:paraId="686C20FC" w14:textId="77777777" w:rsidR="001355EB" w:rsidRPr="00E02C8A"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Mysore</w:t>
            </w:r>
          </w:p>
        </w:tc>
        <w:tc>
          <w:tcPr>
            <w:tcW w:w="1232" w:type="dxa"/>
            <w:tcBorders>
              <w:top w:val="nil"/>
              <w:left w:val="nil"/>
              <w:bottom w:val="single" w:sz="4" w:space="0" w:color="auto"/>
              <w:right w:val="single" w:sz="4" w:space="0" w:color="auto"/>
            </w:tcBorders>
            <w:vAlign w:val="center"/>
            <w:hideMark/>
          </w:tcPr>
          <w:p w14:paraId="173A403C"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141" w:type="dxa"/>
            <w:tcBorders>
              <w:top w:val="nil"/>
              <w:left w:val="nil"/>
              <w:bottom w:val="single" w:sz="4" w:space="0" w:color="auto"/>
              <w:right w:val="single" w:sz="4" w:space="0" w:color="auto"/>
            </w:tcBorders>
            <w:vAlign w:val="center"/>
            <w:hideMark/>
          </w:tcPr>
          <w:p w14:paraId="30BF0BB9"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289" w:type="dxa"/>
            <w:tcBorders>
              <w:top w:val="nil"/>
              <w:left w:val="nil"/>
              <w:bottom w:val="single" w:sz="4" w:space="0" w:color="auto"/>
              <w:right w:val="single" w:sz="4" w:space="0" w:color="auto"/>
            </w:tcBorders>
            <w:vAlign w:val="center"/>
            <w:hideMark/>
          </w:tcPr>
          <w:p w14:paraId="2C318E73"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340" w:type="dxa"/>
            <w:tcBorders>
              <w:top w:val="nil"/>
              <w:left w:val="nil"/>
              <w:bottom w:val="single" w:sz="4" w:space="0" w:color="auto"/>
              <w:right w:val="single" w:sz="4" w:space="0" w:color="auto"/>
            </w:tcBorders>
            <w:vAlign w:val="center"/>
            <w:hideMark/>
          </w:tcPr>
          <w:p w14:paraId="0432AE3E" w14:textId="0F044B78" w:rsidR="001355EB" w:rsidRPr="001355EB" w:rsidRDefault="00802C27" w:rsidP="001355EB">
            <w:pPr>
              <w:spacing w:after="0" w:line="240" w:lineRule="auto"/>
              <w:jc w:val="center"/>
              <w:rPr>
                <w:rFonts w:ascii="Times New Roman" w:eastAsia="Times New Roman" w:hAnsi="Times New Roman" w:cs="Times New Roman"/>
                <w:color w:val="000000"/>
                <w:kern w:val="0"/>
                <w:szCs w:val="24"/>
                <w:lang w:eastAsia="en-IN"/>
                <w14:ligatures w14:val="none"/>
              </w:rPr>
            </w:pPr>
            <w:r>
              <w:rPr>
                <w:rFonts w:ascii="Times New Roman" w:eastAsia="Times New Roman" w:hAnsi="Times New Roman" w:cs="Times New Roman"/>
                <w:color w:val="000000"/>
                <w:kern w:val="0"/>
                <w:szCs w:val="24"/>
                <w:lang w:eastAsia="en-IN"/>
                <w14:ligatures w14:val="none"/>
              </w:rPr>
              <w:t>1</w:t>
            </w:r>
          </w:p>
        </w:tc>
        <w:tc>
          <w:tcPr>
            <w:tcW w:w="1142" w:type="dxa"/>
            <w:tcBorders>
              <w:top w:val="nil"/>
              <w:left w:val="nil"/>
              <w:bottom w:val="single" w:sz="4" w:space="0" w:color="auto"/>
              <w:right w:val="single" w:sz="4" w:space="0" w:color="auto"/>
            </w:tcBorders>
            <w:vAlign w:val="center"/>
            <w:hideMark/>
          </w:tcPr>
          <w:p w14:paraId="2753398C" w14:textId="47086042" w:rsidR="001355EB" w:rsidRPr="001355EB" w:rsidRDefault="00802C27" w:rsidP="001355EB">
            <w:pPr>
              <w:spacing w:after="0" w:line="240" w:lineRule="auto"/>
              <w:jc w:val="center"/>
              <w:rPr>
                <w:rFonts w:ascii="Times New Roman" w:eastAsia="Times New Roman" w:hAnsi="Times New Roman" w:cs="Times New Roman"/>
                <w:color w:val="000000"/>
                <w:kern w:val="0"/>
                <w:szCs w:val="24"/>
                <w:lang w:eastAsia="en-IN"/>
                <w14:ligatures w14:val="none"/>
              </w:rPr>
            </w:pPr>
            <w:r>
              <w:rPr>
                <w:rFonts w:ascii="Times New Roman" w:eastAsia="Times New Roman" w:hAnsi="Times New Roman" w:cs="Times New Roman"/>
                <w:color w:val="000000"/>
                <w:kern w:val="0"/>
                <w:szCs w:val="24"/>
                <w:lang w:eastAsia="en-IN"/>
                <w14:ligatures w14:val="none"/>
              </w:rPr>
              <w:t>5</w:t>
            </w:r>
            <w:r w:rsidR="001355EB" w:rsidRPr="001355EB">
              <w:rPr>
                <w:rFonts w:ascii="Times New Roman" w:eastAsia="Times New Roman" w:hAnsi="Times New Roman" w:cs="Times New Roman"/>
                <w:color w:val="000000"/>
                <w:kern w:val="0"/>
                <w:szCs w:val="24"/>
                <w:lang w:eastAsia="en-IN"/>
                <w14:ligatures w14:val="none"/>
              </w:rPr>
              <w:t>,4</w:t>
            </w:r>
            <w:r>
              <w:rPr>
                <w:rFonts w:ascii="Times New Roman" w:eastAsia="Times New Roman" w:hAnsi="Times New Roman" w:cs="Times New Roman"/>
                <w:color w:val="000000"/>
                <w:kern w:val="0"/>
                <w:szCs w:val="24"/>
                <w:lang w:eastAsia="en-IN"/>
                <w14:ligatures w14:val="none"/>
              </w:rPr>
              <w:t>5</w:t>
            </w:r>
          </w:p>
        </w:tc>
        <w:tc>
          <w:tcPr>
            <w:tcW w:w="1438" w:type="dxa"/>
            <w:tcBorders>
              <w:top w:val="nil"/>
              <w:left w:val="nil"/>
              <w:bottom w:val="single" w:sz="4" w:space="0" w:color="auto"/>
              <w:right w:val="single" w:sz="4" w:space="0" w:color="auto"/>
            </w:tcBorders>
            <w:vAlign w:val="center"/>
            <w:hideMark/>
          </w:tcPr>
          <w:p w14:paraId="3ED36C1A"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157" w:type="dxa"/>
            <w:tcBorders>
              <w:top w:val="nil"/>
              <w:left w:val="nil"/>
              <w:bottom w:val="single" w:sz="4" w:space="0" w:color="auto"/>
              <w:right w:val="single" w:sz="4" w:space="0" w:color="auto"/>
            </w:tcBorders>
            <w:vAlign w:val="center"/>
            <w:hideMark/>
          </w:tcPr>
          <w:p w14:paraId="4FE6FCC8"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570" w:type="dxa"/>
            <w:tcBorders>
              <w:top w:val="nil"/>
              <w:left w:val="nil"/>
              <w:bottom w:val="single" w:sz="4" w:space="0" w:color="auto"/>
              <w:right w:val="single" w:sz="4" w:space="0" w:color="auto"/>
            </w:tcBorders>
            <w:vAlign w:val="center"/>
            <w:hideMark/>
          </w:tcPr>
          <w:p w14:paraId="6B7C6E9A"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621" w:type="dxa"/>
            <w:tcBorders>
              <w:top w:val="nil"/>
              <w:left w:val="nil"/>
              <w:bottom w:val="single" w:sz="4" w:space="0" w:color="auto"/>
              <w:right w:val="single" w:sz="4" w:space="0" w:color="auto"/>
            </w:tcBorders>
            <w:vAlign w:val="center"/>
            <w:hideMark/>
          </w:tcPr>
          <w:p w14:paraId="1FAC0401"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218" w:type="dxa"/>
            <w:tcBorders>
              <w:top w:val="nil"/>
              <w:left w:val="nil"/>
              <w:bottom w:val="single" w:sz="4" w:space="0" w:color="auto"/>
              <w:right w:val="single" w:sz="4" w:space="0" w:color="auto"/>
            </w:tcBorders>
            <w:vAlign w:val="center"/>
            <w:hideMark/>
          </w:tcPr>
          <w:p w14:paraId="25227028"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3,46</w:t>
            </w:r>
          </w:p>
        </w:tc>
      </w:tr>
      <w:tr w:rsidR="001355EB" w:rsidRPr="001355EB" w14:paraId="2DDA72B8" w14:textId="77777777" w:rsidTr="001355EB">
        <w:trPr>
          <w:trHeight w:val="19"/>
          <w:jc w:val="center"/>
        </w:trPr>
        <w:tc>
          <w:tcPr>
            <w:tcW w:w="1850" w:type="dxa"/>
            <w:tcBorders>
              <w:top w:val="nil"/>
              <w:left w:val="single" w:sz="4" w:space="0" w:color="auto"/>
              <w:bottom w:val="single" w:sz="4" w:space="0" w:color="auto"/>
              <w:right w:val="single" w:sz="4" w:space="0" w:color="auto"/>
            </w:tcBorders>
            <w:vAlign w:val="center"/>
            <w:hideMark/>
          </w:tcPr>
          <w:p w14:paraId="619DD79B" w14:textId="77777777" w:rsidR="001355EB" w:rsidRPr="00E02C8A"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Patiala &amp; East Punjab States Union</w:t>
            </w:r>
          </w:p>
        </w:tc>
        <w:tc>
          <w:tcPr>
            <w:tcW w:w="1232" w:type="dxa"/>
            <w:tcBorders>
              <w:top w:val="nil"/>
              <w:left w:val="nil"/>
              <w:bottom w:val="single" w:sz="4" w:space="0" w:color="auto"/>
              <w:right w:val="single" w:sz="4" w:space="0" w:color="auto"/>
            </w:tcBorders>
            <w:vAlign w:val="center"/>
            <w:hideMark/>
          </w:tcPr>
          <w:p w14:paraId="7F6535AA"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11</w:t>
            </w:r>
          </w:p>
        </w:tc>
        <w:tc>
          <w:tcPr>
            <w:tcW w:w="1141" w:type="dxa"/>
            <w:tcBorders>
              <w:top w:val="nil"/>
              <w:left w:val="nil"/>
              <w:bottom w:val="single" w:sz="4" w:space="0" w:color="auto"/>
              <w:right w:val="single" w:sz="4" w:space="0" w:color="auto"/>
            </w:tcBorders>
            <w:vAlign w:val="center"/>
            <w:hideMark/>
          </w:tcPr>
          <w:p w14:paraId="68C8AB39"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289" w:type="dxa"/>
            <w:tcBorders>
              <w:top w:val="nil"/>
              <w:left w:val="nil"/>
              <w:bottom w:val="single" w:sz="4" w:space="0" w:color="auto"/>
              <w:right w:val="single" w:sz="4" w:space="0" w:color="auto"/>
            </w:tcBorders>
            <w:vAlign w:val="center"/>
            <w:hideMark/>
          </w:tcPr>
          <w:p w14:paraId="755D9C45"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340" w:type="dxa"/>
            <w:tcBorders>
              <w:top w:val="nil"/>
              <w:left w:val="nil"/>
              <w:bottom w:val="single" w:sz="4" w:space="0" w:color="auto"/>
              <w:right w:val="single" w:sz="4" w:space="0" w:color="auto"/>
            </w:tcBorders>
            <w:vAlign w:val="center"/>
            <w:hideMark/>
          </w:tcPr>
          <w:p w14:paraId="2340F8DB"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142" w:type="dxa"/>
            <w:tcBorders>
              <w:top w:val="nil"/>
              <w:left w:val="nil"/>
              <w:bottom w:val="single" w:sz="4" w:space="0" w:color="auto"/>
              <w:right w:val="single" w:sz="4" w:space="0" w:color="auto"/>
            </w:tcBorders>
            <w:vAlign w:val="center"/>
            <w:hideMark/>
          </w:tcPr>
          <w:p w14:paraId="0E97B1B8"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438" w:type="dxa"/>
            <w:tcBorders>
              <w:top w:val="nil"/>
              <w:left w:val="nil"/>
              <w:bottom w:val="single" w:sz="4" w:space="0" w:color="auto"/>
              <w:right w:val="single" w:sz="4" w:space="0" w:color="auto"/>
            </w:tcBorders>
            <w:vAlign w:val="center"/>
            <w:hideMark/>
          </w:tcPr>
          <w:p w14:paraId="6C89903F"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157" w:type="dxa"/>
            <w:tcBorders>
              <w:top w:val="nil"/>
              <w:left w:val="nil"/>
              <w:bottom w:val="single" w:sz="4" w:space="0" w:color="auto"/>
              <w:right w:val="single" w:sz="4" w:space="0" w:color="auto"/>
            </w:tcBorders>
            <w:vAlign w:val="center"/>
            <w:hideMark/>
          </w:tcPr>
          <w:p w14:paraId="746FA7C3"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570" w:type="dxa"/>
            <w:tcBorders>
              <w:top w:val="nil"/>
              <w:left w:val="nil"/>
              <w:bottom w:val="single" w:sz="4" w:space="0" w:color="auto"/>
              <w:right w:val="single" w:sz="4" w:space="0" w:color="auto"/>
            </w:tcBorders>
            <w:vAlign w:val="center"/>
            <w:hideMark/>
          </w:tcPr>
          <w:p w14:paraId="7A83CCD0" w14:textId="47B471ED" w:rsidR="001355EB" w:rsidRPr="001355EB" w:rsidRDefault="00802C27" w:rsidP="001355EB">
            <w:pPr>
              <w:spacing w:after="0" w:line="240" w:lineRule="auto"/>
              <w:jc w:val="center"/>
              <w:rPr>
                <w:rFonts w:ascii="Times New Roman" w:eastAsia="Times New Roman" w:hAnsi="Times New Roman" w:cs="Times New Roman"/>
                <w:color w:val="000000"/>
                <w:kern w:val="0"/>
                <w:szCs w:val="24"/>
                <w:lang w:eastAsia="en-IN"/>
                <w14:ligatures w14:val="none"/>
              </w:rPr>
            </w:pPr>
            <w:r>
              <w:rPr>
                <w:rFonts w:ascii="Times New Roman" w:eastAsia="Times New Roman" w:hAnsi="Times New Roman" w:cs="Times New Roman"/>
                <w:color w:val="000000"/>
                <w:kern w:val="0"/>
                <w:szCs w:val="24"/>
                <w:lang w:eastAsia="en-IN"/>
                <w14:ligatures w14:val="none"/>
              </w:rPr>
              <w:t>22.5</w:t>
            </w:r>
          </w:p>
        </w:tc>
        <w:tc>
          <w:tcPr>
            <w:tcW w:w="1621" w:type="dxa"/>
            <w:tcBorders>
              <w:top w:val="nil"/>
              <w:left w:val="nil"/>
              <w:bottom w:val="single" w:sz="4" w:space="0" w:color="auto"/>
              <w:right w:val="single" w:sz="4" w:space="0" w:color="auto"/>
            </w:tcBorders>
            <w:vAlign w:val="center"/>
            <w:hideMark/>
          </w:tcPr>
          <w:p w14:paraId="2D5533D6" w14:textId="3A809CDF" w:rsidR="001355EB" w:rsidRPr="001355EB" w:rsidRDefault="00802C27"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218" w:type="dxa"/>
            <w:tcBorders>
              <w:top w:val="nil"/>
              <w:left w:val="nil"/>
              <w:bottom w:val="single" w:sz="4" w:space="0" w:color="auto"/>
              <w:right w:val="single" w:sz="4" w:space="0" w:color="auto"/>
            </w:tcBorders>
            <w:vAlign w:val="center"/>
            <w:hideMark/>
          </w:tcPr>
          <w:p w14:paraId="38B25E5A"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34</w:t>
            </w:r>
          </w:p>
        </w:tc>
      </w:tr>
      <w:tr w:rsidR="001355EB" w:rsidRPr="001355EB" w14:paraId="5B60A260" w14:textId="77777777" w:rsidTr="001355EB">
        <w:trPr>
          <w:trHeight w:val="19"/>
          <w:jc w:val="center"/>
        </w:trPr>
        <w:tc>
          <w:tcPr>
            <w:tcW w:w="1850" w:type="dxa"/>
            <w:tcBorders>
              <w:top w:val="nil"/>
              <w:left w:val="single" w:sz="4" w:space="0" w:color="auto"/>
              <w:bottom w:val="single" w:sz="4" w:space="0" w:color="auto"/>
              <w:right w:val="single" w:sz="4" w:space="0" w:color="auto"/>
            </w:tcBorders>
            <w:vAlign w:val="center"/>
            <w:hideMark/>
          </w:tcPr>
          <w:p w14:paraId="306FD662" w14:textId="77777777" w:rsidR="001355EB" w:rsidRPr="00E02C8A"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Rajasthan</w:t>
            </w:r>
          </w:p>
        </w:tc>
        <w:tc>
          <w:tcPr>
            <w:tcW w:w="1232" w:type="dxa"/>
            <w:tcBorders>
              <w:top w:val="nil"/>
              <w:left w:val="nil"/>
              <w:bottom w:val="single" w:sz="4" w:space="0" w:color="auto"/>
              <w:right w:val="single" w:sz="4" w:space="0" w:color="auto"/>
            </w:tcBorders>
            <w:vAlign w:val="center"/>
            <w:hideMark/>
          </w:tcPr>
          <w:p w14:paraId="4D8049C3"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13</w:t>
            </w:r>
          </w:p>
        </w:tc>
        <w:tc>
          <w:tcPr>
            <w:tcW w:w="1141" w:type="dxa"/>
            <w:tcBorders>
              <w:top w:val="nil"/>
              <w:left w:val="nil"/>
              <w:bottom w:val="single" w:sz="4" w:space="0" w:color="auto"/>
              <w:right w:val="single" w:sz="4" w:space="0" w:color="auto"/>
            </w:tcBorders>
            <w:vAlign w:val="center"/>
            <w:hideMark/>
          </w:tcPr>
          <w:p w14:paraId="4D9AA7B7"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289" w:type="dxa"/>
            <w:tcBorders>
              <w:top w:val="nil"/>
              <w:left w:val="nil"/>
              <w:bottom w:val="single" w:sz="4" w:space="0" w:color="auto"/>
              <w:right w:val="single" w:sz="4" w:space="0" w:color="auto"/>
            </w:tcBorders>
            <w:vAlign w:val="center"/>
            <w:hideMark/>
          </w:tcPr>
          <w:p w14:paraId="4120E435"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340" w:type="dxa"/>
            <w:tcBorders>
              <w:top w:val="nil"/>
              <w:left w:val="nil"/>
              <w:bottom w:val="single" w:sz="4" w:space="0" w:color="auto"/>
              <w:right w:val="single" w:sz="4" w:space="0" w:color="auto"/>
            </w:tcBorders>
            <w:vAlign w:val="center"/>
            <w:hideMark/>
          </w:tcPr>
          <w:p w14:paraId="25DF9F18"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7</w:t>
            </w:r>
          </w:p>
        </w:tc>
        <w:tc>
          <w:tcPr>
            <w:tcW w:w="1142" w:type="dxa"/>
            <w:tcBorders>
              <w:top w:val="nil"/>
              <w:left w:val="nil"/>
              <w:bottom w:val="single" w:sz="4" w:space="0" w:color="auto"/>
              <w:right w:val="single" w:sz="4" w:space="0" w:color="auto"/>
            </w:tcBorders>
            <w:vAlign w:val="center"/>
            <w:hideMark/>
          </w:tcPr>
          <w:p w14:paraId="0EE72D65"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438" w:type="dxa"/>
            <w:tcBorders>
              <w:top w:val="nil"/>
              <w:left w:val="nil"/>
              <w:bottom w:val="single" w:sz="4" w:space="0" w:color="auto"/>
              <w:right w:val="single" w:sz="4" w:space="0" w:color="auto"/>
            </w:tcBorders>
            <w:vAlign w:val="center"/>
            <w:hideMark/>
          </w:tcPr>
          <w:p w14:paraId="55C52EB7"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157" w:type="dxa"/>
            <w:tcBorders>
              <w:top w:val="nil"/>
              <w:left w:val="nil"/>
              <w:bottom w:val="single" w:sz="4" w:space="0" w:color="auto"/>
              <w:right w:val="single" w:sz="4" w:space="0" w:color="auto"/>
            </w:tcBorders>
            <w:vAlign w:val="center"/>
            <w:hideMark/>
          </w:tcPr>
          <w:p w14:paraId="089E1713"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570" w:type="dxa"/>
            <w:tcBorders>
              <w:top w:val="nil"/>
              <w:left w:val="nil"/>
              <w:bottom w:val="single" w:sz="4" w:space="0" w:color="auto"/>
              <w:right w:val="single" w:sz="4" w:space="0" w:color="auto"/>
            </w:tcBorders>
            <w:vAlign w:val="center"/>
            <w:hideMark/>
          </w:tcPr>
          <w:p w14:paraId="33E7D94B"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1,05</w:t>
            </w:r>
          </w:p>
        </w:tc>
        <w:tc>
          <w:tcPr>
            <w:tcW w:w="1621" w:type="dxa"/>
            <w:tcBorders>
              <w:top w:val="nil"/>
              <w:left w:val="nil"/>
              <w:bottom w:val="single" w:sz="4" w:space="0" w:color="auto"/>
              <w:right w:val="single" w:sz="4" w:space="0" w:color="auto"/>
            </w:tcBorders>
            <w:vAlign w:val="center"/>
            <w:hideMark/>
          </w:tcPr>
          <w:p w14:paraId="6087DE39"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218" w:type="dxa"/>
            <w:tcBorders>
              <w:top w:val="nil"/>
              <w:left w:val="nil"/>
              <w:bottom w:val="single" w:sz="4" w:space="0" w:color="auto"/>
              <w:right w:val="single" w:sz="4" w:space="0" w:color="auto"/>
            </w:tcBorders>
            <w:vAlign w:val="center"/>
            <w:hideMark/>
          </w:tcPr>
          <w:p w14:paraId="57651197"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1,25</w:t>
            </w:r>
          </w:p>
        </w:tc>
      </w:tr>
      <w:tr w:rsidR="001355EB" w:rsidRPr="001355EB" w14:paraId="256F5CD6" w14:textId="77777777" w:rsidTr="001355EB">
        <w:trPr>
          <w:trHeight w:val="19"/>
          <w:jc w:val="center"/>
        </w:trPr>
        <w:tc>
          <w:tcPr>
            <w:tcW w:w="1850" w:type="dxa"/>
            <w:tcBorders>
              <w:top w:val="nil"/>
              <w:left w:val="single" w:sz="4" w:space="0" w:color="auto"/>
              <w:bottom w:val="single" w:sz="4" w:space="0" w:color="auto"/>
              <w:right w:val="single" w:sz="4" w:space="0" w:color="auto"/>
            </w:tcBorders>
            <w:vAlign w:val="center"/>
            <w:hideMark/>
          </w:tcPr>
          <w:p w14:paraId="25421285" w14:textId="77777777" w:rsidR="001355EB" w:rsidRPr="00E02C8A"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Saurashtra</w:t>
            </w:r>
          </w:p>
        </w:tc>
        <w:tc>
          <w:tcPr>
            <w:tcW w:w="1232" w:type="dxa"/>
            <w:tcBorders>
              <w:top w:val="nil"/>
              <w:left w:val="nil"/>
              <w:bottom w:val="single" w:sz="4" w:space="0" w:color="auto"/>
              <w:right w:val="single" w:sz="4" w:space="0" w:color="auto"/>
            </w:tcBorders>
            <w:vAlign w:val="center"/>
            <w:hideMark/>
          </w:tcPr>
          <w:p w14:paraId="72CD4364"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141" w:type="dxa"/>
            <w:tcBorders>
              <w:top w:val="nil"/>
              <w:left w:val="nil"/>
              <w:bottom w:val="single" w:sz="4" w:space="0" w:color="auto"/>
              <w:right w:val="single" w:sz="4" w:space="0" w:color="auto"/>
            </w:tcBorders>
            <w:vAlign w:val="center"/>
            <w:hideMark/>
          </w:tcPr>
          <w:p w14:paraId="479F53AE"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289" w:type="dxa"/>
            <w:tcBorders>
              <w:top w:val="nil"/>
              <w:left w:val="nil"/>
              <w:bottom w:val="single" w:sz="4" w:space="0" w:color="auto"/>
              <w:right w:val="single" w:sz="4" w:space="0" w:color="auto"/>
            </w:tcBorders>
            <w:vAlign w:val="center"/>
            <w:hideMark/>
          </w:tcPr>
          <w:p w14:paraId="465A19E5"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340" w:type="dxa"/>
            <w:tcBorders>
              <w:top w:val="nil"/>
              <w:left w:val="nil"/>
              <w:bottom w:val="single" w:sz="4" w:space="0" w:color="auto"/>
              <w:right w:val="single" w:sz="4" w:space="0" w:color="auto"/>
            </w:tcBorders>
            <w:vAlign w:val="center"/>
            <w:hideMark/>
          </w:tcPr>
          <w:p w14:paraId="09A03E50"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0.5</w:t>
            </w:r>
          </w:p>
        </w:tc>
        <w:tc>
          <w:tcPr>
            <w:tcW w:w="1142" w:type="dxa"/>
            <w:tcBorders>
              <w:top w:val="nil"/>
              <w:left w:val="nil"/>
              <w:bottom w:val="single" w:sz="4" w:space="0" w:color="auto"/>
              <w:right w:val="single" w:sz="4" w:space="0" w:color="auto"/>
            </w:tcBorders>
            <w:vAlign w:val="center"/>
            <w:hideMark/>
          </w:tcPr>
          <w:p w14:paraId="6383278D"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2,75</w:t>
            </w:r>
          </w:p>
        </w:tc>
        <w:tc>
          <w:tcPr>
            <w:tcW w:w="1438" w:type="dxa"/>
            <w:tcBorders>
              <w:top w:val="nil"/>
              <w:left w:val="nil"/>
              <w:bottom w:val="single" w:sz="4" w:space="0" w:color="auto"/>
              <w:right w:val="single" w:sz="4" w:space="0" w:color="auto"/>
            </w:tcBorders>
            <w:vAlign w:val="center"/>
            <w:hideMark/>
          </w:tcPr>
          <w:p w14:paraId="399137AC"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157" w:type="dxa"/>
            <w:tcBorders>
              <w:top w:val="nil"/>
              <w:left w:val="nil"/>
              <w:bottom w:val="single" w:sz="4" w:space="0" w:color="auto"/>
              <w:right w:val="single" w:sz="4" w:space="0" w:color="auto"/>
            </w:tcBorders>
            <w:vAlign w:val="center"/>
            <w:hideMark/>
          </w:tcPr>
          <w:p w14:paraId="13118719"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570" w:type="dxa"/>
            <w:tcBorders>
              <w:top w:val="nil"/>
              <w:left w:val="nil"/>
              <w:bottom w:val="single" w:sz="4" w:space="0" w:color="auto"/>
              <w:right w:val="single" w:sz="4" w:space="0" w:color="auto"/>
            </w:tcBorders>
            <w:vAlign w:val="center"/>
            <w:hideMark/>
          </w:tcPr>
          <w:p w14:paraId="227873BF"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22.5</w:t>
            </w:r>
          </w:p>
        </w:tc>
        <w:tc>
          <w:tcPr>
            <w:tcW w:w="1621" w:type="dxa"/>
            <w:tcBorders>
              <w:top w:val="nil"/>
              <w:left w:val="nil"/>
              <w:bottom w:val="single" w:sz="4" w:space="0" w:color="auto"/>
              <w:right w:val="single" w:sz="4" w:space="0" w:color="auto"/>
            </w:tcBorders>
            <w:vAlign w:val="center"/>
            <w:hideMark/>
          </w:tcPr>
          <w:p w14:paraId="01FD1991"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218" w:type="dxa"/>
            <w:tcBorders>
              <w:top w:val="nil"/>
              <w:left w:val="nil"/>
              <w:bottom w:val="single" w:sz="4" w:space="0" w:color="auto"/>
              <w:right w:val="single" w:sz="4" w:space="0" w:color="auto"/>
            </w:tcBorders>
            <w:vAlign w:val="center"/>
            <w:hideMark/>
          </w:tcPr>
          <w:p w14:paraId="65CA8579"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2,98</w:t>
            </w:r>
          </w:p>
        </w:tc>
      </w:tr>
      <w:tr w:rsidR="001355EB" w:rsidRPr="001355EB" w14:paraId="03725DD9" w14:textId="77777777" w:rsidTr="001355EB">
        <w:trPr>
          <w:trHeight w:val="19"/>
          <w:jc w:val="center"/>
        </w:trPr>
        <w:tc>
          <w:tcPr>
            <w:tcW w:w="1850" w:type="dxa"/>
            <w:tcBorders>
              <w:top w:val="nil"/>
              <w:left w:val="single" w:sz="4" w:space="0" w:color="auto"/>
              <w:bottom w:val="single" w:sz="4" w:space="0" w:color="auto"/>
              <w:right w:val="single" w:sz="4" w:space="0" w:color="auto"/>
            </w:tcBorders>
            <w:vAlign w:val="center"/>
            <w:hideMark/>
          </w:tcPr>
          <w:p w14:paraId="3C493B1C" w14:textId="77777777" w:rsidR="001355EB" w:rsidRPr="00E02C8A"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Travancore-Cochin</w:t>
            </w:r>
          </w:p>
        </w:tc>
        <w:tc>
          <w:tcPr>
            <w:tcW w:w="1232" w:type="dxa"/>
            <w:tcBorders>
              <w:top w:val="nil"/>
              <w:left w:val="nil"/>
              <w:bottom w:val="single" w:sz="4" w:space="0" w:color="auto"/>
              <w:right w:val="single" w:sz="4" w:space="0" w:color="auto"/>
            </w:tcBorders>
            <w:vAlign w:val="center"/>
            <w:hideMark/>
          </w:tcPr>
          <w:p w14:paraId="606D71F1"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141" w:type="dxa"/>
            <w:tcBorders>
              <w:top w:val="nil"/>
              <w:left w:val="nil"/>
              <w:bottom w:val="single" w:sz="4" w:space="0" w:color="auto"/>
              <w:right w:val="single" w:sz="4" w:space="0" w:color="auto"/>
            </w:tcBorders>
            <w:vAlign w:val="center"/>
            <w:hideMark/>
          </w:tcPr>
          <w:p w14:paraId="61B92369"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289" w:type="dxa"/>
            <w:tcBorders>
              <w:top w:val="nil"/>
              <w:left w:val="nil"/>
              <w:bottom w:val="single" w:sz="4" w:space="0" w:color="auto"/>
              <w:right w:val="single" w:sz="4" w:space="0" w:color="auto"/>
            </w:tcBorders>
            <w:vAlign w:val="center"/>
            <w:hideMark/>
          </w:tcPr>
          <w:p w14:paraId="16904C76"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340" w:type="dxa"/>
            <w:tcBorders>
              <w:top w:val="nil"/>
              <w:left w:val="nil"/>
              <w:bottom w:val="single" w:sz="4" w:space="0" w:color="auto"/>
              <w:right w:val="single" w:sz="4" w:space="0" w:color="auto"/>
            </w:tcBorders>
            <w:vAlign w:val="center"/>
            <w:hideMark/>
          </w:tcPr>
          <w:p w14:paraId="38D21220"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142" w:type="dxa"/>
            <w:tcBorders>
              <w:top w:val="nil"/>
              <w:left w:val="nil"/>
              <w:bottom w:val="single" w:sz="4" w:space="0" w:color="auto"/>
              <w:right w:val="single" w:sz="4" w:space="0" w:color="auto"/>
            </w:tcBorders>
            <w:vAlign w:val="center"/>
            <w:hideMark/>
          </w:tcPr>
          <w:p w14:paraId="6E0E257F"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3,05</w:t>
            </w:r>
          </w:p>
        </w:tc>
        <w:tc>
          <w:tcPr>
            <w:tcW w:w="1438" w:type="dxa"/>
            <w:tcBorders>
              <w:top w:val="nil"/>
              <w:left w:val="nil"/>
              <w:bottom w:val="single" w:sz="4" w:space="0" w:color="auto"/>
              <w:right w:val="single" w:sz="4" w:space="0" w:color="auto"/>
            </w:tcBorders>
            <w:vAlign w:val="center"/>
            <w:hideMark/>
          </w:tcPr>
          <w:p w14:paraId="2FC16B1B"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157" w:type="dxa"/>
            <w:tcBorders>
              <w:top w:val="nil"/>
              <w:left w:val="nil"/>
              <w:bottom w:val="single" w:sz="4" w:space="0" w:color="auto"/>
              <w:right w:val="single" w:sz="4" w:space="0" w:color="auto"/>
            </w:tcBorders>
            <w:vAlign w:val="center"/>
            <w:hideMark/>
          </w:tcPr>
          <w:p w14:paraId="2A36A8ED"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570" w:type="dxa"/>
            <w:tcBorders>
              <w:top w:val="nil"/>
              <w:left w:val="nil"/>
              <w:bottom w:val="single" w:sz="4" w:space="0" w:color="auto"/>
              <w:right w:val="single" w:sz="4" w:space="0" w:color="auto"/>
            </w:tcBorders>
            <w:vAlign w:val="center"/>
            <w:hideMark/>
          </w:tcPr>
          <w:p w14:paraId="0DFB55D5"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621" w:type="dxa"/>
            <w:tcBorders>
              <w:top w:val="nil"/>
              <w:left w:val="nil"/>
              <w:bottom w:val="single" w:sz="4" w:space="0" w:color="auto"/>
              <w:right w:val="single" w:sz="4" w:space="0" w:color="auto"/>
            </w:tcBorders>
            <w:vAlign w:val="center"/>
            <w:hideMark/>
          </w:tcPr>
          <w:p w14:paraId="7E1875A9"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w:t>
            </w:r>
          </w:p>
        </w:tc>
        <w:tc>
          <w:tcPr>
            <w:tcW w:w="1218" w:type="dxa"/>
            <w:tcBorders>
              <w:top w:val="nil"/>
              <w:left w:val="nil"/>
              <w:bottom w:val="single" w:sz="4" w:space="0" w:color="auto"/>
              <w:right w:val="single" w:sz="4" w:space="0" w:color="auto"/>
            </w:tcBorders>
            <w:vAlign w:val="center"/>
            <w:hideMark/>
          </w:tcPr>
          <w:p w14:paraId="0B66D7D3" w14:textId="77777777" w:rsidR="001355EB" w:rsidRPr="001355EB"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1355EB">
              <w:rPr>
                <w:rFonts w:ascii="Times New Roman" w:eastAsia="Times New Roman" w:hAnsi="Times New Roman" w:cs="Times New Roman"/>
                <w:color w:val="000000"/>
                <w:kern w:val="0"/>
                <w:szCs w:val="24"/>
                <w:lang w:eastAsia="en-IN"/>
                <w14:ligatures w14:val="none"/>
              </w:rPr>
              <w:t>3,05</w:t>
            </w:r>
          </w:p>
        </w:tc>
      </w:tr>
      <w:tr w:rsidR="001355EB" w:rsidRPr="001355EB" w14:paraId="66858FEC" w14:textId="77777777" w:rsidTr="001355EB">
        <w:trPr>
          <w:trHeight w:val="19"/>
          <w:jc w:val="center"/>
        </w:trPr>
        <w:tc>
          <w:tcPr>
            <w:tcW w:w="1850" w:type="dxa"/>
            <w:tcBorders>
              <w:top w:val="nil"/>
              <w:left w:val="single" w:sz="4" w:space="0" w:color="auto"/>
              <w:bottom w:val="single" w:sz="4" w:space="0" w:color="auto"/>
              <w:right w:val="single" w:sz="4" w:space="0" w:color="auto"/>
            </w:tcBorders>
            <w:vAlign w:val="center"/>
            <w:hideMark/>
          </w:tcPr>
          <w:p w14:paraId="5586F70B" w14:textId="77777777" w:rsidR="001355EB" w:rsidRPr="00E02C8A"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TOTAL</w:t>
            </w:r>
          </w:p>
        </w:tc>
        <w:tc>
          <w:tcPr>
            <w:tcW w:w="1232" w:type="dxa"/>
            <w:tcBorders>
              <w:top w:val="nil"/>
              <w:left w:val="nil"/>
              <w:bottom w:val="single" w:sz="4" w:space="0" w:color="auto"/>
              <w:right w:val="single" w:sz="4" w:space="0" w:color="auto"/>
            </w:tcBorders>
            <w:vAlign w:val="center"/>
            <w:hideMark/>
          </w:tcPr>
          <w:p w14:paraId="35C03717" w14:textId="77777777" w:rsidR="001355EB" w:rsidRPr="00E02C8A"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(f)50,84</w:t>
            </w:r>
          </w:p>
        </w:tc>
        <w:tc>
          <w:tcPr>
            <w:tcW w:w="1141" w:type="dxa"/>
            <w:tcBorders>
              <w:top w:val="nil"/>
              <w:left w:val="nil"/>
              <w:bottom w:val="single" w:sz="4" w:space="0" w:color="auto"/>
              <w:right w:val="single" w:sz="4" w:space="0" w:color="auto"/>
            </w:tcBorders>
            <w:vAlign w:val="center"/>
            <w:hideMark/>
          </w:tcPr>
          <w:p w14:paraId="2A0E3BE2" w14:textId="77777777" w:rsidR="001355EB" w:rsidRPr="00E02C8A"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1,85</w:t>
            </w:r>
          </w:p>
        </w:tc>
        <w:tc>
          <w:tcPr>
            <w:tcW w:w="1289" w:type="dxa"/>
            <w:tcBorders>
              <w:top w:val="nil"/>
              <w:left w:val="nil"/>
              <w:bottom w:val="single" w:sz="4" w:space="0" w:color="auto"/>
              <w:right w:val="single" w:sz="4" w:space="0" w:color="auto"/>
            </w:tcBorders>
            <w:vAlign w:val="center"/>
            <w:hideMark/>
          </w:tcPr>
          <w:p w14:paraId="7F1C0E5C" w14:textId="77777777" w:rsidR="001355EB" w:rsidRPr="00E02C8A"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70</w:t>
            </w:r>
          </w:p>
        </w:tc>
        <w:tc>
          <w:tcPr>
            <w:tcW w:w="1340" w:type="dxa"/>
            <w:tcBorders>
              <w:top w:val="nil"/>
              <w:left w:val="nil"/>
              <w:bottom w:val="single" w:sz="4" w:space="0" w:color="auto"/>
              <w:right w:val="single" w:sz="4" w:space="0" w:color="auto"/>
            </w:tcBorders>
            <w:vAlign w:val="center"/>
            <w:hideMark/>
          </w:tcPr>
          <w:p w14:paraId="725FE7A4" w14:textId="77777777" w:rsidR="001355EB" w:rsidRPr="00E02C8A"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(g)1,80</w:t>
            </w:r>
          </w:p>
        </w:tc>
        <w:tc>
          <w:tcPr>
            <w:tcW w:w="1142" w:type="dxa"/>
            <w:tcBorders>
              <w:top w:val="nil"/>
              <w:left w:val="nil"/>
              <w:bottom w:val="single" w:sz="4" w:space="0" w:color="auto"/>
              <w:right w:val="single" w:sz="4" w:space="0" w:color="auto"/>
            </w:tcBorders>
            <w:vAlign w:val="center"/>
            <w:hideMark/>
          </w:tcPr>
          <w:p w14:paraId="6446611B" w14:textId="77777777" w:rsidR="001355EB" w:rsidRPr="00E02C8A"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11,92</w:t>
            </w:r>
          </w:p>
        </w:tc>
        <w:tc>
          <w:tcPr>
            <w:tcW w:w="1438" w:type="dxa"/>
            <w:tcBorders>
              <w:top w:val="nil"/>
              <w:left w:val="nil"/>
              <w:bottom w:val="single" w:sz="4" w:space="0" w:color="auto"/>
              <w:right w:val="single" w:sz="4" w:space="0" w:color="auto"/>
            </w:tcBorders>
            <w:vAlign w:val="center"/>
            <w:hideMark/>
          </w:tcPr>
          <w:p w14:paraId="7B08439D" w14:textId="77777777" w:rsidR="001355EB" w:rsidRPr="00E02C8A"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(d)5,60</w:t>
            </w:r>
          </w:p>
        </w:tc>
        <w:tc>
          <w:tcPr>
            <w:tcW w:w="1157" w:type="dxa"/>
            <w:tcBorders>
              <w:top w:val="nil"/>
              <w:left w:val="nil"/>
              <w:bottom w:val="single" w:sz="4" w:space="0" w:color="auto"/>
              <w:right w:val="single" w:sz="4" w:space="0" w:color="auto"/>
            </w:tcBorders>
            <w:vAlign w:val="center"/>
            <w:hideMark/>
          </w:tcPr>
          <w:p w14:paraId="0716D314" w14:textId="77777777" w:rsidR="001355EB" w:rsidRPr="00E02C8A"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(h)6,35</w:t>
            </w:r>
          </w:p>
        </w:tc>
        <w:tc>
          <w:tcPr>
            <w:tcW w:w="1570" w:type="dxa"/>
            <w:tcBorders>
              <w:top w:val="nil"/>
              <w:left w:val="nil"/>
              <w:bottom w:val="single" w:sz="4" w:space="0" w:color="auto"/>
              <w:right w:val="single" w:sz="4" w:space="0" w:color="auto"/>
            </w:tcBorders>
            <w:vAlign w:val="center"/>
            <w:hideMark/>
          </w:tcPr>
          <w:p w14:paraId="11AC4F41" w14:textId="77777777" w:rsidR="001355EB" w:rsidRPr="00E02C8A"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1,95</w:t>
            </w:r>
          </w:p>
        </w:tc>
        <w:tc>
          <w:tcPr>
            <w:tcW w:w="1621" w:type="dxa"/>
            <w:tcBorders>
              <w:top w:val="nil"/>
              <w:left w:val="nil"/>
              <w:bottom w:val="single" w:sz="4" w:space="0" w:color="auto"/>
              <w:right w:val="single" w:sz="4" w:space="0" w:color="auto"/>
            </w:tcBorders>
            <w:vAlign w:val="center"/>
            <w:hideMark/>
          </w:tcPr>
          <w:p w14:paraId="1A6931CE" w14:textId="77777777" w:rsidR="001355EB" w:rsidRPr="00E02C8A"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(d)1,00</w:t>
            </w:r>
          </w:p>
        </w:tc>
        <w:tc>
          <w:tcPr>
            <w:tcW w:w="1218" w:type="dxa"/>
            <w:tcBorders>
              <w:top w:val="nil"/>
              <w:left w:val="nil"/>
              <w:bottom w:val="single" w:sz="4" w:space="0" w:color="auto"/>
              <w:right w:val="single" w:sz="4" w:space="0" w:color="auto"/>
            </w:tcBorders>
            <w:vAlign w:val="center"/>
            <w:hideMark/>
          </w:tcPr>
          <w:p w14:paraId="50A8605C" w14:textId="77777777" w:rsidR="001355EB" w:rsidRPr="00E02C8A" w:rsidRDefault="001355EB" w:rsidP="001355EB">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(i)82,01</w:t>
            </w:r>
          </w:p>
        </w:tc>
      </w:tr>
    </w:tbl>
    <w:p w14:paraId="51A56D98" w14:textId="6C4E14B9" w:rsidR="0069242D" w:rsidRPr="005534D4" w:rsidRDefault="001355EB" w:rsidP="001355EB">
      <w:pPr>
        <w:pStyle w:val="Sources"/>
      </w:pPr>
      <w:r>
        <w:lastRenderedPageBreak/>
        <w:t>S</w:t>
      </w:r>
      <w:r w:rsidR="0069242D" w:rsidRPr="005534D4">
        <w:t>ubventions from the Central Road Fund and payments for National Highways have not been included; the total grant of Rs. 1,32 lakhs to Orissa for Capital Construction has also been excluded.</w:t>
      </w:r>
    </w:p>
    <w:p w14:paraId="526A3543" w14:textId="77777777" w:rsidR="0069242D" w:rsidRPr="005534D4" w:rsidRDefault="0069242D" w:rsidP="001355EB">
      <w:pPr>
        <w:pStyle w:val="Sources"/>
      </w:pPr>
      <w:r w:rsidRPr="005534D4">
        <w:t>(a) Includes Rs. 2 lakhs for Part C States.</w:t>
      </w:r>
      <w:r w:rsidRPr="005534D4">
        <w:br/>
        <w:t>(b) Includes Rs. 32 lakhs on account of Grants to Part C States.</w:t>
      </w:r>
      <w:r w:rsidRPr="005534D4">
        <w:br/>
        <w:t>(bb) Includes Rs. 34 lakhs on account of grants to Part C States.</w:t>
      </w:r>
      <w:r w:rsidRPr="005534D4">
        <w:br/>
        <w:t>(c) Figures for Income tax for 1950-51 for the States have been taken from the respective States Budgets. The figures for 1951-52 are based on provisional figures supplied by the respective Accountants General. The total figures shown in the Central Budget for these two years are, however, Rs. 47,52 lakhs and Rs. 52,70 lakhs respectively.</w:t>
      </w:r>
      <w:r w:rsidRPr="005534D4">
        <w:br/>
        <w:t>(d) Distribution amongst States not available.</w:t>
      </w:r>
      <w:r w:rsidRPr="005534D4">
        <w:br/>
        <w:t>(e) Includes Rs. 39 lakhs on account of arrears of Post-war Development Grants in respect of Bihar and Rs. 14,09 lakhs on account of Rehabilitation and Grow More Food Grants.</w:t>
      </w:r>
      <w:r w:rsidRPr="005534D4">
        <w:br/>
        <w:t>(f) Includes Rs. 5,00 lakhs on account of arrears, state-wise breakdown for which is not available.</w:t>
      </w:r>
      <w:r w:rsidRPr="005534D4">
        <w:br/>
        <w:t>(g) Includes a lump-sum provision of Rs. 4 lakhs not specifically assigned to any State/States yet.</w:t>
      </w:r>
      <w:r w:rsidRPr="005534D4">
        <w:br/>
        <w:t>(gg) Ceilings.</w:t>
      </w:r>
      <w:r w:rsidRPr="005534D4">
        <w:br/>
        <w:t>(h) Includes grants to Part C States. State-wise breakdown not available.</w:t>
      </w:r>
      <w:r w:rsidRPr="005534D4">
        <w:br/>
        <w:t>(i) Includes Rs. 17,99 lakhs, state-wise breakdown for which is not available.</w:t>
      </w:r>
      <w:r w:rsidRPr="005534D4">
        <w:br/>
        <w:t>(j) For 1950-51 and 1951-52.</w:t>
      </w:r>
    </w:p>
    <w:p w14:paraId="685E7AD5" w14:textId="759B1EEB" w:rsidR="0069242D" w:rsidRPr="005534D4" w:rsidRDefault="0069242D">
      <w:pPr>
        <w:rPr>
          <w:rFonts w:ascii="Times New Roman" w:hAnsi="Times New Roman" w:cs="Times New Roman"/>
        </w:rPr>
      </w:pPr>
      <w:r w:rsidRPr="005534D4">
        <w:rPr>
          <w:rFonts w:ascii="Times New Roman" w:hAnsi="Times New Roman" w:cs="Times New Roman"/>
        </w:rPr>
        <w:br w:type="page"/>
      </w:r>
    </w:p>
    <w:p w14:paraId="02051903" w14:textId="77777777" w:rsidR="0069242D" w:rsidRPr="005534D4" w:rsidRDefault="0069242D">
      <w:pPr>
        <w:rPr>
          <w:rFonts w:ascii="Times New Roman" w:hAnsi="Times New Roman" w:cs="Times New Roman"/>
        </w:rPr>
        <w:sectPr w:rsidR="0069242D" w:rsidRPr="005534D4" w:rsidSect="001C4D86">
          <w:pgSz w:w="16838" w:h="11906" w:orient="landscape"/>
          <w:pgMar w:top="1134" w:right="1440" w:bottom="1440" w:left="1440" w:header="709" w:footer="709" w:gutter="0"/>
          <w:cols w:space="708"/>
          <w:docGrid w:linePitch="360"/>
        </w:sectPr>
      </w:pPr>
    </w:p>
    <w:p w14:paraId="052425AA" w14:textId="56C59CE2" w:rsidR="007E761F" w:rsidRPr="007E761F" w:rsidRDefault="0069242D" w:rsidP="0075507D">
      <w:pPr>
        <w:pStyle w:val="Heading3"/>
      </w:pPr>
      <w:bookmarkStart w:id="40" w:name="_Toc221007149"/>
      <w:r w:rsidRPr="005534D4">
        <w:lastRenderedPageBreak/>
        <w:t>11.—Collection and Expenditure under certain major heads in</w:t>
      </w:r>
      <w:r w:rsidR="002056F1">
        <w:t xml:space="preserve"> </w:t>
      </w:r>
      <w:r w:rsidR="002056F1" w:rsidRPr="005534D4">
        <w:t>cities of Bombay, Madras and Calcutta, 1948-49 to 1950-51.</w:t>
      </w:r>
      <w:bookmarkEnd w:id="40"/>
      <w:r w:rsidRPr="005534D4">
        <w:br/>
      </w:r>
    </w:p>
    <w:p w14:paraId="0C55714F" w14:textId="3446F1B1" w:rsidR="0069242D" w:rsidRPr="007E761F" w:rsidRDefault="0069242D" w:rsidP="007E761F">
      <w:pPr>
        <w:jc w:val="center"/>
        <w:rPr>
          <w:rFonts w:ascii="Times New Roman" w:hAnsi="Times New Roman" w:cs="Times New Roman"/>
        </w:rPr>
      </w:pPr>
      <w:r w:rsidRPr="007E761F">
        <w:rPr>
          <w:rFonts w:ascii="Times New Roman" w:hAnsi="Times New Roman" w:cs="Times New Roman"/>
        </w:rPr>
        <w:t xml:space="preserve">Figures in </w:t>
      </w:r>
      <w:r w:rsidR="00802C27" w:rsidRPr="00802C27">
        <w:rPr>
          <w:rFonts w:ascii="Times New Roman" w:hAnsi="Times New Roman" w:cs="Times New Roman"/>
          <w:i/>
          <w:iCs/>
        </w:rPr>
        <w:t>Italic</w:t>
      </w:r>
      <w:r w:rsidRPr="007E761F">
        <w:rPr>
          <w:rFonts w:ascii="Times New Roman" w:hAnsi="Times New Roman" w:cs="Times New Roman"/>
        </w:rPr>
        <w:t xml:space="preserve"> indicate collection/</w:t>
      </w:r>
      <w:r w:rsidR="002056F1" w:rsidRPr="007E761F">
        <w:rPr>
          <w:rFonts w:ascii="Times New Roman" w:hAnsi="Times New Roman" w:cs="Times New Roman"/>
        </w:rPr>
        <w:t>expenditure for the entire States</w:t>
      </w:r>
    </w:p>
    <w:tbl>
      <w:tblPr>
        <w:tblW w:w="14357" w:type="dxa"/>
        <w:jc w:val="center"/>
        <w:tblLook w:val="04A0" w:firstRow="1" w:lastRow="0" w:firstColumn="1" w:lastColumn="0" w:noHBand="0" w:noVBand="1"/>
      </w:tblPr>
      <w:tblGrid>
        <w:gridCol w:w="2510"/>
        <w:gridCol w:w="1316"/>
        <w:gridCol w:w="1316"/>
        <w:gridCol w:w="1317"/>
        <w:gridCol w:w="1316"/>
        <w:gridCol w:w="1316"/>
        <w:gridCol w:w="1317"/>
        <w:gridCol w:w="1316"/>
        <w:gridCol w:w="1316"/>
        <w:gridCol w:w="1317"/>
      </w:tblGrid>
      <w:tr w:rsidR="007E761F" w:rsidRPr="007E761F" w14:paraId="406F494F" w14:textId="77777777" w:rsidTr="007E761F">
        <w:trPr>
          <w:trHeight w:val="20"/>
          <w:jc w:val="center"/>
        </w:trPr>
        <w:tc>
          <w:tcPr>
            <w:tcW w:w="2510" w:type="dxa"/>
            <w:tcBorders>
              <w:top w:val="single" w:sz="4" w:space="0" w:color="auto"/>
              <w:left w:val="single" w:sz="4" w:space="0" w:color="auto"/>
              <w:bottom w:val="single" w:sz="4" w:space="0" w:color="auto"/>
              <w:right w:val="single" w:sz="4" w:space="0" w:color="auto"/>
            </w:tcBorders>
            <w:noWrap/>
            <w:vAlign w:val="center"/>
            <w:hideMark/>
          </w:tcPr>
          <w:p w14:paraId="257A16B4" w14:textId="7AD11F33" w:rsidR="007E761F" w:rsidRPr="007E761F" w:rsidRDefault="007E761F" w:rsidP="007E761F">
            <w:pPr>
              <w:spacing w:after="0" w:line="240" w:lineRule="auto"/>
              <w:jc w:val="center"/>
              <w:rPr>
                <w:rFonts w:ascii="Times New Roman" w:eastAsia="Times New Roman" w:hAnsi="Times New Roman" w:cs="Times New Roman"/>
                <w:color w:val="000000"/>
                <w:kern w:val="0"/>
                <w:sz w:val="22"/>
                <w:szCs w:val="22"/>
                <w:lang w:eastAsia="en-IN"/>
                <w14:ligatures w14:val="none"/>
              </w:rPr>
            </w:pPr>
          </w:p>
        </w:tc>
        <w:tc>
          <w:tcPr>
            <w:tcW w:w="3949" w:type="dxa"/>
            <w:gridSpan w:val="3"/>
            <w:tcBorders>
              <w:top w:val="single" w:sz="4" w:space="0" w:color="auto"/>
              <w:left w:val="nil"/>
              <w:bottom w:val="single" w:sz="4" w:space="0" w:color="auto"/>
              <w:right w:val="single" w:sz="4" w:space="0" w:color="auto"/>
            </w:tcBorders>
            <w:noWrap/>
            <w:vAlign w:val="center"/>
            <w:hideMark/>
          </w:tcPr>
          <w:p w14:paraId="57C5C53D" w14:textId="77777777" w:rsidR="007E761F" w:rsidRPr="00E02C8A" w:rsidRDefault="007E761F" w:rsidP="007E761F">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E02C8A">
              <w:rPr>
                <w:rFonts w:ascii="Times New Roman" w:eastAsia="Times New Roman" w:hAnsi="Times New Roman" w:cs="Times New Roman"/>
                <w:b/>
                <w:bCs/>
                <w:color w:val="000000"/>
                <w:kern w:val="0"/>
                <w:sz w:val="22"/>
                <w:szCs w:val="22"/>
                <w:lang w:eastAsia="en-IN"/>
                <w14:ligatures w14:val="none"/>
              </w:rPr>
              <w:t>Bombay City</w:t>
            </w:r>
          </w:p>
        </w:tc>
        <w:tc>
          <w:tcPr>
            <w:tcW w:w="3949" w:type="dxa"/>
            <w:gridSpan w:val="3"/>
            <w:tcBorders>
              <w:top w:val="single" w:sz="4" w:space="0" w:color="auto"/>
              <w:left w:val="nil"/>
              <w:bottom w:val="single" w:sz="4" w:space="0" w:color="auto"/>
              <w:right w:val="single" w:sz="4" w:space="0" w:color="auto"/>
            </w:tcBorders>
            <w:noWrap/>
            <w:vAlign w:val="center"/>
            <w:hideMark/>
          </w:tcPr>
          <w:p w14:paraId="592CAACC" w14:textId="77777777" w:rsidR="007E761F" w:rsidRPr="00E02C8A" w:rsidRDefault="007E761F" w:rsidP="007E761F">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E02C8A">
              <w:rPr>
                <w:rFonts w:ascii="Times New Roman" w:eastAsia="Times New Roman" w:hAnsi="Times New Roman" w:cs="Times New Roman"/>
                <w:b/>
                <w:bCs/>
                <w:color w:val="000000"/>
                <w:kern w:val="0"/>
                <w:sz w:val="22"/>
                <w:szCs w:val="22"/>
                <w:lang w:eastAsia="en-IN"/>
                <w14:ligatures w14:val="none"/>
              </w:rPr>
              <w:t>Calcutta City</w:t>
            </w:r>
          </w:p>
        </w:tc>
        <w:tc>
          <w:tcPr>
            <w:tcW w:w="3949" w:type="dxa"/>
            <w:gridSpan w:val="3"/>
            <w:tcBorders>
              <w:top w:val="single" w:sz="4" w:space="0" w:color="auto"/>
              <w:left w:val="nil"/>
              <w:bottom w:val="single" w:sz="4" w:space="0" w:color="auto"/>
              <w:right w:val="single" w:sz="4" w:space="0" w:color="auto"/>
            </w:tcBorders>
            <w:noWrap/>
            <w:vAlign w:val="center"/>
            <w:hideMark/>
          </w:tcPr>
          <w:p w14:paraId="21A134B2" w14:textId="77777777" w:rsidR="007E761F" w:rsidRPr="00E02C8A" w:rsidRDefault="007E761F" w:rsidP="007E761F">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E02C8A">
              <w:rPr>
                <w:rFonts w:ascii="Times New Roman" w:eastAsia="Times New Roman" w:hAnsi="Times New Roman" w:cs="Times New Roman"/>
                <w:b/>
                <w:bCs/>
                <w:color w:val="000000"/>
                <w:kern w:val="0"/>
                <w:sz w:val="22"/>
                <w:szCs w:val="22"/>
                <w:lang w:eastAsia="en-IN"/>
                <w14:ligatures w14:val="none"/>
              </w:rPr>
              <w:t>Madras City</w:t>
            </w:r>
          </w:p>
        </w:tc>
      </w:tr>
      <w:tr w:rsidR="007E761F" w:rsidRPr="007E761F" w14:paraId="5E1F2364" w14:textId="77777777" w:rsidTr="007E761F">
        <w:trPr>
          <w:trHeight w:val="20"/>
          <w:jc w:val="center"/>
        </w:trPr>
        <w:tc>
          <w:tcPr>
            <w:tcW w:w="2510" w:type="dxa"/>
            <w:tcBorders>
              <w:top w:val="nil"/>
              <w:left w:val="single" w:sz="4" w:space="0" w:color="auto"/>
              <w:bottom w:val="single" w:sz="4" w:space="0" w:color="auto"/>
              <w:right w:val="single" w:sz="4" w:space="0" w:color="auto"/>
            </w:tcBorders>
            <w:shd w:val="clear" w:color="000000" w:fill="FFFFFF"/>
            <w:vAlign w:val="center"/>
            <w:hideMark/>
          </w:tcPr>
          <w:p w14:paraId="085C41D5" w14:textId="77777777" w:rsidR="007E761F" w:rsidRPr="007E761F" w:rsidRDefault="007E761F" w:rsidP="007E761F">
            <w:pPr>
              <w:spacing w:after="0" w:line="240" w:lineRule="auto"/>
              <w:ind w:firstLineChars="100" w:firstLine="221"/>
              <w:jc w:val="center"/>
              <w:rPr>
                <w:rFonts w:ascii="Times New Roman" w:eastAsia="Times New Roman" w:hAnsi="Times New Roman" w:cs="Times New Roman"/>
                <w:b/>
                <w:bCs/>
                <w:color w:val="1A1C1E"/>
                <w:kern w:val="0"/>
                <w:sz w:val="22"/>
                <w:szCs w:val="22"/>
                <w:lang w:eastAsia="en-IN"/>
                <w14:ligatures w14:val="none"/>
              </w:rPr>
            </w:pPr>
            <w:r w:rsidRPr="007E761F">
              <w:rPr>
                <w:rFonts w:ascii="Times New Roman" w:eastAsia="Times New Roman" w:hAnsi="Times New Roman" w:cs="Times New Roman"/>
                <w:b/>
                <w:bCs/>
                <w:color w:val="1A1C1E"/>
                <w:kern w:val="0"/>
                <w:sz w:val="22"/>
                <w:szCs w:val="22"/>
                <w:lang w:eastAsia="en-IN"/>
                <w14:ligatures w14:val="none"/>
              </w:rPr>
              <w:t>Item</w:t>
            </w:r>
          </w:p>
        </w:tc>
        <w:tc>
          <w:tcPr>
            <w:tcW w:w="1316" w:type="dxa"/>
            <w:tcBorders>
              <w:top w:val="nil"/>
              <w:left w:val="nil"/>
              <w:bottom w:val="single" w:sz="4" w:space="0" w:color="auto"/>
              <w:right w:val="single" w:sz="4" w:space="0" w:color="auto"/>
            </w:tcBorders>
            <w:shd w:val="clear" w:color="000000" w:fill="FFFFFF"/>
            <w:vAlign w:val="center"/>
            <w:hideMark/>
          </w:tcPr>
          <w:p w14:paraId="56562B98" w14:textId="77777777" w:rsidR="007E761F" w:rsidRPr="007E761F" w:rsidRDefault="007E761F" w:rsidP="007E761F">
            <w:pPr>
              <w:spacing w:after="0" w:line="240" w:lineRule="auto"/>
              <w:ind w:firstLineChars="100" w:firstLine="221"/>
              <w:jc w:val="center"/>
              <w:rPr>
                <w:rFonts w:ascii="Times New Roman" w:eastAsia="Times New Roman" w:hAnsi="Times New Roman" w:cs="Times New Roman"/>
                <w:b/>
                <w:bCs/>
                <w:color w:val="1A1C1E"/>
                <w:kern w:val="0"/>
                <w:sz w:val="22"/>
                <w:szCs w:val="22"/>
                <w:lang w:eastAsia="en-IN"/>
                <w14:ligatures w14:val="none"/>
              </w:rPr>
            </w:pPr>
            <w:r w:rsidRPr="007E761F">
              <w:rPr>
                <w:rFonts w:ascii="Times New Roman" w:eastAsia="Times New Roman" w:hAnsi="Times New Roman" w:cs="Times New Roman"/>
                <w:b/>
                <w:bCs/>
                <w:color w:val="1A1C1E"/>
                <w:kern w:val="0"/>
                <w:sz w:val="22"/>
                <w:szCs w:val="22"/>
                <w:lang w:eastAsia="en-IN"/>
                <w14:ligatures w14:val="none"/>
              </w:rPr>
              <w:t>1948-49</w:t>
            </w:r>
          </w:p>
        </w:tc>
        <w:tc>
          <w:tcPr>
            <w:tcW w:w="1316" w:type="dxa"/>
            <w:tcBorders>
              <w:top w:val="nil"/>
              <w:left w:val="nil"/>
              <w:bottom w:val="single" w:sz="4" w:space="0" w:color="auto"/>
              <w:right w:val="single" w:sz="4" w:space="0" w:color="auto"/>
            </w:tcBorders>
            <w:shd w:val="clear" w:color="000000" w:fill="FFFFFF"/>
            <w:vAlign w:val="center"/>
            <w:hideMark/>
          </w:tcPr>
          <w:p w14:paraId="42D34E4B" w14:textId="77777777" w:rsidR="007E761F" w:rsidRPr="007E761F" w:rsidRDefault="007E761F" w:rsidP="007E761F">
            <w:pPr>
              <w:spacing w:after="0" w:line="240" w:lineRule="auto"/>
              <w:ind w:firstLineChars="100" w:firstLine="221"/>
              <w:jc w:val="center"/>
              <w:rPr>
                <w:rFonts w:ascii="Times New Roman" w:eastAsia="Times New Roman" w:hAnsi="Times New Roman" w:cs="Times New Roman"/>
                <w:b/>
                <w:bCs/>
                <w:color w:val="1A1C1E"/>
                <w:kern w:val="0"/>
                <w:sz w:val="22"/>
                <w:szCs w:val="22"/>
                <w:lang w:eastAsia="en-IN"/>
                <w14:ligatures w14:val="none"/>
              </w:rPr>
            </w:pPr>
            <w:r w:rsidRPr="007E761F">
              <w:rPr>
                <w:rFonts w:ascii="Times New Roman" w:eastAsia="Times New Roman" w:hAnsi="Times New Roman" w:cs="Times New Roman"/>
                <w:b/>
                <w:bCs/>
                <w:color w:val="1A1C1E"/>
                <w:kern w:val="0"/>
                <w:sz w:val="22"/>
                <w:szCs w:val="22"/>
                <w:lang w:eastAsia="en-IN"/>
                <w14:ligatures w14:val="none"/>
              </w:rPr>
              <w:t>1949-50</w:t>
            </w:r>
          </w:p>
        </w:tc>
        <w:tc>
          <w:tcPr>
            <w:tcW w:w="1317" w:type="dxa"/>
            <w:tcBorders>
              <w:top w:val="nil"/>
              <w:left w:val="nil"/>
              <w:bottom w:val="single" w:sz="4" w:space="0" w:color="auto"/>
              <w:right w:val="single" w:sz="4" w:space="0" w:color="auto"/>
            </w:tcBorders>
            <w:shd w:val="clear" w:color="000000" w:fill="FFFFFF"/>
            <w:vAlign w:val="center"/>
            <w:hideMark/>
          </w:tcPr>
          <w:p w14:paraId="3F6F788D" w14:textId="77777777" w:rsidR="007E761F" w:rsidRPr="007E761F" w:rsidRDefault="007E761F" w:rsidP="007E761F">
            <w:pPr>
              <w:spacing w:after="0" w:line="240" w:lineRule="auto"/>
              <w:ind w:firstLineChars="100" w:firstLine="221"/>
              <w:jc w:val="center"/>
              <w:rPr>
                <w:rFonts w:ascii="Times New Roman" w:eastAsia="Times New Roman" w:hAnsi="Times New Roman" w:cs="Times New Roman"/>
                <w:b/>
                <w:bCs/>
                <w:color w:val="1A1C1E"/>
                <w:kern w:val="0"/>
                <w:sz w:val="22"/>
                <w:szCs w:val="22"/>
                <w:lang w:eastAsia="en-IN"/>
                <w14:ligatures w14:val="none"/>
              </w:rPr>
            </w:pPr>
            <w:r w:rsidRPr="007E761F">
              <w:rPr>
                <w:rFonts w:ascii="Times New Roman" w:eastAsia="Times New Roman" w:hAnsi="Times New Roman" w:cs="Times New Roman"/>
                <w:b/>
                <w:bCs/>
                <w:color w:val="1A1C1E"/>
                <w:kern w:val="0"/>
                <w:sz w:val="22"/>
                <w:szCs w:val="22"/>
                <w:lang w:eastAsia="en-IN"/>
                <w14:ligatures w14:val="none"/>
              </w:rPr>
              <w:t>1950-51</w:t>
            </w:r>
          </w:p>
        </w:tc>
        <w:tc>
          <w:tcPr>
            <w:tcW w:w="1316" w:type="dxa"/>
            <w:tcBorders>
              <w:top w:val="nil"/>
              <w:left w:val="nil"/>
              <w:bottom w:val="single" w:sz="4" w:space="0" w:color="auto"/>
              <w:right w:val="single" w:sz="4" w:space="0" w:color="auto"/>
            </w:tcBorders>
            <w:shd w:val="clear" w:color="000000" w:fill="FFFFFF"/>
            <w:vAlign w:val="center"/>
            <w:hideMark/>
          </w:tcPr>
          <w:p w14:paraId="327082E1" w14:textId="77777777" w:rsidR="007E761F" w:rsidRPr="007E761F" w:rsidRDefault="007E761F" w:rsidP="007E761F">
            <w:pPr>
              <w:spacing w:after="0" w:line="240" w:lineRule="auto"/>
              <w:ind w:firstLineChars="100" w:firstLine="221"/>
              <w:jc w:val="center"/>
              <w:rPr>
                <w:rFonts w:ascii="Times New Roman" w:eastAsia="Times New Roman" w:hAnsi="Times New Roman" w:cs="Times New Roman"/>
                <w:b/>
                <w:bCs/>
                <w:color w:val="1A1C1E"/>
                <w:kern w:val="0"/>
                <w:sz w:val="22"/>
                <w:szCs w:val="22"/>
                <w:lang w:eastAsia="en-IN"/>
                <w14:ligatures w14:val="none"/>
              </w:rPr>
            </w:pPr>
            <w:r w:rsidRPr="007E761F">
              <w:rPr>
                <w:rFonts w:ascii="Times New Roman" w:eastAsia="Times New Roman" w:hAnsi="Times New Roman" w:cs="Times New Roman"/>
                <w:b/>
                <w:bCs/>
                <w:color w:val="1A1C1E"/>
                <w:kern w:val="0"/>
                <w:sz w:val="22"/>
                <w:szCs w:val="22"/>
                <w:lang w:eastAsia="en-IN"/>
                <w14:ligatures w14:val="none"/>
              </w:rPr>
              <w:t>1948-49</w:t>
            </w:r>
          </w:p>
        </w:tc>
        <w:tc>
          <w:tcPr>
            <w:tcW w:w="1316" w:type="dxa"/>
            <w:tcBorders>
              <w:top w:val="nil"/>
              <w:left w:val="nil"/>
              <w:bottom w:val="single" w:sz="4" w:space="0" w:color="auto"/>
              <w:right w:val="single" w:sz="4" w:space="0" w:color="auto"/>
            </w:tcBorders>
            <w:shd w:val="clear" w:color="000000" w:fill="FFFFFF"/>
            <w:vAlign w:val="center"/>
            <w:hideMark/>
          </w:tcPr>
          <w:p w14:paraId="2159BA6C" w14:textId="77777777" w:rsidR="007E761F" w:rsidRPr="007E761F" w:rsidRDefault="007E761F" w:rsidP="007E761F">
            <w:pPr>
              <w:spacing w:after="0" w:line="240" w:lineRule="auto"/>
              <w:ind w:firstLineChars="100" w:firstLine="221"/>
              <w:jc w:val="center"/>
              <w:rPr>
                <w:rFonts w:ascii="Times New Roman" w:eastAsia="Times New Roman" w:hAnsi="Times New Roman" w:cs="Times New Roman"/>
                <w:b/>
                <w:bCs/>
                <w:color w:val="1A1C1E"/>
                <w:kern w:val="0"/>
                <w:sz w:val="22"/>
                <w:szCs w:val="22"/>
                <w:lang w:eastAsia="en-IN"/>
                <w14:ligatures w14:val="none"/>
              </w:rPr>
            </w:pPr>
            <w:r w:rsidRPr="007E761F">
              <w:rPr>
                <w:rFonts w:ascii="Times New Roman" w:eastAsia="Times New Roman" w:hAnsi="Times New Roman" w:cs="Times New Roman"/>
                <w:b/>
                <w:bCs/>
                <w:color w:val="1A1C1E"/>
                <w:kern w:val="0"/>
                <w:sz w:val="22"/>
                <w:szCs w:val="22"/>
                <w:lang w:eastAsia="en-IN"/>
                <w14:ligatures w14:val="none"/>
              </w:rPr>
              <w:t>1949-50</w:t>
            </w:r>
          </w:p>
        </w:tc>
        <w:tc>
          <w:tcPr>
            <w:tcW w:w="1317" w:type="dxa"/>
            <w:tcBorders>
              <w:top w:val="nil"/>
              <w:left w:val="nil"/>
              <w:bottom w:val="single" w:sz="4" w:space="0" w:color="auto"/>
              <w:right w:val="single" w:sz="4" w:space="0" w:color="auto"/>
            </w:tcBorders>
            <w:shd w:val="clear" w:color="000000" w:fill="FFFFFF"/>
            <w:vAlign w:val="center"/>
            <w:hideMark/>
          </w:tcPr>
          <w:p w14:paraId="0A517C0F" w14:textId="77777777" w:rsidR="007E761F" w:rsidRPr="007E761F" w:rsidRDefault="007E761F" w:rsidP="007E761F">
            <w:pPr>
              <w:spacing w:after="0" w:line="240" w:lineRule="auto"/>
              <w:ind w:firstLineChars="100" w:firstLine="221"/>
              <w:jc w:val="center"/>
              <w:rPr>
                <w:rFonts w:ascii="Times New Roman" w:eastAsia="Times New Roman" w:hAnsi="Times New Roman" w:cs="Times New Roman"/>
                <w:b/>
                <w:bCs/>
                <w:color w:val="1A1C1E"/>
                <w:kern w:val="0"/>
                <w:sz w:val="22"/>
                <w:szCs w:val="22"/>
                <w:lang w:eastAsia="en-IN"/>
                <w14:ligatures w14:val="none"/>
              </w:rPr>
            </w:pPr>
            <w:r w:rsidRPr="007E761F">
              <w:rPr>
                <w:rFonts w:ascii="Times New Roman" w:eastAsia="Times New Roman" w:hAnsi="Times New Roman" w:cs="Times New Roman"/>
                <w:b/>
                <w:bCs/>
                <w:color w:val="1A1C1E"/>
                <w:kern w:val="0"/>
                <w:sz w:val="22"/>
                <w:szCs w:val="22"/>
                <w:lang w:eastAsia="en-IN"/>
                <w14:ligatures w14:val="none"/>
              </w:rPr>
              <w:t>1950-51</w:t>
            </w:r>
          </w:p>
        </w:tc>
        <w:tc>
          <w:tcPr>
            <w:tcW w:w="1316" w:type="dxa"/>
            <w:tcBorders>
              <w:top w:val="nil"/>
              <w:left w:val="nil"/>
              <w:bottom w:val="single" w:sz="4" w:space="0" w:color="auto"/>
              <w:right w:val="single" w:sz="4" w:space="0" w:color="auto"/>
            </w:tcBorders>
            <w:shd w:val="clear" w:color="000000" w:fill="FFFFFF"/>
            <w:vAlign w:val="center"/>
            <w:hideMark/>
          </w:tcPr>
          <w:p w14:paraId="7310EF1D" w14:textId="77777777" w:rsidR="007E761F" w:rsidRPr="007E761F" w:rsidRDefault="007E761F" w:rsidP="007E761F">
            <w:pPr>
              <w:spacing w:after="0" w:line="240" w:lineRule="auto"/>
              <w:ind w:firstLineChars="100" w:firstLine="221"/>
              <w:jc w:val="center"/>
              <w:rPr>
                <w:rFonts w:ascii="Times New Roman" w:eastAsia="Times New Roman" w:hAnsi="Times New Roman" w:cs="Times New Roman"/>
                <w:b/>
                <w:bCs/>
                <w:color w:val="1A1C1E"/>
                <w:kern w:val="0"/>
                <w:sz w:val="22"/>
                <w:szCs w:val="22"/>
                <w:lang w:eastAsia="en-IN"/>
                <w14:ligatures w14:val="none"/>
              </w:rPr>
            </w:pPr>
            <w:r w:rsidRPr="007E761F">
              <w:rPr>
                <w:rFonts w:ascii="Times New Roman" w:eastAsia="Times New Roman" w:hAnsi="Times New Roman" w:cs="Times New Roman"/>
                <w:b/>
                <w:bCs/>
                <w:color w:val="1A1C1E"/>
                <w:kern w:val="0"/>
                <w:sz w:val="22"/>
                <w:szCs w:val="22"/>
                <w:lang w:eastAsia="en-IN"/>
                <w14:ligatures w14:val="none"/>
              </w:rPr>
              <w:t>1948-49</w:t>
            </w:r>
          </w:p>
        </w:tc>
        <w:tc>
          <w:tcPr>
            <w:tcW w:w="1316" w:type="dxa"/>
            <w:tcBorders>
              <w:top w:val="nil"/>
              <w:left w:val="nil"/>
              <w:bottom w:val="single" w:sz="4" w:space="0" w:color="auto"/>
              <w:right w:val="single" w:sz="4" w:space="0" w:color="auto"/>
            </w:tcBorders>
            <w:shd w:val="clear" w:color="000000" w:fill="FFFFFF"/>
            <w:vAlign w:val="center"/>
            <w:hideMark/>
          </w:tcPr>
          <w:p w14:paraId="6BB2170E" w14:textId="77777777" w:rsidR="007E761F" w:rsidRPr="007E761F" w:rsidRDefault="007E761F" w:rsidP="007E761F">
            <w:pPr>
              <w:spacing w:after="0" w:line="240" w:lineRule="auto"/>
              <w:ind w:firstLineChars="100" w:firstLine="221"/>
              <w:jc w:val="center"/>
              <w:rPr>
                <w:rFonts w:ascii="Times New Roman" w:eastAsia="Times New Roman" w:hAnsi="Times New Roman" w:cs="Times New Roman"/>
                <w:b/>
                <w:bCs/>
                <w:color w:val="1A1C1E"/>
                <w:kern w:val="0"/>
                <w:sz w:val="22"/>
                <w:szCs w:val="22"/>
                <w:lang w:eastAsia="en-IN"/>
                <w14:ligatures w14:val="none"/>
              </w:rPr>
            </w:pPr>
            <w:r w:rsidRPr="007E761F">
              <w:rPr>
                <w:rFonts w:ascii="Times New Roman" w:eastAsia="Times New Roman" w:hAnsi="Times New Roman" w:cs="Times New Roman"/>
                <w:b/>
                <w:bCs/>
                <w:color w:val="1A1C1E"/>
                <w:kern w:val="0"/>
                <w:sz w:val="22"/>
                <w:szCs w:val="22"/>
                <w:lang w:eastAsia="en-IN"/>
                <w14:ligatures w14:val="none"/>
              </w:rPr>
              <w:t>1949-50</w:t>
            </w:r>
          </w:p>
        </w:tc>
        <w:tc>
          <w:tcPr>
            <w:tcW w:w="1317" w:type="dxa"/>
            <w:tcBorders>
              <w:top w:val="nil"/>
              <w:left w:val="nil"/>
              <w:bottom w:val="single" w:sz="4" w:space="0" w:color="auto"/>
              <w:right w:val="single" w:sz="4" w:space="0" w:color="auto"/>
            </w:tcBorders>
            <w:shd w:val="clear" w:color="000000" w:fill="FFFFFF"/>
            <w:vAlign w:val="center"/>
            <w:hideMark/>
          </w:tcPr>
          <w:p w14:paraId="2A2B671A" w14:textId="77777777" w:rsidR="007E761F" w:rsidRPr="007E761F" w:rsidRDefault="007E761F" w:rsidP="007E761F">
            <w:pPr>
              <w:spacing w:after="0" w:line="240" w:lineRule="auto"/>
              <w:ind w:firstLineChars="100" w:firstLine="221"/>
              <w:jc w:val="center"/>
              <w:rPr>
                <w:rFonts w:ascii="Times New Roman" w:eastAsia="Times New Roman" w:hAnsi="Times New Roman" w:cs="Times New Roman"/>
                <w:b/>
                <w:bCs/>
                <w:color w:val="1A1C1E"/>
                <w:kern w:val="0"/>
                <w:sz w:val="22"/>
                <w:szCs w:val="22"/>
                <w:lang w:eastAsia="en-IN"/>
                <w14:ligatures w14:val="none"/>
              </w:rPr>
            </w:pPr>
            <w:r w:rsidRPr="007E761F">
              <w:rPr>
                <w:rFonts w:ascii="Times New Roman" w:eastAsia="Times New Roman" w:hAnsi="Times New Roman" w:cs="Times New Roman"/>
                <w:b/>
                <w:bCs/>
                <w:color w:val="1A1C1E"/>
                <w:kern w:val="0"/>
                <w:sz w:val="22"/>
                <w:szCs w:val="22"/>
                <w:lang w:eastAsia="en-IN"/>
                <w14:ligatures w14:val="none"/>
              </w:rPr>
              <w:t>1950-51</w:t>
            </w:r>
          </w:p>
        </w:tc>
      </w:tr>
      <w:tr w:rsidR="007E761F" w:rsidRPr="007E761F" w14:paraId="2CFC5762" w14:textId="77777777" w:rsidTr="007E761F">
        <w:trPr>
          <w:trHeight w:val="20"/>
          <w:jc w:val="center"/>
        </w:trPr>
        <w:tc>
          <w:tcPr>
            <w:tcW w:w="2510" w:type="dxa"/>
            <w:tcBorders>
              <w:top w:val="nil"/>
              <w:left w:val="single" w:sz="4" w:space="0" w:color="auto"/>
              <w:bottom w:val="single" w:sz="4" w:space="0" w:color="auto"/>
              <w:right w:val="single" w:sz="4" w:space="0" w:color="auto"/>
            </w:tcBorders>
            <w:shd w:val="clear" w:color="000000" w:fill="FFFFFF"/>
            <w:vAlign w:val="center"/>
            <w:hideMark/>
          </w:tcPr>
          <w:p w14:paraId="6B9D9016" w14:textId="77777777" w:rsidR="007E761F" w:rsidRPr="007E761F" w:rsidRDefault="007E761F" w:rsidP="007E761F">
            <w:pPr>
              <w:spacing w:after="0" w:line="240" w:lineRule="auto"/>
              <w:ind w:firstLineChars="100" w:firstLine="221"/>
              <w:jc w:val="center"/>
              <w:rPr>
                <w:rFonts w:ascii="Times New Roman" w:eastAsia="Times New Roman" w:hAnsi="Times New Roman" w:cs="Times New Roman"/>
                <w:b/>
                <w:bCs/>
                <w:color w:val="1A1C1E"/>
                <w:kern w:val="0"/>
                <w:sz w:val="22"/>
                <w:szCs w:val="22"/>
                <w:lang w:eastAsia="en-IN"/>
                <w14:ligatures w14:val="none"/>
              </w:rPr>
            </w:pPr>
            <w:r w:rsidRPr="007E761F">
              <w:rPr>
                <w:rFonts w:ascii="Times New Roman" w:eastAsia="Times New Roman" w:hAnsi="Times New Roman" w:cs="Times New Roman"/>
                <w:b/>
                <w:bCs/>
                <w:color w:val="1A1C1E"/>
                <w:kern w:val="0"/>
                <w:sz w:val="22"/>
                <w:szCs w:val="22"/>
                <w:lang w:eastAsia="en-IN"/>
                <w14:ligatures w14:val="none"/>
              </w:rPr>
              <w:t>Revenue—</w:t>
            </w:r>
          </w:p>
        </w:tc>
        <w:tc>
          <w:tcPr>
            <w:tcW w:w="1316" w:type="dxa"/>
            <w:tcBorders>
              <w:top w:val="nil"/>
              <w:left w:val="nil"/>
              <w:bottom w:val="single" w:sz="4" w:space="0" w:color="auto"/>
              <w:right w:val="single" w:sz="4" w:space="0" w:color="auto"/>
            </w:tcBorders>
            <w:shd w:val="clear" w:color="000000" w:fill="FFFFFF"/>
            <w:vAlign w:val="center"/>
            <w:hideMark/>
          </w:tcPr>
          <w:p w14:paraId="16AD9741" w14:textId="43A6DA3E"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p>
        </w:tc>
        <w:tc>
          <w:tcPr>
            <w:tcW w:w="1316" w:type="dxa"/>
            <w:tcBorders>
              <w:top w:val="nil"/>
              <w:left w:val="nil"/>
              <w:bottom w:val="single" w:sz="4" w:space="0" w:color="auto"/>
              <w:right w:val="single" w:sz="4" w:space="0" w:color="auto"/>
            </w:tcBorders>
            <w:shd w:val="clear" w:color="000000" w:fill="FFFFFF"/>
            <w:vAlign w:val="center"/>
            <w:hideMark/>
          </w:tcPr>
          <w:p w14:paraId="1C904473" w14:textId="730F59F5"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p>
        </w:tc>
        <w:tc>
          <w:tcPr>
            <w:tcW w:w="1317" w:type="dxa"/>
            <w:tcBorders>
              <w:top w:val="nil"/>
              <w:left w:val="nil"/>
              <w:bottom w:val="single" w:sz="4" w:space="0" w:color="auto"/>
              <w:right w:val="single" w:sz="4" w:space="0" w:color="auto"/>
            </w:tcBorders>
            <w:shd w:val="clear" w:color="000000" w:fill="FFFFFF"/>
            <w:vAlign w:val="center"/>
            <w:hideMark/>
          </w:tcPr>
          <w:p w14:paraId="659EAD37" w14:textId="2EFAF940"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p>
        </w:tc>
        <w:tc>
          <w:tcPr>
            <w:tcW w:w="1316" w:type="dxa"/>
            <w:tcBorders>
              <w:top w:val="nil"/>
              <w:left w:val="nil"/>
              <w:bottom w:val="single" w:sz="4" w:space="0" w:color="auto"/>
              <w:right w:val="single" w:sz="4" w:space="0" w:color="auto"/>
            </w:tcBorders>
            <w:shd w:val="clear" w:color="000000" w:fill="FFFFFF"/>
            <w:vAlign w:val="center"/>
            <w:hideMark/>
          </w:tcPr>
          <w:p w14:paraId="13681516" w14:textId="6D38DFCB"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p>
        </w:tc>
        <w:tc>
          <w:tcPr>
            <w:tcW w:w="1316" w:type="dxa"/>
            <w:tcBorders>
              <w:top w:val="nil"/>
              <w:left w:val="nil"/>
              <w:bottom w:val="single" w:sz="4" w:space="0" w:color="auto"/>
              <w:right w:val="single" w:sz="4" w:space="0" w:color="auto"/>
            </w:tcBorders>
            <w:shd w:val="clear" w:color="000000" w:fill="FFFFFF"/>
            <w:vAlign w:val="center"/>
            <w:hideMark/>
          </w:tcPr>
          <w:p w14:paraId="1AFDBB5F" w14:textId="39EE5CE4"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p>
        </w:tc>
        <w:tc>
          <w:tcPr>
            <w:tcW w:w="1317" w:type="dxa"/>
            <w:tcBorders>
              <w:top w:val="nil"/>
              <w:left w:val="nil"/>
              <w:bottom w:val="single" w:sz="4" w:space="0" w:color="auto"/>
              <w:right w:val="single" w:sz="4" w:space="0" w:color="auto"/>
            </w:tcBorders>
            <w:shd w:val="clear" w:color="000000" w:fill="FFFFFF"/>
            <w:vAlign w:val="center"/>
            <w:hideMark/>
          </w:tcPr>
          <w:p w14:paraId="1309DED7" w14:textId="086E7145"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p>
        </w:tc>
        <w:tc>
          <w:tcPr>
            <w:tcW w:w="1316" w:type="dxa"/>
            <w:tcBorders>
              <w:top w:val="nil"/>
              <w:left w:val="nil"/>
              <w:bottom w:val="single" w:sz="4" w:space="0" w:color="auto"/>
              <w:right w:val="single" w:sz="4" w:space="0" w:color="auto"/>
            </w:tcBorders>
            <w:shd w:val="clear" w:color="000000" w:fill="FFFFFF"/>
            <w:vAlign w:val="center"/>
            <w:hideMark/>
          </w:tcPr>
          <w:p w14:paraId="7CB6A1D6" w14:textId="0FFC20C3"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p>
        </w:tc>
        <w:tc>
          <w:tcPr>
            <w:tcW w:w="1316" w:type="dxa"/>
            <w:tcBorders>
              <w:top w:val="nil"/>
              <w:left w:val="nil"/>
              <w:bottom w:val="single" w:sz="4" w:space="0" w:color="auto"/>
              <w:right w:val="single" w:sz="4" w:space="0" w:color="auto"/>
            </w:tcBorders>
            <w:shd w:val="clear" w:color="000000" w:fill="FFFFFF"/>
            <w:vAlign w:val="center"/>
            <w:hideMark/>
          </w:tcPr>
          <w:p w14:paraId="056B96BE" w14:textId="56819143"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p>
        </w:tc>
        <w:tc>
          <w:tcPr>
            <w:tcW w:w="1317" w:type="dxa"/>
            <w:tcBorders>
              <w:top w:val="nil"/>
              <w:left w:val="nil"/>
              <w:bottom w:val="single" w:sz="4" w:space="0" w:color="auto"/>
              <w:right w:val="single" w:sz="4" w:space="0" w:color="auto"/>
            </w:tcBorders>
            <w:shd w:val="clear" w:color="000000" w:fill="FFFFFF"/>
            <w:vAlign w:val="center"/>
            <w:hideMark/>
          </w:tcPr>
          <w:p w14:paraId="0B829E37" w14:textId="43AE8890"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p>
        </w:tc>
      </w:tr>
      <w:tr w:rsidR="007E761F" w:rsidRPr="007E761F" w14:paraId="4DDC87D9" w14:textId="77777777" w:rsidTr="007E761F">
        <w:trPr>
          <w:trHeight w:val="20"/>
          <w:jc w:val="center"/>
        </w:trPr>
        <w:tc>
          <w:tcPr>
            <w:tcW w:w="2510" w:type="dxa"/>
            <w:tcBorders>
              <w:top w:val="nil"/>
              <w:left w:val="single" w:sz="4" w:space="0" w:color="auto"/>
              <w:bottom w:val="single" w:sz="4" w:space="0" w:color="auto"/>
              <w:right w:val="single" w:sz="4" w:space="0" w:color="auto"/>
            </w:tcBorders>
            <w:shd w:val="clear" w:color="000000" w:fill="FFFFFF"/>
            <w:vAlign w:val="center"/>
            <w:hideMark/>
          </w:tcPr>
          <w:p w14:paraId="67B1154E"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State Excise</w:t>
            </w:r>
          </w:p>
        </w:tc>
        <w:tc>
          <w:tcPr>
            <w:tcW w:w="1316" w:type="dxa"/>
            <w:tcBorders>
              <w:top w:val="nil"/>
              <w:left w:val="nil"/>
              <w:bottom w:val="single" w:sz="4" w:space="0" w:color="auto"/>
              <w:right w:val="single" w:sz="4" w:space="0" w:color="auto"/>
            </w:tcBorders>
            <w:shd w:val="clear" w:color="000000" w:fill="FFFFFF"/>
            <w:vAlign w:val="center"/>
            <w:hideMark/>
          </w:tcPr>
          <w:p w14:paraId="0F8B2EDA"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181</w:t>
            </w:r>
          </w:p>
        </w:tc>
        <w:tc>
          <w:tcPr>
            <w:tcW w:w="1316" w:type="dxa"/>
            <w:tcBorders>
              <w:top w:val="nil"/>
              <w:left w:val="nil"/>
              <w:bottom w:val="single" w:sz="4" w:space="0" w:color="auto"/>
              <w:right w:val="single" w:sz="4" w:space="0" w:color="auto"/>
            </w:tcBorders>
            <w:shd w:val="clear" w:color="000000" w:fill="FFFFFF"/>
            <w:vAlign w:val="center"/>
            <w:hideMark/>
          </w:tcPr>
          <w:p w14:paraId="699108AE"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105</w:t>
            </w:r>
          </w:p>
        </w:tc>
        <w:tc>
          <w:tcPr>
            <w:tcW w:w="1317" w:type="dxa"/>
            <w:tcBorders>
              <w:top w:val="nil"/>
              <w:left w:val="nil"/>
              <w:bottom w:val="single" w:sz="4" w:space="0" w:color="auto"/>
              <w:right w:val="single" w:sz="4" w:space="0" w:color="auto"/>
            </w:tcBorders>
            <w:shd w:val="clear" w:color="000000" w:fill="FFFFFF"/>
            <w:vAlign w:val="center"/>
            <w:hideMark/>
          </w:tcPr>
          <w:p w14:paraId="7C06F0D8"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52</w:t>
            </w:r>
          </w:p>
        </w:tc>
        <w:tc>
          <w:tcPr>
            <w:tcW w:w="1316" w:type="dxa"/>
            <w:tcBorders>
              <w:top w:val="nil"/>
              <w:left w:val="nil"/>
              <w:bottom w:val="single" w:sz="4" w:space="0" w:color="auto"/>
              <w:right w:val="single" w:sz="4" w:space="0" w:color="auto"/>
            </w:tcBorders>
            <w:shd w:val="clear" w:color="000000" w:fill="FFFFFF"/>
            <w:vAlign w:val="center"/>
            <w:hideMark/>
          </w:tcPr>
          <w:p w14:paraId="3152956A"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315</w:t>
            </w:r>
          </w:p>
        </w:tc>
        <w:tc>
          <w:tcPr>
            <w:tcW w:w="1316" w:type="dxa"/>
            <w:tcBorders>
              <w:top w:val="nil"/>
              <w:left w:val="nil"/>
              <w:bottom w:val="single" w:sz="4" w:space="0" w:color="auto"/>
              <w:right w:val="single" w:sz="4" w:space="0" w:color="auto"/>
            </w:tcBorders>
            <w:shd w:val="clear" w:color="000000" w:fill="FFFFFF"/>
            <w:vAlign w:val="center"/>
            <w:hideMark/>
          </w:tcPr>
          <w:p w14:paraId="483AE297"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304</w:t>
            </w:r>
          </w:p>
        </w:tc>
        <w:tc>
          <w:tcPr>
            <w:tcW w:w="1317" w:type="dxa"/>
            <w:tcBorders>
              <w:top w:val="nil"/>
              <w:left w:val="nil"/>
              <w:bottom w:val="single" w:sz="4" w:space="0" w:color="auto"/>
              <w:right w:val="single" w:sz="4" w:space="0" w:color="auto"/>
            </w:tcBorders>
            <w:shd w:val="clear" w:color="000000" w:fill="FFFFFF"/>
            <w:vAlign w:val="center"/>
            <w:hideMark/>
          </w:tcPr>
          <w:p w14:paraId="1613A7F4"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306</w:t>
            </w:r>
          </w:p>
        </w:tc>
        <w:tc>
          <w:tcPr>
            <w:tcW w:w="1316" w:type="dxa"/>
            <w:tcBorders>
              <w:top w:val="nil"/>
              <w:left w:val="nil"/>
              <w:bottom w:val="single" w:sz="4" w:space="0" w:color="auto"/>
              <w:right w:val="single" w:sz="4" w:space="0" w:color="auto"/>
            </w:tcBorders>
            <w:shd w:val="clear" w:color="000000" w:fill="FFFFFF"/>
            <w:vAlign w:val="center"/>
            <w:hideMark/>
          </w:tcPr>
          <w:p w14:paraId="0B1F011A"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78</w:t>
            </w:r>
          </w:p>
        </w:tc>
        <w:tc>
          <w:tcPr>
            <w:tcW w:w="1316" w:type="dxa"/>
            <w:tcBorders>
              <w:top w:val="nil"/>
              <w:left w:val="nil"/>
              <w:bottom w:val="single" w:sz="4" w:space="0" w:color="auto"/>
              <w:right w:val="single" w:sz="4" w:space="0" w:color="auto"/>
            </w:tcBorders>
            <w:shd w:val="clear" w:color="000000" w:fill="FFFFFF"/>
            <w:vAlign w:val="center"/>
            <w:hideMark/>
          </w:tcPr>
          <w:p w14:paraId="3F7A0488"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12</w:t>
            </w:r>
          </w:p>
        </w:tc>
        <w:tc>
          <w:tcPr>
            <w:tcW w:w="1317" w:type="dxa"/>
            <w:tcBorders>
              <w:top w:val="nil"/>
              <w:left w:val="nil"/>
              <w:bottom w:val="single" w:sz="4" w:space="0" w:color="auto"/>
              <w:right w:val="single" w:sz="4" w:space="0" w:color="auto"/>
            </w:tcBorders>
            <w:shd w:val="clear" w:color="000000" w:fill="FFFFFF"/>
            <w:vAlign w:val="center"/>
            <w:hideMark/>
          </w:tcPr>
          <w:p w14:paraId="470CB730"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10</w:t>
            </w:r>
          </w:p>
        </w:tc>
      </w:tr>
      <w:tr w:rsidR="007E761F" w:rsidRPr="007E761F" w14:paraId="1B77FC47" w14:textId="77777777" w:rsidTr="007E761F">
        <w:trPr>
          <w:trHeight w:val="20"/>
          <w:jc w:val="center"/>
        </w:trPr>
        <w:tc>
          <w:tcPr>
            <w:tcW w:w="2510" w:type="dxa"/>
            <w:tcBorders>
              <w:top w:val="nil"/>
              <w:left w:val="single" w:sz="4" w:space="0" w:color="auto"/>
              <w:bottom w:val="single" w:sz="4" w:space="0" w:color="auto"/>
              <w:right w:val="single" w:sz="4" w:space="0" w:color="auto"/>
            </w:tcBorders>
            <w:shd w:val="clear" w:color="000000" w:fill="FFFFFF"/>
            <w:vAlign w:val="center"/>
            <w:hideMark/>
          </w:tcPr>
          <w:p w14:paraId="205480C0" w14:textId="19B9D242"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p>
        </w:tc>
        <w:tc>
          <w:tcPr>
            <w:tcW w:w="1316" w:type="dxa"/>
            <w:tcBorders>
              <w:top w:val="nil"/>
              <w:left w:val="nil"/>
              <w:bottom w:val="single" w:sz="4" w:space="0" w:color="auto"/>
              <w:right w:val="single" w:sz="4" w:space="0" w:color="auto"/>
            </w:tcBorders>
            <w:shd w:val="clear" w:color="000000" w:fill="FFFFFF"/>
            <w:vAlign w:val="center"/>
            <w:hideMark/>
          </w:tcPr>
          <w:p w14:paraId="64DC1552" w14:textId="52E77AA1"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617</w:t>
            </w:r>
          </w:p>
        </w:tc>
        <w:tc>
          <w:tcPr>
            <w:tcW w:w="1316" w:type="dxa"/>
            <w:tcBorders>
              <w:top w:val="nil"/>
              <w:left w:val="nil"/>
              <w:bottom w:val="single" w:sz="4" w:space="0" w:color="auto"/>
              <w:right w:val="single" w:sz="4" w:space="0" w:color="auto"/>
            </w:tcBorders>
            <w:shd w:val="clear" w:color="000000" w:fill="FFFFFF"/>
            <w:vAlign w:val="center"/>
            <w:hideMark/>
          </w:tcPr>
          <w:p w14:paraId="6A2AE73E" w14:textId="155853E6"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409</w:t>
            </w:r>
          </w:p>
        </w:tc>
        <w:tc>
          <w:tcPr>
            <w:tcW w:w="1317" w:type="dxa"/>
            <w:tcBorders>
              <w:top w:val="nil"/>
              <w:left w:val="nil"/>
              <w:bottom w:val="single" w:sz="4" w:space="0" w:color="auto"/>
              <w:right w:val="single" w:sz="4" w:space="0" w:color="auto"/>
            </w:tcBorders>
            <w:shd w:val="clear" w:color="000000" w:fill="FFFFFF"/>
            <w:vAlign w:val="center"/>
            <w:hideMark/>
          </w:tcPr>
          <w:p w14:paraId="0AF62A6A" w14:textId="12050428"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107</w:t>
            </w:r>
          </w:p>
        </w:tc>
        <w:tc>
          <w:tcPr>
            <w:tcW w:w="1316" w:type="dxa"/>
            <w:tcBorders>
              <w:top w:val="nil"/>
              <w:left w:val="nil"/>
              <w:bottom w:val="single" w:sz="4" w:space="0" w:color="auto"/>
              <w:right w:val="single" w:sz="4" w:space="0" w:color="auto"/>
            </w:tcBorders>
            <w:shd w:val="clear" w:color="000000" w:fill="FFFFFF"/>
            <w:vAlign w:val="center"/>
            <w:hideMark/>
          </w:tcPr>
          <w:p w14:paraId="20C5E5C6" w14:textId="46D56E05"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622</w:t>
            </w:r>
          </w:p>
        </w:tc>
        <w:tc>
          <w:tcPr>
            <w:tcW w:w="1316" w:type="dxa"/>
            <w:tcBorders>
              <w:top w:val="nil"/>
              <w:left w:val="nil"/>
              <w:bottom w:val="single" w:sz="4" w:space="0" w:color="auto"/>
              <w:right w:val="single" w:sz="4" w:space="0" w:color="auto"/>
            </w:tcBorders>
            <w:shd w:val="clear" w:color="000000" w:fill="FFFFFF"/>
            <w:vAlign w:val="center"/>
            <w:hideMark/>
          </w:tcPr>
          <w:p w14:paraId="630C986C" w14:textId="56155604"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614</w:t>
            </w:r>
          </w:p>
        </w:tc>
        <w:tc>
          <w:tcPr>
            <w:tcW w:w="1317" w:type="dxa"/>
            <w:tcBorders>
              <w:top w:val="nil"/>
              <w:left w:val="nil"/>
              <w:bottom w:val="single" w:sz="4" w:space="0" w:color="auto"/>
              <w:right w:val="single" w:sz="4" w:space="0" w:color="auto"/>
            </w:tcBorders>
            <w:shd w:val="clear" w:color="000000" w:fill="FFFFFF"/>
            <w:vAlign w:val="center"/>
            <w:hideMark/>
          </w:tcPr>
          <w:p w14:paraId="7540499D" w14:textId="1E070A3B"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620</w:t>
            </w:r>
          </w:p>
        </w:tc>
        <w:tc>
          <w:tcPr>
            <w:tcW w:w="1316" w:type="dxa"/>
            <w:tcBorders>
              <w:top w:val="nil"/>
              <w:left w:val="nil"/>
              <w:bottom w:val="single" w:sz="4" w:space="0" w:color="auto"/>
              <w:right w:val="single" w:sz="4" w:space="0" w:color="auto"/>
            </w:tcBorders>
            <w:shd w:val="clear" w:color="000000" w:fill="FFFFFF"/>
            <w:vAlign w:val="center"/>
            <w:hideMark/>
          </w:tcPr>
          <w:p w14:paraId="3E54F8D5" w14:textId="3C4D83F2"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367</w:t>
            </w:r>
          </w:p>
        </w:tc>
        <w:tc>
          <w:tcPr>
            <w:tcW w:w="1316" w:type="dxa"/>
            <w:tcBorders>
              <w:top w:val="nil"/>
              <w:left w:val="nil"/>
              <w:bottom w:val="single" w:sz="4" w:space="0" w:color="auto"/>
              <w:right w:val="single" w:sz="4" w:space="0" w:color="auto"/>
            </w:tcBorders>
            <w:shd w:val="clear" w:color="000000" w:fill="FFFFFF"/>
            <w:vAlign w:val="center"/>
            <w:hideMark/>
          </w:tcPr>
          <w:p w14:paraId="5CDAD353" w14:textId="21E1EEF0"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59</w:t>
            </w:r>
          </w:p>
        </w:tc>
        <w:tc>
          <w:tcPr>
            <w:tcW w:w="1317" w:type="dxa"/>
            <w:tcBorders>
              <w:top w:val="nil"/>
              <w:left w:val="nil"/>
              <w:bottom w:val="single" w:sz="4" w:space="0" w:color="auto"/>
              <w:right w:val="single" w:sz="4" w:space="0" w:color="auto"/>
            </w:tcBorders>
            <w:shd w:val="clear" w:color="000000" w:fill="FFFFFF"/>
            <w:vAlign w:val="center"/>
            <w:hideMark/>
          </w:tcPr>
          <w:p w14:paraId="51EA1016" w14:textId="55C383D7"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55</w:t>
            </w:r>
          </w:p>
        </w:tc>
      </w:tr>
      <w:tr w:rsidR="007E761F" w:rsidRPr="007E761F" w14:paraId="5E3BAB6B" w14:textId="77777777" w:rsidTr="007E761F">
        <w:trPr>
          <w:trHeight w:val="20"/>
          <w:jc w:val="center"/>
        </w:trPr>
        <w:tc>
          <w:tcPr>
            <w:tcW w:w="2510" w:type="dxa"/>
            <w:tcBorders>
              <w:top w:val="nil"/>
              <w:left w:val="single" w:sz="4" w:space="0" w:color="auto"/>
              <w:bottom w:val="single" w:sz="4" w:space="0" w:color="auto"/>
              <w:right w:val="single" w:sz="4" w:space="0" w:color="auto"/>
            </w:tcBorders>
            <w:shd w:val="clear" w:color="000000" w:fill="FFFFFF"/>
            <w:vAlign w:val="center"/>
            <w:hideMark/>
          </w:tcPr>
          <w:p w14:paraId="6515F2ED"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Stamps</w:t>
            </w:r>
          </w:p>
        </w:tc>
        <w:tc>
          <w:tcPr>
            <w:tcW w:w="1316" w:type="dxa"/>
            <w:tcBorders>
              <w:top w:val="nil"/>
              <w:left w:val="nil"/>
              <w:bottom w:val="single" w:sz="4" w:space="0" w:color="auto"/>
              <w:right w:val="single" w:sz="4" w:space="0" w:color="auto"/>
            </w:tcBorders>
            <w:shd w:val="clear" w:color="000000" w:fill="FFFFFF"/>
            <w:vAlign w:val="center"/>
            <w:hideMark/>
          </w:tcPr>
          <w:p w14:paraId="161564B6"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210</w:t>
            </w:r>
          </w:p>
        </w:tc>
        <w:tc>
          <w:tcPr>
            <w:tcW w:w="1316" w:type="dxa"/>
            <w:tcBorders>
              <w:top w:val="nil"/>
              <w:left w:val="nil"/>
              <w:bottom w:val="single" w:sz="4" w:space="0" w:color="auto"/>
              <w:right w:val="single" w:sz="4" w:space="0" w:color="auto"/>
            </w:tcBorders>
            <w:shd w:val="clear" w:color="000000" w:fill="FFFFFF"/>
            <w:vAlign w:val="center"/>
            <w:hideMark/>
          </w:tcPr>
          <w:p w14:paraId="4DC56233"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204</w:t>
            </w:r>
          </w:p>
        </w:tc>
        <w:tc>
          <w:tcPr>
            <w:tcW w:w="1317" w:type="dxa"/>
            <w:tcBorders>
              <w:top w:val="nil"/>
              <w:left w:val="nil"/>
              <w:bottom w:val="single" w:sz="4" w:space="0" w:color="auto"/>
              <w:right w:val="single" w:sz="4" w:space="0" w:color="auto"/>
            </w:tcBorders>
            <w:shd w:val="clear" w:color="000000" w:fill="FFFFFF"/>
            <w:vAlign w:val="center"/>
            <w:hideMark/>
          </w:tcPr>
          <w:p w14:paraId="28550E54"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232</w:t>
            </w:r>
          </w:p>
        </w:tc>
        <w:tc>
          <w:tcPr>
            <w:tcW w:w="1316" w:type="dxa"/>
            <w:tcBorders>
              <w:top w:val="nil"/>
              <w:left w:val="nil"/>
              <w:bottom w:val="single" w:sz="4" w:space="0" w:color="auto"/>
              <w:right w:val="single" w:sz="4" w:space="0" w:color="auto"/>
            </w:tcBorders>
            <w:shd w:val="clear" w:color="000000" w:fill="FFFFFF"/>
            <w:vAlign w:val="center"/>
            <w:hideMark/>
          </w:tcPr>
          <w:p w14:paraId="62137126"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136</w:t>
            </w:r>
          </w:p>
        </w:tc>
        <w:tc>
          <w:tcPr>
            <w:tcW w:w="1316" w:type="dxa"/>
            <w:tcBorders>
              <w:top w:val="nil"/>
              <w:left w:val="nil"/>
              <w:bottom w:val="single" w:sz="4" w:space="0" w:color="auto"/>
              <w:right w:val="single" w:sz="4" w:space="0" w:color="auto"/>
            </w:tcBorders>
            <w:shd w:val="clear" w:color="000000" w:fill="FFFFFF"/>
            <w:vAlign w:val="center"/>
            <w:hideMark/>
          </w:tcPr>
          <w:p w14:paraId="1EE8A755"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147</w:t>
            </w:r>
          </w:p>
        </w:tc>
        <w:tc>
          <w:tcPr>
            <w:tcW w:w="1317" w:type="dxa"/>
            <w:tcBorders>
              <w:top w:val="nil"/>
              <w:left w:val="nil"/>
              <w:bottom w:val="single" w:sz="4" w:space="0" w:color="auto"/>
              <w:right w:val="single" w:sz="4" w:space="0" w:color="auto"/>
            </w:tcBorders>
            <w:shd w:val="clear" w:color="000000" w:fill="FFFFFF"/>
            <w:vAlign w:val="center"/>
            <w:hideMark/>
          </w:tcPr>
          <w:p w14:paraId="5E682A44"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147</w:t>
            </w:r>
          </w:p>
        </w:tc>
        <w:tc>
          <w:tcPr>
            <w:tcW w:w="1316" w:type="dxa"/>
            <w:tcBorders>
              <w:top w:val="nil"/>
              <w:left w:val="nil"/>
              <w:bottom w:val="single" w:sz="4" w:space="0" w:color="auto"/>
              <w:right w:val="single" w:sz="4" w:space="0" w:color="auto"/>
            </w:tcBorders>
            <w:shd w:val="clear" w:color="000000" w:fill="FFFFFF"/>
            <w:vAlign w:val="center"/>
            <w:hideMark/>
          </w:tcPr>
          <w:p w14:paraId="5D2A49FE"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64</w:t>
            </w:r>
          </w:p>
        </w:tc>
        <w:tc>
          <w:tcPr>
            <w:tcW w:w="1316" w:type="dxa"/>
            <w:tcBorders>
              <w:top w:val="nil"/>
              <w:left w:val="nil"/>
              <w:bottom w:val="single" w:sz="4" w:space="0" w:color="auto"/>
              <w:right w:val="single" w:sz="4" w:space="0" w:color="auto"/>
            </w:tcBorders>
            <w:shd w:val="clear" w:color="000000" w:fill="FFFFFF"/>
            <w:vAlign w:val="center"/>
            <w:hideMark/>
          </w:tcPr>
          <w:p w14:paraId="3A658691"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60</w:t>
            </w:r>
          </w:p>
        </w:tc>
        <w:tc>
          <w:tcPr>
            <w:tcW w:w="1317" w:type="dxa"/>
            <w:tcBorders>
              <w:top w:val="nil"/>
              <w:left w:val="nil"/>
              <w:bottom w:val="single" w:sz="4" w:space="0" w:color="auto"/>
              <w:right w:val="single" w:sz="4" w:space="0" w:color="auto"/>
            </w:tcBorders>
            <w:shd w:val="clear" w:color="000000" w:fill="FFFFFF"/>
            <w:vAlign w:val="center"/>
            <w:hideMark/>
          </w:tcPr>
          <w:p w14:paraId="63E834BA"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67</w:t>
            </w:r>
          </w:p>
        </w:tc>
      </w:tr>
      <w:tr w:rsidR="007E761F" w:rsidRPr="007E761F" w14:paraId="6FCBF4DA" w14:textId="77777777" w:rsidTr="007E761F">
        <w:trPr>
          <w:trHeight w:val="20"/>
          <w:jc w:val="center"/>
        </w:trPr>
        <w:tc>
          <w:tcPr>
            <w:tcW w:w="2510" w:type="dxa"/>
            <w:tcBorders>
              <w:top w:val="nil"/>
              <w:left w:val="single" w:sz="4" w:space="0" w:color="auto"/>
              <w:bottom w:val="single" w:sz="4" w:space="0" w:color="auto"/>
              <w:right w:val="single" w:sz="4" w:space="0" w:color="auto"/>
            </w:tcBorders>
            <w:shd w:val="clear" w:color="000000" w:fill="FFFFFF"/>
            <w:vAlign w:val="center"/>
            <w:hideMark/>
          </w:tcPr>
          <w:p w14:paraId="322C1EA2" w14:textId="08C3EE92"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p>
        </w:tc>
        <w:tc>
          <w:tcPr>
            <w:tcW w:w="1316" w:type="dxa"/>
            <w:tcBorders>
              <w:top w:val="nil"/>
              <w:left w:val="nil"/>
              <w:bottom w:val="single" w:sz="4" w:space="0" w:color="auto"/>
              <w:right w:val="single" w:sz="4" w:space="0" w:color="auto"/>
            </w:tcBorders>
            <w:shd w:val="clear" w:color="000000" w:fill="FFFFFF"/>
            <w:vAlign w:val="center"/>
            <w:hideMark/>
          </w:tcPr>
          <w:p w14:paraId="61A002DE" w14:textId="7897571F"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343</w:t>
            </w:r>
          </w:p>
        </w:tc>
        <w:tc>
          <w:tcPr>
            <w:tcW w:w="1316" w:type="dxa"/>
            <w:tcBorders>
              <w:top w:val="nil"/>
              <w:left w:val="nil"/>
              <w:bottom w:val="single" w:sz="4" w:space="0" w:color="auto"/>
              <w:right w:val="single" w:sz="4" w:space="0" w:color="auto"/>
            </w:tcBorders>
            <w:shd w:val="clear" w:color="000000" w:fill="FFFFFF"/>
            <w:vAlign w:val="center"/>
            <w:hideMark/>
          </w:tcPr>
          <w:p w14:paraId="529AEC91" w14:textId="326B893D"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358</w:t>
            </w:r>
          </w:p>
        </w:tc>
        <w:tc>
          <w:tcPr>
            <w:tcW w:w="1317" w:type="dxa"/>
            <w:tcBorders>
              <w:top w:val="nil"/>
              <w:left w:val="nil"/>
              <w:bottom w:val="single" w:sz="4" w:space="0" w:color="auto"/>
              <w:right w:val="single" w:sz="4" w:space="0" w:color="auto"/>
            </w:tcBorders>
            <w:shd w:val="clear" w:color="000000" w:fill="FFFFFF"/>
            <w:vAlign w:val="center"/>
            <w:hideMark/>
          </w:tcPr>
          <w:p w14:paraId="1C72626D" w14:textId="657D3FA1"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410</w:t>
            </w:r>
          </w:p>
        </w:tc>
        <w:tc>
          <w:tcPr>
            <w:tcW w:w="1316" w:type="dxa"/>
            <w:tcBorders>
              <w:top w:val="nil"/>
              <w:left w:val="nil"/>
              <w:bottom w:val="single" w:sz="4" w:space="0" w:color="auto"/>
              <w:right w:val="single" w:sz="4" w:space="0" w:color="auto"/>
            </w:tcBorders>
            <w:shd w:val="clear" w:color="000000" w:fill="FFFFFF"/>
            <w:vAlign w:val="center"/>
            <w:hideMark/>
          </w:tcPr>
          <w:p w14:paraId="6B36AAB7" w14:textId="04EA8BB0"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240</w:t>
            </w:r>
          </w:p>
        </w:tc>
        <w:tc>
          <w:tcPr>
            <w:tcW w:w="1316" w:type="dxa"/>
            <w:tcBorders>
              <w:top w:val="nil"/>
              <w:left w:val="nil"/>
              <w:bottom w:val="single" w:sz="4" w:space="0" w:color="auto"/>
              <w:right w:val="single" w:sz="4" w:space="0" w:color="auto"/>
            </w:tcBorders>
            <w:shd w:val="clear" w:color="000000" w:fill="FFFFFF"/>
            <w:vAlign w:val="center"/>
            <w:hideMark/>
          </w:tcPr>
          <w:p w14:paraId="2B401462" w14:textId="0B91A96E"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266</w:t>
            </w:r>
          </w:p>
        </w:tc>
        <w:tc>
          <w:tcPr>
            <w:tcW w:w="1317" w:type="dxa"/>
            <w:tcBorders>
              <w:top w:val="nil"/>
              <w:left w:val="nil"/>
              <w:bottom w:val="single" w:sz="4" w:space="0" w:color="auto"/>
              <w:right w:val="single" w:sz="4" w:space="0" w:color="auto"/>
            </w:tcBorders>
            <w:shd w:val="clear" w:color="000000" w:fill="FFFFFF"/>
            <w:vAlign w:val="center"/>
            <w:hideMark/>
          </w:tcPr>
          <w:p w14:paraId="545ACEA3" w14:textId="0F203036"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278</w:t>
            </w:r>
          </w:p>
        </w:tc>
        <w:tc>
          <w:tcPr>
            <w:tcW w:w="1316" w:type="dxa"/>
            <w:tcBorders>
              <w:top w:val="nil"/>
              <w:left w:val="nil"/>
              <w:bottom w:val="single" w:sz="4" w:space="0" w:color="auto"/>
              <w:right w:val="single" w:sz="4" w:space="0" w:color="auto"/>
            </w:tcBorders>
            <w:shd w:val="clear" w:color="000000" w:fill="FFFFFF"/>
            <w:vAlign w:val="center"/>
            <w:hideMark/>
          </w:tcPr>
          <w:p w14:paraId="3AB637A7" w14:textId="04CBBD60"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406</w:t>
            </w:r>
          </w:p>
        </w:tc>
        <w:tc>
          <w:tcPr>
            <w:tcW w:w="1316" w:type="dxa"/>
            <w:tcBorders>
              <w:top w:val="nil"/>
              <w:left w:val="nil"/>
              <w:bottom w:val="single" w:sz="4" w:space="0" w:color="auto"/>
              <w:right w:val="single" w:sz="4" w:space="0" w:color="auto"/>
            </w:tcBorders>
            <w:shd w:val="clear" w:color="000000" w:fill="FFFFFF"/>
            <w:vAlign w:val="center"/>
            <w:hideMark/>
          </w:tcPr>
          <w:p w14:paraId="7B81E5D8" w14:textId="73983C29"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433</w:t>
            </w:r>
          </w:p>
        </w:tc>
        <w:tc>
          <w:tcPr>
            <w:tcW w:w="1317" w:type="dxa"/>
            <w:tcBorders>
              <w:top w:val="nil"/>
              <w:left w:val="nil"/>
              <w:bottom w:val="single" w:sz="4" w:space="0" w:color="auto"/>
              <w:right w:val="single" w:sz="4" w:space="0" w:color="auto"/>
            </w:tcBorders>
            <w:shd w:val="clear" w:color="000000" w:fill="FFFFFF"/>
            <w:vAlign w:val="center"/>
            <w:hideMark/>
          </w:tcPr>
          <w:p w14:paraId="415B8A0D" w14:textId="48A5A666"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488</w:t>
            </w:r>
          </w:p>
        </w:tc>
      </w:tr>
      <w:tr w:rsidR="007E761F" w:rsidRPr="007E761F" w14:paraId="27FA3B95" w14:textId="77777777" w:rsidTr="007E761F">
        <w:trPr>
          <w:trHeight w:val="20"/>
          <w:jc w:val="center"/>
        </w:trPr>
        <w:tc>
          <w:tcPr>
            <w:tcW w:w="2510" w:type="dxa"/>
            <w:tcBorders>
              <w:top w:val="nil"/>
              <w:left w:val="single" w:sz="4" w:space="0" w:color="auto"/>
              <w:bottom w:val="single" w:sz="4" w:space="0" w:color="auto"/>
              <w:right w:val="single" w:sz="4" w:space="0" w:color="auto"/>
            </w:tcBorders>
            <w:shd w:val="clear" w:color="000000" w:fill="FFFFFF"/>
            <w:vAlign w:val="center"/>
            <w:hideMark/>
          </w:tcPr>
          <w:p w14:paraId="7E7D511E"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Registration</w:t>
            </w:r>
          </w:p>
        </w:tc>
        <w:tc>
          <w:tcPr>
            <w:tcW w:w="1316" w:type="dxa"/>
            <w:tcBorders>
              <w:top w:val="nil"/>
              <w:left w:val="nil"/>
              <w:bottom w:val="single" w:sz="4" w:space="0" w:color="auto"/>
              <w:right w:val="single" w:sz="4" w:space="0" w:color="auto"/>
            </w:tcBorders>
            <w:shd w:val="clear" w:color="000000" w:fill="FFFFFF"/>
            <w:vAlign w:val="center"/>
            <w:hideMark/>
          </w:tcPr>
          <w:p w14:paraId="289DEAE7"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5</w:t>
            </w:r>
          </w:p>
        </w:tc>
        <w:tc>
          <w:tcPr>
            <w:tcW w:w="1316" w:type="dxa"/>
            <w:tcBorders>
              <w:top w:val="nil"/>
              <w:left w:val="nil"/>
              <w:bottom w:val="single" w:sz="4" w:space="0" w:color="auto"/>
              <w:right w:val="single" w:sz="4" w:space="0" w:color="auto"/>
            </w:tcBorders>
            <w:shd w:val="clear" w:color="000000" w:fill="FFFFFF"/>
            <w:vAlign w:val="center"/>
            <w:hideMark/>
          </w:tcPr>
          <w:p w14:paraId="4D497543"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7</w:t>
            </w:r>
          </w:p>
        </w:tc>
        <w:tc>
          <w:tcPr>
            <w:tcW w:w="1317" w:type="dxa"/>
            <w:tcBorders>
              <w:top w:val="nil"/>
              <w:left w:val="nil"/>
              <w:bottom w:val="single" w:sz="4" w:space="0" w:color="auto"/>
              <w:right w:val="single" w:sz="4" w:space="0" w:color="auto"/>
            </w:tcBorders>
            <w:shd w:val="clear" w:color="000000" w:fill="FFFFFF"/>
            <w:vAlign w:val="center"/>
            <w:hideMark/>
          </w:tcPr>
          <w:p w14:paraId="162460E9"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7</w:t>
            </w:r>
          </w:p>
        </w:tc>
        <w:tc>
          <w:tcPr>
            <w:tcW w:w="1316" w:type="dxa"/>
            <w:tcBorders>
              <w:top w:val="nil"/>
              <w:left w:val="nil"/>
              <w:bottom w:val="single" w:sz="4" w:space="0" w:color="auto"/>
              <w:right w:val="single" w:sz="4" w:space="0" w:color="auto"/>
            </w:tcBorders>
            <w:shd w:val="clear" w:color="000000" w:fill="FFFFFF"/>
            <w:vAlign w:val="center"/>
            <w:hideMark/>
          </w:tcPr>
          <w:p w14:paraId="0CA68EC2"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6</w:t>
            </w:r>
          </w:p>
        </w:tc>
        <w:tc>
          <w:tcPr>
            <w:tcW w:w="1316" w:type="dxa"/>
            <w:tcBorders>
              <w:top w:val="nil"/>
              <w:left w:val="nil"/>
              <w:bottom w:val="single" w:sz="4" w:space="0" w:color="auto"/>
              <w:right w:val="single" w:sz="4" w:space="0" w:color="auto"/>
            </w:tcBorders>
            <w:shd w:val="clear" w:color="000000" w:fill="FFFFFF"/>
            <w:vAlign w:val="center"/>
            <w:hideMark/>
          </w:tcPr>
          <w:p w14:paraId="6CBF6039"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8</w:t>
            </w:r>
          </w:p>
        </w:tc>
        <w:tc>
          <w:tcPr>
            <w:tcW w:w="1317" w:type="dxa"/>
            <w:tcBorders>
              <w:top w:val="nil"/>
              <w:left w:val="nil"/>
              <w:bottom w:val="single" w:sz="4" w:space="0" w:color="auto"/>
              <w:right w:val="single" w:sz="4" w:space="0" w:color="auto"/>
            </w:tcBorders>
            <w:shd w:val="clear" w:color="000000" w:fill="FFFFFF"/>
            <w:vAlign w:val="center"/>
            <w:hideMark/>
          </w:tcPr>
          <w:p w14:paraId="04DB49F2"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11</w:t>
            </w:r>
          </w:p>
        </w:tc>
        <w:tc>
          <w:tcPr>
            <w:tcW w:w="1316" w:type="dxa"/>
            <w:tcBorders>
              <w:top w:val="nil"/>
              <w:left w:val="nil"/>
              <w:bottom w:val="single" w:sz="4" w:space="0" w:color="auto"/>
              <w:right w:val="single" w:sz="4" w:space="0" w:color="auto"/>
            </w:tcBorders>
            <w:shd w:val="clear" w:color="000000" w:fill="FFFFFF"/>
            <w:vAlign w:val="center"/>
            <w:hideMark/>
          </w:tcPr>
          <w:p w14:paraId="6BB0774B"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4</w:t>
            </w:r>
          </w:p>
        </w:tc>
        <w:tc>
          <w:tcPr>
            <w:tcW w:w="1316" w:type="dxa"/>
            <w:tcBorders>
              <w:top w:val="nil"/>
              <w:left w:val="nil"/>
              <w:bottom w:val="single" w:sz="4" w:space="0" w:color="auto"/>
              <w:right w:val="single" w:sz="4" w:space="0" w:color="auto"/>
            </w:tcBorders>
            <w:shd w:val="clear" w:color="000000" w:fill="FFFFFF"/>
            <w:vAlign w:val="center"/>
            <w:hideMark/>
          </w:tcPr>
          <w:p w14:paraId="6BDD62CB"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4</w:t>
            </w:r>
          </w:p>
        </w:tc>
        <w:tc>
          <w:tcPr>
            <w:tcW w:w="1317" w:type="dxa"/>
            <w:tcBorders>
              <w:top w:val="nil"/>
              <w:left w:val="nil"/>
              <w:bottom w:val="single" w:sz="4" w:space="0" w:color="auto"/>
              <w:right w:val="single" w:sz="4" w:space="0" w:color="auto"/>
            </w:tcBorders>
            <w:shd w:val="clear" w:color="000000" w:fill="FFFFFF"/>
            <w:vAlign w:val="center"/>
            <w:hideMark/>
          </w:tcPr>
          <w:p w14:paraId="2723EAFA"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4</w:t>
            </w:r>
          </w:p>
        </w:tc>
      </w:tr>
      <w:tr w:rsidR="007E761F" w:rsidRPr="007E761F" w14:paraId="2F04EB6F" w14:textId="77777777" w:rsidTr="007E761F">
        <w:trPr>
          <w:trHeight w:val="20"/>
          <w:jc w:val="center"/>
        </w:trPr>
        <w:tc>
          <w:tcPr>
            <w:tcW w:w="2510" w:type="dxa"/>
            <w:tcBorders>
              <w:top w:val="nil"/>
              <w:left w:val="single" w:sz="4" w:space="0" w:color="auto"/>
              <w:bottom w:val="single" w:sz="4" w:space="0" w:color="auto"/>
              <w:right w:val="single" w:sz="4" w:space="0" w:color="auto"/>
            </w:tcBorders>
            <w:shd w:val="clear" w:color="000000" w:fill="FFFFFF"/>
            <w:vAlign w:val="center"/>
            <w:hideMark/>
          </w:tcPr>
          <w:p w14:paraId="45CC96E6" w14:textId="5FA3FA2E"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p>
        </w:tc>
        <w:tc>
          <w:tcPr>
            <w:tcW w:w="1316" w:type="dxa"/>
            <w:tcBorders>
              <w:top w:val="nil"/>
              <w:left w:val="nil"/>
              <w:bottom w:val="single" w:sz="4" w:space="0" w:color="auto"/>
              <w:right w:val="single" w:sz="4" w:space="0" w:color="auto"/>
            </w:tcBorders>
            <w:shd w:val="clear" w:color="000000" w:fill="FFFFFF"/>
            <w:vAlign w:val="center"/>
            <w:hideMark/>
          </w:tcPr>
          <w:p w14:paraId="54C5D23D" w14:textId="60F645C8" w:rsidR="007E761F" w:rsidRPr="007E761F" w:rsidRDefault="007E761F" w:rsidP="001C58FB">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28</w:t>
            </w:r>
          </w:p>
        </w:tc>
        <w:tc>
          <w:tcPr>
            <w:tcW w:w="1316" w:type="dxa"/>
            <w:tcBorders>
              <w:top w:val="nil"/>
              <w:left w:val="nil"/>
              <w:bottom w:val="single" w:sz="4" w:space="0" w:color="auto"/>
              <w:right w:val="single" w:sz="4" w:space="0" w:color="auto"/>
            </w:tcBorders>
            <w:shd w:val="clear" w:color="000000" w:fill="FFFFFF"/>
            <w:vAlign w:val="center"/>
            <w:hideMark/>
          </w:tcPr>
          <w:p w14:paraId="441F6273" w14:textId="627CC120"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29</w:t>
            </w:r>
          </w:p>
        </w:tc>
        <w:tc>
          <w:tcPr>
            <w:tcW w:w="1317" w:type="dxa"/>
            <w:tcBorders>
              <w:top w:val="nil"/>
              <w:left w:val="nil"/>
              <w:bottom w:val="single" w:sz="4" w:space="0" w:color="auto"/>
              <w:right w:val="single" w:sz="4" w:space="0" w:color="auto"/>
            </w:tcBorders>
            <w:shd w:val="clear" w:color="000000" w:fill="FFFFFF"/>
            <w:vAlign w:val="center"/>
            <w:hideMark/>
          </w:tcPr>
          <w:p w14:paraId="0310AC06" w14:textId="10FF002C"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32</w:t>
            </w:r>
          </w:p>
        </w:tc>
        <w:tc>
          <w:tcPr>
            <w:tcW w:w="1316" w:type="dxa"/>
            <w:tcBorders>
              <w:top w:val="nil"/>
              <w:left w:val="nil"/>
              <w:bottom w:val="single" w:sz="4" w:space="0" w:color="auto"/>
              <w:right w:val="single" w:sz="4" w:space="0" w:color="auto"/>
            </w:tcBorders>
            <w:shd w:val="clear" w:color="000000" w:fill="FFFFFF"/>
            <w:vAlign w:val="center"/>
            <w:hideMark/>
          </w:tcPr>
          <w:p w14:paraId="31A41847" w14:textId="34FD988F"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30</w:t>
            </w:r>
          </w:p>
        </w:tc>
        <w:tc>
          <w:tcPr>
            <w:tcW w:w="1316" w:type="dxa"/>
            <w:tcBorders>
              <w:top w:val="nil"/>
              <w:left w:val="nil"/>
              <w:bottom w:val="single" w:sz="4" w:space="0" w:color="auto"/>
              <w:right w:val="single" w:sz="4" w:space="0" w:color="auto"/>
            </w:tcBorders>
            <w:shd w:val="clear" w:color="000000" w:fill="FFFFFF"/>
            <w:vAlign w:val="center"/>
            <w:hideMark/>
          </w:tcPr>
          <w:p w14:paraId="7F443B2D" w14:textId="6E1D897F"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37</w:t>
            </w:r>
          </w:p>
        </w:tc>
        <w:tc>
          <w:tcPr>
            <w:tcW w:w="1317" w:type="dxa"/>
            <w:tcBorders>
              <w:top w:val="nil"/>
              <w:left w:val="nil"/>
              <w:bottom w:val="single" w:sz="4" w:space="0" w:color="auto"/>
              <w:right w:val="single" w:sz="4" w:space="0" w:color="auto"/>
            </w:tcBorders>
            <w:shd w:val="clear" w:color="000000" w:fill="FFFFFF"/>
            <w:vAlign w:val="center"/>
            <w:hideMark/>
          </w:tcPr>
          <w:p w14:paraId="779F26F4" w14:textId="60E632A0"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45</w:t>
            </w:r>
          </w:p>
        </w:tc>
        <w:tc>
          <w:tcPr>
            <w:tcW w:w="1316" w:type="dxa"/>
            <w:tcBorders>
              <w:top w:val="nil"/>
              <w:left w:val="nil"/>
              <w:bottom w:val="single" w:sz="4" w:space="0" w:color="auto"/>
              <w:right w:val="single" w:sz="4" w:space="0" w:color="auto"/>
            </w:tcBorders>
            <w:shd w:val="clear" w:color="000000" w:fill="FFFFFF"/>
            <w:vAlign w:val="center"/>
            <w:hideMark/>
          </w:tcPr>
          <w:p w14:paraId="2FA6575A" w14:textId="172CB2EA"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37</w:t>
            </w:r>
          </w:p>
        </w:tc>
        <w:tc>
          <w:tcPr>
            <w:tcW w:w="1316" w:type="dxa"/>
            <w:tcBorders>
              <w:top w:val="nil"/>
              <w:left w:val="nil"/>
              <w:bottom w:val="single" w:sz="4" w:space="0" w:color="auto"/>
              <w:right w:val="single" w:sz="4" w:space="0" w:color="auto"/>
            </w:tcBorders>
            <w:shd w:val="clear" w:color="000000" w:fill="FFFFFF"/>
            <w:vAlign w:val="center"/>
            <w:hideMark/>
          </w:tcPr>
          <w:p w14:paraId="1B71E327" w14:textId="3248DBF8"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95</w:t>
            </w:r>
          </w:p>
        </w:tc>
        <w:tc>
          <w:tcPr>
            <w:tcW w:w="1317" w:type="dxa"/>
            <w:tcBorders>
              <w:top w:val="nil"/>
              <w:left w:val="nil"/>
              <w:bottom w:val="single" w:sz="4" w:space="0" w:color="auto"/>
              <w:right w:val="single" w:sz="4" w:space="0" w:color="auto"/>
            </w:tcBorders>
            <w:shd w:val="clear" w:color="000000" w:fill="FFFFFF"/>
            <w:vAlign w:val="center"/>
            <w:hideMark/>
          </w:tcPr>
          <w:p w14:paraId="7B23FF45" w14:textId="15ED61FC"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108</w:t>
            </w:r>
          </w:p>
        </w:tc>
      </w:tr>
      <w:tr w:rsidR="007E761F" w:rsidRPr="007E761F" w14:paraId="2FF0C283" w14:textId="77777777" w:rsidTr="007E761F">
        <w:trPr>
          <w:trHeight w:val="20"/>
          <w:jc w:val="center"/>
        </w:trPr>
        <w:tc>
          <w:tcPr>
            <w:tcW w:w="2510" w:type="dxa"/>
            <w:tcBorders>
              <w:top w:val="nil"/>
              <w:left w:val="single" w:sz="4" w:space="0" w:color="auto"/>
              <w:bottom w:val="single" w:sz="4" w:space="0" w:color="auto"/>
              <w:right w:val="single" w:sz="4" w:space="0" w:color="auto"/>
            </w:tcBorders>
            <w:shd w:val="clear" w:color="000000" w:fill="FFFFFF"/>
            <w:vAlign w:val="center"/>
            <w:hideMark/>
          </w:tcPr>
          <w:p w14:paraId="6AC8D46B"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Receipts under Motor Vehicles Act</w:t>
            </w:r>
          </w:p>
        </w:tc>
        <w:tc>
          <w:tcPr>
            <w:tcW w:w="1316" w:type="dxa"/>
            <w:tcBorders>
              <w:top w:val="nil"/>
              <w:left w:val="nil"/>
              <w:bottom w:val="single" w:sz="4" w:space="0" w:color="auto"/>
              <w:right w:val="single" w:sz="4" w:space="0" w:color="auto"/>
            </w:tcBorders>
            <w:shd w:val="clear" w:color="000000" w:fill="FFFFFF"/>
            <w:vAlign w:val="center"/>
            <w:hideMark/>
          </w:tcPr>
          <w:p w14:paraId="3589F792"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7</w:t>
            </w:r>
          </w:p>
        </w:tc>
        <w:tc>
          <w:tcPr>
            <w:tcW w:w="1316" w:type="dxa"/>
            <w:tcBorders>
              <w:top w:val="nil"/>
              <w:left w:val="nil"/>
              <w:bottom w:val="single" w:sz="4" w:space="0" w:color="auto"/>
              <w:right w:val="single" w:sz="4" w:space="0" w:color="auto"/>
            </w:tcBorders>
            <w:shd w:val="clear" w:color="000000" w:fill="FFFFFF"/>
            <w:vAlign w:val="center"/>
            <w:hideMark/>
          </w:tcPr>
          <w:p w14:paraId="08EB68B2"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7</w:t>
            </w:r>
          </w:p>
        </w:tc>
        <w:tc>
          <w:tcPr>
            <w:tcW w:w="1317" w:type="dxa"/>
            <w:tcBorders>
              <w:top w:val="nil"/>
              <w:left w:val="nil"/>
              <w:bottom w:val="single" w:sz="4" w:space="0" w:color="auto"/>
              <w:right w:val="single" w:sz="4" w:space="0" w:color="auto"/>
            </w:tcBorders>
            <w:shd w:val="clear" w:color="000000" w:fill="FFFFFF"/>
            <w:vAlign w:val="center"/>
            <w:hideMark/>
          </w:tcPr>
          <w:p w14:paraId="4A1C212C"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7</w:t>
            </w:r>
          </w:p>
        </w:tc>
        <w:tc>
          <w:tcPr>
            <w:tcW w:w="1316" w:type="dxa"/>
            <w:tcBorders>
              <w:top w:val="nil"/>
              <w:left w:val="nil"/>
              <w:bottom w:val="single" w:sz="4" w:space="0" w:color="auto"/>
              <w:right w:val="single" w:sz="4" w:space="0" w:color="auto"/>
            </w:tcBorders>
            <w:shd w:val="clear" w:color="000000" w:fill="FFFFFF"/>
            <w:vAlign w:val="center"/>
            <w:hideMark/>
          </w:tcPr>
          <w:p w14:paraId="34316AC7"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29</w:t>
            </w:r>
          </w:p>
        </w:tc>
        <w:tc>
          <w:tcPr>
            <w:tcW w:w="1316" w:type="dxa"/>
            <w:tcBorders>
              <w:top w:val="nil"/>
              <w:left w:val="nil"/>
              <w:bottom w:val="single" w:sz="4" w:space="0" w:color="auto"/>
              <w:right w:val="single" w:sz="4" w:space="0" w:color="auto"/>
            </w:tcBorders>
            <w:shd w:val="clear" w:color="000000" w:fill="FFFFFF"/>
            <w:vAlign w:val="center"/>
            <w:hideMark/>
          </w:tcPr>
          <w:p w14:paraId="66DA2D4E"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28</w:t>
            </w:r>
          </w:p>
        </w:tc>
        <w:tc>
          <w:tcPr>
            <w:tcW w:w="1317" w:type="dxa"/>
            <w:tcBorders>
              <w:top w:val="nil"/>
              <w:left w:val="nil"/>
              <w:bottom w:val="single" w:sz="4" w:space="0" w:color="auto"/>
              <w:right w:val="single" w:sz="4" w:space="0" w:color="auto"/>
            </w:tcBorders>
            <w:shd w:val="clear" w:color="000000" w:fill="FFFFFF"/>
            <w:vAlign w:val="center"/>
            <w:hideMark/>
          </w:tcPr>
          <w:p w14:paraId="5B090172"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28</w:t>
            </w:r>
          </w:p>
        </w:tc>
        <w:tc>
          <w:tcPr>
            <w:tcW w:w="1316" w:type="dxa"/>
            <w:tcBorders>
              <w:top w:val="nil"/>
              <w:left w:val="nil"/>
              <w:bottom w:val="single" w:sz="4" w:space="0" w:color="auto"/>
              <w:right w:val="single" w:sz="4" w:space="0" w:color="auto"/>
            </w:tcBorders>
            <w:shd w:val="clear" w:color="000000" w:fill="FFFFFF"/>
            <w:vAlign w:val="center"/>
            <w:hideMark/>
          </w:tcPr>
          <w:p w14:paraId="038952C7"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31</w:t>
            </w:r>
          </w:p>
        </w:tc>
        <w:tc>
          <w:tcPr>
            <w:tcW w:w="1316" w:type="dxa"/>
            <w:tcBorders>
              <w:top w:val="nil"/>
              <w:left w:val="nil"/>
              <w:bottom w:val="single" w:sz="4" w:space="0" w:color="auto"/>
              <w:right w:val="single" w:sz="4" w:space="0" w:color="auto"/>
            </w:tcBorders>
            <w:shd w:val="clear" w:color="000000" w:fill="FFFFFF"/>
            <w:vAlign w:val="center"/>
            <w:hideMark/>
          </w:tcPr>
          <w:p w14:paraId="46394009"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39</w:t>
            </w:r>
          </w:p>
        </w:tc>
        <w:tc>
          <w:tcPr>
            <w:tcW w:w="1317" w:type="dxa"/>
            <w:tcBorders>
              <w:top w:val="nil"/>
              <w:left w:val="nil"/>
              <w:bottom w:val="single" w:sz="4" w:space="0" w:color="auto"/>
              <w:right w:val="single" w:sz="4" w:space="0" w:color="auto"/>
            </w:tcBorders>
            <w:shd w:val="clear" w:color="000000" w:fill="FFFFFF"/>
            <w:vAlign w:val="center"/>
            <w:hideMark/>
          </w:tcPr>
          <w:p w14:paraId="1D5A6566"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42</w:t>
            </w:r>
          </w:p>
        </w:tc>
      </w:tr>
      <w:tr w:rsidR="007E761F" w:rsidRPr="007E761F" w14:paraId="2A3370D8" w14:textId="77777777" w:rsidTr="007E761F">
        <w:trPr>
          <w:trHeight w:val="20"/>
          <w:jc w:val="center"/>
        </w:trPr>
        <w:tc>
          <w:tcPr>
            <w:tcW w:w="2510" w:type="dxa"/>
            <w:tcBorders>
              <w:top w:val="nil"/>
              <w:left w:val="single" w:sz="4" w:space="0" w:color="auto"/>
              <w:bottom w:val="single" w:sz="4" w:space="0" w:color="auto"/>
              <w:right w:val="single" w:sz="4" w:space="0" w:color="auto"/>
            </w:tcBorders>
            <w:shd w:val="clear" w:color="000000" w:fill="FFFFFF"/>
            <w:vAlign w:val="center"/>
            <w:hideMark/>
          </w:tcPr>
          <w:p w14:paraId="4262E7DE" w14:textId="30C197D2"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p>
        </w:tc>
        <w:tc>
          <w:tcPr>
            <w:tcW w:w="1316" w:type="dxa"/>
            <w:tcBorders>
              <w:top w:val="nil"/>
              <w:left w:val="nil"/>
              <w:bottom w:val="single" w:sz="4" w:space="0" w:color="auto"/>
              <w:right w:val="single" w:sz="4" w:space="0" w:color="auto"/>
            </w:tcBorders>
            <w:shd w:val="clear" w:color="000000" w:fill="FFFFFF"/>
            <w:vAlign w:val="center"/>
            <w:hideMark/>
          </w:tcPr>
          <w:p w14:paraId="6766060A" w14:textId="62DFFDDE"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121</w:t>
            </w:r>
          </w:p>
        </w:tc>
        <w:tc>
          <w:tcPr>
            <w:tcW w:w="1316" w:type="dxa"/>
            <w:tcBorders>
              <w:top w:val="nil"/>
              <w:left w:val="nil"/>
              <w:bottom w:val="single" w:sz="4" w:space="0" w:color="auto"/>
              <w:right w:val="single" w:sz="4" w:space="0" w:color="auto"/>
            </w:tcBorders>
            <w:shd w:val="clear" w:color="000000" w:fill="FFFFFF"/>
            <w:vAlign w:val="center"/>
            <w:hideMark/>
          </w:tcPr>
          <w:p w14:paraId="50029808" w14:textId="6709CBE7"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128</w:t>
            </w:r>
          </w:p>
        </w:tc>
        <w:tc>
          <w:tcPr>
            <w:tcW w:w="1317" w:type="dxa"/>
            <w:tcBorders>
              <w:top w:val="nil"/>
              <w:left w:val="nil"/>
              <w:bottom w:val="single" w:sz="4" w:space="0" w:color="auto"/>
              <w:right w:val="single" w:sz="4" w:space="0" w:color="auto"/>
            </w:tcBorders>
            <w:shd w:val="clear" w:color="000000" w:fill="FFFFFF"/>
            <w:vAlign w:val="center"/>
            <w:hideMark/>
          </w:tcPr>
          <w:p w14:paraId="0E8F420D" w14:textId="21B6550E"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145</w:t>
            </w:r>
          </w:p>
        </w:tc>
        <w:tc>
          <w:tcPr>
            <w:tcW w:w="1316" w:type="dxa"/>
            <w:tcBorders>
              <w:top w:val="nil"/>
              <w:left w:val="nil"/>
              <w:bottom w:val="single" w:sz="4" w:space="0" w:color="auto"/>
              <w:right w:val="single" w:sz="4" w:space="0" w:color="auto"/>
            </w:tcBorders>
            <w:shd w:val="clear" w:color="000000" w:fill="FFFFFF"/>
            <w:vAlign w:val="center"/>
            <w:hideMark/>
          </w:tcPr>
          <w:p w14:paraId="28E5A9B7" w14:textId="7FD27392"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44</w:t>
            </w:r>
          </w:p>
        </w:tc>
        <w:tc>
          <w:tcPr>
            <w:tcW w:w="1316" w:type="dxa"/>
            <w:tcBorders>
              <w:top w:val="nil"/>
              <w:left w:val="nil"/>
              <w:bottom w:val="single" w:sz="4" w:space="0" w:color="auto"/>
              <w:right w:val="single" w:sz="4" w:space="0" w:color="auto"/>
            </w:tcBorders>
            <w:shd w:val="clear" w:color="000000" w:fill="FFFFFF"/>
            <w:vAlign w:val="center"/>
            <w:hideMark/>
          </w:tcPr>
          <w:p w14:paraId="0DACA5C7" w14:textId="7E30B13D"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46</w:t>
            </w:r>
          </w:p>
        </w:tc>
        <w:tc>
          <w:tcPr>
            <w:tcW w:w="1317" w:type="dxa"/>
            <w:tcBorders>
              <w:top w:val="nil"/>
              <w:left w:val="nil"/>
              <w:bottom w:val="single" w:sz="4" w:space="0" w:color="auto"/>
              <w:right w:val="single" w:sz="4" w:space="0" w:color="auto"/>
            </w:tcBorders>
            <w:shd w:val="clear" w:color="000000" w:fill="FFFFFF"/>
            <w:vAlign w:val="center"/>
            <w:hideMark/>
          </w:tcPr>
          <w:p w14:paraId="33608408" w14:textId="7A310800"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47</w:t>
            </w:r>
          </w:p>
        </w:tc>
        <w:tc>
          <w:tcPr>
            <w:tcW w:w="1316" w:type="dxa"/>
            <w:tcBorders>
              <w:top w:val="nil"/>
              <w:left w:val="nil"/>
              <w:bottom w:val="single" w:sz="4" w:space="0" w:color="auto"/>
              <w:right w:val="single" w:sz="4" w:space="0" w:color="auto"/>
            </w:tcBorders>
            <w:shd w:val="clear" w:color="000000" w:fill="FFFFFF"/>
            <w:vAlign w:val="center"/>
            <w:hideMark/>
          </w:tcPr>
          <w:p w14:paraId="18B5FE5A" w14:textId="28D886D6"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197</w:t>
            </w:r>
          </w:p>
        </w:tc>
        <w:tc>
          <w:tcPr>
            <w:tcW w:w="1316" w:type="dxa"/>
            <w:tcBorders>
              <w:top w:val="nil"/>
              <w:left w:val="nil"/>
              <w:bottom w:val="single" w:sz="4" w:space="0" w:color="auto"/>
              <w:right w:val="single" w:sz="4" w:space="0" w:color="auto"/>
            </w:tcBorders>
            <w:shd w:val="clear" w:color="000000" w:fill="FFFFFF"/>
            <w:vAlign w:val="center"/>
            <w:hideMark/>
          </w:tcPr>
          <w:p w14:paraId="18EB7533" w14:textId="302B824D"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301</w:t>
            </w:r>
          </w:p>
        </w:tc>
        <w:tc>
          <w:tcPr>
            <w:tcW w:w="1317" w:type="dxa"/>
            <w:tcBorders>
              <w:top w:val="nil"/>
              <w:left w:val="nil"/>
              <w:bottom w:val="single" w:sz="4" w:space="0" w:color="auto"/>
              <w:right w:val="single" w:sz="4" w:space="0" w:color="auto"/>
            </w:tcBorders>
            <w:shd w:val="clear" w:color="000000" w:fill="FFFFFF"/>
            <w:vAlign w:val="center"/>
            <w:hideMark/>
          </w:tcPr>
          <w:p w14:paraId="1BFBE957" w14:textId="4ED4CC99"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349</w:t>
            </w:r>
          </w:p>
        </w:tc>
      </w:tr>
      <w:tr w:rsidR="007E761F" w:rsidRPr="007E761F" w14:paraId="3D756317" w14:textId="77777777" w:rsidTr="007E761F">
        <w:trPr>
          <w:trHeight w:val="20"/>
          <w:jc w:val="center"/>
        </w:trPr>
        <w:tc>
          <w:tcPr>
            <w:tcW w:w="2510" w:type="dxa"/>
            <w:tcBorders>
              <w:top w:val="nil"/>
              <w:left w:val="single" w:sz="4" w:space="0" w:color="auto"/>
              <w:bottom w:val="single" w:sz="4" w:space="0" w:color="auto"/>
              <w:right w:val="single" w:sz="4" w:space="0" w:color="auto"/>
            </w:tcBorders>
            <w:shd w:val="clear" w:color="000000" w:fill="FFFFFF"/>
            <w:vAlign w:val="center"/>
            <w:hideMark/>
          </w:tcPr>
          <w:p w14:paraId="127CD7D4"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Electricity Duty</w:t>
            </w:r>
          </w:p>
        </w:tc>
        <w:tc>
          <w:tcPr>
            <w:tcW w:w="1316" w:type="dxa"/>
            <w:tcBorders>
              <w:top w:val="nil"/>
              <w:left w:val="nil"/>
              <w:bottom w:val="single" w:sz="4" w:space="0" w:color="auto"/>
              <w:right w:val="single" w:sz="4" w:space="0" w:color="auto"/>
            </w:tcBorders>
            <w:shd w:val="clear" w:color="000000" w:fill="FFFFFF"/>
            <w:vAlign w:val="center"/>
            <w:hideMark/>
          </w:tcPr>
          <w:p w14:paraId="5A708CD2"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62</w:t>
            </w:r>
          </w:p>
        </w:tc>
        <w:tc>
          <w:tcPr>
            <w:tcW w:w="1316" w:type="dxa"/>
            <w:tcBorders>
              <w:top w:val="nil"/>
              <w:left w:val="nil"/>
              <w:bottom w:val="single" w:sz="4" w:space="0" w:color="auto"/>
              <w:right w:val="single" w:sz="4" w:space="0" w:color="auto"/>
            </w:tcBorders>
            <w:shd w:val="clear" w:color="000000" w:fill="FFFFFF"/>
            <w:vAlign w:val="center"/>
            <w:hideMark/>
          </w:tcPr>
          <w:p w14:paraId="2AD745F5"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108</w:t>
            </w:r>
          </w:p>
        </w:tc>
        <w:tc>
          <w:tcPr>
            <w:tcW w:w="1317" w:type="dxa"/>
            <w:tcBorders>
              <w:top w:val="nil"/>
              <w:left w:val="nil"/>
              <w:bottom w:val="single" w:sz="4" w:space="0" w:color="auto"/>
              <w:right w:val="single" w:sz="4" w:space="0" w:color="auto"/>
            </w:tcBorders>
            <w:shd w:val="clear" w:color="000000" w:fill="FFFFFF"/>
            <w:vAlign w:val="center"/>
            <w:hideMark/>
          </w:tcPr>
          <w:p w14:paraId="1FA39089"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131</w:t>
            </w:r>
          </w:p>
        </w:tc>
        <w:tc>
          <w:tcPr>
            <w:tcW w:w="1316" w:type="dxa"/>
            <w:tcBorders>
              <w:top w:val="nil"/>
              <w:left w:val="nil"/>
              <w:bottom w:val="single" w:sz="4" w:space="0" w:color="auto"/>
              <w:right w:val="single" w:sz="4" w:space="0" w:color="auto"/>
            </w:tcBorders>
            <w:shd w:val="clear" w:color="000000" w:fill="FFFFFF"/>
            <w:vAlign w:val="center"/>
            <w:hideMark/>
          </w:tcPr>
          <w:p w14:paraId="60ECAB03"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64</w:t>
            </w:r>
          </w:p>
        </w:tc>
        <w:tc>
          <w:tcPr>
            <w:tcW w:w="1316" w:type="dxa"/>
            <w:tcBorders>
              <w:top w:val="nil"/>
              <w:left w:val="nil"/>
              <w:bottom w:val="single" w:sz="4" w:space="0" w:color="auto"/>
              <w:right w:val="single" w:sz="4" w:space="0" w:color="auto"/>
            </w:tcBorders>
            <w:shd w:val="clear" w:color="000000" w:fill="FFFFFF"/>
            <w:vAlign w:val="center"/>
            <w:hideMark/>
          </w:tcPr>
          <w:p w14:paraId="72698AB9"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78</w:t>
            </w:r>
          </w:p>
        </w:tc>
        <w:tc>
          <w:tcPr>
            <w:tcW w:w="1317" w:type="dxa"/>
            <w:tcBorders>
              <w:top w:val="nil"/>
              <w:left w:val="nil"/>
              <w:bottom w:val="single" w:sz="4" w:space="0" w:color="auto"/>
              <w:right w:val="single" w:sz="4" w:space="0" w:color="auto"/>
            </w:tcBorders>
            <w:shd w:val="clear" w:color="000000" w:fill="FFFFFF"/>
            <w:vAlign w:val="center"/>
            <w:hideMark/>
          </w:tcPr>
          <w:p w14:paraId="55FBC5FB"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82</w:t>
            </w:r>
          </w:p>
        </w:tc>
        <w:tc>
          <w:tcPr>
            <w:tcW w:w="1316" w:type="dxa"/>
            <w:tcBorders>
              <w:top w:val="nil"/>
              <w:left w:val="nil"/>
              <w:bottom w:val="single" w:sz="4" w:space="0" w:color="auto"/>
              <w:right w:val="single" w:sz="4" w:space="0" w:color="auto"/>
            </w:tcBorders>
            <w:shd w:val="clear" w:color="000000" w:fill="FFFFFF"/>
            <w:vAlign w:val="center"/>
            <w:hideMark/>
          </w:tcPr>
          <w:p w14:paraId="36E701E1"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2</w:t>
            </w:r>
          </w:p>
        </w:tc>
        <w:tc>
          <w:tcPr>
            <w:tcW w:w="1316" w:type="dxa"/>
            <w:tcBorders>
              <w:top w:val="nil"/>
              <w:left w:val="nil"/>
              <w:bottom w:val="single" w:sz="4" w:space="0" w:color="auto"/>
              <w:right w:val="single" w:sz="4" w:space="0" w:color="auto"/>
            </w:tcBorders>
            <w:shd w:val="clear" w:color="000000" w:fill="FFFFFF"/>
            <w:vAlign w:val="center"/>
            <w:hideMark/>
          </w:tcPr>
          <w:p w14:paraId="573FEA75"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2</w:t>
            </w:r>
          </w:p>
        </w:tc>
        <w:tc>
          <w:tcPr>
            <w:tcW w:w="1317" w:type="dxa"/>
            <w:tcBorders>
              <w:top w:val="nil"/>
              <w:left w:val="nil"/>
              <w:bottom w:val="single" w:sz="4" w:space="0" w:color="auto"/>
              <w:right w:val="single" w:sz="4" w:space="0" w:color="auto"/>
            </w:tcBorders>
            <w:shd w:val="clear" w:color="000000" w:fill="FFFFFF"/>
            <w:vAlign w:val="center"/>
            <w:hideMark/>
          </w:tcPr>
          <w:p w14:paraId="4A125C8D"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2</w:t>
            </w:r>
          </w:p>
        </w:tc>
      </w:tr>
      <w:tr w:rsidR="007E761F" w:rsidRPr="007E761F" w14:paraId="10E8D2DA" w14:textId="77777777" w:rsidTr="007E761F">
        <w:trPr>
          <w:trHeight w:val="20"/>
          <w:jc w:val="center"/>
        </w:trPr>
        <w:tc>
          <w:tcPr>
            <w:tcW w:w="2510" w:type="dxa"/>
            <w:tcBorders>
              <w:top w:val="nil"/>
              <w:left w:val="single" w:sz="4" w:space="0" w:color="auto"/>
              <w:bottom w:val="single" w:sz="4" w:space="0" w:color="auto"/>
              <w:right w:val="single" w:sz="4" w:space="0" w:color="auto"/>
            </w:tcBorders>
            <w:shd w:val="clear" w:color="000000" w:fill="FFFFFF"/>
            <w:vAlign w:val="center"/>
            <w:hideMark/>
          </w:tcPr>
          <w:p w14:paraId="5B674956" w14:textId="0DEA165A"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p>
        </w:tc>
        <w:tc>
          <w:tcPr>
            <w:tcW w:w="1316" w:type="dxa"/>
            <w:tcBorders>
              <w:top w:val="nil"/>
              <w:left w:val="nil"/>
              <w:bottom w:val="single" w:sz="4" w:space="0" w:color="auto"/>
              <w:right w:val="single" w:sz="4" w:space="0" w:color="auto"/>
            </w:tcBorders>
            <w:shd w:val="clear" w:color="000000" w:fill="FFFFFF"/>
            <w:vAlign w:val="center"/>
            <w:hideMark/>
          </w:tcPr>
          <w:p w14:paraId="24755C3C" w14:textId="461B2349"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85</w:t>
            </w:r>
          </w:p>
        </w:tc>
        <w:tc>
          <w:tcPr>
            <w:tcW w:w="1316" w:type="dxa"/>
            <w:tcBorders>
              <w:top w:val="nil"/>
              <w:left w:val="nil"/>
              <w:bottom w:val="single" w:sz="4" w:space="0" w:color="auto"/>
              <w:right w:val="single" w:sz="4" w:space="0" w:color="auto"/>
            </w:tcBorders>
            <w:shd w:val="clear" w:color="000000" w:fill="FFFFFF"/>
            <w:vAlign w:val="center"/>
            <w:hideMark/>
          </w:tcPr>
          <w:p w14:paraId="4560242A" w14:textId="7DE0509B"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151</w:t>
            </w:r>
          </w:p>
        </w:tc>
        <w:tc>
          <w:tcPr>
            <w:tcW w:w="1317" w:type="dxa"/>
            <w:tcBorders>
              <w:top w:val="nil"/>
              <w:left w:val="nil"/>
              <w:bottom w:val="single" w:sz="4" w:space="0" w:color="auto"/>
              <w:right w:val="single" w:sz="4" w:space="0" w:color="auto"/>
            </w:tcBorders>
            <w:shd w:val="clear" w:color="000000" w:fill="FFFFFF"/>
            <w:vAlign w:val="center"/>
            <w:hideMark/>
          </w:tcPr>
          <w:p w14:paraId="14584C35" w14:textId="6AE9AEFC"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187</w:t>
            </w:r>
          </w:p>
        </w:tc>
        <w:tc>
          <w:tcPr>
            <w:tcW w:w="1316" w:type="dxa"/>
            <w:tcBorders>
              <w:top w:val="nil"/>
              <w:left w:val="nil"/>
              <w:bottom w:val="single" w:sz="4" w:space="0" w:color="auto"/>
              <w:right w:val="single" w:sz="4" w:space="0" w:color="auto"/>
            </w:tcBorders>
            <w:shd w:val="clear" w:color="000000" w:fill="FFFFFF"/>
            <w:vAlign w:val="center"/>
            <w:hideMark/>
          </w:tcPr>
          <w:p w14:paraId="1A7044C7" w14:textId="4BB451C6"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74</w:t>
            </w:r>
          </w:p>
        </w:tc>
        <w:tc>
          <w:tcPr>
            <w:tcW w:w="1316" w:type="dxa"/>
            <w:tcBorders>
              <w:top w:val="nil"/>
              <w:left w:val="nil"/>
              <w:bottom w:val="single" w:sz="4" w:space="0" w:color="auto"/>
              <w:right w:val="single" w:sz="4" w:space="0" w:color="auto"/>
            </w:tcBorders>
            <w:shd w:val="clear" w:color="000000" w:fill="FFFFFF"/>
            <w:vAlign w:val="center"/>
            <w:hideMark/>
          </w:tcPr>
          <w:p w14:paraId="600B509F" w14:textId="2D0C64C7"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82</w:t>
            </w:r>
          </w:p>
        </w:tc>
        <w:tc>
          <w:tcPr>
            <w:tcW w:w="1317" w:type="dxa"/>
            <w:tcBorders>
              <w:top w:val="nil"/>
              <w:left w:val="nil"/>
              <w:bottom w:val="single" w:sz="4" w:space="0" w:color="auto"/>
              <w:right w:val="single" w:sz="4" w:space="0" w:color="auto"/>
            </w:tcBorders>
            <w:shd w:val="clear" w:color="000000" w:fill="FFFFFF"/>
            <w:vAlign w:val="center"/>
            <w:hideMark/>
          </w:tcPr>
          <w:p w14:paraId="2D20C4CC" w14:textId="460CED13"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86</w:t>
            </w:r>
          </w:p>
        </w:tc>
        <w:tc>
          <w:tcPr>
            <w:tcW w:w="1316" w:type="dxa"/>
            <w:tcBorders>
              <w:top w:val="nil"/>
              <w:left w:val="nil"/>
              <w:bottom w:val="single" w:sz="4" w:space="0" w:color="auto"/>
              <w:right w:val="single" w:sz="4" w:space="0" w:color="auto"/>
            </w:tcBorders>
            <w:shd w:val="clear" w:color="000000" w:fill="FFFFFF"/>
            <w:vAlign w:val="center"/>
            <w:hideMark/>
          </w:tcPr>
          <w:p w14:paraId="5D2A8233" w14:textId="15B992B1"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15</w:t>
            </w:r>
          </w:p>
        </w:tc>
        <w:tc>
          <w:tcPr>
            <w:tcW w:w="1316" w:type="dxa"/>
            <w:tcBorders>
              <w:top w:val="nil"/>
              <w:left w:val="nil"/>
              <w:bottom w:val="single" w:sz="4" w:space="0" w:color="auto"/>
              <w:right w:val="single" w:sz="4" w:space="0" w:color="auto"/>
            </w:tcBorders>
            <w:shd w:val="clear" w:color="000000" w:fill="FFFFFF"/>
            <w:vAlign w:val="center"/>
            <w:hideMark/>
          </w:tcPr>
          <w:p w14:paraId="42D1D24B" w14:textId="10328936"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17</w:t>
            </w:r>
          </w:p>
        </w:tc>
        <w:tc>
          <w:tcPr>
            <w:tcW w:w="1317" w:type="dxa"/>
            <w:tcBorders>
              <w:top w:val="nil"/>
              <w:left w:val="nil"/>
              <w:bottom w:val="single" w:sz="4" w:space="0" w:color="auto"/>
              <w:right w:val="single" w:sz="4" w:space="0" w:color="auto"/>
            </w:tcBorders>
            <w:shd w:val="clear" w:color="000000" w:fill="FFFFFF"/>
            <w:vAlign w:val="center"/>
            <w:hideMark/>
          </w:tcPr>
          <w:p w14:paraId="067D5314" w14:textId="54B9F16F"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18</w:t>
            </w:r>
          </w:p>
        </w:tc>
      </w:tr>
      <w:tr w:rsidR="007E761F" w:rsidRPr="007E761F" w14:paraId="54749662" w14:textId="77777777" w:rsidTr="007E761F">
        <w:trPr>
          <w:trHeight w:val="20"/>
          <w:jc w:val="center"/>
        </w:trPr>
        <w:tc>
          <w:tcPr>
            <w:tcW w:w="2510" w:type="dxa"/>
            <w:tcBorders>
              <w:top w:val="nil"/>
              <w:left w:val="single" w:sz="4" w:space="0" w:color="auto"/>
              <w:bottom w:val="single" w:sz="4" w:space="0" w:color="auto"/>
              <w:right w:val="single" w:sz="4" w:space="0" w:color="auto"/>
            </w:tcBorders>
            <w:shd w:val="clear" w:color="000000" w:fill="FFFFFF"/>
            <w:vAlign w:val="center"/>
            <w:hideMark/>
          </w:tcPr>
          <w:p w14:paraId="4EEDAB98"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Entertainment Tax*</w:t>
            </w:r>
          </w:p>
        </w:tc>
        <w:tc>
          <w:tcPr>
            <w:tcW w:w="1316" w:type="dxa"/>
            <w:tcBorders>
              <w:top w:val="nil"/>
              <w:left w:val="nil"/>
              <w:bottom w:val="single" w:sz="4" w:space="0" w:color="auto"/>
              <w:right w:val="single" w:sz="4" w:space="0" w:color="auto"/>
            </w:tcBorders>
            <w:shd w:val="clear" w:color="000000" w:fill="FFFFFF"/>
            <w:vAlign w:val="center"/>
            <w:hideMark/>
          </w:tcPr>
          <w:p w14:paraId="0EDCBB1E"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76</w:t>
            </w:r>
          </w:p>
        </w:tc>
        <w:tc>
          <w:tcPr>
            <w:tcW w:w="1316" w:type="dxa"/>
            <w:tcBorders>
              <w:top w:val="nil"/>
              <w:left w:val="nil"/>
              <w:bottom w:val="single" w:sz="4" w:space="0" w:color="auto"/>
              <w:right w:val="single" w:sz="4" w:space="0" w:color="auto"/>
            </w:tcBorders>
            <w:shd w:val="clear" w:color="000000" w:fill="FFFFFF"/>
            <w:vAlign w:val="center"/>
            <w:hideMark/>
          </w:tcPr>
          <w:p w14:paraId="450319A8"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87</w:t>
            </w:r>
          </w:p>
        </w:tc>
        <w:tc>
          <w:tcPr>
            <w:tcW w:w="1317" w:type="dxa"/>
            <w:tcBorders>
              <w:top w:val="nil"/>
              <w:left w:val="nil"/>
              <w:bottom w:val="single" w:sz="4" w:space="0" w:color="auto"/>
              <w:right w:val="single" w:sz="4" w:space="0" w:color="auto"/>
            </w:tcBorders>
            <w:shd w:val="clear" w:color="000000" w:fill="FFFFFF"/>
            <w:vAlign w:val="center"/>
            <w:hideMark/>
          </w:tcPr>
          <w:p w14:paraId="22FC1EDF"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86</w:t>
            </w:r>
          </w:p>
        </w:tc>
        <w:tc>
          <w:tcPr>
            <w:tcW w:w="1316" w:type="dxa"/>
            <w:tcBorders>
              <w:top w:val="nil"/>
              <w:left w:val="nil"/>
              <w:bottom w:val="single" w:sz="4" w:space="0" w:color="auto"/>
              <w:right w:val="single" w:sz="4" w:space="0" w:color="auto"/>
            </w:tcBorders>
            <w:shd w:val="clear" w:color="000000" w:fill="FFFFFF"/>
            <w:vAlign w:val="center"/>
            <w:hideMark/>
          </w:tcPr>
          <w:p w14:paraId="3D390683"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48</w:t>
            </w:r>
          </w:p>
        </w:tc>
        <w:tc>
          <w:tcPr>
            <w:tcW w:w="1316" w:type="dxa"/>
            <w:tcBorders>
              <w:top w:val="nil"/>
              <w:left w:val="nil"/>
              <w:bottom w:val="single" w:sz="4" w:space="0" w:color="auto"/>
              <w:right w:val="single" w:sz="4" w:space="0" w:color="auto"/>
            </w:tcBorders>
            <w:shd w:val="clear" w:color="000000" w:fill="FFFFFF"/>
            <w:vAlign w:val="center"/>
            <w:hideMark/>
          </w:tcPr>
          <w:p w14:paraId="4FBB9D97"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69</w:t>
            </w:r>
          </w:p>
        </w:tc>
        <w:tc>
          <w:tcPr>
            <w:tcW w:w="1317" w:type="dxa"/>
            <w:tcBorders>
              <w:top w:val="nil"/>
              <w:left w:val="nil"/>
              <w:bottom w:val="single" w:sz="4" w:space="0" w:color="auto"/>
              <w:right w:val="single" w:sz="4" w:space="0" w:color="auto"/>
            </w:tcBorders>
            <w:shd w:val="clear" w:color="000000" w:fill="FFFFFF"/>
            <w:vAlign w:val="center"/>
            <w:hideMark/>
          </w:tcPr>
          <w:p w14:paraId="6B998710"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72</w:t>
            </w:r>
          </w:p>
        </w:tc>
        <w:tc>
          <w:tcPr>
            <w:tcW w:w="1316" w:type="dxa"/>
            <w:tcBorders>
              <w:top w:val="nil"/>
              <w:left w:val="nil"/>
              <w:bottom w:val="single" w:sz="4" w:space="0" w:color="auto"/>
              <w:right w:val="single" w:sz="4" w:space="0" w:color="auto"/>
            </w:tcBorders>
            <w:shd w:val="clear" w:color="000000" w:fill="FFFFFF"/>
            <w:vAlign w:val="center"/>
            <w:hideMark/>
          </w:tcPr>
          <w:p w14:paraId="7BDF6F83"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44</w:t>
            </w:r>
          </w:p>
        </w:tc>
        <w:tc>
          <w:tcPr>
            <w:tcW w:w="1316" w:type="dxa"/>
            <w:tcBorders>
              <w:top w:val="nil"/>
              <w:left w:val="nil"/>
              <w:bottom w:val="single" w:sz="4" w:space="0" w:color="auto"/>
              <w:right w:val="single" w:sz="4" w:space="0" w:color="auto"/>
            </w:tcBorders>
            <w:shd w:val="clear" w:color="000000" w:fill="FFFFFF"/>
            <w:vAlign w:val="center"/>
            <w:hideMark/>
          </w:tcPr>
          <w:p w14:paraId="45C5FAC9"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44</w:t>
            </w:r>
          </w:p>
        </w:tc>
        <w:tc>
          <w:tcPr>
            <w:tcW w:w="1317" w:type="dxa"/>
            <w:tcBorders>
              <w:top w:val="nil"/>
              <w:left w:val="nil"/>
              <w:bottom w:val="single" w:sz="4" w:space="0" w:color="auto"/>
              <w:right w:val="single" w:sz="4" w:space="0" w:color="auto"/>
            </w:tcBorders>
            <w:shd w:val="clear" w:color="000000" w:fill="FFFFFF"/>
            <w:vAlign w:val="center"/>
            <w:hideMark/>
          </w:tcPr>
          <w:p w14:paraId="5732D725"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43</w:t>
            </w:r>
          </w:p>
        </w:tc>
      </w:tr>
      <w:tr w:rsidR="007E761F" w:rsidRPr="007E761F" w14:paraId="6BB8D899" w14:textId="77777777" w:rsidTr="007E761F">
        <w:trPr>
          <w:trHeight w:val="20"/>
          <w:jc w:val="center"/>
        </w:trPr>
        <w:tc>
          <w:tcPr>
            <w:tcW w:w="2510" w:type="dxa"/>
            <w:tcBorders>
              <w:top w:val="nil"/>
              <w:left w:val="single" w:sz="4" w:space="0" w:color="auto"/>
              <w:bottom w:val="single" w:sz="4" w:space="0" w:color="auto"/>
              <w:right w:val="single" w:sz="4" w:space="0" w:color="auto"/>
            </w:tcBorders>
            <w:shd w:val="clear" w:color="000000" w:fill="FFFFFF"/>
            <w:vAlign w:val="center"/>
            <w:hideMark/>
          </w:tcPr>
          <w:p w14:paraId="17BA15AE" w14:textId="686843F9"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p>
        </w:tc>
        <w:tc>
          <w:tcPr>
            <w:tcW w:w="1316" w:type="dxa"/>
            <w:tcBorders>
              <w:top w:val="nil"/>
              <w:left w:val="nil"/>
              <w:bottom w:val="single" w:sz="4" w:space="0" w:color="auto"/>
              <w:right w:val="single" w:sz="4" w:space="0" w:color="auto"/>
            </w:tcBorders>
            <w:shd w:val="clear" w:color="000000" w:fill="FFFFFF"/>
            <w:vAlign w:val="center"/>
            <w:hideMark/>
          </w:tcPr>
          <w:p w14:paraId="58DE7326" w14:textId="1A25881B"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134</w:t>
            </w:r>
          </w:p>
        </w:tc>
        <w:tc>
          <w:tcPr>
            <w:tcW w:w="1316" w:type="dxa"/>
            <w:tcBorders>
              <w:top w:val="nil"/>
              <w:left w:val="nil"/>
              <w:bottom w:val="single" w:sz="4" w:space="0" w:color="auto"/>
              <w:right w:val="single" w:sz="4" w:space="0" w:color="auto"/>
            </w:tcBorders>
            <w:shd w:val="clear" w:color="000000" w:fill="FFFFFF"/>
            <w:vAlign w:val="center"/>
            <w:hideMark/>
          </w:tcPr>
          <w:p w14:paraId="68F468D2" w14:textId="21813588"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163</w:t>
            </w:r>
          </w:p>
        </w:tc>
        <w:tc>
          <w:tcPr>
            <w:tcW w:w="1317" w:type="dxa"/>
            <w:tcBorders>
              <w:top w:val="nil"/>
              <w:left w:val="nil"/>
              <w:bottom w:val="single" w:sz="4" w:space="0" w:color="auto"/>
              <w:right w:val="single" w:sz="4" w:space="0" w:color="auto"/>
            </w:tcBorders>
            <w:shd w:val="clear" w:color="000000" w:fill="FFFFFF"/>
            <w:vAlign w:val="center"/>
            <w:hideMark/>
          </w:tcPr>
          <w:p w14:paraId="03662F56" w14:textId="21EADC88"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173</w:t>
            </w:r>
          </w:p>
        </w:tc>
        <w:tc>
          <w:tcPr>
            <w:tcW w:w="1316" w:type="dxa"/>
            <w:tcBorders>
              <w:top w:val="nil"/>
              <w:left w:val="nil"/>
              <w:bottom w:val="single" w:sz="4" w:space="0" w:color="auto"/>
              <w:right w:val="single" w:sz="4" w:space="0" w:color="auto"/>
            </w:tcBorders>
            <w:shd w:val="clear" w:color="000000" w:fill="FFFFFF"/>
            <w:vAlign w:val="center"/>
            <w:hideMark/>
          </w:tcPr>
          <w:p w14:paraId="0232B111" w14:textId="5FB1FD42"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62</w:t>
            </w:r>
          </w:p>
        </w:tc>
        <w:tc>
          <w:tcPr>
            <w:tcW w:w="1316" w:type="dxa"/>
            <w:tcBorders>
              <w:top w:val="nil"/>
              <w:left w:val="nil"/>
              <w:bottom w:val="single" w:sz="4" w:space="0" w:color="auto"/>
              <w:right w:val="single" w:sz="4" w:space="0" w:color="auto"/>
            </w:tcBorders>
            <w:shd w:val="clear" w:color="000000" w:fill="FFFFFF"/>
            <w:vAlign w:val="center"/>
            <w:hideMark/>
          </w:tcPr>
          <w:p w14:paraId="6DBF7CD7" w14:textId="4F82E442"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93</w:t>
            </w:r>
          </w:p>
        </w:tc>
        <w:tc>
          <w:tcPr>
            <w:tcW w:w="1317" w:type="dxa"/>
            <w:tcBorders>
              <w:top w:val="nil"/>
              <w:left w:val="nil"/>
              <w:bottom w:val="single" w:sz="4" w:space="0" w:color="auto"/>
              <w:right w:val="single" w:sz="4" w:space="0" w:color="auto"/>
            </w:tcBorders>
            <w:shd w:val="clear" w:color="000000" w:fill="FFFFFF"/>
            <w:vAlign w:val="center"/>
            <w:hideMark/>
          </w:tcPr>
          <w:p w14:paraId="66252FA1" w14:textId="78EFBC27"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105</w:t>
            </w:r>
          </w:p>
        </w:tc>
        <w:tc>
          <w:tcPr>
            <w:tcW w:w="1316" w:type="dxa"/>
            <w:tcBorders>
              <w:top w:val="nil"/>
              <w:left w:val="nil"/>
              <w:bottom w:val="single" w:sz="4" w:space="0" w:color="auto"/>
              <w:right w:val="single" w:sz="4" w:space="0" w:color="auto"/>
            </w:tcBorders>
            <w:shd w:val="clear" w:color="000000" w:fill="FFFFFF"/>
            <w:vAlign w:val="center"/>
            <w:hideMark/>
          </w:tcPr>
          <w:p w14:paraId="3BA11712" w14:textId="0B3D46B4"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132</w:t>
            </w:r>
          </w:p>
        </w:tc>
        <w:tc>
          <w:tcPr>
            <w:tcW w:w="1316" w:type="dxa"/>
            <w:tcBorders>
              <w:top w:val="nil"/>
              <w:left w:val="nil"/>
              <w:bottom w:val="single" w:sz="4" w:space="0" w:color="auto"/>
              <w:right w:val="single" w:sz="4" w:space="0" w:color="auto"/>
            </w:tcBorders>
            <w:shd w:val="clear" w:color="000000" w:fill="FFFFFF"/>
            <w:vAlign w:val="center"/>
            <w:hideMark/>
          </w:tcPr>
          <w:p w14:paraId="2DFED060" w14:textId="7DC689CC"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142</w:t>
            </w:r>
          </w:p>
        </w:tc>
        <w:tc>
          <w:tcPr>
            <w:tcW w:w="1317" w:type="dxa"/>
            <w:tcBorders>
              <w:top w:val="nil"/>
              <w:left w:val="nil"/>
              <w:bottom w:val="single" w:sz="4" w:space="0" w:color="auto"/>
              <w:right w:val="single" w:sz="4" w:space="0" w:color="auto"/>
            </w:tcBorders>
            <w:shd w:val="clear" w:color="000000" w:fill="FFFFFF"/>
            <w:vAlign w:val="center"/>
            <w:hideMark/>
          </w:tcPr>
          <w:p w14:paraId="238CCD9D" w14:textId="7C6FFFB8"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147</w:t>
            </w:r>
          </w:p>
        </w:tc>
      </w:tr>
      <w:tr w:rsidR="007E761F" w:rsidRPr="007E761F" w14:paraId="6A759542" w14:textId="77777777" w:rsidTr="007E761F">
        <w:trPr>
          <w:trHeight w:val="20"/>
          <w:jc w:val="center"/>
        </w:trPr>
        <w:tc>
          <w:tcPr>
            <w:tcW w:w="2510" w:type="dxa"/>
            <w:tcBorders>
              <w:top w:val="nil"/>
              <w:left w:val="single" w:sz="4" w:space="0" w:color="auto"/>
              <w:bottom w:val="single" w:sz="4" w:space="0" w:color="auto"/>
              <w:right w:val="single" w:sz="4" w:space="0" w:color="auto"/>
            </w:tcBorders>
            <w:shd w:val="clear" w:color="000000" w:fill="FFFFFF"/>
            <w:vAlign w:val="center"/>
            <w:hideMark/>
          </w:tcPr>
          <w:p w14:paraId="2D5A5A3F"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Sales Tax (General)</w:t>
            </w:r>
          </w:p>
        </w:tc>
        <w:tc>
          <w:tcPr>
            <w:tcW w:w="1316" w:type="dxa"/>
            <w:tcBorders>
              <w:top w:val="nil"/>
              <w:left w:val="nil"/>
              <w:bottom w:val="single" w:sz="4" w:space="0" w:color="auto"/>
              <w:right w:val="single" w:sz="4" w:space="0" w:color="auto"/>
            </w:tcBorders>
            <w:shd w:val="clear" w:color="000000" w:fill="FFFFFF"/>
            <w:vAlign w:val="center"/>
            <w:hideMark/>
          </w:tcPr>
          <w:p w14:paraId="7E44F5AE"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411</w:t>
            </w:r>
          </w:p>
        </w:tc>
        <w:tc>
          <w:tcPr>
            <w:tcW w:w="1316" w:type="dxa"/>
            <w:tcBorders>
              <w:top w:val="nil"/>
              <w:left w:val="nil"/>
              <w:bottom w:val="single" w:sz="4" w:space="0" w:color="auto"/>
              <w:right w:val="single" w:sz="4" w:space="0" w:color="auto"/>
            </w:tcBorders>
            <w:shd w:val="clear" w:color="000000" w:fill="FFFFFF"/>
            <w:vAlign w:val="center"/>
            <w:hideMark/>
          </w:tcPr>
          <w:p w14:paraId="36920966"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796</w:t>
            </w:r>
          </w:p>
        </w:tc>
        <w:tc>
          <w:tcPr>
            <w:tcW w:w="1317" w:type="dxa"/>
            <w:tcBorders>
              <w:top w:val="nil"/>
              <w:left w:val="nil"/>
              <w:bottom w:val="single" w:sz="4" w:space="0" w:color="auto"/>
              <w:right w:val="single" w:sz="4" w:space="0" w:color="auto"/>
            </w:tcBorders>
            <w:shd w:val="clear" w:color="000000" w:fill="FFFFFF"/>
            <w:vAlign w:val="center"/>
            <w:hideMark/>
          </w:tcPr>
          <w:p w14:paraId="1B7F6B31"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852</w:t>
            </w:r>
          </w:p>
        </w:tc>
        <w:tc>
          <w:tcPr>
            <w:tcW w:w="1316" w:type="dxa"/>
            <w:tcBorders>
              <w:top w:val="nil"/>
              <w:left w:val="nil"/>
              <w:bottom w:val="single" w:sz="4" w:space="0" w:color="auto"/>
              <w:right w:val="single" w:sz="4" w:space="0" w:color="auto"/>
            </w:tcBorders>
            <w:shd w:val="clear" w:color="000000" w:fill="FFFFFF"/>
            <w:vAlign w:val="center"/>
            <w:hideMark/>
          </w:tcPr>
          <w:p w14:paraId="0240082D"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348</w:t>
            </w:r>
          </w:p>
        </w:tc>
        <w:tc>
          <w:tcPr>
            <w:tcW w:w="1316" w:type="dxa"/>
            <w:tcBorders>
              <w:top w:val="nil"/>
              <w:left w:val="nil"/>
              <w:bottom w:val="single" w:sz="4" w:space="0" w:color="auto"/>
              <w:right w:val="single" w:sz="4" w:space="0" w:color="auto"/>
            </w:tcBorders>
            <w:shd w:val="clear" w:color="000000" w:fill="FFFFFF"/>
            <w:vAlign w:val="center"/>
            <w:hideMark/>
          </w:tcPr>
          <w:p w14:paraId="6D8663DD"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372</w:t>
            </w:r>
          </w:p>
        </w:tc>
        <w:tc>
          <w:tcPr>
            <w:tcW w:w="1317" w:type="dxa"/>
            <w:tcBorders>
              <w:top w:val="nil"/>
              <w:left w:val="nil"/>
              <w:bottom w:val="single" w:sz="4" w:space="0" w:color="auto"/>
              <w:right w:val="single" w:sz="4" w:space="0" w:color="auto"/>
            </w:tcBorders>
            <w:shd w:val="clear" w:color="000000" w:fill="FFFFFF"/>
            <w:vAlign w:val="center"/>
            <w:hideMark/>
          </w:tcPr>
          <w:p w14:paraId="57B1F3FF"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419</w:t>
            </w:r>
          </w:p>
        </w:tc>
        <w:tc>
          <w:tcPr>
            <w:tcW w:w="1316" w:type="dxa"/>
            <w:tcBorders>
              <w:top w:val="nil"/>
              <w:left w:val="nil"/>
              <w:bottom w:val="single" w:sz="4" w:space="0" w:color="auto"/>
              <w:right w:val="single" w:sz="4" w:space="0" w:color="auto"/>
            </w:tcBorders>
            <w:shd w:val="clear" w:color="000000" w:fill="FFFFFF"/>
            <w:vAlign w:val="center"/>
            <w:hideMark/>
          </w:tcPr>
          <w:p w14:paraId="60EA5EF8"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333</w:t>
            </w:r>
          </w:p>
        </w:tc>
        <w:tc>
          <w:tcPr>
            <w:tcW w:w="1316" w:type="dxa"/>
            <w:tcBorders>
              <w:top w:val="nil"/>
              <w:left w:val="nil"/>
              <w:bottom w:val="single" w:sz="4" w:space="0" w:color="auto"/>
              <w:right w:val="single" w:sz="4" w:space="0" w:color="auto"/>
            </w:tcBorders>
            <w:shd w:val="clear" w:color="000000" w:fill="FFFFFF"/>
            <w:vAlign w:val="center"/>
            <w:hideMark/>
          </w:tcPr>
          <w:p w14:paraId="1A4A2810"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353</w:t>
            </w:r>
          </w:p>
        </w:tc>
        <w:tc>
          <w:tcPr>
            <w:tcW w:w="1317" w:type="dxa"/>
            <w:tcBorders>
              <w:top w:val="nil"/>
              <w:left w:val="nil"/>
              <w:bottom w:val="single" w:sz="4" w:space="0" w:color="auto"/>
              <w:right w:val="single" w:sz="4" w:space="0" w:color="auto"/>
            </w:tcBorders>
            <w:shd w:val="clear" w:color="000000" w:fill="FFFFFF"/>
            <w:vAlign w:val="center"/>
            <w:hideMark/>
          </w:tcPr>
          <w:p w14:paraId="29EFAABB"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357</w:t>
            </w:r>
          </w:p>
        </w:tc>
      </w:tr>
      <w:tr w:rsidR="007E761F" w:rsidRPr="007E761F" w14:paraId="0E859AEF" w14:textId="77777777" w:rsidTr="007E761F">
        <w:trPr>
          <w:trHeight w:val="20"/>
          <w:jc w:val="center"/>
        </w:trPr>
        <w:tc>
          <w:tcPr>
            <w:tcW w:w="2510" w:type="dxa"/>
            <w:tcBorders>
              <w:top w:val="nil"/>
              <w:left w:val="single" w:sz="4" w:space="0" w:color="auto"/>
              <w:bottom w:val="single" w:sz="4" w:space="0" w:color="auto"/>
              <w:right w:val="single" w:sz="4" w:space="0" w:color="auto"/>
            </w:tcBorders>
            <w:shd w:val="clear" w:color="000000" w:fill="FFFFFF"/>
            <w:vAlign w:val="center"/>
            <w:hideMark/>
          </w:tcPr>
          <w:p w14:paraId="3BEBF033" w14:textId="03049A0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p>
        </w:tc>
        <w:tc>
          <w:tcPr>
            <w:tcW w:w="1316" w:type="dxa"/>
            <w:tcBorders>
              <w:top w:val="nil"/>
              <w:left w:val="nil"/>
              <w:bottom w:val="single" w:sz="4" w:space="0" w:color="auto"/>
              <w:right w:val="single" w:sz="4" w:space="0" w:color="auto"/>
            </w:tcBorders>
            <w:shd w:val="clear" w:color="000000" w:fill="FFFFFF"/>
            <w:vAlign w:val="center"/>
            <w:hideMark/>
          </w:tcPr>
          <w:p w14:paraId="656AAB98" w14:textId="2CE32C75"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622</w:t>
            </w:r>
          </w:p>
        </w:tc>
        <w:tc>
          <w:tcPr>
            <w:tcW w:w="1316" w:type="dxa"/>
            <w:tcBorders>
              <w:top w:val="nil"/>
              <w:left w:val="nil"/>
              <w:bottom w:val="single" w:sz="4" w:space="0" w:color="auto"/>
              <w:right w:val="single" w:sz="4" w:space="0" w:color="auto"/>
            </w:tcBorders>
            <w:shd w:val="clear" w:color="000000" w:fill="FFFFFF"/>
            <w:vAlign w:val="center"/>
            <w:hideMark/>
          </w:tcPr>
          <w:p w14:paraId="4845C29B" w14:textId="74EF798C"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1265</w:t>
            </w:r>
          </w:p>
        </w:tc>
        <w:tc>
          <w:tcPr>
            <w:tcW w:w="1317" w:type="dxa"/>
            <w:tcBorders>
              <w:top w:val="nil"/>
              <w:left w:val="nil"/>
              <w:bottom w:val="single" w:sz="4" w:space="0" w:color="auto"/>
              <w:right w:val="single" w:sz="4" w:space="0" w:color="auto"/>
            </w:tcBorders>
            <w:shd w:val="clear" w:color="000000" w:fill="FFFFFF"/>
            <w:vAlign w:val="center"/>
            <w:hideMark/>
          </w:tcPr>
          <w:p w14:paraId="37478CBA" w14:textId="4A1AFEEF"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1456</w:t>
            </w:r>
          </w:p>
        </w:tc>
        <w:tc>
          <w:tcPr>
            <w:tcW w:w="1316" w:type="dxa"/>
            <w:tcBorders>
              <w:top w:val="nil"/>
              <w:left w:val="nil"/>
              <w:bottom w:val="single" w:sz="4" w:space="0" w:color="auto"/>
              <w:right w:val="single" w:sz="4" w:space="0" w:color="auto"/>
            </w:tcBorders>
            <w:shd w:val="clear" w:color="000000" w:fill="FFFFFF"/>
            <w:vAlign w:val="center"/>
            <w:hideMark/>
          </w:tcPr>
          <w:p w14:paraId="4EEE7BEF" w14:textId="4A4DAF22"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432</w:t>
            </w:r>
          </w:p>
        </w:tc>
        <w:tc>
          <w:tcPr>
            <w:tcW w:w="1316" w:type="dxa"/>
            <w:tcBorders>
              <w:top w:val="nil"/>
              <w:left w:val="nil"/>
              <w:bottom w:val="single" w:sz="4" w:space="0" w:color="auto"/>
              <w:right w:val="single" w:sz="4" w:space="0" w:color="auto"/>
            </w:tcBorders>
            <w:shd w:val="clear" w:color="000000" w:fill="FFFFFF"/>
            <w:vAlign w:val="center"/>
            <w:hideMark/>
          </w:tcPr>
          <w:p w14:paraId="2E155ACA" w14:textId="6B7B9A21"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464</w:t>
            </w:r>
          </w:p>
        </w:tc>
        <w:tc>
          <w:tcPr>
            <w:tcW w:w="1317" w:type="dxa"/>
            <w:tcBorders>
              <w:top w:val="nil"/>
              <w:left w:val="nil"/>
              <w:bottom w:val="single" w:sz="4" w:space="0" w:color="auto"/>
              <w:right w:val="single" w:sz="4" w:space="0" w:color="auto"/>
            </w:tcBorders>
            <w:shd w:val="clear" w:color="000000" w:fill="FFFFFF"/>
            <w:vAlign w:val="center"/>
            <w:hideMark/>
          </w:tcPr>
          <w:p w14:paraId="0448BE7E" w14:textId="20122499"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520</w:t>
            </w:r>
          </w:p>
        </w:tc>
        <w:tc>
          <w:tcPr>
            <w:tcW w:w="1316" w:type="dxa"/>
            <w:tcBorders>
              <w:top w:val="nil"/>
              <w:left w:val="nil"/>
              <w:bottom w:val="single" w:sz="4" w:space="0" w:color="auto"/>
              <w:right w:val="single" w:sz="4" w:space="0" w:color="auto"/>
            </w:tcBorders>
            <w:shd w:val="clear" w:color="000000" w:fill="FFFFFF"/>
            <w:vAlign w:val="center"/>
            <w:hideMark/>
          </w:tcPr>
          <w:p w14:paraId="75C0A9B5" w14:textId="48CE15EC"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1303</w:t>
            </w:r>
          </w:p>
        </w:tc>
        <w:tc>
          <w:tcPr>
            <w:tcW w:w="1316" w:type="dxa"/>
            <w:tcBorders>
              <w:top w:val="nil"/>
              <w:left w:val="nil"/>
              <w:bottom w:val="single" w:sz="4" w:space="0" w:color="auto"/>
              <w:right w:val="single" w:sz="4" w:space="0" w:color="auto"/>
            </w:tcBorders>
            <w:shd w:val="clear" w:color="000000" w:fill="FFFFFF"/>
            <w:vAlign w:val="center"/>
            <w:hideMark/>
          </w:tcPr>
          <w:p w14:paraId="7B3B7EF5" w14:textId="44A14541"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1524</w:t>
            </w:r>
          </w:p>
        </w:tc>
        <w:tc>
          <w:tcPr>
            <w:tcW w:w="1317" w:type="dxa"/>
            <w:tcBorders>
              <w:top w:val="nil"/>
              <w:left w:val="nil"/>
              <w:bottom w:val="single" w:sz="4" w:space="0" w:color="auto"/>
              <w:right w:val="single" w:sz="4" w:space="0" w:color="auto"/>
            </w:tcBorders>
            <w:shd w:val="clear" w:color="000000" w:fill="FFFFFF"/>
            <w:vAlign w:val="center"/>
            <w:hideMark/>
          </w:tcPr>
          <w:p w14:paraId="34828719" w14:textId="6FB23239"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1587</w:t>
            </w:r>
          </w:p>
        </w:tc>
      </w:tr>
      <w:tr w:rsidR="007E761F" w:rsidRPr="007E761F" w14:paraId="23F8EA22" w14:textId="77777777" w:rsidTr="007E761F">
        <w:trPr>
          <w:trHeight w:val="20"/>
          <w:jc w:val="center"/>
        </w:trPr>
        <w:tc>
          <w:tcPr>
            <w:tcW w:w="2510" w:type="dxa"/>
            <w:tcBorders>
              <w:top w:val="nil"/>
              <w:left w:val="single" w:sz="4" w:space="0" w:color="auto"/>
              <w:bottom w:val="single" w:sz="4" w:space="0" w:color="auto"/>
              <w:right w:val="single" w:sz="4" w:space="0" w:color="auto"/>
            </w:tcBorders>
            <w:shd w:val="clear" w:color="000000" w:fill="FFFFFF"/>
            <w:vAlign w:val="center"/>
            <w:hideMark/>
          </w:tcPr>
          <w:p w14:paraId="369575ED"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Other Taxes</w:t>
            </w:r>
          </w:p>
        </w:tc>
        <w:tc>
          <w:tcPr>
            <w:tcW w:w="1316" w:type="dxa"/>
            <w:tcBorders>
              <w:top w:val="nil"/>
              <w:left w:val="nil"/>
              <w:bottom w:val="single" w:sz="4" w:space="0" w:color="auto"/>
              <w:right w:val="single" w:sz="4" w:space="0" w:color="auto"/>
            </w:tcBorders>
            <w:shd w:val="clear" w:color="000000" w:fill="FFFFFF"/>
            <w:vAlign w:val="center"/>
            <w:hideMark/>
          </w:tcPr>
          <w:p w14:paraId="1ED9DA4B"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240</w:t>
            </w:r>
          </w:p>
        </w:tc>
        <w:tc>
          <w:tcPr>
            <w:tcW w:w="1316" w:type="dxa"/>
            <w:tcBorders>
              <w:top w:val="nil"/>
              <w:left w:val="nil"/>
              <w:bottom w:val="single" w:sz="4" w:space="0" w:color="auto"/>
              <w:right w:val="single" w:sz="4" w:space="0" w:color="auto"/>
            </w:tcBorders>
            <w:shd w:val="clear" w:color="000000" w:fill="FFFFFF"/>
            <w:vAlign w:val="center"/>
            <w:hideMark/>
          </w:tcPr>
          <w:p w14:paraId="269836E1"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332</w:t>
            </w:r>
          </w:p>
        </w:tc>
        <w:tc>
          <w:tcPr>
            <w:tcW w:w="1317" w:type="dxa"/>
            <w:tcBorders>
              <w:top w:val="nil"/>
              <w:left w:val="nil"/>
              <w:bottom w:val="single" w:sz="4" w:space="0" w:color="auto"/>
              <w:right w:val="single" w:sz="4" w:space="0" w:color="auto"/>
            </w:tcBorders>
            <w:shd w:val="clear" w:color="000000" w:fill="FFFFFF"/>
            <w:vAlign w:val="center"/>
            <w:hideMark/>
          </w:tcPr>
          <w:p w14:paraId="387E2217"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234</w:t>
            </w:r>
          </w:p>
        </w:tc>
        <w:tc>
          <w:tcPr>
            <w:tcW w:w="1316" w:type="dxa"/>
            <w:tcBorders>
              <w:top w:val="nil"/>
              <w:left w:val="nil"/>
              <w:bottom w:val="single" w:sz="4" w:space="0" w:color="auto"/>
              <w:right w:val="single" w:sz="4" w:space="0" w:color="auto"/>
            </w:tcBorders>
            <w:shd w:val="clear" w:color="000000" w:fill="FFFFFF"/>
            <w:vAlign w:val="center"/>
            <w:hideMark/>
          </w:tcPr>
          <w:p w14:paraId="59EEA9B7"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197</w:t>
            </w:r>
          </w:p>
        </w:tc>
        <w:tc>
          <w:tcPr>
            <w:tcW w:w="1316" w:type="dxa"/>
            <w:tcBorders>
              <w:top w:val="nil"/>
              <w:left w:val="nil"/>
              <w:bottom w:val="single" w:sz="4" w:space="0" w:color="auto"/>
              <w:right w:val="single" w:sz="4" w:space="0" w:color="auto"/>
            </w:tcBorders>
            <w:shd w:val="clear" w:color="000000" w:fill="FFFFFF"/>
            <w:vAlign w:val="center"/>
            <w:hideMark/>
          </w:tcPr>
          <w:p w14:paraId="33F1B7C2"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187</w:t>
            </w:r>
          </w:p>
        </w:tc>
        <w:tc>
          <w:tcPr>
            <w:tcW w:w="1317" w:type="dxa"/>
            <w:tcBorders>
              <w:top w:val="nil"/>
              <w:left w:val="nil"/>
              <w:bottom w:val="single" w:sz="4" w:space="0" w:color="auto"/>
              <w:right w:val="single" w:sz="4" w:space="0" w:color="auto"/>
            </w:tcBorders>
            <w:shd w:val="clear" w:color="000000" w:fill="FFFFFF"/>
            <w:vAlign w:val="center"/>
            <w:hideMark/>
          </w:tcPr>
          <w:p w14:paraId="5B2364FE"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155</w:t>
            </w:r>
          </w:p>
        </w:tc>
        <w:tc>
          <w:tcPr>
            <w:tcW w:w="1316" w:type="dxa"/>
            <w:tcBorders>
              <w:top w:val="nil"/>
              <w:left w:val="nil"/>
              <w:bottom w:val="single" w:sz="4" w:space="0" w:color="auto"/>
              <w:right w:val="single" w:sz="4" w:space="0" w:color="auto"/>
            </w:tcBorders>
            <w:shd w:val="clear" w:color="000000" w:fill="FFFFFF"/>
            <w:vAlign w:val="center"/>
            <w:hideMark/>
          </w:tcPr>
          <w:p w14:paraId="77E6441B"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22</w:t>
            </w:r>
          </w:p>
        </w:tc>
        <w:tc>
          <w:tcPr>
            <w:tcW w:w="1316" w:type="dxa"/>
            <w:tcBorders>
              <w:top w:val="nil"/>
              <w:left w:val="nil"/>
              <w:bottom w:val="single" w:sz="4" w:space="0" w:color="auto"/>
              <w:right w:val="single" w:sz="4" w:space="0" w:color="auto"/>
            </w:tcBorders>
            <w:shd w:val="clear" w:color="000000" w:fill="FFFFFF"/>
            <w:vAlign w:val="center"/>
            <w:hideMark/>
          </w:tcPr>
          <w:p w14:paraId="57CFA5DC"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18</w:t>
            </w:r>
          </w:p>
        </w:tc>
        <w:tc>
          <w:tcPr>
            <w:tcW w:w="1317" w:type="dxa"/>
            <w:tcBorders>
              <w:top w:val="nil"/>
              <w:left w:val="nil"/>
              <w:bottom w:val="single" w:sz="4" w:space="0" w:color="auto"/>
              <w:right w:val="single" w:sz="4" w:space="0" w:color="auto"/>
            </w:tcBorders>
            <w:shd w:val="clear" w:color="000000" w:fill="FFFFFF"/>
            <w:vAlign w:val="center"/>
            <w:hideMark/>
          </w:tcPr>
          <w:p w14:paraId="541AD20C"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20</w:t>
            </w:r>
          </w:p>
        </w:tc>
      </w:tr>
      <w:tr w:rsidR="007E761F" w:rsidRPr="007E761F" w14:paraId="590D2BAB" w14:textId="77777777" w:rsidTr="007E761F">
        <w:trPr>
          <w:trHeight w:val="20"/>
          <w:jc w:val="center"/>
        </w:trPr>
        <w:tc>
          <w:tcPr>
            <w:tcW w:w="2510" w:type="dxa"/>
            <w:tcBorders>
              <w:top w:val="nil"/>
              <w:left w:val="single" w:sz="4" w:space="0" w:color="auto"/>
              <w:bottom w:val="single" w:sz="4" w:space="0" w:color="auto"/>
              <w:right w:val="single" w:sz="4" w:space="0" w:color="auto"/>
            </w:tcBorders>
            <w:shd w:val="clear" w:color="000000" w:fill="FFFFFF"/>
            <w:vAlign w:val="center"/>
            <w:hideMark/>
          </w:tcPr>
          <w:p w14:paraId="1F3AD0AD" w14:textId="6295A79A"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p>
        </w:tc>
        <w:tc>
          <w:tcPr>
            <w:tcW w:w="1316" w:type="dxa"/>
            <w:tcBorders>
              <w:top w:val="nil"/>
              <w:left w:val="nil"/>
              <w:bottom w:val="single" w:sz="4" w:space="0" w:color="auto"/>
              <w:right w:val="single" w:sz="4" w:space="0" w:color="auto"/>
            </w:tcBorders>
            <w:shd w:val="clear" w:color="000000" w:fill="FFFFFF"/>
            <w:vAlign w:val="center"/>
            <w:hideMark/>
          </w:tcPr>
          <w:p w14:paraId="2E644AC6" w14:textId="222D4445"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365</w:t>
            </w:r>
          </w:p>
        </w:tc>
        <w:tc>
          <w:tcPr>
            <w:tcW w:w="1316" w:type="dxa"/>
            <w:tcBorders>
              <w:top w:val="nil"/>
              <w:left w:val="nil"/>
              <w:bottom w:val="single" w:sz="4" w:space="0" w:color="auto"/>
              <w:right w:val="single" w:sz="4" w:space="0" w:color="auto"/>
            </w:tcBorders>
            <w:shd w:val="clear" w:color="000000" w:fill="FFFFFF"/>
            <w:vAlign w:val="center"/>
            <w:hideMark/>
          </w:tcPr>
          <w:p w14:paraId="5895642C" w14:textId="2216D337"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509</w:t>
            </w:r>
          </w:p>
        </w:tc>
        <w:tc>
          <w:tcPr>
            <w:tcW w:w="1317" w:type="dxa"/>
            <w:tcBorders>
              <w:top w:val="nil"/>
              <w:left w:val="nil"/>
              <w:bottom w:val="single" w:sz="4" w:space="0" w:color="auto"/>
              <w:right w:val="single" w:sz="4" w:space="0" w:color="auto"/>
            </w:tcBorders>
            <w:shd w:val="clear" w:color="000000" w:fill="FFFFFF"/>
            <w:vAlign w:val="center"/>
            <w:hideMark/>
          </w:tcPr>
          <w:p w14:paraId="7630C871" w14:textId="08B2F324"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448</w:t>
            </w:r>
          </w:p>
        </w:tc>
        <w:tc>
          <w:tcPr>
            <w:tcW w:w="1316" w:type="dxa"/>
            <w:tcBorders>
              <w:top w:val="nil"/>
              <w:left w:val="nil"/>
              <w:bottom w:val="single" w:sz="4" w:space="0" w:color="auto"/>
              <w:right w:val="single" w:sz="4" w:space="0" w:color="auto"/>
            </w:tcBorders>
            <w:shd w:val="clear" w:color="000000" w:fill="FFFFFF"/>
            <w:vAlign w:val="center"/>
            <w:hideMark/>
          </w:tcPr>
          <w:p w14:paraId="48869CCC" w14:textId="2144833F"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223</w:t>
            </w:r>
          </w:p>
        </w:tc>
        <w:tc>
          <w:tcPr>
            <w:tcW w:w="1316" w:type="dxa"/>
            <w:tcBorders>
              <w:top w:val="nil"/>
              <w:left w:val="nil"/>
              <w:bottom w:val="single" w:sz="4" w:space="0" w:color="auto"/>
              <w:right w:val="single" w:sz="4" w:space="0" w:color="auto"/>
            </w:tcBorders>
            <w:shd w:val="clear" w:color="000000" w:fill="FFFFFF"/>
            <w:vAlign w:val="center"/>
            <w:hideMark/>
          </w:tcPr>
          <w:p w14:paraId="6F3A20CA" w14:textId="7FD4E23D"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215</w:t>
            </w:r>
          </w:p>
        </w:tc>
        <w:tc>
          <w:tcPr>
            <w:tcW w:w="1317" w:type="dxa"/>
            <w:tcBorders>
              <w:top w:val="nil"/>
              <w:left w:val="nil"/>
              <w:bottom w:val="single" w:sz="4" w:space="0" w:color="auto"/>
              <w:right w:val="single" w:sz="4" w:space="0" w:color="auto"/>
            </w:tcBorders>
            <w:shd w:val="clear" w:color="000000" w:fill="FFFFFF"/>
            <w:vAlign w:val="center"/>
            <w:hideMark/>
          </w:tcPr>
          <w:p w14:paraId="2408C7B1" w14:textId="7312C1F1"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188</w:t>
            </w:r>
          </w:p>
        </w:tc>
        <w:tc>
          <w:tcPr>
            <w:tcW w:w="1316" w:type="dxa"/>
            <w:tcBorders>
              <w:top w:val="nil"/>
              <w:left w:val="nil"/>
              <w:bottom w:val="single" w:sz="4" w:space="0" w:color="auto"/>
              <w:right w:val="single" w:sz="4" w:space="0" w:color="auto"/>
            </w:tcBorders>
            <w:shd w:val="clear" w:color="000000" w:fill="FFFFFF"/>
            <w:vAlign w:val="center"/>
            <w:hideMark/>
          </w:tcPr>
          <w:p w14:paraId="7FE190C3" w14:textId="252BD0DC"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82</w:t>
            </w:r>
          </w:p>
        </w:tc>
        <w:tc>
          <w:tcPr>
            <w:tcW w:w="1316" w:type="dxa"/>
            <w:tcBorders>
              <w:top w:val="nil"/>
              <w:left w:val="nil"/>
              <w:bottom w:val="single" w:sz="4" w:space="0" w:color="auto"/>
              <w:right w:val="single" w:sz="4" w:space="0" w:color="auto"/>
            </w:tcBorders>
            <w:shd w:val="clear" w:color="000000" w:fill="FFFFFF"/>
            <w:vAlign w:val="center"/>
            <w:hideMark/>
          </w:tcPr>
          <w:p w14:paraId="0B7B8347" w14:textId="69BC2202"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126</w:t>
            </w:r>
          </w:p>
        </w:tc>
        <w:tc>
          <w:tcPr>
            <w:tcW w:w="1317" w:type="dxa"/>
            <w:tcBorders>
              <w:top w:val="nil"/>
              <w:left w:val="nil"/>
              <w:bottom w:val="single" w:sz="4" w:space="0" w:color="auto"/>
              <w:right w:val="single" w:sz="4" w:space="0" w:color="auto"/>
            </w:tcBorders>
            <w:shd w:val="clear" w:color="000000" w:fill="FFFFFF"/>
            <w:vAlign w:val="center"/>
            <w:hideMark/>
          </w:tcPr>
          <w:p w14:paraId="1C67E6C7" w14:textId="223DA2A1"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167</w:t>
            </w:r>
          </w:p>
        </w:tc>
      </w:tr>
      <w:tr w:rsidR="007E761F" w:rsidRPr="007E761F" w14:paraId="40D07F42" w14:textId="77777777" w:rsidTr="007E761F">
        <w:trPr>
          <w:trHeight w:val="20"/>
          <w:jc w:val="center"/>
        </w:trPr>
        <w:tc>
          <w:tcPr>
            <w:tcW w:w="2510" w:type="dxa"/>
            <w:tcBorders>
              <w:top w:val="nil"/>
              <w:left w:val="single" w:sz="4" w:space="0" w:color="auto"/>
              <w:bottom w:val="single" w:sz="4" w:space="0" w:color="auto"/>
              <w:right w:val="single" w:sz="4" w:space="0" w:color="auto"/>
            </w:tcBorders>
            <w:shd w:val="clear" w:color="000000" w:fill="FFFFFF"/>
            <w:vAlign w:val="center"/>
            <w:hideMark/>
          </w:tcPr>
          <w:p w14:paraId="695134FB" w14:textId="77777777" w:rsidR="007E761F" w:rsidRPr="007E761F" w:rsidRDefault="007E761F" w:rsidP="007E761F">
            <w:pPr>
              <w:spacing w:after="0" w:line="240" w:lineRule="auto"/>
              <w:ind w:firstLineChars="100" w:firstLine="221"/>
              <w:jc w:val="center"/>
              <w:rPr>
                <w:rFonts w:ascii="Times New Roman" w:eastAsia="Times New Roman" w:hAnsi="Times New Roman" w:cs="Times New Roman"/>
                <w:b/>
                <w:bCs/>
                <w:color w:val="1A1C1E"/>
                <w:kern w:val="0"/>
                <w:sz w:val="22"/>
                <w:szCs w:val="22"/>
                <w:lang w:eastAsia="en-IN"/>
                <w14:ligatures w14:val="none"/>
              </w:rPr>
            </w:pPr>
            <w:r w:rsidRPr="007E761F">
              <w:rPr>
                <w:rFonts w:ascii="Times New Roman" w:eastAsia="Times New Roman" w:hAnsi="Times New Roman" w:cs="Times New Roman"/>
                <w:b/>
                <w:bCs/>
                <w:color w:val="1A1C1E"/>
                <w:kern w:val="0"/>
                <w:sz w:val="22"/>
                <w:szCs w:val="22"/>
                <w:lang w:eastAsia="en-IN"/>
                <w14:ligatures w14:val="none"/>
              </w:rPr>
              <w:t>Expenditure—</w:t>
            </w:r>
          </w:p>
        </w:tc>
        <w:tc>
          <w:tcPr>
            <w:tcW w:w="1316" w:type="dxa"/>
            <w:tcBorders>
              <w:top w:val="nil"/>
              <w:left w:val="nil"/>
              <w:bottom w:val="single" w:sz="4" w:space="0" w:color="auto"/>
              <w:right w:val="single" w:sz="4" w:space="0" w:color="auto"/>
            </w:tcBorders>
            <w:shd w:val="clear" w:color="000000" w:fill="FFFFFF"/>
            <w:vAlign w:val="center"/>
            <w:hideMark/>
          </w:tcPr>
          <w:p w14:paraId="6B6A76AB" w14:textId="224BAD78"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p>
        </w:tc>
        <w:tc>
          <w:tcPr>
            <w:tcW w:w="1316" w:type="dxa"/>
            <w:tcBorders>
              <w:top w:val="nil"/>
              <w:left w:val="nil"/>
              <w:bottom w:val="single" w:sz="4" w:space="0" w:color="auto"/>
              <w:right w:val="single" w:sz="4" w:space="0" w:color="auto"/>
            </w:tcBorders>
            <w:shd w:val="clear" w:color="000000" w:fill="FFFFFF"/>
            <w:vAlign w:val="center"/>
            <w:hideMark/>
          </w:tcPr>
          <w:p w14:paraId="6E577721" w14:textId="4C4A9C00"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p>
        </w:tc>
        <w:tc>
          <w:tcPr>
            <w:tcW w:w="1317" w:type="dxa"/>
            <w:tcBorders>
              <w:top w:val="nil"/>
              <w:left w:val="nil"/>
              <w:bottom w:val="single" w:sz="4" w:space="0" w:color="auto"/>
              <w:right w:val="single" w:sz="4" w:space="0" w:color="auto"/>
            </w:tcBorders>
            <w:shd w:val="clear" w:color="000000" w:fill="FFFFFF"/>
            <w:vAlign w:val="center"/>
            <w:hideMark/>
          </w:tcPr>
          <w:p w14:paraId="2C821451" w14:textId="654F89CF"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p>
        </w:tc>
        <w:tc>
          <w:tcPr>
            <w:tcW w:w="1316" w:type="dxa"/>
            <w:tcBorders>
              <w:top w:val="nil"/>
              <w:left w:val="nil"/>
              <w:bottom w:val="single" w:sz="4" w:space="0" w:color="auto"/>
              <w:right w:val="single" w:sz="4" w:space="0" w:color="auto"/>
            </w:tcBorders>
            <w:shd w:val="clear" w:color="000000" w:fill="FFFFFF"/>
            <w:vAlign w:val="center"/>
            <w:hideMark/>
          </w:tcPr>
          <w:p w14:paraId="15522D7D" w14:textId="3766B3ED"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p>
        </w:tc>
        <w:tc>
          <w:tcPr>
            <w:tcW w:w="1316" w:type="dxa"/>
            <w:tcBorders>
              <w:top w:val="nil"/>
              <w:left w:val="nil"/>
              <w:bottom w:val="single" w:sz="4" w:space="0" w:color="auto"/>
              <w:right w:val="single" w:sz="4" w:space="0" w:color="auto"/>
            </w:tcBorders>
            <w:shd w:val="clear" w:color="000000" w:fill="FFFFFF"/>
            <w:vAlign w:val="center"/>
            <w:hideMark/>
          </w:tcPr>
          <w:p w14:paraId="0CA7C185" w14:textId="7A1149E2"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p>
        </w:tc>
        <w:tc>
          <w:tcPr>
            <w:tcW w:w="1317" w:type="dxa"/>
            <w:tcBorders>
              <w:top w:val="nil"/>
              <w:left w:val="nil"/>
              <w:bottom w:val="single" w:sz="4" w:space="0" w:color="auto"/>
              <w:right w:val="single" w:sz="4" w:space="0" w:color="auto"/>
            </w:tcBorders>
            <w:shd w:val="clear" w:color="000000" w:fill="FFFFFF"/>
            <w:vAlign w:val="center"/>
            <w:hideMark/>
          </w:tcPr>
          <w:p w14:paraId="1AB7CC22" w14:textId="044C6B8D"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p>
        </w:tc>
        <w:tc>
          <w:tcPr>
            <w:tcW w:w="1316" w:type="dxa"/>
            <w:tcBorders>
              <w:top w:val="nil"/>
              <w:left w:val="nil"/>
              <w:bottom w:val="single" w:sz="4" w:space="0" w:color="auto"/>
              <w:right w:val="single" w:sz="4" w:space="0" w:color="auto"/>
            </w:tcBorders>
            <w:shd w:val="clear" w:color="000000" w:fill="FFFFFF"/>
            <w:vAlign w:val="center"/>
            <w:hideMark/>
          </w:tcPr>
          <w:p w14:paraId="181EEC67" w14:textId="02C6AADC"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p>
        </w:tc>
        <w:tc>
          <w:tcPr>
            <w:tcW w:w="1316" w:type="dxa"/>
            <w:tcBorders>
              <w:top w:val="nil"/>
              <w:left w:val="nil"/>
              <w:bottom w:val="single" w:sz="4" w:space="0" w:color="auto"/>
              <w:right w:val="single" w:sz="4" w:space="0" w:color="auto"/>
            </w:tcBorders>
            <w:shd w:val="clear" w:color="000000" w:fill="FFFFFF"/>
            <w:vAlign w:val="center"/>
            <w:hideMark/>
          </w:tcPr>
          <w:p w14:paraId="755FD9CC" w14:textId="1A957AF6"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p>
        </w:tc>
        <w:tc>
          <w:tcPr>
            <w:tcW w:w="1317" w:type="dxa"/>
            <w:tcBorders>
              <w:top w:val="nil"/>
              <w:left w:val="nil"/>
              <w:bottom w:val="single" w:sz="4" w:space="0" w:color="auto"/>
              <w:right w:val="single" w:sz="4" w:space="0" w:color="auto"/>
            </w:tcBorders>
            <w:shd w:val="clear" w:color="000000" w:fill="FFFFFF"/>
            <w:vAlign w:val="center"/>
            <w:hideMark/>
          </w:tcPr>
          <w:p w14:paraId="793351A7" w14:textId="739AFC51"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p>
        </w:tc>
      </w:tr>
      <w:tr w:rsidR="007E761F" w:rsidRPr="007E761F" w14:paraId="04C6D0D1" w14:textId="77777777" w:rsidTr="007E761F">
        <w:trPr>
          <w:trHeight w:val="20"/>
          <w:jc w:val="center"/>
        </w:trPr>
        <w:tc>
          <w:tcPr>
            <w:tcW w:w="2510" w:type="dxa"/>
            <w:tcBorders>
              <w:top w:val="nil"/>
              <w:left w:val="single" w:sz="4" w:space="0" w:color="auto"/>
              <w:bottom w:val="single" w:sz="4" w:space="0" w:color="auto"/>
              <w:right w:val="single" w:sz="4" w:space="0" w:color="auto"/>
            </w:tcBorders>
            <w:shd w:val="clear" w:color="000000" w:fill="FFFFFF"/>
            <w:vAlign w:val="center"/>
            <w:hideMark/>
          </w:tcPr>
          <w:p w14:paraId="19AEF01B"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Police</w:t>
            </w:r>
          </w:p>
        </w:tc>
        <w:tc>
          <w:tcPr>
            <w:tcW w:w="1316" w:type="dxa"/>
            <w:tcBorders>
              <w:top w:val="nil"/>
              <w:left w:val="nil"/>
              <w:bottom w:val="single" w:sz="4" w:space="0" w:color="auto"/>
              <w:right w:val="single" w:sz="4" w:space="0" w:color="auto"/>
            </w:tcBorders>
            <w:shd w:val="clear" w:color="000000" w:fill="FFFFFF"/>
            <w:vAlign w:val="center"/>
            <w:hideMark/>
          </w:tcPr>
          <w:p w14:paraId="673DE937"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204</w:t>
            </w:r>
          </w:p>
        </w:tc>
        <w:tc>
          <w:tcPr>
            <w:tcW w:w="1316" w:type="dxa"/>
            <w:tcBorders>
              <w:top w:val="nil"/>
              <w:left w:val="nil"/>
              <w:bottom w:val="single" w:sz="4" w:space="0" w:color="auto"/>
              <w:right w:val="single" w:sz="4" w:space="0" w:color="auto"/>
            </w:tcBorders>
            <w:shd w:val="clear" w:color="000000" w:fill="FFFFFF"/>
            <w:vAlign w:val="center"/>
            <w:hideMark/>
          </w:tcPr>
          <w:p w14:paraId="4D28BFAB"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225</w:t>
            </w:r>
          </w:p>
        </w:tc>
        <w:tc>
          <w:tcPr>
            <w:tcW w:w="1317" w:type="dxa"/>
            <w:tcBorders>
              <w:top w:val="nil"/>
              <w:left w:val="nil"/>
              <w:bottom w:val="single" w:sz="4" w:space="0" w:color="auto"/>
              <w:right w:val="single" w:sz="4" w:space="0" w:color="auto"/>
            </w:tcBorders>
            <w:shd w:val="clear" w:color="000000" w:fill="FFFFFF"/>
            <w:vAlign w:val="center"/>
            <w:hideMark/>
          </w:tcPr>
          <w:p w14:paraId="2F4DD10C"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211</w:t>
            </w:r>
          </w:p>
        </w:tc>
        <w:tc>
          <w:tcPr>
            <w:tcW w:w="1316" w:type="dxa"/>
            <w:tcBorders>
              <w:top w:val="nil"/>
              <w:left w:val="nil"/>
              <w:bottom w:val="single" w:sz="4" w:space="0" w:color="auto"/>
              <w:right w:val="single" w:sz="4" w:space="0" w:color="auto"/>
            </w:tcBorders>
            <w:shd w:val="clear" w:color="000000" w:fill="FFFFFF"/>
            <w:vAlign w:val="center"/>
            <w:hideMark/>
          </w:tcPr>
          <w:p w14:paraId="57598F9A"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147</w:t>
            </w:r>
          </w:p>
        </w:tc>
        <w:tc>
          <w:tcPr>
            <w:tcW w:w="1316" w:type="dxa"/>
            <w:tcBorders>
              <w:top w:val="nil"/>
              <w:left w:val="nil"/>
              <w:bottom w:val="single" w:sz="4" w:space="0" w:color="auto"/>
              <w:right w:val="single" w:sz="4" w:space="0" w:color="auto"/>
            </w:tcBorders>
            <w:shd w:val="clear" w:color="000000" w:fill="FFFFFF"/>
            <w:vAlign w:val="center"/>
            <w:hideMark/>
          </w:tcPr>
          <w:p w14:paraId="21E6E369"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155</w:t>
            </w:r>
          </w:p>
        </w:tc>
        <w:tc>
          <w:tcPr>
            <w:tcW w:w="1317" w:type="dxa"/>
            <w:tcBorders>
              <w:top w:val="nil"/>
              <w:left w:val="nil"/>
              <w:bottom w:val="single" w:sz="4" w:space="0" w:color="auto"/>
              <w:right w:val="single" w:sz="4" w:space="0" w:color="auto"/>
            </w:tcBorders>
            <w:shd w:val="clear" w:color="000000" w:fill="FFFFFF"/>
            <w:vAlign w:val="center"/>
            <w:hideMark/>
          </w:tcPr>
          <w:p w14:paraId="31AEEC2B"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186</w:t>
            </w:r>
          </w:p>
        </w:tc>
        <w:tc>
          <w:tcPr>
            <w:tcW w:w="1316" w:type="dxa"/>
            <w:tcBorders>
              <w:top w:val="nil"/>
              <w:left w:val="nil"/>
              <w:bottom w:val="single" w:sz="4" w:space="0" w:color="auto"/>
              <w:right w:val="single" w:sz="4" w:space="0" w:color="auto"/>
            </w:tcBorders>
            <w:shd w:val="clear" w:color="000000" w:fill="FFFFFF"/>
            <w:vAlign w:val="center"/>
            <w:hideMark/>
          </w:tcPr>
          <w:p w14:paraId="1EA6E9DE"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70</w:t>
            </w:r>
          </w:p>
        </w:tc>
        <w:tc>
          <w:tcPr>
            <w:tcW w:w="1316" w:type="dxa"/>
            <w:tcBorders>
              <w:top w:val="nil"/>
              <w:left w:val="nil"/>
              <w:bottom w:val="single" w:sz="4" w:space="0" w:color="auto"/>
              <w:right w:val="single" w:sz="4" w:space="0" w:color="auto"/>
            </w:tcBorders>
            <w:shd w:val="clear" w:color="000000" w:fill="FFFFFF"/>
            <w:vAlign w:val="center"/>
            <w:hideMark/>
          </w:tcPr>
          <w:p w14:paraId="04669EA0"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70</w:t>
            </w:r>
          </w:p>
        </w:tc>
        <w:tc>
          <w:tcPr>
            <w:tcW w:w="1317" w:type="dxa"/>
            <w:tcBorders>
              <w:top w:val="nil"/>
              <w:left w:val="nil"/>
              <w:bottom w:val="single" w:sz="4" w:space="0" w:color="auto"/>
              <w:right w:val="single" w:sz="4" w:space="0" w:color="auto"/>
            </w:tcBorders>
            <w:shd w:val="clear" w:color="000000" w:fill="FFFFFF"/>
            <w:vAlign w:val="center"/>
            <w:hideMark/>
          </w:tcPr>
          <w:p w14:paraId="6FE023B5"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72</w:t>
            </w:r>
          </w:p>
        </w:tc>
      </w:tr>
      <w:tr w:rsidR="007E761F" w:rsidRPr="007E761F" w14:paraId="049DE0F5" w14:textId="77777777" w:rsidTr="007E761F">
        <w:trPr>
          <w:trHeight w:val="20"/>
          <w:jc w:val="center"/>
        </w:trPr>
        <w:tc>
          <w:tcPr>
            <w:tcW w:w="2510" w:type="dxa"/>
            <w:tcBorders>
              <w:top w:val="nil"/>
              <w:left w:val="single" w:sz="4" w:space="0" w:color="auto"/>
              <w:bottom w:val="single" w:sz="4" w:space="0" w:color="auto"/>
              <w:right w:val="single" w:sz="4" w:space="0" w:color="auto"/>
            </w:tcBorders>
            <w:shd w:val="clear" w:color="000000" w:fill="FFFFFF"/>
            <w:vAlign w:val="center"/>
            <w:hideMark/>
          </w:tcPr>
          <w:p w14:paraId="5A45915B" w14:textId="1BCEB52D"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p>
        </w:tc>
        <w:tc>
          <w:tcPr>
            <w:tcW w:w="1316" w:type="dxa"/>
            <w:tcBorders>
              <w:top w:val="nil"/>
              <w:left w:val="nil"/>
              <w:bottom w:val="single" w:sz="4" w:space="0" w:color="auto"/>
              <w:right w:val="single" w:sz="4" w:space="0" w:color="auto"/>
            </w:tcBorders>
            <w:shd w:val="clear" w:color="000000" w:fill="FFFFFF"/>
            <w:vAlign w:val="center"/>
            <w:hideMark/>
          </w:tcPr>
          <w:p w14:paraId="39E62913" w14:textId="3DA0D4A5"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704</w:t>
            </w:r>
          </w:p>
        </w:tc>
        <w:tc>
          <w:tcPr>
            <w:tcW w:w="1316" w:type="dxa"/>
            <w:tcBorders>
              <w:top w:val="nil"/>
              <w:left w:val="nil"/>
              <w:bottom w:val="single" w:sz="4" w:space="0" w:color="auto"/>
              <w:right w:val="single" w:sz="4" w:space="0" w:color="auto"/>
            </w:tcBorders>
            <w:shd w:val="clear" w:color="000000" w:fill="FFFFFF"/>
            <w:vAlign w:val="center"/>
            <w:hideMark/>
          </w:tcPr>
          <w:p w14:paraId="4DC28FA6" w14:textId="60B1B96C"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843</w:t>
            </w:r>
          </w:p>
        </w:tc>
        <w:tc>
          <w:tcPr>
            <w:tcW w:w="1317" w:type="dxa"/>
            <w:tcBorders>
              <w:top w:val="nil"/>
              <w:left w:val="nil"/>
              <w:bottom w:val="single" w:sz="4" w:space="0" w:color="auto"/>
              <w:right w:val="single" w:sz="4" w:space="0" w:color="auto"/>
            </w:tcBorders>
            <w:shd w:val="clear" w:color="000000" w:fill="FFFFFF"/>
            <w:vAlign w:val="center"/>
            <w:hideMark/>
          </w:tcPr>
          <w:p w14:paraId="3C0DB3AA" w14:textId="54265729"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912</w:t>
            </w:r>
          </w:p>
        </w:tc>
        <w:tc>
          <w:tcPr>
            <w:tcW w:w="1316" w:type="dxa"/>
            <w:tcBorders>
              <w:top w:val="nil"/>
              <w:left w:val="nil"/>
              <w:bottom w:val="single" w:sz="4" w:space="0" w:color="auto"/>
              <w:right w:val="single" w:sz="4" w:space="0" w:color="auto"/>
            </w:tcBorders>
            <w:shd w:val="clear" w:color="000000" w:fill="FFFFFF"/>
            <w:vAlign w:val="center"/>
            <w:hideMark/>
          </w:tcPr>
          <w:p w14:paraId="74B24ADC" w14:textId="5C6BBDD5"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418</w:t>
            </w:r>
          </w:p>
        </w:tc>
        <w:tc>
          <w:tcPr>
            <w:tcW w:w="1316" w:type="dxa"/>
            <w:tcBorders>
              <w:top w:val="nil"/>
              <w:left w:val="nil"/>
              <w:bottom w:val="single" w:sz="4" w:space="0" w:color="auto"/>
              <w:right w:val="single" w:sz="4" w:space="0" w:color="auto"/>
            </w:tcBorders>
            <w:shd w:val="clear" w:color="000000" w:fill="FFFFFF"/>
            <w:vAlign w:val="center"/>
            <w:hideMark/>
          </w:tcPr>
          <w:p w14:paraId="76EECC69" w14:textId="24F840E9"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447</w:t>
            </w:r>
          </w:p>
        </w:tc>
        <w:tc>
          <w:tcPr>
            <w:tcW w:w="1317" w:type="dxa"/>
            <w:tcBorders>
              <w:top w:val="nil"/>
              <w:left w:val="nil"/>
              <w:bottom w:val="single" w:sz="4" w:space="0" w:color="auto"/>
              <w:right w:val="single" w:sz="4" w:space="0" w:color="auto"/>
            </w:tcBorders>
            <w:shd w:val="clear" w:color="000000" w:fill="FFFFFF"/>
            <w:vAlign w:val="center"/>
            <w:hideMark/>
          </w:tcPr>
          <w:p w14:paraId="4224C6F7" w14:textId="31A73BE1"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530</w:t>
            </w:r>
          </w:p>
        </w:tc>
        <w:tc>
          <w:tcPr>
            <w:tcW w:w="1316" w:type="dxa"/>
            <w:tcBorders>
              <w:top w:val="nil"/>
              <w:left w:val="nil"/>
              <w:bottom w:val="single" w:sz="4" w:space="0" w:color="auto"/>
              <w:right w:val="single" w:sz="4" w:space="0" w:color="auto"/>
            </w:tcBorders>
            <w:shd w:val="clear" w:color="000000" w:fill="FFFFFF"/>
            <w:vAlign w:val="center"/>
            <w:hideMark/>
          </w:tcPr>
          <w:p w14:paraId="17F1BE16" w14:textId="1CF83E66"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652</w:t>
            </w:r>
          </w:p>
        </w:tc>
        <w:tc>
          <w:tcPr>
            <w:tcW w:w="1316" w:type="dxa"/>
            <w:tcBorders>
              <w:top w:val="nil"/>
              <w:left w:val="nil"/>
              <w:bottom w:val="single" w:sz="4" w:space="0" w:color="auto"/>
              <w:right w:val="single" w:sz="4" w:space="0" w:color="auto"/>
            </w:tcBorders>
            <w:shd w:val="clear" w:color="000000" w:fill="FFFFFF"/>
            <w:vAlign w:val="center"/>
            <w:hideMark/>
          </w:tcPr>
          <w:p w14:paraId="301608FE" w14:textId="71719445"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690</w:t>
            </w:r>
          </w:p>
        </w:tc>
        <w:tc>
          <w:tcPr>
            <w:tcW w:w="1317" w:type="dxa"/>
            <w:tcBorders>
              <w:top w:val="nil"/>
              <w:left w:val="nil"/>
              <w:bottom w:val="single" w:sz="4" w:space="0" w:color="auto"/>
              <w:right w:val="single" w:sz="4" w:space="0" w:color="auto"/>
            </w:tcBorders>
            <w:shd w:val="clear" w:color="000000" w:fill="FFFFFF"/>
            <w:vAlign w:val="center"/>
            <w:hideMark/>
          </w:tcPr>
          <w:p w14:paraId="5863B830" w14:textId="3194BFF3"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699</w:t>
            </w:r>
          </w:p>
        </w:tc>
      </w:tr>
      <w:tr w:rsidR="007E761F" w:rsidRPr="007E761F" w14:paraId="167FE8C8" w14:textId="77777777" w:rsidTr="007E761F">
        <w:trPr>
          <w:trHeight w:val="20"/>
          <w:jc w:val="center"/>
        </w:trPr>
        <w:tc>
          <w:tcPr>
            <w:tcW w:w="2510" w:type="dxa"/>
            <w:tcBorders>
              <w:top w:val="nil"/>
              <w:left w:val="single" w:sz="4" w:space="0" w:color="auto"/>
              <w:bottom w:val="single" w:sz="4" w:space="0" w:color="auto"/>
              <w:right w:val="single" w:sz="4" w:space="0" w:color="auto"/>
            </w:tcBorders>
            <w:shd w:val="clear" w:color="000000" w:fill="FFFFFF"/>
            <w:vAlign w:val="center"/>
            <w:hideMark/>
          </w:tcPr>
          <w:p w14:paraId="37CBD07A"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Medical</w:t>
            </w:r>
          </w:p>
        </w:tc>
        <w:tc>
          <w:tcPr>
            <w:tcW w:w="1316" w:type="dxa"/>
            <w:tcBorders>
              <w:top w:val="nil"/>
              <w:left w:val="nil"/>
              <w:bottom w:val="single" w:sz="4" w:space="0" w:color="auto"/>
              <w:right w:val="single" w:sz="4" w:space="0" w:color="auto"/>
            </w:tcBorders>
            <w:shd w:val="clear" w:color="000000" w:fill="FFFFFF"/>
            <w:vAlign w:val="center"/>
            <w:hideMark/>
          </w:tcPr>
          <w:p w14:paraId="21099803"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74</w:t>
            </w:r>
          </w:p>
        </w:tc>
        <w:tc>
          <w:tcPr>
            <w:tcW w:w="1316" w:type="dxa"/>
            <w:tcBorders>
              <w:top w:val="nil"/>
              <w:left w:val="nil"/>
              <w:bottom w:val="single" w:sz="4" w:space="0" w:color="auto"/>
              <w:right w:val="single" w:sz="4" w:space="0" w:color="auto"/>
            </w:tcBorders>
            <w:shd w:val="clear" w:color="000000" w:fill="FFFFFF"/>
            <w:vAlign w:val="center"/>
            <w:hideMark/>
          </w:tcPr>
          <w:p w14:paraId="08196DB4"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88</w:t>
            </w:r>
          </w:p>
        </w:tc>
        <w:tc>
          <w:tcPr>
            <w:tcW w:w="1317" w:type="dxa"/>
            <w:tcBorders>
              <w:top w:val="nil"/>
              <w:left w:val="nil"/>
              <w:bottom w:val="single" w:sz="4" w:space="0" w:color="auto"/>
              <w:right w:val="single" w:sz="4" w:space="0" w:color="auto"/>
            </w:tcBorders>
            <w:shd w:val="clear" w:color="000000" w:fill="FFFFFF"/>
            <w:vAlign w:val="center"/>
            <w:hideMark/>
          </w:tcPr>
          <w:p w14:paraId="52925839"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81</w:t>
            </w:r>
          </w:p>
        </w:tc>
        <w:tc>
          <w:tcPr>
            <w:tcW w:w="1316" w:type="dxa"/>
            <w:tcBorders>
              <w:top w:val="nil"/>
              <w:left w:val="nil"/>
              <w:bottom w:val="single" w:sz="4" w:space="0" w:color="auto"/>
              <w:right w:val="single" w:sz="4" w:space="0" w:color="auto"/>
            </w:tcBorders>
            <w:shd w:val="clear" w:color="000000" w:fill="FFFFFF"/>
            <w:vAlign w:val="center"/>
            <w:hideMark/>
          </w:tcPr>
          <w:p w14:paraId="534F67A2"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85</w:t>
            </w:r>
          </w:p>
        </w:tc>
        <w:tc>
          <w:tcPr>
            <w:tcW w:w="1316" w:type="dxa"/>
            <w:tcBorders>
              <w:top w:val="nil"/>
              <w:left w:val="nil"/>
              <w:bottom w:val="single" w:sz="4" w:space="0" w:color="auto"/>
              <w:right w:val="single" w:sz="4" w:space="0" w:color="auto"/>
            </w:tcBorders>
            <w:shd w:val="clear" w:color="000000" w:fill="FFFFFF"/>
            <w:vAlign w:val="center"/>
            <w:hideMark/>
          </w:tcPr>
          <w:p w14:paraId="2847A565"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138</w:t>
            </w:r>
          </w:p>
        </w:tc>
        <w:tc>
          <w:tcPr>
            <w:tcW w:w="1317" w:type="dxa"/>
            <w:tcBorders>
              <w:top w:val="nil"/>
              <w:left w:val="nil"/>
              <w:bottom w:val="single" w:sz="4" w:space="0" w:color="auto"/>
              <w:right w:val="single" w:sz="4" w:space="0" w:color="auto"/>
            </w:tcBorders>
            <w:shd w:val="clear" w:color="000000" w:fill="FFFFFF"/>
            <w:vAlign w:val="center"/>
            <w:hideMark/>
          </w:tcPr>
          <w:p w14:paraId="5FA0CA9D"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153</w:t>
            </w:r>
          </w:p>
        </w:tc>
        <w:tc>
          <w:tcPr>
            <w:tcW w:w="1316" w:type="dxa"/>
            <w:tcBorders>
              <w:top w:val="nil"/>
              <w:left w:val="nil"/>
              <w:bottom w:val="single" w:sz="4" w:space="0" w:color="auto"/>
              <w:right w:val="single" w:sz="4" w:space="0" w:color="auto"/>
            </w:tcBorders>
            <w:shd w:val="clear" w:color="000000" w:fill="FFFFFF"/>
            <w:vAlign w:val="center"/>
            <w:hideMark/>
          </w:tcPr>
          <w:p w14:paraId="3689C858"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92</w:t>
            </w:r>
          </w:p>
        </w:tc>
        <w:tc>
          <w:tcPr>
            <w:tcW w:w="1316" w:type="dxa"/>
            <w:tcBorders>
              <w:top w:val="nil"/>
              <w:left w:val="nil"/>
              <w:bottom w:val="single" w:sz="4" w:space="0" w:color="auto"/>
              <w:right w:val="single" w:sz="4" w:space="0" w:color="auto"/>
            </w:tcBorders>
            <w:shd w:val="clear" w:color="000000" w:fill="FFFFFF"/>
            <w:vAlign w:val="center"/>
            <w:hideMark/>
          </w:tcPr>
          <w:p w14:paraId="5ED7B39B"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97</w:t>
            </w:r>
          </w:p>
        </w:tc>
        <w:tc>
          <w:tcPr>
            <w:tcW w:w="1317" w:type="dxa"/>
            <w:tcBorders>
              <w:top w:val="nil"/>
              <w:left w:val="nil"/>
              <w:bottom w:val="single" w:sz="4" w:space="0" w:color="auto"/>
              <w:right w:val="single" w:sz="4" w:space="0" w:color="auto"/>
            </w:tcBorders>
            <w:shd w:val="clear" w:color="000000" w:fill="FFFFFF"/>
            <w:vAlign w:val="center"/>
            <w:hideMark/>
          </w:tcPr>
          <w:p w14:paraId="141220C5"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96</w:t>
            </w:r>
          </w:p>
        </w:tc>
      </w:tr>
      <w:tr w:rsidR="007E761F" w:rsidRPr="007E761F" w14:paraId="4F06E16A" w14:textId="77777777" w:rsidTr="007E761F">
        <w:trPr>
          <w:trHeight w:val="20"/>
          <w:jc w:val="center"/>
        </w:trPr>
        <w:tc>
          <w:tcPr>
            <w:tcW w:w="2510" w:type="dxa"/>
            <w:tcBorders>
              <w:top w:val="nil"/>
              <w:left w:val="single" w:sz="4" w:space="0" w:color="auto"/>
              <w:bottom w:val="single" w:sz="4" w:space="0" w:color="auto"/>
              <w:right w:val="single" w:sz="4" w:space="0" w:color="auto"/>
            </w:tcBorders>
            <w:shd w:val="clear" w:color="000000" w:fill="FFFFFF"/>
            <w:vAlign w:val="center"/>
            <w:hideMark/>
          </w:tcPr>
          <w:p w14:paraId="4411F182" w14:textId="64093BAA"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p>
        </w:tc>
        <w:tc>
          <w:tcPr>
            <w:tcW w:w="1316" w:type="dxa"/>
            <w:tcBorders>
              <w:top w:val="nil"/>
              <w:left w:val="nil"/>
              <w:bottom w:val="single" w:sz="4" w:space="0" w:color="auto"/>
              <w:right w:val="single" w:sz="4" w:space="0" w:color="auto"/>
            </w:tcBorders>
            <w:shd w:val="clear" w:color="000000" w:fill="FFFFFF"/>
            <w:vAlign w:val="center"/>
            <w:hideMark/>
          </w:tcPr>
          <w:p w14:paraId="7F6AF28C" w14:textId="5E0AA604"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172</w:t>
            </w:r>
          </w:p>
        </w:tc>
        <w:tc>
          <w:tcPr>
            <w:tcW w:w="1316" w:type="dxa"/>
            <w:tcBorders>
              <w:top w:val="nil"/>
              <w:left w:val="nil"/>
              <w:bottom w:val="single" w:sz="4" w:space="0" w:color="auto"/>
              <w:right w:val="single" w:sz="4" w:space="0" w:color="auto"/>
            </w:tcBorders>
            <w:shd w:val="clear" w:color="000000" w:fill="FFFFFF"/>
            <w:vAlign w:val="center"/>
            <w:hideMark/>
          </w:tcPr>
          <w:p w14:paraId="44E7DB65" w14:textId="1D235946"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248</w:t>
            </w:r>
          </w:p>
        </w:tc>
        <w:tc>
          <w:tcPr>
            <w:tcW w:w="1317" w:type="dxa"/>
            <w:tcBorders>
              <w:top w:val="nil"/>
              <w:left w:val="nil"/>
              <w:bottom w:val="single" w:sz="4" w:space="0" w:color="auto"/>
              <w:right w:val="single" w:sz="4" w:space="0" w:color="auto"/>
            </w:tcBorders>
            <w:shd w:val="clear" w:color="000000" w:fill="FFFFFF"/>
            <w:vAlign w:val="center"/>
            <w:hideMark/>
          </w:tcPr>
          <w:p w14:paraId="0DD89952" w14:textId="5DEAAABE"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238</w:t>
            </w:r>
          </w:p>
        </w:tc>
        <w:tc>
          <w:tcPr>
            <w:tcW w:w="1316" w:type="dxa"/>
            <w:tcBorders>
              <w:top w:val="nil"/>
              <w:left w:val="nil"/>
              <w:bottom w:val="single" w:sz="4" w:space="0" w:color="auto"/>
              <w:right w:val="single" w:sz="4" w:space="0" w:color="auto"/>
            </w:tcBorders>
            <w:shd w:val="clear" w:color="000000" w:fill="FFFFFF"/>
            <w:vAlign w:val="center"/>
            <w:hideMark/>
          </w:tcPr>
          <w:p w14:paraId="497E9A48" w14:textId="2C5E8C31"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130</w:t>
            </w:r>
          </w:p>
        </w:tc>
        <w:tc>
          <w:tcPr>
            <w:tcW w:w="1316" w:type="dxa"/>
            <w:tcBorders>
              <w:top w:val="nil"/>
              <w:left w:val="nil"/>
              <w:bottom w:val="single" w:sz="4" w:space="0" w:color="auto"/>
              <w:right w:val="single" w:sz="4" w:space="0" w:color="auto"/>
            </w:tcBorders>
            <w:shd w:val="clear" w:color="000000" w:fill="FFFFFF"/>
            <w:vAlign w:val="center"/>
            <w:hideMark/>
          </w:tcPr>
          <w:p w14:paraId="18F19E8A" w14:textId="27619396"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272</w:t>
            </w:r>
          </w:p>
        </w:tc>
        <w:tc>
          <w:tcPr>
            <w:tcW w:w="1317" w:type="dxa"/>
            <w:tcBorders>
              <w:top w:val="nil"/>
              <w:left w:val="nil"/>
              <w:bottom w:val="single" w:sz="4" w:space="0" w:color="auto"/>
              <w:right w:val="single" w:sz="4" w:space="0" w:color="auto"/>
            </w:tcBorders>
            <w:shd w:val="clear" w:color="000000" w:fill="FFFFFF"/>
            <w:vAlign w:val="center"/>
            <w:hideMark/>
          </w:tcPr>
          <w:p w14:paraId="085BDA92" w14:textId="77B0EDFE"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306</w:t>
            </w:r>
          </w:p>
        </w:tc>
        <w:tc>
          <w:tcPr>
            <w:tcW w:w="1316" w:type="dxa"/>
            <w:tcBorders>
              <w:top w:val="nil"/>
              <w:left w:val="nil"/>
              <w:bottom w:val="single" w:sz="4" w:space="0" w:color="auto"/>
              <w:right w:val="single" w:sz="4" w:space="0" w:color="auto"/>
            </w:tcBorders>
            <w:shd w:val="clear" w:color="000000" w:fill="FFFFFF"/>
            <w:vAlign w:val="center"/>
            <w:hideMark/>
          </w:tcPr>
          <w:p w14:paraId="46DCBCA0" w14:textId="7A7E848D"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277</w:t>
            </w:r>
          </w:p>
        </w:tc>
        <w:tc>
          <w:tcPr>
            <w:tcW w:w="1316" w:type="dxa"/>
            <w:tcBorders>
              <w:top w:val="nil"/>
              <w:left w:val="nil"/>
              <w:bottom w:val="single" w:sz="4" w:space="0" w:color="auto"/>
              <w:right w:val="single" w:sz="4" w:space="0" w:color="auto"/>
            </w:tcBorders>
            <w:shd w:val="clear" w:color="000000" w:fill="FFFFFF"/>
            <w:vAlign w:val="center"/>
            <w:hideMark/>
          </w:tcPr>
          <w:p w14:paraId="1D3D18B3" w14:textId="2D520A56"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296</w:t>
            </w:r>
          </w:p>
        </w:tc>
        <w:tc>
          <w:tcPr>
            <w:tcW w:w="1317" w:type="dxa"/>
            <w:tcBorders>
              <w:top w:val="nil"/>
              <w:left w:val="nil"/>
              <w:bottom w:val="single" w:sz="4" w:space="0" w:color="auto"/>
              <w:right w:val="single" w:sz="4" w:space="0" w:color="auto"/>
            </w:tcBorders>
            <w:shd w:val="clear" w:color="000000" w:fill="FFFFFF"/>
            <w:vAlign w:val="center"/>
            <w:hideMark/>
          </w:tcPr>
          <w:p w14:paraId="4BE944F2" w14:textId="32948F5E"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315</w:t>
            </w:r>
          </w:p>
        </w:tc>
      </w:tr>
      <w:tr w:rsidR="007E761F" w:rsidRPr="007E761F" w14:paraId="5922F98B" w14:textId="77777777" w:rsidTr="007E761F">
        <w:trPr>
          <w:trHeight w:val="20"/>
          <w:jc w:val="center"/>
        </w:trPr>
        <w:tc>
          <w:tcPr>
            <w:tcW w:w="2510" w:type="dxa"/>
            <w:tcBorders>
              <w:top w:val="nil"/>
              <w:left w:val="single" w:sz="4" w:space="0" w:color="auto"/>
              <w:bottom w:val="single" w:sz="4" w:space="0" w:color="auto"/>
              <w:right w:val="single" w:sz="4" w:space="0" w:color="auto"/>
            </w:tcBorders>
            <w:shd w:val="clear" w:color="000000" w:fill="FFFFFF"/>
            <w:vAlign w:val="center"/>
            <w:hideMark/>
          </w:tcPr>
          <w:p w14:paraId="56026FC1"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Public Health</w:t>
            </w:r>
          </w:p>
        </w:tc>
        <w:tc>
          <w:tcPr>
            <w:tcW w:w="1316" w:type="dxa"/>
            <w:tcBorders>
              <w:top w:val="nil"/>
              <w:left w:val="nil"/>
              <w:bottom w:val="single" w:sz="4" w:space="0" w:color="auto"/>
              <w:right w:val="single" w:sz="4" w:space="0" w:color="auto"/>
            </w:tcBorders>
            <w:shd w:val="clear" w:color="000000" w:fill="FFFFFF"/>
            <w:vAlign w:val="center"/>
            <w:hideMark/>
          </w:tcPr>
          <w:p w14:paraId="36862D8F"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3</w:t>
            </w:r>
          </w:p>
        </w:tc>
        <w:tc>
          <w:tcPr>
            <w:tcW w:w="1316" w:type="dxa"/>
            <w:tcBorders>
              <w:top w:val="nil"/>
              <w:left w:val="nil"/>
              <w:bottom w:val="single" w:sz="4" w:space="0" w:color="auto"/>
              <w:right w:val="single" w:sz="4" w:space="0" w:color="auto"/>
            </w:tcBorders>
            <w:shd w:val="clear" w:color="000000" w:fill="FFFFFF"/>
            <w:vAlign w:val="center"/>
            <w:hideMark/>
          </w:tcPr>
          <w:p w14:paraId="548E96BF"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3</w:t>
            </w:r>
          </w:p>
        </w:tc>
        <w:tc>
          <w:tcPr>
            <w:tcW w:w="1317" w:type="dxa"/>
            <w:tcBorders>
              <w:top w:val="nil"/>
              <w:left w:val="nil"/>
              <w:bottom w:val="single" w:sz="4" w:space="0" w:color="auto"/>
              <w:right w:val="single" w:sz="4" w:space="0" w:color="auto"/>
            </w:tcBorders>
            <w:shd w:val="clear" w:color="000000" w:fill="FFFFFF"/>
            <w:vAlign w:val="center"/>
            <w:hideMark/>
          </w:tcPr>
          <w:p w14:paraId="7D3A0862"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1</w:t>
            </w:r>
          </w:p>
        </w:tc>
        <w:tc>
          <w:tcPr>
            <w:tcW w:w="1316" w:type="dxa"/>
            <w:tcBorders>
              <w:top w:val="nil"/>
              <w:left w:val="nil"/>
              <w:bottom w:val="single" w:sz="4" w:space="0" w:color="auto"/>
              <w:right w:val="single" w:sz="4" w:space="0" w:color="auto"/>
            </w:tcBorders>
            <w:shd w:val="clear" w:color="000000" w:fill="FFFFFF"/>
            <w:vAlign w:val="center"/>
            <w:hideMark/>
          </w:tcPr>
          <w:p w14:paraId="36608021"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21</w:t>
            </w:r>
          </w:p>
        </w:tc>
        <w:tc>
          <w:tcPr>
            <w:tcW w:w="1316" w:type="dxa"/>
            <w:tcBorders>
              <w:top w:val="nil"/>
              <w:left w:val="nil"/>
              <w:bottom w:val="single" w:sz="4" w:space="0" w:color="auto"/>
              <w:right w:val="single" w:sz="4" w:space="0" w:color="auto"/>
            </w:tcBorders>
            <w:shd w:val="clear" w:color="000000" w:fill="FFFFFF"/>
            <w:vAlign w:val="center"/>
            <w:hideMark/>
          </w:tcPr>
          <w:p w14:paraId="2F203473"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22</w:t>
            </w:r>
          </w:p>
        </w:tc>
        <w:tc>
          <w:tcPr>
            <w:tcW w:w="1317" w:type="dxa"/>
            <w:tcBorders>
              <w:top w:val="nil"/>
              <w:left w:val="nil"/>
              <w:bottom w:val="single" w:sz="4" w:space="0" w:color="auto"/>
              <w:right w:val="single" w:sz="4" w:space="0" w:color="auto"/>
            </w:tcBorders>
            <w:shd w:val="clear" w:color="000000" w:fill="FFFFFF"/>
            <w:vAlign w:val="center"/>
            <w:hideMark/>
          </w:tcPr>
          <w:p w14:paraId="0188FE0B"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19</w:t>
            </w:r>
          </w:p>
        </w:tc>
        <w:tc>
          <w:tcPr>
            <w:tcW w:w="1316" w:type="dxa"/>
            <w:tcBorders>
              <w:top w:val="nil"/>
              <w:left w:val="nil"/>
              <w:bottom w:val="single" w:sz="4" w:space="0" w:color="auto"/>
              <w:right w:val="single" w:sz="4" w:space="0" w:color="auto"/>
            </w:tcBorders>
            <w:shd w:val="clear" w:color="000000" w:fill="FFFFFF"/>
            <w:vAlign w:val="center"/>
            <w:hideMark/>
          </w:tcPr>
          <w:p w14:paraId="7F868C70"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17</w:t>
            </w:r>
          </w:p>
        </w:tc>
        <w:tc>
          <w:tcPr>
            <w:tcW w:w="1316" w:type="dxa"/>
            <w:tcBorders>
              <w:top w:val="nil"/>
              <w:left w:val="nil"/>
              <w:bottom w:val="single" w:sz="4" w:space="0" w:color="auto"/>
              <w:right w:val="single" w:sz="4" w:space="0" w:color="auto"/>
            </w:tcBorders>
            <w:shd w:val="clear" w:color="000000" w:fill="FFFFFF"/>
            <w:vAlign w:val="center"/>
            <w:hideMark/>
          </w:tcPr>
          <w:p w14:paraId="67C6977A"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20</w:t>
            </w:r>
          </w:p>
        </w:tc>
        <w:tc>
          <w:tcPr>
            <w:tcW w:w="1317" w:type="dxa"/>
            <w:tcBorders>
              <w:top w:val="nil"/>
              <w:left w:val="nil"/>
              <w:bottom w:val="single" w:sz="4" w:space="0" w:color="auto"/>
              <w:right w:val="single" w:sz="4" w:space="0" w:color="auto"/>
            </w:tcBorders>
            <w:shd w:val="clear" w:color="000000" w:fill="FFFFFF"/>
            <w:vAlign w:val="center"/>
            <w:hideMark/>
          </w:tcPr>
          <w:p w14:paraId="48AE1330"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15</w:t>
            </w:r>
          </w:p>
        </w:tc>
      </w:tr>
      <w:tr w:rsidR="007E761F" w:rsidRPr="007E761F" w14:paraId="39B0BC8A" w14:textId="77777777" w:rsidTr="007E761F">
        <w:trPr>
          <w:trHeight w:val="20"/>
          <w:jc w:val="center"/>
        </w:trPr>
        <w:tc>
          <w:tcPr>
            <w:tcW w:w="2510" w:type="dxa"/>
            <w:tcBorders>
              <w:top w:val="nil"/>
              <w:left w:val="single" w:sz="4" w:space="0" w:color="auto"/>
              <w:bottom w:val="single" w:sz="4" w:space="0" w:color="auto"/>
              <w:right w:val="single" w:sz="4" w:space="0" w:color="auto"/>
            </w:tcBorders>
            <w:shd w:val="clear" w:color="000000" w:fill="FFFFFF"/>
            <w:vAlign w:val="center"/>
            <w:hideMark/>
          </w:tcPr>
          <w:p w14:paraId="2DCC32EC" w14:textId="5142CB10"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p>
        </w:tc>
        <w:tc>
          <w:tcPr>
            <w:tcW w:w="1316" w:type="dxa"/>
            <w:tcBorders>
              <w:top w:val="nil"/>
              <w:left w:val="nil"/>
              <w:bottom w:val="single" w:sz="4" w:space="0" w:color="auto"/>
              <w:right w:val="single" w:sz="4" w:space="0" w:color="auto"/>
            </w:tcBorders>
            <w:shd w:val="clear" w:color="000000" w:fill="FFFFFF"/>
            <w:vAlign w:val="center"/>
            <w:hideMark/>
          </w:tcPr>
          <w:p w14:paraId="0DCA5105" w14:textId="598FCCC1"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157</w:t>
            </w:r>
          </w:p>
        </w:tc>
        <w:tc>
          <w:tcPr>
            <w:tcW w:w="1316" w:type="dxa"/>
            <w:tcBorders>
              <w:top w:val="nil"/>
              <w:left w:val="nil"/>
              <w:bottom w:val="single" w:sz="4" w:space="0" w:color="auto"/>
              <w:right w:val="single" w:sz="4" w:space="0" w:color="auto"/>
            </w:tcBorders>
            <w:shd w:val="clear" w:color="000000" w:fill="FFFFFF"/>
            <w:vAlign w:val="center"/>
            <w:hideMark/>
          </w:tcPr>
          <w:p w14:paraId="2592D2A8" w14:textId="7024A1A0"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219</w:t>
            </w:r>
          </w:p>
        </w:tc>
        <w:tc>
          <w:tcPr>
            <w:tcW w:w="1317" w:type="dxa"/>
            <w:tcBorders>
              <w:top w:val="nil"/>
              <w:left w:val="nil"/>
              <w:bottom w:val="single" w:sz="4" w:space="0" w:color="auto"/>
              <w:right w:val="single" w:sz="4" w:space="0" w:color="auto"/>
            </w:tcBorders>
            <w:shd w:val="clear" w:color="000000" w:fill="FFFFFF"/>
            <w:vAlign w:val="center"/>
            <w:hideMark/>
          </w:tcPr>
          <w:p w14:paraId="0CA84675" w14:textId="0EA5159D"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208</w:t>
            </w:r>
          </w:p>
        </w:tc>
        <w:tc>
          <w:tcPr>
            <w:tcW w:w="1316" w:type="dxa"/>
            <w:tcBorders>
              <w:top w:val="nil"/>
              <w:left w:val="nil"/>
              <w:bottom w:val="single" w:sz="4" w:space="0" w:color="auto"/>
              <w:right w:val="single" w:sz="4" w:space="0" w:color="auto"/>
            </w:tcBorders>
            <w:shd w:val="clear" w:color="000000" w:fill="FFFFFF"/>
            <w:vAlign w:val="center"/>
            <w:hideMark/>
          </w:tcPr>
          <w:p w14:paraId="2EA3BEA9" w14:textId="4234F849"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40</w:t>
            </w:r>
          </w:p>
        </w:tc>
        <w:tc>
          <w:tcPr>
            <w:tcW w:w="1316" w:type="dxa"/>
            <w:tcBorders>
              <w:top w:val="nil"/>
              <w:left w:val="nil"/>
              <w:bottom w:val="single" w:sz="4" w:space="0" w:color="auto"/>
              <w:right w:val="single" w:sz="4" w:space="0" w:color="auto"/>
            </w:tcBorders>
            <w:shd w:val="clear" w:color="000000" w:fill="FFFFFF"/>
            <w:vAlign w:val="center"/>
            <w:hideMark/>
          </w:tcPr>
          <w:p w14:paraId="5AD63029" w14:textId="620AC34C"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66</w:t>
            </w:r>
          </w:p>
        </w:tc>
        <w:tc>
          <w:tcPr>
            <w:tcW w:w="1317" w:type="dxa"/>
            <w:tcBorders>
              <w:top w:val="nil"/>
              <w:left w:val="nil"/>
              <w:bottom w:val="single" w:sz="4" w:space="0" w:color="auto"/>
              <w:right w:val="single" w:sz="4" w:space="0" w:color="auto"/>
            </w:tcBorders>
            <w:shd w:val="clear" w:color="000000" w:fill="FFFFFF"/>
            <w:vAlign w:val="center"/>
            <w:hideMark/>
          </w:tcPr>
          <w:p w14:paraId="66027BC5" w14:textId="59A71F82"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66</w:t>
            </w:r>
          </w:p>
        </w:tc>
        <w:tc>
          <w:tcPr>
            <w:tcW w:w="1316" w:type="dxa"/>
            <w:tcBorders>
              <w:top w:val="nil"/>
              <w:left w:val="nil"/>
              <w:bottom w:val="single" w:sz="4" w:space="0" w:color="auto"/>
              <w:right w:val="single" w:sz="4" w:space="0" w:color="auto"/>
            </w:tcBorders>
            <w:shd w:val="clear" w:color="000000" w:fill="FFFFFF"/>
            <w:vAlign w:val="center"/>
            <w:hideMark/>
          </w:tcPr>
          <w:p w14:paraId="08531D78" w14:textId="78736C6E"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91</w:t>
            </w:r>
          </w:p>
        </w:tc>
        <w:tc>
          <w:tcPr>
            <w:tcW w:w="1316" w:type="dxa"/>
            <w:tcBorders>
              <w:top w:val="nil"/>
              <w:left w:val="nil"/>
              <w:bottom w:val="single" w:sz="4" w:space="0" w:color="auto"/>
              <w:right w:val="single" w:sz="4" w:space="0" w:color="auto"/>
            </w:tcBorders>
            <w:shd w:val="clear" w:color="000000" w:fill="FFFFFF"/>
            <w:vAlign w:val="center"/>
            <w:hideMark/>
          </w:tcPr>
          <w:p w14:paraId="779E4375" w14:textId="3F63550B"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114</w:t>
            </w:r>
          </w:p>
        </w:tc>
        <w:tc>
          <w:tcPr>
            <w:tcW w:w="1317" w:type="dxa"/>
            <w:tcBorders>
              <w:top w:val="nil"/>
              <w:left w:val="nil"/>
              <w:bottom w:val="single" w:sz="4" w:space="0" w:color="auto"/>
              <w:right w:val="single" w:sz="4" w:space="0" w:color="auto"/>
            </w:tcBorders>
            <w:shd w:val="clear" w:color="000000" w:fill="FFFFFF"/>
            <w:vAlign w:val="center"/>
            <w:hideMark/>
          </w:tcPr>
          <w:p w14:paraId="0D8EC88F" w14:textId="084CC492"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104</w:t>
            </w:r>
          </w:p>
        </w:tc>
      </w:tr>
      <w:tr w:rsidR="007E761F" w:rsidRPr="007E761F" w14:paraId="1B36E20D" w14:textId="77777777" w:rsidTr="007E761F">
        <w:trPr>
          <w:trHeight w:val="20"/>
          <w:jc w:val="center"/>
        </w:trPr>
        <w:tc>
          <w:tcPr>
            <w:tcW w:w="2510" w:type="dxa"/>
            <w:tcBorders>
              <w:top w:val="nil"/>
              <w:left w:val="single" w:sz="4" w:space="0" w:color="auto"/>
              <w:bottom w:val="single" w:sz="4" w:space="0" w:color="auto"/>
              <w:right w:val="single" w:sz="4" w:space="0" w:color="auto"/>
            </w:tcBorders>
            <w:shd w:val="clear" w:color="000000" w:fill="FFFFFF"/>
            <w:vAlign w:val="center"/>
            <w:hideMark/>
          </w:tcPr>
          <w:p w14:paraId="4C3DC283"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Education</w:t>
            </w:r>
          </w:p>
        </w:tc>
        <w:tc>
          <w:tcPr>
            <w:tcW w:w="1316" w:type="dxa"/>
            <w:tcBorders>
              <w:top w:val="nil"/>
              <w:left w:val="nil"/>
              <w:bottom w:val="single" w:sz="4" w:space="0" w:color="auto"/>
              <w:right w:val="single" w:sz="4" w:space="0" w:color="auto"/>
            </w:tcBorders>
            <w:shd w:val="clear" w:color="000000" w:fill="FFFFFF"/>
            <w:vAlign w:val="center"/>
            <w:hideMark/>
          </w:tcPr>
          <w:p w14:paraId="785C0742"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86</w:t>
            </w:r>
          </w:p>
        </w:tc>
        <w:tc>
          <w:tcPr>
            <w:tcW w:w="1316" w:type="dxa"/>
            <w:tcBorders>
              <w:top w:val="nil"/>
              <w:left w:val="nil"/>
              <w:bottom w:val="single" w:sz="4" w:space="0" w:color="auto"/>
              <w:right w:val="single" w:sz="4" w:space="0" w:color="auto"/>
            </w:tcBorders>
            <w:shd w:val="clear" w:color="000000" w:fill="FFFFFF"/>
            <w:vAlign w:val="center"/>
            <w:hideMark/>
          </w:tcPr>
          <w:p w14:paraId="7D8F6FDA"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112</w:t>
            </w:r>
          </w:p>
        </w:tc>
        <w:tc>
          <w:tcPr>
            <w:tcW w:w="1317" w:type="dxa"/>
            <w:tcBorders>
              <w:top w:val="nil"/>
              <w:left w:val="nil"/>
              <w:bottom w:val="single" w:sz="4" w:space="0" w:color="auto"/>
              <w:right w:val="single" w:sz="4" w:space="0" w:color="auto"/>
            </w:tcBorders>
            <w:shd w:val="clear" w:color="000000" w:fill="FFFFFF"/>
            <w:vAlign w:val="center"/>
            <w:hideMark/>
          </w:tcPr>
          <w:p w14:paraId="02C2E839"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134</w:t>
            </w:r>
          </w:p>
        </w:tc>
        <w:tc>
          <w:tcPr>
            <w:tcW w:w="1316" w:type="dxa"/>
            <w:tcBorders>
              <w:top w:val="nil"/>
              <w:left w:val="nil"/>
              <w:bottom w:val="single" w:sz="4" w:space="0" w:color="auto"/>
              <w:right w:val="single" w:sz="4" w:space="0" w:color="auto"/>
            </w:tcBorders>
            <w:shd w:val="clear" w:color="000000" w:fill="FFFFFF"/>
            <w:vAlign w:val="center"/>
            <w:hideMark/>
          </w:tcPr>
          <w:p w14:paraId="0A538716"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71</w:t>
            </w:r>
          </w:p>
        </w:tc>
        <w:tc>
          <w:tcPr>
            <w:tcW w:w="1316" w:type="dxa"/>
            <w:tcBorders>
              <w:top w:val="nil"/>
              <w:left w:val="nil"/>
              <w:bottom w:val="single" w:sz="4" w:space="0" w:color="auto"/>
              <w:right w:val="single" w:sz="4" w:space="0" w:color="auto"/>
            </w:tcBorders>
            <w:shd w:val="clear" w:color="000000" w:fill="FFFFFF"/>
            <w:vAlign w:val="center"/>
            <w:hideMark/>
          </w:tcPr>
          <w:p w14:paraId="41720932"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79</w:t>
            </w:r>
          </w:p>
        </w:tc>
        <w:tc>
          <w:tcPr>
            <w:tcW w:w="1317" w:type="dxa"/>
            <w:tcBorders>
              <w:top w:val="nil"/>
              <w:left w:val="nil"/>
              <w:bottom w:val="single" w:sz="4" w:space="0" w:color="auto"/>
              <w:right w:val="single" w:sz="4" w:space="0" w:color="auto"/>
            </w:tcBorders>
            <w:shd w:val="clear" w:color="000000" w:fill="FFFFFF"/>
            <w:vAlign w:val="center"/>
            <w:hideMark/>
          </w:tcPr>
          <w:p w14:paraId="4ED7A875"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93</w:t>
            </w:r>
          </w:p>
        </w:tc>
        <w:tc>
          <w:tcPr>
            <w:tcW w:w="1316" w:type="dxa"/>
            <w:tcBorders>
              <w:top w:val="nil"/>
              <w:left w:val="nil"/>
              <w:bottom w:val="single" w:sz="4" w:space="0" w:color="auto"/>
              <w:right w:val="single" w:sz="4" w:space="0" w:color="auto"/>
            </w:tcBorders>
            <w:shd w:val="clear" w:color="000000" w:fill="FFFFFF"/>
            <w:vAlign w:val="center"/>
            <w:hideMark/>
          </w:tcPr>
          <w:p w14:paraId="4266713D"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71</w:t>
            </w:r>
          </w:p>
        </w:tc>
        <w:tc>
          <w:tcPr>
            <w:tcW w:w="1316" w:type="dxa"/>
            <w:tcBorders>
              <w:top w:val="nil"/>
              <w:left w:val="nil"/>
              <w:bottom w:val="single" w:sz="4" w:space="0" w:color="auto"/>
              <w:right w:val="single" w:sz="4" w:space="0" w:color="auto"/>
            </w:tcBorders>
            <w:shd w:val="clear" w:color="000000" w:fill="FFFFFF"/>
            <w:vAlign w:val="center"/>
            <w:hideMark/>
          </w:tcPr>
          <w:p w14:paraId="6F12F7BD"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82</w:t>
            </w:r>
          </w:p>
        </w:tc>
        <w:tc>
          <w:tcPr>
            <w:tcW w:w="1317" w:type="dxa"/>
            <w:tcBorders>
              <w:top w:val="nil"/>
              <w:left w:val="nil"/>
              <w:bottom w:val="single" w:sz="4" w:space="0" w:color="auto"/>
              <w:right w:val="single" w:sz="4" w:space="0" w:color="auto"/>
            </w:tcBorders>
            <w:shd w:val="clear" w:color="000000" w:fill="FFFFFF"/>
            <w:vAlign w:val="center"/>
            <w:hideMark/>
          </w:tcPr>
          <w:p w14:paraId="45B711E9"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83</w:t>
            </w:r>
          </w:p>
        </w:tc>
      </w:tr>
      <w:tr w:rsidR="007E761F" w:rsidRPr="007E761F" w14:paraId="2441FF12" w14:textId="77777777" w:rsidTr="007E761F">
        <w:trPr>
          <w:trHeight w:val="20"/>
          <w:jc w:val="center"/>
        </w:trPr>
        <w:tc>
          <w:tcPr>
            <w:tcW w:w="2510" w:type="dxa"/>
            <w:tcBorders>
              <w:top w:val="nil"/>
              <w:left w:val="single" w:sz="4" w:space="0" w:color="auto"/>
              <w:bottom w:val="single" w:sz="4" w:space="0" w:color="auto"/>
              <w:right w:val="single" w:sz="4" w:space="0" w:color="auto"/>
            </w:tcBorders>
            <w:shd w:val="clear" w:color="000000" w:fill="FFFFFF"/>
            <w:vAlign w:val="center"/>
            <w:hideMark/>
          </w:tcPr>
          <w:p w14:paraId="238ACE5D" w14:textId="0A750AA5"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p>
        </w:tc>
        <w:tc>
          <w:tcPr>
            <w:tcW w:w="1316" w:type="dxa"/>
            <w:tcBorders>
              <w:top w:val="nil"/>
              <w:left w:val="nil"/>
              <w:bottom w:val="single" w:sz="4" w:space="0" w:color="auto"/>
              <w:right w:val="single" w:sz="4" w:space="0" w:color="auto"/>
            </w:tcBorders>
            <w:shd w:val="clear" w:color="000000" w:fill="FFFFFF"/>
            <w:vAlign w:val="center"/>
            <w:hideMark/>
          </w:tcPr>
          <w:p w14:paraId="1F1B7DC2" w14:textId="7CAEF821"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802</w:t>
            </w:r>
          </w:p>
        </w:tc>
        <w:tc>
          <w:tcPr>
            <w:tcW w:w="1316" w:type="dxa"/>
            <w:tcBorders>
              <w:top w:val="nil"/>
              <w:left w:val="nil"/>
              <w:bottom w:val="single" w:sz="4" w:space="0" w:color="auto"/>
              <w:right w:val="single" w:sz="4" w:space="0" w:color="auto"/>
            </w:tcBorders>
            <w:shd w:val="clear" w:color="000000" w:fill="FFFFFF"/>
            <w:vAlign w:val="center"/>
            <w:hideMark/>
          </w:tcPr>
          <w:p w14:paraId="7CB44940" w14:textId="4859771A"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1125</w:t>
            </w:r>
          </w:p>
        </w:tc>
        <w:tc>
          <w:tcPr>
            <w:tcW w:w="1317" w:type="dxa"/>
            <w:tcBorders>
              <w:top w:val="nil"/>
              <w:left w:val="nil"/>
              <w:bottom w:val="single" w:sz="4" w:space="0" w:color="auto"/>
              <w:right w:val="single" w:sz="4" w:space="0" w:color="auto"/>
            </w:tcBorders>
            <w:shd w:val="clear" w:color="000000" w:fill="FFFFFF"/>
            <w:vAlign w:val="center"/>
            <w:hideMark/>
          </w:tcPr>
          <w:p w14:paraId="2B6B0AEC" w14:textId="6E3AF2A9"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1249</w:t>
            </w:r>
          </w:p>
        </w:tc>
        <w:tc>
          <w:tcPr>
            <w:tcW w:w="1316" w:type="dxa"/>
            <w:tcBorders>
              <w:top w:val="nil"/>
              <w:left w:val="nil"/>
              <w:bottom w:val="single" w:sz="4" w:space="0" w:color="auto"/>
              <w:right w:val="single" w:sz="4" w:space="0" w:color="auto"/>
            </w:tcBorders>
            <w:shd w:val="clear" w:color="000000" w:fill="FFFFFF"/>
            <w:vAlign w:val="center"/>
            <w:hideMark/>
          </w:tcPr>
          <w:p w14:paraId="448EBE26" w14:textId="0525E31D"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197</w:t>
            </w:r>
          </w:p>
        </w:tc>
        <w:tc>
          <w:tcPr>
            <w:tcW w:w="1316" w:type="dxa"/>
            <w:tcBorders>
              <w:top w:val="nil"/>
              <w:left w:val="nil"/>
              <w:bottom w:val="single" w:sz="4" w:space="0" w:color="auto"/>
              <w:right w:val="single" w:sz="4" w:space="0" w:color="auto"/>
            </w:tcBorders>
            <w:shd w:val="clear" w:color="000000" w:fill="FFFFFF"/>
            <w:vAlign w:val="center"/>
            <w:hideMark/>
          </w:tcPr>
          <w:p w14:paraId="33219D69" w14:textId="51F32E73"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269</w:t>
            </w:r>
          </w:p>
        </w:tc>
        <w:tc>
          <w:tcPr>
            <w:tcW w:w="1317" w:type="dxa"/>
            <w:tcBorders>
              <w:top w:val="nil"/>
              <w:left w:val="nil"/>
              <w:bottom w:val="single" w:sz="4" w:space="0" w:color="auto"/>
              <w:right w:val="single" w:sz="4" w:space="0" w:color="auto"/>
            </w:tcBorders>
            <w:shd w:val="clear" w:color="000000" w:fill="FFFFFF"/>
            <w:vAlign w:val="center"/>
            <w:hideMark/>
          </w:tcPr>
          <w:p w14:paraId="2BA08450" w14:textId="7B70B057"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307</w:t>
            </w:r>
          </w:p>
        </w:tc>
        <w:tc>
          <w:tcPr>
            <w:tcW w:w="1316" w:type="dxa"/>
            <w:tcBorders>
              <w:top w:val="nil"/>
              <w:left w:val="nil"/>
              <w:bottom w:val="single" w:sz="4" w:space="0" w:color="auto"/>
              <w:right w:val="single" w:sz="4" w:space="0" w:color="auto"/>
            </w:tcBorders>
            <w:shd w:val="clear" w:color="000000" w:fill="FFFFFF"/>
            <w:vAlign w:val="center"/>
            <w:hideMark/>
          </w:tcPr>
          <w:p w14:paraId="4800A942" w14:textId="7F13AF3E"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886</w:t>
            </w:r>
          </w:p>
        </w:tc>
        <w:tc>
          <w:tcPr>
            <w:tcW w:w="1316" w:type="dxa"/>
            <w:tcBorders>
              <w:top w:val="nil"/>
              <w:left w:val="nil"/>
              <w:bottom w:val="single" w:sz="4" w:space="0" w:color="auto"/>
              <w:right w:val="single" w:sz="4" w:space="0" w:color="auto"/>
            </w:tcBorders>
            <w:shd w:val="clear" w:color="000000" w:fill="FFFFFF"/>
            <w:vAlign w:val="center"/>
            <w:hideMark/>
          </w:tcPr>
          <w:p w14:paraId="5C6A2BA8" w14:textId="60C24BA1"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958</w:t>
            </w:r>
          </w:p>
        </w:tc>
        <w:tc>
          <w:tcPr>
            <w:tcW w:w="1317" w:type="dxa"/>
            <w:tcBorders>
              <w:top w:val="nil"/>
              <w:left w:val="nil"/>
              <w:bottom w:val="single" w:sz="4" w:space="0" w:color="auto"/>
              <w:right w:val="single" w:sz="4" w:space="0" w:color="auto"/>
            </w:tcBorders>
            <w:shd w:val="clear" w:color="000000" w:fill="FFFFFF"/>
            <w:vAlign w:val="center"/>
            <w:hideMark/>
          </w:tcPr>
          <w:p w14:paraId="7019AE56" w14:textId="041DCA18"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1043</w:t>
            </w:r>
          </w:p>
        </w:tc>
      </w:tr>
      <w:tr w:rsidR="007E761F" w:rsidRPr="007E761F" w14:paraId="1727401A" w14:textId="77777777" w:rsidTr="007E761F">
        <w:trPr>
          <w:trHeight w:val="20"/>
          <w:jc w:val="center"/>
        </w:trPr>
        <w:tc>
          <w:tcPr>
            <w:tcW w:w="2510" w:type="dxa"/>
            <w:tcBorders>
              <w:top w:val="nil"/>
              <w:left w:val="single" w:sz="4" w:space="0" w:color="auto"/>
              <w:bottom w:val="single" w:sz="4" w:space="0" w:color="auto"/>
              <w:right w:val="single" w:sz="4" w:space="0" w:color="auto"/>
            </w:tcBorders>
            <w:shd w:val="clear" w:color="000000" w:fill="FFFFFF"/>
            <w:vAlign w:val="center"/>
            <w:hideMark/>
          </w:tcPr>
          <w:p w14:paraId="12E329B0"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General Administration</w:t>
            </w:r>
          </w:p>
        </w:tc>
        <w:tc>
          <w:tcPr>
            <w:tcW w:w="1316" w:type="dxa"/>
            <w:tcBorders>
              <w:top w:val="nil"/>
              <w:left w:val="nil"/>
              <w:bottom w:val="single" w:sz="4" w:space="0" w:color="auto"/>
              <w:right w:val="single" w:sz="4" w:space="0" w:color="auto"/>
            </w:tcBorders>
            <w:shd w:val="clear" w:color="000000" w:fill="FFFFFF"/>
            <w:vAlign w:val="center"/>
            <w:hideMark/>
          </w:tcPr>
          <w:p w14:paraId="2FC2F7BD"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78</w:t>
            </w:r>
          </w:p>
        </w:tc>
        <w:tc>
          <w:tcPr>
            <w:tcW w:w="1316" w:type="dxa"/>
            <w:tcBorders>
              <w:top w:val="nil"/>
              <w:left w:val="nil"/>
              <w:bottom w:val="single" w:sz="4" w:space="0" w:color="auto"/>
              <w:right w:val="single" w:sz="4" w:space="0" w:color="auto"/>
            </w:tcBorders>
            <w:shd w:val="clear" w:color="000000" w:fill="FFFFFF"/>
            <w:vAlign w:val="center"/>
            <w:hideMark/>
          </w:tcPr>
          <w:p w14:paraId="65A6ED57"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97</w:t>
            </w:r>
          </w:p>
        </w:tc>
        <w:tc>
          <w:tcPr>
            <w:tcW w:w="1317" w:type="dxa"/>
            <w:tcBorders>
              <w:top w:val="nil"/>
              <w:left w:val="nil"/>
              <w:bottom w:val="single" w:sz="4" w:space="0" w:color="auto"/>
              <w:right w:val="single" w:sz="4" w:space="0" w:color="auto"/>
            </w:tcBorders>
            <w:shd w:val="clear" w:color="000000" w:fill="FFFFFF"/>
            <w:vAlign w:val="center"/>
            <w:hideMark/>
          </w:tcPr>
          <w:p w14:paraId="4FEC2115"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95</w:t>
            </w:r>
          </w:p>
        </w:tc>
        <w:tc>
          <w:tcPr>
            <w:tcW w:w="1316" w:type="dxa"/>
            <w:tcBorders>
              <w:top w:val="nil"/>
              <w:left w:val="nil"/>
              <w:bottom w:val="single" w:sz="4" w:space="0" w:color="auto"/>
              <w:right w:val="single" w:sz="4" w:space="0" w:color="auto"/>
            </w:tcBorders>
            <w:shd w:val="clear" w:color="000000" w:fill="FFFFFF"/>
            <w:vAlign w:val="center"/>
            <w:hideMark/>
          </w:tcPr>
          <w:p w14:paraId="30BE13D9"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77</w:t>
            </w:r>
          </w:p>
        </w:tc>
        <w:tc>
          <w:tcPr>
            <w:tcW w:w="1316" w:type="dxa"/>
            <w:tcBorders>
              <w:top w:val="nil"/>
              <w:left w:val="nil"/>
              <w:bottom w:val="single" w:sz="4" w:space="0" w:color="auto"/>
              <w:right w:val="single" w:sz="4" w:space="0" w:color="auto"/>
            </w:tcBorders>
            <w:shd w:val="clear" w:color="000000" w:fill="FFFFFF"/>
            <w:vAlign w:val="center"/>
            <w:hideMark/>
          </w:tcPr>
          <w:p w14:paraId="070C30EB"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83</w:t>
            </w:r>
          </w:p>
        </w:tc>
        <w:tc>
          <w:tcPr>
            <w:tcW w:w="1317" w:type="dxa"/>
            <w:tcBorders>
              <w:top w:val="nil"/>
              <w:left w:val="nil"/>
              <w:bottom w:val="single" w:sz="4" w:space="0" w:color="auto"/>
              <w:right w:val="single" w:sz="4" w:space="0" w:color="auto"/>
            </w:tcBorders>
            <w:shd w:val="clear" w:color="000000" w:fill="FFFFFF"/>
            <w:vAlign w:val="center"/>
            <w:hideMark/>
          </w:tcPr>
          <w:p w14:paraId="79BD6CFA"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90</w:t>
            </w:r>
          </w:p>
        </w:tc>
        <w:tc>
          <w:tcPr>
            <w:tcW w:w="1316" w:type="dxa"/>
            <w:tcBorders>
              <w:top w:val="nil"/>
              <w:left w:val="nil"/>
              <w:bottom w:val="single" w:sz="4" w:space="0" w:color="auto"/>
              <w:right w:val="single" w:sz="4" w:space="0" w:color="auto"/>
            </w:tcBorders>
            <w:shd w:val="clear" w:color="000000" w:fill="FFFFFF"/>
            <w:vAlign w:val="center"/>
            <w:hideMark/>
          </w:tcPr>
          <w:p w14:paraId="730AA934"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71</w:t>
            </w:r>
          </w:p>
        </w:tc>
        <w:tc>
          <w:tcPr>
            <w:tcW w:w="1316" w:type="dxa"/>
            <w:tcBorders>
              <w:top w:val="nil"/>
              <w:left w:val="nil"/>
              <w:bottom w:val="single" w:sz="4" w:space="0" w:color="auto"/>
              <w:right w:val="single" w:sz="4" w:space="0" w:color="auto"/>
            </w:tcBorders>
            <w:shd w:val="clear" w:color="000000" w:fill="FFFFFF"/>
            <w:vAlign w:val="center"/>
            <w:hideMark/>
          </w:tcPr>
          <w:p w14:paraId="7B0A2FCA"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70</w:t>
            </w:r>
          </w:p>
        </w:tc>
        <w:tc>
          <w:tcPr>
            <w:tcW w:w="1317" w:type="dxa"/>
            <w:tcBorders>
              <w:top w:val="nil"/>
              <w:left w:val="nil"/>
              <w:bottom w:val="single" w:sz="4" w:space="0" w:color="auto"/>
              <w:right w:val="single" w:sz="4" w:space="0" w:color="auto"/>
            </w:tcBorders>
            <w:shd w:val="clear" w:color="000000" w:fill="FFFFFF"/>
            <w:vAlign w:val="center"/>
            <w:hideMark/>
          </w:tcPr>
          <w:p w14:paraId="50D85AFB" w14:textId="77777777"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r w:rsidRPr="007E761F">
              <w:rPr>
                <w:rFonts w:ascii="Times New Roman" w:eastAsia="Times New Roman" w:hAnsi="Times New Roman" w:cs="Times New Roman"/>
                <w:color w:val="1A1C1E"/>
                <w:kern w:val="0"/>
                <w:sz w:val="22"/>
                <w:szCs w:val="22"/>
                <w:lang w:eastAsia="en-IN"/>
                <w14:ligatures w14:val="none"/>
              </w:rPr>
              <w:t>75</w:t>
            </w:r>
          </w:p>
        </w:tc>
      </w:tr>
      <w:tr w:rsidR="007E761F" w:rsidRPr="007E761F" w14:paraId="3C714C67" w14:textId="77777777" w:rsidTr="007E761F">
        <w:trPr>
          <w:trHeight w:val="20"/>
          <w:jc w:val="center"/>
        </w:trPr>
        <w:tc>
          <w:tcPr>
            <w:tcW w:w="2510" w:type="dxa"/>
            <w:tcBorders>
              <w:top w:val="nil"/>
              <w:left w:val="single" w:sz="4" w:space="0" w:color="auto"/>
              <w:bottom w:val="single" w:sz="4" w:space="0" w:color="auto"/>
              <w:right w:val="single" w:sz="4" w:space="0" w:color="auto"/>
            </w:tcBorders>
            <w:shd w:val="clear" w:color="000000" w:fill="FFFFFF"/>
            <w:vAlign w:val="center"/>
            <w:hideMark/>
          </w:tcPr>
          <w:p w14:paraId="57D2F505" w14:textId="472609A6" w:rsidR="007E761F" w:rsidRPr="007E761F" w:rsidRDefault="007E761F" w:rsidP="007E761F">
            <w:pPr>
              <w:spacing w:after="0" w:line="240" w:lineRule="auto"/>
              <w:ind w:firstLineChars="100" w:firstLine="220"/>
              <w:jc w:val="center"/>
              <w:rPr>
                <w:rFonts w:ascii="Times New Roman" w:eastAsia="Times New Roman" w:hAnsi="Times New Roman" w:cs="Times New Roman"/>
                <w:color w:val="1A1C1E"/>
                <w:kern w:val="0"/>
                <w:sz w:val="22"/>
                <w:szCs w:val="22"/>
                <w:lang w:eastAsia="en-IN"/>
                <w14:ligatures w14:val="none"/>
              </w:rPr>
            </w:pPr>
          </w:p>
        </w:tc>
        <w:tc>
          <w:tcPr>
            <w:tcW w:w="1316" w:type="dxa"/>
            <w:tcBorders>
              <w:top w:val="nil"/>
              <w:left w:val="nil"/>
              <w:bottom w:val="single" w:sz="4" w:space="0" w:color="auto"/>
              <w:right w:val="single" w:sz="4" w:space="0" w:color="auto"/>
            </w:tcBorders>
            <w:shd w:val="clear" w:color="000000" w:fill="FFFFFF"/>
            <w:vAlign w:val="center"/>
            <w:hideMark/>
          </w:tcPr>
          <w:p w14:paraId="530E96E8" w14:textId="5F71F908"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290</w:t>
            </w:r>
          </w:p>
        </w:tc>
        <w:tc>
          <w:tcPr>
            <w:tcW w:w="1316" w:type="dxa"/>
            <w:tcBorders>
              <w:top w:val="nil"/>
              <w:left w:val="nil"/>
              <w:bottom w:val="single" w:sz="4" w:space="0" w:color="auto"/>
              <w:right w:val="single" w:sz="4" w:space="0" w:color="auto"/>
            </w:tcBorders>
            <w:shd w:val="clear" w:color="000000" w:fill="FFFFFF"/>
            <w:vAlign w:val="center"/>
            <w:hideMark/>
          </w:tcPr>
          <w:p w14:paraId="71C0372B" w14:textId="2B3B0394"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408</w:t>
            </w:r>
          </w:p>
        </w:tc>
        <w:tc>
          <w:tcPr>
            <w:tcW w:w="1317" w:type="dxa"/>
            <w:tcBorders>
              <w:top w:val="nil"/>
              <w:left w:val="nil"/>
              <w:bottom w:val="single" w:sz="4" w:space="0" w:color="auto"/>
              <w:right w:val="single" w:sz="4" w:space="0" w:color="auto"/>
            </w:tcBorders>
            <w:shd w:val="clear" w:color="000000" w:fill="FFFFFF"/>
            <w:vAlign w:val="center"/>
            <w:hideMark/>
          </w:tcPr>
          <w:p w14:paraId="7611543E" w14:textId="667C3A4C"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446</w:t>
            </w:r>
          </w:p>
        </w:tc>
        <w:tc>
          <w:tcPr>
            <w:tcW w:w="1316" w:type="dxa"/>
            <w:tcBorders>
              <w:top w:val="nil"/>
              <w:left w:val="nil"/>
              <w:bottom w:val="single" w:sz="4" w:space="0" w:color="auto"/>
              <w:right w:val="single" w:sz="4" w:space="0" w:color="auto"/>
            </w:tcBorders>
            <w:shd w:val="clear" w:color="000000" w:fill="FFFFFF"/>
            <w:vAlign w:val="center"/>
            <w:hideMark/>
          </w:tcPr>
          <w:p w14:paraId="11D9D6D2" w14:textId="198673CE"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183</w:t>
            </w:r>
          </w:p>
        </w:tc>
        <w:tc>
          <w:tcPr>
            <w:tcW w:w="1316" w:type="dxa"/>
            <w:tcBorders>
              <w:top w:val="nil"/>
              <w:left w:val="nil"/>
              <w:bottom w:val="single" w:sz="4" w:space="0" w:color="auto"/>
              <w:right w:val="single" w:sz="4" w:space="0" w:color="auto"/>
            </w:tcBorders>
            <w:shd w:val="clear" w:color="000000" w:fill="FFFFFF"/>
            <w:vAlign w:val="center"/>
            <w:hideMark/>
          </w:tcPr>
          <w:p w14:paraId="6D12F959" w14:textId="7949C492"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206</w:t>
            </w:r>
          </w:p>
        </w:tc>
        <w:tc>
          <w:tcPr>
            <w:tcW w:w="1317" w:type="dxa"/>
            <w:tcBorders>
              <w:top w:val="nil"/>
              <w:left w:val="nil"/>
              <w:bottom w:val="single" w:sz="4" w:space="0" w:color="auto"/>
              <w:right w:val="single" w:sz="4" w:space="0" w:color="auto"/>
            </w:tcBorders>
            <w:shd w:val="clear" w:color="000000" w:fill="FFFFFF"/>
            <w:vAlign w:val="center"/>
            <w:hideMark/>
          </w:tcPr>
          <w:p w14:paraId="0BF4BAFB" w14:textId="2D29EBF3"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210</w:t>
            </w:r>
          </w:p>
        </w:tc>
        <w:tc>
          <w:tcPr>
            <w:tcW w:w="1316" w:type="dxa"/>
            <w:tcBorders>
              <w:top w:val="nil"/>
              <w:left w:val="nil"/>
              <w:bottom w:val="single" w:sz="4" w:space="0" w:color="auto"/>
              <w:right w:val="single" w:sz="4" w:space="0" w:color="auto"/>
            </w:tcBorders>
            <w:shd w:val="clear" w:color="000000" w:fill="FFFFFF"/>
            <w:vAlign w:val="center"/>
            <w:hideMark/>
          </w:tcPr>
          <w:p w14:paraId="46B5D52C" w14:textId="3136E452"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582</w:t>
            </w:r>
          </w:p>
        </w:tc>
        <w:tc>
          <w:tcPr>
            <w:tcW w:w="1316" w:type="dxa"/>
            <w:tcBorders>
              <w:top w:val="nil"/>
              <w:left w:val="nil"/>
              <w:bottom w:val="single" w:sz="4" w:space="0" w:color="auto"/>
              <w:right w:val="single" w:sz="4" w:space="0" w:color="auto"/>
            </w:tcBorders>
            <w:shd w:val="clear" w:color="000000" w:fill="FFFFFF"/>
            <w:vAlign w:val="center"/>
            <w:hideMark/>
          </w:tcPr>
          <w:p w14:paraId="48BFD658" w14:textId="18DC4804"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626</w:t>
            </w:r>
          </w:p>
        </w:tc>
        <w:tc>
          <w:tcPr>
            <w:tcW w:w="1317" w:type="dxa"/>
            <w:tcBorders>
              <w:top w:val="nil"/>
              <w:left w:val="nil"/>
              <w:bottom w:val="single" w:sz="4" w:space="0" w:color="auto"/>
              <w:right w:val="single" w:sz="4" w:space="0" w:color="auto"/>
            </w:tcBorders>
            <w:shd w:val="clear" w:color="000000" w:fill="FFFFFF"/>
            <w:vAlign w:val="center"/>
            <w:hideMark/>
          </w:tcPr>
          <w:p w14:paraId="028ED440" w14:textId="05DE9EEA" w:rsidR="007E761F" w:rsidRPr="007E761F" w:rsidRDefault="007E761F" w:rsidP="007E761F">
            <w:pPr>
              <w:spacing w:after="0" w:line="240" w:lineRule="auto"/>
              <w:ind w:firstLineChars="100" w:firstLine="220"/>
              <w:jc w:val="center"/>
              <w:rPr>
                <w:rFonts w:ascii="Times New Roman" w:eastAsia="Times New Roman" w:hAnsi="Times New Roman" w:cs="Times New Roman"/>
                <w:i/>
                <w:iCs/>
                <w:color w:val="1A1C1E"/>
                <w:kern w:val="0"/>
                <w:sz w:val="22"/>
                <w:szCs w:val="22"/>
                <w:lang w:eastAsia="en-IN"/>
                <w14:ligatures w14:val="none"/>
              </w:rPr>
            </w:pPr>
            <w:r w:rsidRPr="007E761F">
              <w:rPr>
                <w:rFonts w:ascii="Times New Roman" w:eastAsia="Times New Roman" w:hAnsi="Times New Roman" w:cs="Times New Roman"/>
                <w:i/>
                <w:iCs/>
                <w:color w:val="1A1C1E"/>
                <w:kern w:val="0"/>
                <w:sz w:val="22"/>
                <w:szCs w:val="22"/>
                <w:lang w:eastAsia="en-IN"/>
                <w14:ligatures w14:val="none"/>
              </w:rPr>
              <w:t>655</w:t>
            </w:r>
          </w:p>
        </w:tc>
      </w:tr>
    </w:tbl>
    <w:p w14:paraId="0F953405" w14:textId="4897E351" w:rsidR="0069242D" w:rsidRPr="005534D4" w:rsidRDefault="0069242D" w:rsidP="007E761F">
      <w:pPr>
        <w:pStyle w:val="Sources"/>
      </w:pPr>
      <w:r w:rsidRPr="005534D4">
        <w:t>*In the case of Madras figures for "Entertainment Tax" include figures for taxes on</w:t>
      </w:r>
      <w:r w:rsidR="007E761F">
        <w:t xml:space="preserve"> </w:t>
      </w:r>
      <w:r w:rsidR="007E761F" w:rsidRPr="005534D4">
        <w:t>luxuries including taxes on entertainments, amusements, betting and gambling. In the</w:t>
      </w:r>
      <w:r w:rsidR="007E761F">
        <w:t xml:space="preserve"> </w:t>
      </w:r>
      <w:r w:rsidRPr="005534D4">
        <w:t>case of Bombay and Calcutta the figures are for taxes on entertainments only.</w:t>
      </w:r>
    </w:p>
    <w:p w14:paraId="189D2983" w14:textId="400E54B8" w:rsidR="0069242D" w:rsidRPr="005534D4" w:rsidRDefault="0069242D">
      <w:pPr>
        <w:rPr>
          <w:rFonts w:ascii="Times New Roman" w:hAnsi="Times New Roman" w:cs="Times New Roman"/>
        </w:rPr>
      </w:pPr>
      <w:r w:rsidRPr="005534D4">
        <w:rPr>
          <w:rFonts w:ascii="Times New Roman" w:hAnsi="Times New Roman" w:cs="Times New Roman"/>
        </w:rPr>
        <w:br w:type="page"/>
      </w:r>
    </w:p>
    <w:p w14:paraId="3D10CF32" w14:textId="77777777" w:rsidR="007E761F" w:rsidRDefault="007E761F" w:rsidP="0039057C">
      <w:pPr>
        <w:rPr>
          <w:rFonts w:ascii="Times New Roman" w:hAnsi="Times New Roman" w:cs="Times New Roman"/>
        </w:rPr>
        <w:sectPr w:rsidR="007E761F" w:rsidSect="007E761F">
          <w:pgSz w:w="16838" w:h="11906" w:orient="landscape"/>
          <w:pgMar w:top="1134" w:right="1440" w:bottom="1440" w:left="1440" w:header="709" w:footer="709" w:gutter="0"/>
          <w:cols w:space="708"/>
          <w:docGrid w:linePitch="360"/>
        </w:sectPr>
      </w:pPr>
    </w:p>
    <w:p w14:paraId="2C843A3C" w14:textId="77777777" w:rsidR="007E761F" w:rsidRPr="0075507D" w:rsidRDefault="0039057C" w:rsidP="0075507D">
      <w:pPr>
        <w:pStyle w:val="Heading3"/>
      </w:pPr>
      <w:bookmarkStart w:id="41" w:name="_Toc221007150"/>
      <w:r w:rsidRPr="0075507D">
        <w:lastRenderedPageBreak/>
        <w:t>12.—Statement of Revenue from Central</w:t>
      </w:r>
      <w:r w:rsidR="007E761F" w:rsidRPr="0075507D">
        <w:t xml:space="preserve"> Excise Duties, 1937-38 to 1952-53</w:t>
      </w:r>
      <w:bookmarkEnd w:id="41"/>
    </w:p>
    <w:p w14:paraId="3DEC013A" w14:textId="67BADDA5" w:rsidR="0039057C" w:rsidRDefault="0039057C" w:rsidP="0039057C">
      <w:pPr>
        <w:jc w:val="center"/>
        <w:rPr>
          <w:rFonts w:ascii="Times New Roman" w:hAnsi="Times New Roman" w:cs="Times New Roman"/>
          <w:b/>
          <w:bCs/>
        </w:rPr>
      </w:pPr>
    </w:p>
    <w:tbl>
      <w:tblPr>
        <w:tblW w:w="14236" w:type="dxa"/>
        <w:jc w:val="center"/>
        <w:tblLook w:val="04A0" w:firstRow="1" w:lastRow="0" w:firstColumn="1" w:lastColumn="0" w:noHBand="0" w:noVBand="1"/>
      </w:tblPr>
      <w:tblGrid>
        <w:gridCol w:w="1603"/>
        <w:gridCol w:w="776"/>
        <w:gridCol w:w="776"/>
        <w:gridCol w:w="776"/>
        <w:gridCol w:w="776"/>
        <w:gridCol w:w="776"/>
        <w:gridCol w:w="776"/>
        <w:gridCol w:w="776"/>
        <w:gridCol w:w="776"/>
        <w:gridCol w:w="776"/>
        <w:gridCol w:w="776"/>
        <w:gridCol w:w="776"/>
        <w:gridCol w:w="776"/>
        <w:gridCol w:w="776"/>
        <w:gridCol w:w="776"/>
        <w:gridCol w:w="1296"/>
        <w:gridCol w:w="1296"/>
      </w:tblGrid>
      <w:tr w:rsidR="009D41BB" w:rsidRPr="007E761F" w14:paraId="6A69302B" w14:textId="77777777" w:rsidTr="009D41BB">
        <w:trPr>
          <w:trHeight w:val="454"/>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14:paraId="7BEA665C" w14:textId="77777777" w:rsidR="007E761F" w:rsidRPr="007E761F" w:rsidRDefault="007E761F" w:rsidP="007E761F">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7E761F">
              <w:rPr>
                <w:rFonts w:ascii="Times New Roman" w:eastAsia="Times New Roman" w:hAnsi="Times New Roman" w:cs="Times New Roman"/>
                <w:b/>
                <w:bCs/>
                <w:color w:val="000000"/>
                <w:kern w:val="0"/>
                <w:szCs w:val="24"/>
                <w:lang w:eastAsia="en-IN"/>
                <w14:ligatures w14:val="none"/>
              </w:rPr>
              <w:t>Excise Duties on</w:t>
            </w:r>
          </w:p>
        </w:tc>
        <w:tc>
          <w:tcPr>
            <w:tcW w:w="731" w:type="dxa"/>
            <w:tcBorders>
              <w:top w:val="single" w:sz="4" w:space="0" w:color="auto"/>
              <w:left w:val="nil"/>
              <w:bottom w:val="single" w:sz="4" w:space="0" w:color="auto"/>
              <w:right w:val="single" w:sz="4" w:space="0" w:color="auto"/>
            </w:tcBorders>
            <w:vAlign w:val="center"/>
            <w:hideMark/>
          </w:tcPr>
          <w:p w14:paraId="6A65CD6F" w14:textId="77777777" w:rsidR="007E761F" w:rsidRPr="007E761F" w:rsidRDefault="007E761F" w:rsidP="007E761F">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7E761F">
              <w:rPr>
                <w:rFonts w:ascii="Times New Roman" w:eastAsia="Times New Roman" w:hAnsi="Times New Roman" w:cs="Times New Roman"/>
                <w:b/>
                <w:bCs/>
                <w:color w:val="000000"/>
                <w:kern w:val="0"/>
                <w:szCs w:val="24"/>
                <w:lang w:eastAsia="en-IN"/>
                <w14:ligatures w14:val="none"/>
              </w:rPr>
              <w:t>1937-38</w:t>
            </w:r>
          </w:p>
        </w:tc>
        <w:tc>
          <w:tcPr>
            <w:tcW w:w="731" w:type="dxa"/>
            <w:tcBorders>
              <w:top w:val="single" w:sz="4" w:space="0" w:color="auto"/>
              <w:left w:val="nil"/>
              <w:bottom w:val="single" w:sz="4" w:space="0" w:color="auto"/>
              <w:right w:val="single" w:sz="4" w:space="0" w:color="auto"/>
            </w:tcBorders>
            <w:vAlign w:val="center"/>
            <w:hideMark/>
          </w:tcPr>
          <w:p w14:paraId="5E86F875" w14:textId="77777777" w:rsidR="007E761F" w:rsidRPr="007E761F" w:rsidRDefault="007E761F" w:rsidP="007E761F">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7E761F">
              <w:rPr>
                <w:rFonts w:ascii="Times New Roman" w:eastAsia="Times New Roman" w:hAnsi="Times New Roman" w:cs="Times New Roman"/>
                <w:b/>
                <w:bCs/>
                <w:color w:val="000000"/>
                <w:kern w:val="0"/>
                <w:szCs w:val="24"/>
                <w:lang w:eastAsia="en-IN"/>
                <w14:ligatures w14:val="none"/>
              </w:rPr>
              <w:t>1938-39</w:t>
            </w:r>
          </w:p>
        </w:tc>
        <w:tc>
          <w:tcPr>
            <w:tcW w:w="731" w:type="dxa"/>
            <w:tcBorders>
              <w:top w:val="single" w:sz="4" w:space="0" w:color="auto"/>
              <w:left w:val="nil"/>
              <w:bottom w:val="single" w:sz="4" w:space="0" w:color="auto"/>
              <w:right w:val="single" w:sz="4" w:space="0" w:color="auto"/>
            </w:tcBorders>
            <w:vAlign w:val="center"/>
            <w:hideMark/>
          </w:tcPr>
          <w:p w14:paraId="7AF6983C" w14:textId="77777777" w:rsidR="007E761F" w:rsidRPr="007E761F" w:rsidRDefault="007E761F" w:rsidP="007E761F">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7E761F">
              <w:rPr>
                <w:rFonts w:ascii="Times New Roman" w:eastAsia="Times New Roman" w:hAnsi="Times New Roman" w:cs="Times New Roman"/>
                <w:b/>
                <w:bCs/>
                <w:color w:val="000000"/>
                <w:kern w:val="0"/>
                <w:szCs w:val="24"/>
                <w:lang w:eastAsia="en-IN"/>
                <w14:ligatures w14:val="none"/>
              </w:rPr>
              <w:t>1939-40</w:t>
            </w:r>
          </w:p>
        </w:tc>
        <w:tc>
          <w:tcPr>
            <w:tcW w:w="731" w:type="dxa"/>
            <w:tcBorders>
              <w:top w:val="single" w:sz="4" w:space="0" w:color="auto"/>
              <w:left w:val="nil"/>
              <w:bottom w:val="single" w:sz="4" w:space="0" w:color="auto"/>
              <w:right w:val="single" w:sz="4" w:space="0" w:color="auto"/>
            </w:tcBorders>
            <w:vAlign w:val="center"/>
            <w:hideMark/>
          </w:tcPr>
          <w:p w14:paraId="613B400A" w14:textId="77777777" w:rsidR="007E761F" w:rsidRPr="007E761F" w:rsidRDefault="007E761F" w:rsidP="007E761F">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7E761F">
              <w:rPr>
                <w:rFonts w:ascii="Times New Roman" w:eastAsia="Times New Roman" w:hAnsi="Times New Roman" w:cs="Times New Roman"/>
                <w:b/>
                <w:bCs/>
                <w:color w:val="000000"/>
                <w:kern w:val="0"/>
                <w:szCs w:val="24"/>
                <w:lang w:eastAsia="en-IN"/>
                <w14:ligatures w14:val="none"/>
              </w:rPr>
              <w:t>1940-41</w:t>
            </w:r>
          </w:p>
        </w:tc>
        <w:tc>
          <w:tcPr>
            <w:tcW w:w="731" w:type="dxa"/>
            <w:tcBorders>
              <w:top w:val="single" w:sz="4" w:space="0" w:color="auto"/>
              <w:left w:val="nil"/>
              <w:bottom w:val="single" w:sz="4" w:space="0" w:color="auto"/>
              <w:right w:val="single" w:sz="4" w:space="0" w:color="auto"/>
            </w:tcBorders>
            <w:vAlign w:val="center"/>
            <w:hideMark/>
          </w:tcPr>
          <w:p w14:paraId="39149E6B" w14:textId="77777777" w:rsidR="007E761F" w:rsidRPr="007E761F" w:rsidRDefault="007E761F" w:rsidP="007E761F">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7E761F">
              <w:rPr>
                <w:rFonts w:ascii="Times New Roman" w:eastAsia="Times New Roman" w:hAnsi="Times New Roman" w:cs="Times New Roman"/>
                <w:b/>
                <w:bCs/>
                <w:color w:val="000000"/>
                <w:kern w:val="0"/>
                <w:szCs w:val="24"/>
                <w:lang w:eastAsia="en-IN"/>
                <w14:ligatures w14:val="none"/>
              </w:rPr>
              <w:t>1941-42</w:t>
            </w:r>
          </w:p>
        </w:tc>
        <w:tc>
          <w:tcPr>
            <w:tcW w:w="731" w:type="dxa"/>
            <w:tcBorders>
              <w:top w:val="single" w:sz="4" w:space="0" w:color="auto"/>
              <w:left w:val="nil"/>
              <w:bottom w:val="single" w:sz="4" w:space="0" w:color="auto"/>
              <w:right w:val="single" w:sz="4" w:space="0" w:color="auto"/>
            </w:tcBorders>
            <w:vAlign w:val="center"/>
            <w:hideMark/>
          </w:tcPr>
          <w:p w14:paraId="670E4017" w14:textId="77777777" w:rsidR="007E761F" w:rsidRPr="007E761F" w:rsidRDefault="007E761F" w:rsidP="007E761F">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7E761F">
              <w:rPr>
                <w:rFonts w:ascii="Times New Roman" w:eastAsia="Times New Roman" w:hAnsi="Times New Roman" w:cs="Times New Roman"/>
                <w:b/>
                <w:bCs/>
                <w:color w:val="000000"/>
                <w:kern w:val="0"/>
                <w:szCs w:val="24"/>
                <w:lang w:eastAsia="en-IN"/>
                <w14:ligatures w14:val="none"/>
              </w:rPr>
              <w:t>1942-43</w:t>
            </w:r>
          </w:p>
        </w:tc>
        <w:tc>
          <w:tcPr>
            <w:tcW w:w="731" w:type="dxa"/>
            <w:tcBorders>
              <w:top w:val="single" w:sz="4" w:space="0" w:color="auto"/>
              <w:left w:val="nil"/>
              <w:bottom w:val="single" w:sz="4" w:space="0" w:color="auto"/>
              <w:right w:val="single" w:sz="4" w:space="0" w:color="auto"/>
            </w:tcBorders>
            <w:vAlign w:val="center"/>
            <w:hideMark/>
          </w:tcPr>
          <w:p w14:paraId="28BDAEAA" w14:textId="77777777" w:rsidR="007E761F" w:rsidRPr="007E761F" w:rsidRDefault="007E761F" w:rsidP="007E761F">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7E761F">
              <w:rPr>
                <w:rFonts w:ascii="Times New Roman" w:eastAsia="Times New Roman" w:hAnsi="Times New Roman" w:cs="Times New Roman"/>
                <w:b/>
                <w:bCs/>
                <w:color w:val="000000"/>
                <w:kern w:val="0"/>
                <w:szCs w:val="24"/>
                <w:lang w:eastAsia="en-IN"/>
                <w14:ligatures w14:val="none"/>
              </w:rPr>
              <w:t>1943-44</w:t>
            </w:r>
          </w:p>
        </w:tc>
        <w:tc>
          <w:tcPr>
            <w:tcW w:w="731" w:type="dxa"/>
            <w:tcBorders>
              <w:top w:val="single" w:sz="4" w:space="0" w:color="auto"/>
              <w:left w:val="nil"/>
              <w:bottom w:val="single" w:sz="4" w:space="0" w:color="auto"/>
              <w:right w:val="single" w:sz="4" w:space="0" w:color="auto"/>
            </w:tcBorders>
            <w:vAlign w:val="center"/>
            <w:hideMark/>
          </w:tcPr>
          <w:p w14:paraId="0FE27059" w14:textId="77777777" w:rsidR="007E761F" w:rsidRPr="007E761F" w:rsidRDefault="007E761F" w:rsidP="007E761F">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7E761F">
              <w:rPr>
                <w:rFonts w:ascii="Times New Roman" w:eastAsia="Times New Roman" w:hAnsi="Times New Roman" w:cs="Times New Roman"/>
                <w:b/>
                <w:bCs/>
                <w:color w:val="000000"/>
                <w:kern w:val="0"/>
                <w:szCs w:val="24"/>
                <w:lang w:eastAsia="en-IN"/>
                <w14:ligatures w14:val="none"/>
              </w:rPr>
              <w:t>1944-45</w:t>
            </w:r>
          </w:p>
        </w:tc>
        <w:tc>
          <w:tcPr>
            <w:tcW w:w="731" w:type="dxa"/>
            <w:tcBorders>
              <w:top w:val="single" w:sz="4" w:space="0" w:color="auto"/>
              <w:left w:val="nil"/>
              <w:bottom w:val="single" w:sz="4" w:space="0" w:color="auto"/>
              <w:right w:val="single" w:sz="4" w:space="0" w:color="auto"/>
            </w:tcBorders>
            <w:vAlign w:val="center"/>
            <w:hideMark/>
          </w:tcPr>
          <w:p w14:paraId="7CFCCFD5" w14:textId="77777777" w:rsidR="007E761F" w:rsidRPr="007E761F" w:rsidRDefault="007E761F" w:rsidP="007E761F">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7E761F">
              <w:rPr>
                <w:rFonts w:ascii="Times New Roman" w:eastAsia="Times New Roman" w:hAnsi="Times New Roman" w:cs="Times New Roman"/>
                <w:b/>
                <w:bCs/>
                <w:color w:val="000000"/>
                <w:kern w:val="0"/>
                <w:szCs w:val="24"/>
                <w:lang w:eastAsia="en-IN"/>
                <w14:ligatures w14:val="none"/>
              </w:rPr>
              <w:t>1945-46</w:t>
            </w:r>
          </w:p>
        </w:tc>
        <w:tc>
          <w:tcPr>
            <w:tcW w:w="731" w:type="dxa"/>
            <w:tcBorders>
              <w:top w:val="single" w:sz="4" w:space="0" w:color="auto"/>
              <w:left w:val="nil"/>
              <w:bottom w:val="single" w:sz="4" w:space="0" w:color="auto"/>
              <w:right w:val="single" w:sz="4" w:space="0" w:color="auto"/>
            </w:tcBorders>
            <w:vAlign w:val="center"/>
            <w:hideMark/>
          </w:tcPr>
          <w:p w14:paraId="09BE25DA" w14:textId="77777777" w:rsidR="007E761F" w:rsidRPr="007E761F" w:rsidRDefault="007E761F" w:rsidP="007E761F">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7E761F">
              <w:rPr>
                <w:rFonts w:ascii="Times New Roman" w:eastAsia="Times New Roman" w:hAnsi="Times New Roman" w:cs="Times New Roman"/>
                <w:b/>
                <w:bCs/>
                <w:color w:val="000000"/>
                <w:kern w:val="0"/>
                <w:szCs w:val="24"/>
                <w:lang w:eastAsia="en-IN"/>
                <w14:ligatures w14:val="none"/>
              </w:rPr>
              <w:t>1946-47</w:t>
            </w:r>
          </w:p>
        </w:tc>
        <w:tc>
          <w:tcPr>
            <w:tcW w:w="731" w:type="dxa"/>
            <w:tcBorders>
              <w:top w:val="single" w:sz="4" w:space="0" w:color="auto"/>
              <w:left w:val="nil"/>
              <w:bottom w:val="single" w:sz="4" w:space="0" w:color="auto"/>
              <w:right w:val="single" w:sz="4" w:space="0" w:color="auto"/>
            </w:tcBorders>
            <w:vAlign w:val="center"/>
            <w:hideMark/>
          </w:tcPr>
          <w:p w14:paraId="5EBEDF41" w14:textId="77777777" w:rsidR="007E761F" w:rsidRPr="007E761F" w:rsidRDefault="007E761F" w:rsidP="007E761F">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7E761F">
              <w:rPr>
                <w:rFonts w:ascii="Times New Roman" w:eastAsia="Times New Roman" w:hAnsi="Times New Roman" w:cs="Times New Roman"/>
                <w:b/>
                <w:bCs/>
                <w:color w:val="000000"/>
                <w:kern w:val="0"/>
                <w:szCs w:val="24"/>
                <w:lang w:eastAsia="en-IN"/>
                <w14:ligatures w14:val="none"/>
              </w:rPr>
              <w:t>1947-48*</w:t>
            </w:r>
          </w:p>
        </w:tc>
        <w:tc>
          <w:tcPr>
            <w:tcW w:w="731" w:type="dxa"/>
            <w:tcBorders>
              <w:top w:val="single" w:sz="4" w:space="0" w:color="auto"/>
              <w:left w:val="nil"/>
              <w:bottom w:val="single" w:sz="4" w:space="0" w:color="auto"/>
              <w:right w:val="single" w:sz="4" w:space="0" w:color="auto"/>
            </w:tcBorders>
            <w:vAlign w:val="center"/>
            <w:hideMark/>
          </w:tcPr>
          <w:p w14:paraId="5B87B041" w14:textId="77777777" w:rsidR="007E761F" w:rsidRPr="007E761F" w:rsidRDefault="007E761F" w:rsidP="007E761F">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7E761F">
              <w:rPr>
                <w:rFonts w:ascii="Times New Roman" w:eastAsia="Times New Roman" w:hAnsi="Times New Roman" w:cs="Times New Roman"/>
                <w:b/>
                <w:bCs/>
                <w:color w:val="000000"/>
                <w:kern w:val="0"/>
                <w:szCs w:val="24"/>
                <w:lang w:eastAsia="en-IN"/>
                <w14:ligatures w14:val="none"/>
              </w:rPr>
              <w:t>1948-49</w:t>
            </w:r>
          </w:p>
        </w:tc>
        <w:tc>
          <w:tcPr>
            <w:tcW w:w="731" w:type="dxa"/>
            <w:tcBorders>
              <w:top w:val="single" w:sz="4" w:space="0" w:color="auto"/>
              <w:left w:val="nil"/>
              <w:bottom w:val="single" w:sz="4" w:space="0" w:color="auto"/>
              <w:right w:val="single" w:sz="4" w:space="0" w:color="auto"/>
            </w:tcBorders>
            <w:vAlign w:val="center"/>
            <w:hideMark/>
          </w:tcPr>
          <w:p w14:paraId="7F81A02D" w14:textId="77777777" w:rsidR="007E761F" w:rsidRPr="007E761F" w:rsidRDefault="007E761F" w:rsidP="007E761F">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7E761F">
              <w:rPr>
                <w:rFonts w:ascii="Times New Roman" w:eastAsia="Times New Roman" w:hAnsi="Times New Roman" w:cs="Times New Roman"/>
                <w:b/>
                <w:bCs/>
                <w:color w:val="000000"/>
                <w:kern w:val="0"/>
                <w:szCs w:val="24"/>
                <w:lang w:eastAsia="en-IN"/>
                <w14:ligatures w14:val="none"/>
              </w:rPr>
              <w:t>1949-50</w:t>
            </w:r>
          </w:p>
        </w:tc>
        <w:tc>
          <w:tcPr>
            <w:tcW w:w="731" w:type="dxa"/>
            <w:tcBorders>
              <w:top w:val="single" w:sz="4" w:space="0" w:color="auto"/>
              <w:left w:val="nil"/>
              <w:bottom w:val="single" w:sz="4" w:space="0" w:color="auto"/>
              <w:right w:val="single" w:sz="4" w:space="0" w:color="auto"/>
            </w:tcBorders>
            <w:vAlign w:val="center"/>
            <w:hideMark/>
          </w:tcPr>
          <w:p w14:paraId="2AEAD423" w14:textId="77777777" w:rsidR="007E761F" w:rsidRPr="007E761F" w:rsidRDefault="007E761F" w:rsidP="007E761F">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7E761F">
              <w:rPr>
                <w:rFonts w:ascii="Times New Roman" w:eastAsia="Times New Roman" w:hAnsi="Times New Roman" w:cs="Times New Roman"/>
                <w:b/>
                <w:bCs/>
                <w:color w:val="000000"/>
                <w:kern w:val="0"/>
                <w:szCs w:val="24"/>
                <w:lang w:eastAsia="en-IN"/>
                <w14:ligatures w14:val="none"/>
              </w:rPr>
              <w:t>1950-51</w:t>
            </w:r>
          </w:p>
        </w:tc>
        <w:tc>
          <w:tcPr>
            <w:tcW w:w="1221" w:type="dxa"/>
            <w:tcBorders>
              <w:top w:val="single" w:sz="4" w:space="0" w:color="auto"/>
              <w:left w:val="nil"/>
              <w:bottom w:val="single" w:sz="4" w:space="0" w:color="auto"/>
              <w:right w:val="single" w:sz="4" w:space="0" w:color="auto"/>
            </w:tcBorders>
            <w:vAlign w:val="center"/>
            <w:hideMark/>
          </w:tcPr>
          <w:p w14:paraId="0DD90AE0" w14:textId="77777777" w:rsidR="007E761F" w:rsidRPr="007E761F" w:rsidRDefault="007E761F" w:rsidP="007E761F">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7E761F">
              <w:rPr>
                <w:rFonts w:ascii="Times New Roman" w:eastAsia="Times New Roman" w:hAnsi="Times New Roman" w:cs="Times New Roman"/>
                <w:b/>
                <w:bCs/>
                <w:color w:val="000000"/>
                <w:kern w:val="0"/>
                <w:szCs w:val="24"/>
                <w:lang w:eastAsia="en-IN"/>
                <w14:ligatures w14:val="none"/>
              </w:rPr>
              <w:t>1951-52 (Revised Estimates)</w:t>
            </w:r>
          </w:p>
        </w:tc>
        <w:tc>
          <w:tcPr>
            <w:tcW w:w="1221" w:type="dxa"/>
            <w:tcBorders>
              <w:top w:val="single" w:sz="4" w:space="0" w:color="auto"/>
              <w:left w:val="nil"/>
              <w:bottom w:val="single" w:sz="4" w:space="0" w:color="auto"/>
              <w:right w:val="single" w:sz="4" w:space="0" w:color="auto"/>
            </w:tcBorders>
            <w:vAlign w:val="center"/>
            <w:hideMark/>
          </w:tcPr>
          <w:p w14:paraId="5A82E3C7" w14:textId="77777777" w:rsidR="007E761F" w:rsidRPr="007E761F" w:rsidRDefault="007E761F" w:rsidP="007E761F">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7E761F">
              <w:rPr>
                <w:rFonts w:ascii="Times New Roman" w:eastAsia="Times New Roman" w:hAnsi="Times New Roman" w:cs="Times New Roman"/>
                <w:b/>
                <w:bCs/>
                <w:color w:val="000000"/>
                <w:kern w:val="0"/>
                <w:szCs w:val="24"/>
                <w:lang w:eastAsia="en-IN"/>
                <w14:ligatures w14:val="none"/>
              </w:rPr>
              <w:t>1952-53 (Budget Estimates)</w:t>
            </w:r>
          </w:p>
        </w:tc>
      </w:tr>
      <w:tr w:rsidR="009D41BB" w:rsidRPr="007E761F" w14:paraId="612B661B" w14:textId="77777777" w:rsidTr="009D41BB">
        <w:trPr>
          <w:trHeight w:val="454"/>
          <w:jc w:val="center"/>
        </w:trPr>
        <w:tc>
          <w:tcPr>
            <w:tcW w:w="1560" w:type="dxa"/>
            <w:tcBorders>
              <w:top w:val="nil"/>
              <w:left w:val="single" w:sz="4" w:space="0" w:color="auto"/>
              <w:bottom w:val="single" w:sz="4" w:space="0" w:color="auto"/>
              <w:right w:val="single" w:sz="4" w:space="0" w:color="auto"/>
            </w:tcBorders>
            <w:vAlign w:val="center"/>
            <w:hideMark/>
          </w:tcPr>
          <w:p w14:paraId="6069CA85" w14:textId="77777777" w:rsidR="007E761F" w:rsidRPr="00E02C8A"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Motor Spirit</w:t>
            </w:r>
          </w:p>
        </w:tc>
        <w:tc>
          <w:tcPr>
            <w:tcW w:w="731" w:type="dxa"/>
            <w:tcBorders>
              <w:top w:val="nil"/>
              <w:left w:val="nil"/>
              <w:bottom w:val="single" w:sz="4" w:space="0" w:color="auto"/>
              <w:right w:val="single" w:sz="4" w:space="0" w:color="auto"/>
            </w:tcBorders>
            <w:vAlign w:val="center"/>
            <w:hideMark/>
          </w:tcPr>
          <w:p w14:paraId="558B358B"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122</w:t>
            </w:r>
          </w:p>
        </w:tc>
        <w:tc>
          <w:tcPr>
            <w:tcW w:w="731" w:type="dxa"/>
            <w:tcBorders>
              <w:top w:val="nil"/>
              <w:left w:val="nil"/>
              <w:bottom w:val="single" w:sz="4" w:space="0" w:color="auto"/>
              <w:right w:val="single" w:sz="4" w:space="0" w:color="auto"/>
            </w:tcBorders>
            <w:vAlign w:val="center"/>
            <w:hideMark/>
          </w:tcPr>
          <w:p w14:paraId="5891FE8B"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120</w:t>
            </w:r>
          </w:p>
        </w:tc>
        <w:tc>
          <w:tcPr>
            <w:tcW w:w="731" w:type="dxa"/>
            <w:tcBorders>
              <w:top w:val="nil"/>
              <w:left w:val="nil"/>
              <w:bottom w:val="single" w:sz="4" w:space="0" w:color="auto"/>
              <w:right w:val="single" w:sz="4" w:space="0" w:color="auto"/>
            </w:tcBorders>
            <w:vAlign w:val="center"/>
            <w:hideMark/>
          </w:tcPr>
          <w:p w14:paraId="73DF0DA8"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107</w:t>
            </w:r>
          </w:p>
        </w:tc>
        <w:tc>
          <w:tcPr>
            <w:tcW w:w="731" w:type="dxa"/>
            <w:tcBorders>
              <w:top w:val="nil"/>
              <w:left w:val="nil"/>
              <w:bottom w:val="single" w:sz="4" w:space="0" w:color="auto"/>
              <w:right w:val="single" w:sz="4" w:space="0" w:color="auto"/>
            </w:tcBorders>
            <w:vAlign w:val="center"/>
            <w:hideMark/>
          </w:tcPr>
          <w:p w14:paraId="4F1BED34"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181</w:t>
            </w:r>
          </w:p>
        </w:tc>
        <w:tc>
          <w:tcPr>
            <w:tcW w:w="731" w:type="dxa"/>
            <w:tcBorders>
              <w:top w:val="nil"/>
              <w:left w:val="nil"/>
              <w:bottom w:val="single" w:sz="4" w:space="0" w:color="auto"/>
              <w:right w:val="single" w:sz="4" w:space="0" w:color="auto"/>
            </w:tcBorders>
            <w:vAlign w:val="center"/>
            <w:hideMark/>
          </w:tcPr>
          <w:p w14:paraId="7D67B170"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171</w:t>
            </w:r>
          </w:p>
        </w:tc>
        <w:tc>
          <w:tcPr>
            <w:tcW w:w="731" w:type="dxa"/>
            <w:tcBorders>
              <w:top w:val="nil"/>
              <w:left w:val="nil"/>
              <w:bottom w:val="single" w:sz="4" w:space="0" w:color="auto"/>
              <w:right w:val="single" w:sz="4" w:space="0" w:color="auto"/>
            </w:tcBorders>
            <w:vAlign w:val="center"/>
            <w:hideMark/>
          </w:tcPr>
          <w:p w14:paraId="0E0F15D1"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257</w:t>
            </w:r>
          </w:p>
        </w:tc>
        <w:tc>
          <w:tcPr>
            <w:tcW w:w="731" w:type="dxa"/>
            <w:tcBorders>
              <w:top w:val="nil"/>
              <w:left w:val="nil"/>
              <w:bottom w:val="single" w:sz="4" w:space="0" w:color="auto"/>
              <w:right w:val="single" w:sz="4" w:space="0" w:color="auto"/>
            </w:tcBorders>
            <w:vAlign w:val="center"/>
            <w:hideMark/>
          </w:tcPr>
          <w:p w14:paraId="73C4BDC7"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40</w:t>
            </w:r>
          </w:p>
        </w:tc>
        <w:tc>
          <w:tcPr>
            <w:tcW w:w="731" w:type="dxa"/>
            <w:tcBorders>
              <w:top w:val="nil"/>
              <w:left w:val="nil"/>
              <w:bottom w:val="single" w:sz="4" w:space="0" w:color="auto"/>
              <w:right w:val="single" w:sz="4" w:space="0" w:color="auto"/>
            </w:tcBorders>
            <w:vAlign w:val="center"/>
            <w:hideMark/>
          </w:tcPr>
          <w:p w14:paraId="5DB166BD"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18</w:t>
            </w:r>
          </w:p>
        </w:tc>
        <w:tc>
          <w:tcPr>
            <w:tcW w:w="731" w:type="dxa"/>
            <w:tcBorders>
              <w:top w:val="nil"/>
              <w:left w:val="nil"/>
              <w:bottom w:val="single" w:sz="4" w:space="0" w:color="auto"/>
              <w:right w:val="single" w:sz="4" w:space="0" w:color="auto"/>
            </w:tcBorders>
            <w:vAlign w:val="center"/>
            <w:hideMark/>
          </w:tcPr>
          <w:p w14:paraId="79BF4CC7"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227</w:t>
            </w:r>
          </w:p>
        </w:tc>
        <w:tc>
          <w:tcPr>
            <w:tcW w:w="731" w:type="dxa"/>
            <w:tcBorders>
              <w:top w:val="nil"/>
              <w:left w:val="nil"/>
              <w:bottom w:val="single" w:sz="4" w:space="0" w:color="auto"/>
              <w:right w:val="single" w:sz="4" w:space="0" w:color="auto"/>
            </w:tcBorders>
            <w:vAlign w:val="center"/>
            <w:hideMark/>
          </w:tcPr>
          <w:p w14:paraId="3AF1729E"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179</w:t>
            </w:r>
          </w:p>
        </w:tc>
        <w:tc>
          <w:tcPr>
            <w:tcW w:w="731" w:type="dxa"/>
            <w:tcBorders>
              <w:top w:val="nil"/>
              <w:left w:val="nil"/>
              <w:bottom w:val="single" w:sz="4" w:space="0" w:color="auto"/>
              <w:right w:val="single" w:sz="4" w:space="0" w:color="auto"/>
            </w:tcBorders>
            <w:vAlign w:val="center"/>
            <w:hideMark/>
          </w:tcPr>
          <w:p w14:paraId="5BC6E8D8"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74</w:t>
            </w:r>
          </w:p>
        </w:tc>
        <w:tc>
          <w:tcPr>
            <w:tcW w:w="731" w:type="dxa"/>
            <w:tcBorders>
              <w:top w:val="nil"/>
              <w:left w:val="nil"/>
              <w:bottom w:val="single" w:sz="4" w:space="0" w:color="auto"/>
              <w:right w:val="single" w:sz="4" w:space="0" w:color="auto"/>
            </w:tcBorders>
            <w:vAlign w:val="center"/>
            <w:hideMark/>
          </w:tcPr>
          <w:p w14:paraId="78DF9150"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142</w:t>
            </w:r>
          </w:p>
        </w:tc>
        <w:tc>
          <w:tcPr>
            <w:tcW w:w="731" w:type="dxa"/>
            <w:tcBorders>
              <w:top w:val="nil"/>
              <w:left w:val="nil"/>
              <w:bottom w:val="single" w:sz="4" w:space="0" w:color="auto"/>
              <w:right w:val="single" w:sz="4" w:space="0" w:color="auto"/>
            </w:tcBorders>
            <w:vAlign w:val="center"/>
            <w:hideMark/>
          </w:tcPr>
          <w:p w14:paraId="33D6AB04"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178</w:t>
            </w:r>
          </w:p>
        </w:tc>
        <w:tc>
          <w:tcPr>
            <w:tcW w:w="731" w:type="dxa"/>
            <w:tcBorders>
              <w:top w:val="nil"/>
              <w:left w:val="nil"/>
              <w:bottom w:val="single" w:sz="4" w:space="0" w:color="auto"/>
              <w:right w:val="single" w:sz="4" w:space="0" w:color="auto"/>
            </w:tcBorders>
            <w:vAlign w:val="center"/>
            <w:hideMark/>
          </w:tcPr>
          <w:p w14:paraId="4D6B8328"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207</w:t>
            </w:r>
          </w:p>
        </w:tc>
        <w:tc>
          <w:tcPr>
            <w:tcW w:w="1221" w:type="dxa"/>
            <w:tcBorders>
              <w:top w:val="nil"/>
              <w:left w:val="nil"/>
              <w:bottom w:val="single" w:sz="4" w:space="0" w:color="auto"/>
              <w:right w:val="single" w:sz="4" w:space="0" w:color="auto"/>
            </w:tcBorders>
            <w:vAlign w:val="center"/>
            <w:hideMark/>
          </w:tcPr>
          <w:p w14:paraId="3093730B"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185</w:t>
            </w:r>
          </w:p>
        </w:tc>
        <w:tc>
          <w:tcPr>
            <w:tcW w:w="1221" w:type="dxa"/>
            <w:tcBorders>
              <w:top w:val="nil"/>
              <w:left w:val="nil"/>
              <w:bottom w:val="single" w:sz="4" w:space="0" w:color="auto"/>
              <w:right w:val="single" w:sz="4" w:space="0" w:color="auto"/>
            </w:tcBorders>
            <w:vAlign w:val="center"/>
            <w:hideMark/>
          </w:tcPr>
          <w:p w14:paraId="23B13AD9"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200</w:t>
            </w:r>
          </w:p>
        </w:tc>
      </w:tr>
      <w:tr w:rsidR="009D41BB" w:rsidRPr="007E761F" w14:paraId="155E786F" w14:textId="77777777" w:rsidTr="009D41BB">
        <w:trPr>
          <w:trHeight w:val="454"/>
          <w:jc w:val="center"/>
        </w:trPr>
        <w:tc>
          <w:tcPr>
            <w:tcW w:w="1560" w:type="dxa"/>
            <w:tcBorders>
              <w:top w:val="nil"/>
              <w:left w:val="single" w:sz="4" w:space="0" w:color="auto"/>
              <w:bottom w:val="single" w:sz="4" w:space="0" w:color="auto"/>
              <w:right w:val="single" w:sz="4" w:space="0" w:color="auto"/>
            </w:tcBorders>
            <w:vAlign w:val="center"/>
            <w:hideMark/>
          </w:tcPr>
          <w:p w14:paraId="58F8FA64" w14:textId="77777777" w:rsidR="007E761F" w:rsidRPr="00E02C8A"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Kerosene</w:t>
            </w:r>
          </w:p>
        </w:tc>
        <w:tc>
          <w:tcPr>
            <w:tcW w:w="731" w:type="dxa"/>
            <w:tcBorders>
              <w:top w:val="nil"/>
              <w:left w:val="nil"/>
              <w:bottom w:val="single" w:sz="4" w:space="0" w:color="auto"/>
              <w:right w:val="single" w:sz="4" w:space="0" w:color="auto"/>
            </w:tcBorders>
            <w:vAlign w:val="center"/>
            <w:hideMark/>
          </w:tcPr>
          <w:p w14:paraId="62AAAD56"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76</w:t>
            </w:r>
          </w:p>
        </w:tc>
        <w:tc>
          <w:tcPr>
            <w:tcW w:w="731" w:type="dxa"/>
            <w:tcBorders>
              <w:top w:val="nil"/>
              <w:left w:val="nil"/>
              <w:bottom w:val="single" w:sz="4" w:space="0" w:color="auto"/>
              <w:right w:val="single" w:sz="4" w:space="0" w:color="auto"/>
            </w:tcBorders>
            <w:vAlign w:val="center"/>
            <w:hideMark/>
          </w:tcPr>
          <w:p w14:paraId="48C8A25F"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67</w:t>
            </w:r>
          </w:p>
        </w:tc>
        <w:tc>
          <w:tcPr>
            <w:tcW w:w="731" w:type="dxa"/>
            <w:tcBorders>
              <w:top w:val="nil"/>
              <w:left w:val="nil"/>
              <w:bottom w:val="single" w:sz="4" w:space="0" w:color="auto"/>
              <w:right w:val="single" w:sz="4" w:space="0" w:color="auto"/>
            </w:tcBorders>
            <w:vAlign w:val="center"/>
            <w:hideMark/>
          </w:tcPr>
          <w:p w14:paraId="5409E017"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32</w:t>
            </w:r>
          </w:p>
        </w:tc>
        <w:tc>
          <w:tcPr>
            <w:tcW w:w="731" w:type="dxa"/>
            <w:tcBorders>
              <w:top w:val="nil"/>
              <w:left w:val="nil"/>
              <w:bottom w:val="single" w:sz="4" w:space="0" w:color="auto"/>
              <w:right w:val="single" w:sz="4" w:space="0" w:color="auto"/>
            </w:tcBorders>
            <w:vAlign w:val="center"/>
            <w:hideMark/>
          </w:tcPr>
          <w:p w14:paraId="19E6BA6F"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71</w:t>
            </w:r>
          </w:p>
        </w:tc>
        <w:tc>
          <w:tcPr>
            <w:tcW w:w="731" w:type="dxa"/>
            <w:tcBorders>
              <w:top w:val="nil"/>
              <w:left w:val="nil"/>
              <w:bottom w:val="single" w:sz="4" w:space="0" w:color="auto"/>
              <w:right w:val="single" w:sz="4" w:space="0" w:color="auto"/>
            </w:tcBorders>
            <w:vAlign w:val="center"/>
            <w:hideMark/>
          </w:tcPr>
          <w:p w14:paraId="438AF344"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64</w:t>
            </w:r>
          </w:p>
        </w:tc>
        <w:tc>
          <w:tcPr>
            <w:tcW w:w="731" w:type="dxa"/>
            <w:tcBorders>
              <w:top w:val="nil"/>
              <w:left w:val="nil"/>
              <w:bottom w:val="single" w:sz="4" w:space="0" w:color="auto"/>
              <w:right w:val="single" w:sz="4" w:space="0" w:color="auto"/>
            </w:tcBorders>
            <w:vAlign w:val="center"/>
            <w:hideMark/>
          </w:tcPr>
          <w:p w14:paraId="44A3415C"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70</w:t>
            </w:r>
          </w:p>
        </w:tc>
        <w:tc>
          <w:tcPr>
            <w:tcW w:w="731" w:type="dxa"/>
            <w:tcBorders>
              <w:top w:val="nil"/>
              <w:left w:val="nil"/>
              <w:bottom w:val="single" w:sz="4" w:space="0" w:color="auto"/>
              <w:right w:val="single" w:sz="4" w:space="0" w:color="auto"/>
            </w:tcBorders>
            <w:vAlign w:val="center"/>
            <w:hideMark/>
          </w:tcPr>
          <w:p w14:paraId="460F2F1A"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53</w:t>
            </w:r>
          </w:p>
        </w:tc>
        <w:tc>
          <w:tcPr>
            <w:tcW w:w="731" w:type="dxa"/>
            <w:tcBorders>
              <w:top w:val="nil"/>
              <w:left w:val="nil"/>
              <w:bottom w:val="single" w:sz="4" w:space="0" w:color="auto"/>
              <w:right w:val="single" w:sz="4" w:space="0" w:color="auto"/>
            </w:tcBorders>
            <w:vAlign w:val="center"/>
            <w:hideMark/>
          </w:tcPr>
          <w:p w14:paraId="4F8ED9A0"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48</w:t>
            </w:r>
          </w:p>
        </w:tc>
        <w:tc>
          <w:tcPr>
            <w:tcW w:w="731" w:type="dxa"/>
            <w:tcBorders>
              <w:top w:val="nil"/>
              <w:left w:val="nil"/>
              <w:bottom w:val="single" w:sz="4" w:space="0" w:color="auto"/>
              <w:right w:val="single" w:sz="4" w:space="0" w:color="auto"/>
            </w:tcBorders>
            <w:vAlign w:val="center"/>
            <w:hideMark/>
          </w:tcPr>
          <w:p w14:paraId="363FBF85"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35</w:t>
            </w:r>
          </w:p>
        </w:tc>
        <w:tc>
          <w:tcPr>
            <w:tcW w:w="731" w:type="dxa"/>
            <w:tcBorders>
              <w:top w:val="nil"/>
              <w:left w:val="nil"/>
              <w:bottom w:val="single" w:sz="4" w:space="0" w:color="auto"/>
              <w:right w:val="single" w:sz="4" w:space="0" w:color="auto"/>
            </w:tcBorders>
            <w:vAlign w:val="center"/>
            <w:hideMark/>
          </w:tcPr>
          <w:p w14:paraId="46A3167A"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27</w:t>
            </w:r>
          </w:p>
        </w:tc>
        <w:tc>
          <w:tcPr>
            <w:tcW w:w="731" w:type="dxa"/>
            <w:tcBorders>
              <w:top w:val="nil"/>
              <w:left w:val="nil"/>
              <w:bottom w:val="single" w:sz="4" w:space="0" w:color="auto"/>
              <w:right w:val="single" w:sz="4" w:space="0" w:color="auto"/>
            </w:tcBorders>
            <w:vAlign w:val="center"/>
            <w:hideMark/>
          </w:tcPr>
          <w:p w14:paraId="79A212E5"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16</w:t>
            </w:r>
          </w:p>
        </w:tc>
        <w:tc>
          <w:tcPr>
            <w:tcW w:w="731" w:type="dxa"/>
            <w:tcBorders>
              <w:top w:val="nil"/>
              <w:left w:val="nil"/>
              <w:bottom w:val="single" w:sz="4" w:space="0" w:color="auto"/>
              <w:right w:val="single" w:sz="4" w:space="0" w:color="auto"/>
            </w:tcBorders>
            <w:vAlign w:val="center"/>
            <w:hideMark/>
          </w:tcPr>
          <w:p w14:paraId="59BBCD75"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20</w:t>
            </w:r>
          </w:p>
        </w:tc>
        <w:tc>
          <w:tcPr>
            <w:tcW w:w="731" w:type="dxa"/>
            <w:tcBorders>
              <w:top w:val="nil"/>
              <w:left w:val="nil"/>
              <w:bottom w:val="single" w:sz="4" w:space="0" w:color="auto"/>
              <w:right w:val="single" w:sz="4" w:space="0" w:color="auto"/>
            </w:tcBorders>
            <w:vAlign w:val="center"/>
            <w:hideMark/>
          </w:tcPr>
          <w:p w14:paraId="14C5DB7F"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23</w:t>
            </w:r>
          </w:p>
        </w:tc>
        <w:tc>
          <w:tcPr>
            <w:tcW w:w="731" w:type="dxa"/>
            <w:tcBorders>
              <w:top w:val="nil"/>
              <w:left w:val="nil"/>
              <w:bottom w:val="single" w:sz="4" w:space="0" w:color="auto"/>
              <w:right w:val="single" w:sz="4" w:space="0" w:color="auto"/>
            </w:tcBorders>
            <w:vAlign w:val="center"/>
            <w:hideMark/>
          </w:tcPr>
          <w:p w14:paraId="05825063"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28</w:t>
            </w:r>
          </w:p>
        </w:tc>
        <w:tc>
          <w:tcPr>
            <w:tcW w:w="1221" w:type="dxa"/>
            <w:tcBorders>
              <w:top w:val="nil"/>
              <w:left w:val="nil"/>
              <w:bottom w:val="single" w:sz="4" w:space="0" w:color="auto"/>
              <w:right w:val="single" w:sz="4" w:space="0" w:color="auto"/>
            </w:tcBorders>
            <w:vAlign w:val="center"/>
            <w:hideMark/>
          </w:tcPr>
          <w:p w14:paraId="735290BF"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25</w:t>
            </w:r>
          </w:p>
        </w:tc>
        <w:tc>
          <w:tcPr>
            <w:tcW w:w="1221" w:type="dxa"/>
            <w:tcBorders>
              <w:top w:val="nil"/>
              <w:left w:val="nil"/>
              <w:bottom w:val="single" w:sz="4" w:space="0" w:color="auto"/>
              <w:right w:val="single" w:sz="4" w:space="0" w:color="auto"/>
            </w:tcBorders>
            <w:vAlign w:val="center"/>
            <w:hideMark/>
          </w:tcPr>
          <w:p w14:paraId="4187E4BA"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25</w:t>
            </w:r>
          </w:p>
        </w:tc>
      </w:tr>
      <w:tr w:rsidR="009D41BB" w:rsidRPr="007E761F" w14:paraId="124EEE54" w14:textId="77777777" w:rsidTr="009D41BB">
        <w:trPr>
          <w:trHeight w:val="454"/>
          <w:jc w:val="center"/>
        </w:trPr>
        <w:tc>
          <w:tcPr>
            <w:tcW w:w="1560" w:type="dxa"/>
            <w:tcBorders>
              <w:top w:val="nil"/>
              <w:left w:val="single" w:sz="4" w:space="0" w:color="auto"/>
              <w:bottom w:val="single" w:sz="4" w:space="0" w:color="auto"/>
              <w:right w:val="single" w:sz="4" w:space="0" w:color="auto"/>
            </w:tcBorders>
            <w:vAlign w:val="center"/>
            <w:hideMark/>
          </w:tcPr>
          <w:p w14:paraId="643EEB07" w14:textId="77777777" w:rsidR="007E761F" w:rsidRPr="00E02C8A"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Sugar</w:t>
            </w:r>
          </w:p>
        </w:tc>
        <w:tc>
          <w:tcPr>
            <w:tcW w:w="731" w:type="dxa"/>
            <w:tcBorders>
              <w:top w:val="nil"/>
              <w:left w:val="nil"/>
              <w:bottom w:val="single" w:sz="4" w:space="0" w:color="auto"/>
              <w:right w:val="single" w:sz="4" w:space="0" w:color="auto"/>
            </w:tcBorders>
            <w:vAlign w:val="center"/>
            <w:hideMark/>
          </w:tcPr>
          <w:p w14:paraId="5CCB47EE"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333</w:t>
            </w:r>
          </w:p>
        </w:tc>
        <w:tc>
          <w:tcPr>
            <w:tcW w:w="731" w:type="dxa"/>
            <w:tcBorders>
              <w:top w:val="nil"/>
              <w:left w:val="nil"/>
              <w:bottom w:val="single" w:sz="4" w:space="0" w:color="auto"/>
              <w:right w:val="single" w:sz="4" w:space="0" w:color="auto"/>
            </w:tcBorders>
            <w:vAlign w:val="center"/>
            <w:hideMark/>
          </w:tcPr>
          <w:p w14:paraId="7D934DDF"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423</w:t>
            </w:r>
          </w:p>
        </w:tc>
        <w:tc>
          <w:tcPr>
            <w:tcW w:w="731" w:type="dxa"/>
            <w:tcBorders>
              <w:top w:val="nil"/>
              <w:left w:val="nil"/>
              <w:bottom w:val="single" w:sz="4" w:space="0" w:color="auto"/>
              <w:right w:val="single" w:sz="4" w:space="0" w:color="auto"/>
            </w:tcBorders>
            <w:vAlign w:val="center"/>
            <w:hideMark/>
          </w:tcPr>
          <w:p w14:paraId="171F711B"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249</w:t>
            </w:r>
          </w:p>
        </w:tc>
        <w:tc>
          <w:tcPr>
            <w:tcW w:w="731" w:type="dxa"/>
            <w:tcBorders>
              <w:top w:val="nil"/>
              <w:left w:val="nil"/>
              <w:bottom w:val="single" w:sz="4" w:space="0" w:color="auto"/>
              <w:right w:val="single" w:sz="4" w:space="0" w:color="auto"/>
            </w:tcBorders>
            <w:vAlign w:val="center"/>
            <w:hideMark/>
          </w:tcPr>
          <w:p w14:paraId="2C42CD7C"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391</w:t>
            </w:r>
          </w:p>
        </w:tc>
        <w:tc>
          <w:tcPr>
            <w:tcW w:w="731" w:type="dxa"/>
            <w:tcBorders>
              <w:top w:val="nil"/>
              <w:left w:val="nil"/>
              <w:bottom w:val="single" w:sz="4" w:space="0" w:color="auto"/>
              <w:right w:val="single" w:sz="4" w:space="0" w:color="auto"/>
            </w:tcBorders>
            <w:vAlign w:val="center"/>
            <w:hideMark/>
          </w:tcPr>
          <w:p w14:paraId="19D1DC20"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672</w:t>
            </w:r>
          </w:p>
        </w:tc>
        <w:tc>
          <w:tcPr>
            <w:tcW w:w="731" w:type="dxa"/>
            <w:tcBorders>
              <w:top w:val="nil"/>
              <w:left w:val="nil"/>
              <w:bottom w:val="single" w:sz="4" w:space="0" w:color="auto"/>
              <w:right w:val="single" w:sz="4" w:space="0" w:color="auto"/>
            </w:tcBorders>
            <w:vAlign w:val="center"/>
            <w:hideMark/>
          </w:tcPr>
          <w:p w14:paraId="22F67571"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487</w:t>
            </w:r>
          </w:p>
        </w:tc>
        <w:tc>
          <w:tcPr>
            <w:tcW w:w="731" w:type="dxa"/>
            <w:tcBorders>
              <w:top w:val="nil"/>
              <w:left w:val="nil"/>
              <w:bottom w:val="single" w:sz="4" w:space="0" w:color="auto"/>
              <w:right w:val="single" w:sz="4" w:space="0" w:color="auto"/>
            </w:tcBorders>
            <w:vAlign w:val="center"/>
            <w:hideMark/>
          </w:tcPr>
          <w:p w14:paraId="64044445"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724</w:t>
            </w:r>
          </w:p>
        </w:tc>
        <w:tc>
          <w:tcPr>
            <w:tcW w:w="731" w:type="dxa"/>
            <w:tcBorders>
              <w:top w:val="nil"/>
              <w:left w:val="nil"/>
              <w:bottom w:val="single" w:sz="4" w:space="0" w:color="auto"/>
              <w:right w:val="single" w:sz="4" w:space="0" w:color="auto"/>
            </w:tcBorders>
            <w:vAlign w:val="center"/>
            <w:hideMark/>
          </w:tcPr>
          <w:p w14:paraId="12BBEB34"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776</w:t>
            </w:r>
          </w:p>
        </w:tc>
        <w:tc>
          <w:tcPr>
            <w:tcW w:w="731" w:type="dxa"/>
            <w:tcBorders>
              <w:top w:val="nil"/>
              <w:left w:val="nil"/>
              <w:bottom w:val="single" w:sz="4" w:space="0" w:color="auto"/>
              <w:right w:val="single" w:sz="4" w:space="0" w:color="auto"/>
            </w:tcBorders>
            <w:vAlign w:val="center"/>
            <w:hideMark/>
          </w:tcPr>
          <w:p w14:paraId="4E3ADF17"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584</w:t>
            </w:r>
          </w:p>
        </w:tc>
        <w:tc>
          <w:tcPr>
            <w:tcW w:w="731" w:type="dxa"/>
            <w:tcBorders>
              <w:top w:val="nil"/>
              <w:left w:val="nil"/>
              <w:bottom w:val="single" w:sz="4" w:space="0" w:color="auto"/>
              <w:right w:val="single" w:sz="4" w:space="0" w:color="auto"/>
            </w:tcBorders>
            <w:vAlign w:val="center"/>
            <w:hideMark/>
          </w:tcPr>
          <w:p w14:paraId="438D4DD9"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697</w:t>
            </w:r>
          </w:p>
        </w:tc>
        <w:tc>
          <w:tcPr>
            <w:tcW w:w="731" w:type="dxa"/>
            <w:tcBorders>
              <w:top w:val="nil"/>
              <w:left w:val="nil"/>
              <w:bottom w:val="single" w:sz="4" w:space="0" w:color="auto"/>
              <w:right w:val="single" w:sz="4" w:space="0" w:color="auto"/>
            </w:tcBorders>
            <w:vAlign w:val="center"/>
            <w:hideMark/>
          </w:tcPr>
          <w:p w14:paraId="1EF0452B"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286</w:t>
            </w:r>
          </w:p>
        </w:tc>
        <w:tc>
          <w:tcPr>
            <w:tcW w:w="731" w:type="dxa"/>
            <w:tcBorders>
              <w:top w:val="nil"/>
              <w:left w:val="nil"/>
              <w:bottom w:val="single" w:sz="4" w:space="0" w:color="auto"/>
              <w:right w:val="single" w:sz="4" w:space="0" w:color="auto"/>
            </w:tcBorders>
            <w:vAlign w:val="center"/>
            <w:hideMark/>
          </w:tcPr>
          <w:p w14:paraId="029A331B"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646</w:t>
            </w:r>
          </w:p>
        </w:tc>
        <w:tc>
          <w:tcPr>
            <w:tcW w:w="731" w:type="dxa"/>
            <w:tcBorders>
              <w:top w:val="nil"/>
              <w:left w:val="nil"/>
              <w:bottom w:val="single" w:sz="4" w:space="0" w:color="auto"/>
              <w:right w:val="single" w:sz="4" w:space="0" w:color="auto"/>
            </w:tcBorders>
            <w:vAlign w:val="center"/>
            <w:hideMark/>
          </w:tcPr>
          <w:p w14:paraId="70A733ED"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732</w:t>
            </w:r>
          </w:p>
        </w:tc>
        <w:tc>
          <w:tcPr>
            <w:tcW w:w="731" w:type="dxa"/>
            <w:tcBorders>
              <w:top w:val="nil"/>
              <w:left w:val="nil"/>
              <w:bottom w:val="single" w:sz="4" w:space="0" w:color="auto"/>
              <w:right w:val="single" w:sz="4" w:space="0" w:color="auto"/>
            </w:tcBorders>
            <w:vAlign w:val="center"/>
            <w:hideMark/>
          </w:tcPr>
          <w:p w14:paraId="597FEFE1"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648</w:t>
            </w:r>
          </w:p>
        </w:tc>
        <w:tc>
          <w:tcPr>
            <w:tcW w:w="1221" w:type="dxa"/>
            <w:tcBorders>
              <w:top w:val="nil"/>
              <w:left w:val="nil"/>
              <w:bottom w:val="single" w:sz="4" w:space="0" w:color="auto"/>
              <w:right w:val="single" w:sz="4" w:space="0" w:color="auto"/>
            </w:tcBorders>
            <w:vAlign w:val="center"/>
            <w:hideMark/>
          </w:tcPr>
          <w:p w14:paraId="1C2260FC"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800</w:t>
            </w:r>
          </w:p>
        </w:tc>
        <w:tc>
          <w:tcPr>
            <w:tcW w:w="1221" w:type="dxa"/>
            <w:tcBorders>
              <w:top w:val="nil"/>
              <w:left w:val="nil"/>
              <w:bottom w:val="single" w:sz="4" w:space="0" w:color="auto"/>
              <w:right w:val="single" w:sz="4" w:space="0" w:color="auto"/>
            </w:tcBorders>
            <w:vAlign w:val="center"/>
            <w:hideMark/>
          </w:tcPr>
          <w:p w14:paraId="6DEF59A5"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800</w:t>
            </w:r>
          </w:p>
        </w:tc>
      </w:tr>
      <w:tr w:rsidR="009D41BB" w:rsidRPr="007E761F" w14:paraId="2EACB472" w14:textId="77777777" w:rsidTr="009D41BB">
        <w:trPr>
          <w:trHeight w:val="454"/>
          <w:jc w:val="center"/>
        </w:trPr>
        <w:tc>
          <w:tcPr>
            <w:tcW w:w="1560" w:type="dxa"/>
            <w:tcBorders>
              <w:top w:val="nil"/>
              <w:left w:val="single" w:sz="4" w:space="0" w:color="auto"/>
              <w:bottom w:val="single" w:sz="4" w:space="0" w:color="auto"/>
              <w:right w:val="single" w:sz="4" w:space="0" w:color="auto"/>
            </w:tcBorders>
            <w:vAlign w:val="center"/>
            <w:hideMark/>
          </w:tcPr>
          <w:p w14:paraId="7919C8D4" w14:textId="77777777" w:rsidR="007E761F" w:rsidRPr="00E02C8A"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Matches</w:t>
            </w:r>
          </w:p>
        </w:tc>
        <w:tc>
          <w:tcPr>
            <w:tcW w:w="731" w:type="dxa"/>
            <w:tcBorders>
              <w:top w:val="nil"/>
              <w:left w:val="nil"/>
              <w:bottom w:val="single" w:sz="4" w:space="0" w:color="auto"/>
              <w:right w:val="single" w:sz="4" w:space="0" w:color="auto"/>
            </w:tcBorders>
            <w:vAlign w:val="center"/>
            <w:hideMark/>
          </w:tcPr>
          <w:p w14:paraId="6D3A75AF"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200</w:t>
            </w:r>
          </w:p>
        </w:tc>
        <w:tc>
          <w:tcPr>
            <w:tcW w:w="731" w:type="dxa"/>
            <w:tcBorders>
              <w:top w:val="nil"/>
              <w:left w:val="nil"/>
              <w:bottom w:val="single" w:sz="4" w:space="0" w:color="auto"/>
              <w:right w:val="single" w:sz="4" w:space="0" w:color="auto"/>
            </w:tcBorders>
            <w:vAlign w:val="center"/>
            <w:hideMark/>
          </w:tcPr>
          <w:p w14:paraId="76C1A066"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218</w:t>
            </w:r>
          </w:p>
        </w:tc>
        <w:tc>
          <w:tcPr>
            <w:tcW w:w="731" w:type="dxa"/>
            <w:tcBorders>
              <w:top w:val="nil"/>
              <w:left w:val="nil"/>
              <w:bottom w:val="single" w:sz="4" w:space="0" w:color="auto"/>
              <w:right w:val="single" w:sz="4" w:space="0" w:color="auto"/>
            </w:tcBorders>
            <w:vAlign w:val="center"/>
            <w:hideMark/>
          </w:tcPr>
          <w:p w14:paraId="7D33638F"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224</w:t>
            </w:r>
          </w:p>
        </w:tc>
        <w:tc>
          <w:tcPr>
            <w:tcW w:w="731" w:type="dxa"/>
            <w:tcBorders>
              <w:top w:val="nil"/>
              <w:left w:val="nil"/>
              <w:bottom w:val="single" w:sz="4" w:space="0" w:color="auto"/>
              <w:right w:val="single" w:sz="4" w:space="0" w:color="auto"/>
            </w:tcBorders>
            <w:vAlign w:val="center"/>
            <w:hideMark/>
          </w:tcPr>
          <w:p w14:paraId="377F648E"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227</w:t>
            </w:r>
          </w:p>
        </w:tc>
        <w:tc>
          <w:tcPr>
            <w:tcW w:w="731" w:type="dxa"/>
            <w:tcBorders>
              <w:top w:val="nil"/>
              <w:left w:val="nil"/>
              <w:bottom w:val="single" w:sz="4" w:space="0" w:color="auto"/>
              <w:right w:val="single" w:sz="4" w:space="0" w:color="auto"/>
            </w:tcBorders>
            <w:vAlign w:val="center"/>
            <w:hideMark/>
          </w:tcPr>
          <w:p w14:paraId="2D415BF3"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290</w:t>
            </w:r>
          </w:p>
        </w:tc>
        <w:tc>
          <w:tcPr>
            <w:tcW w:w="731" w:type="dxa"/>
            <w:tcBorders>
              <w:top w:val="nil"/>
              <w:left w:val="nil"/>
              <w:bottom w:val="single" w:sz="4" w:space="0" w:color="auto"/>
              <w:right w:val="single" w:sz="4" w:space="0" w:color="auto"/>
            </w:tcBorders>
            <w:vAlign w:val="center"/>
            <w:hideMark/>
          </w:tcPr>
          <w:p w14:paraId="3F71543E"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332</w:t>
            </w:r>
          </w:p>
        </w:tc>
        <w:tc>
          <w:tcPr>
            <w:tcW w:w="731" w:type="dxa"/>
            <w:tcBorders>
              <w:top w:val="nil"/>
              <w:left w:val="nil"/>
              <w:bottom w:val="single" w:sz="4" w:space="0" w:color="auto"/>
              <w:right w:val="single" w:sz="4" w:space="0" w:color="auto"/>
            </w:tcBorders>
            <w:vAlign w:val="center"/>
            <w:hideMark/>
          </w:tcPr>
          <w:p w14:paraId="79B995A1"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471</w:t>
            </w:r>
          </w:p>
        </w:tc>
        <w:tc>
          <w:tcPr>
            <w:tcW w:w="731" w:type="dxa"/>
            <w:tcBorders>
              <w:top w:val="nil"/>
              <w:left w:val="nil"/>
              <w:bottom w:val="single" w:sz="4" w:space="0" w:color="auto"/>
              <w:right w:val="single" w:sz="4" w:space="0" w:color="auto"/>
            </w:tcBorders>
            <w:vAlign w:val="center"/>
            <w:hideMark/>
          </w:tcPr>
          <w:p w14:paraId="5FAE29C9"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537</w:t>
            </w:r>
          </w:p>
        </w:tc>
        <w:tc>
          <w:tcPr>
            <w:tcW w:w="731" w:type="dxa"/>
            <w:tcBorders>
              <w:top w:val="nil"/>
              <w:left w:val="nil"/>
              <w:bottom w:val="single" w:sz="4" w:space="0" w:color="auto"/>
              <w:right w:val="single" w:sz="4" w:space="0" w:color="auto"/>
            </w:tcBorders>
            <w:vAlign w:val="center"/>
            <w:hideMark/>
          </w:tcPr>
          <w:p w14:paraId="3785FE3A"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644</w:t>
            </w:r>
          </w:p>
        </w:tc>
        <w:tc>
          <w:tcPr>
            <w:tcW w:w="731" w:type="dxa"/>
            <w:tcBorders>
              <w:top w:val="nil"/>
              <w:left w:val="nil"/>
              <w:bottom w:val="single" w:sz="4" w:space="0" w:color="auto"/>
              <w:right w:val="single" w:sz="4" w:space="0" w:color="auto"/>
            </w:tcBorders>
            <w:vAlign w:val="center"/>
            <w:hideMark/>
          </w:tcPr>
          <w:p w14:paraId="2A76DABA"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442</w:t>
            </w:r>
          </w:p>
        </w:tc>
        <w:tc>
          <w:tcPr>
            <w:tcW w:w="731" w:type="dxa"/>
            <w:tcBorders>
              <w:top w:val="nil"/>
              <w:left w:val="nil"/>
              <w:bottom w:val="single" w:sz="4" w:space="0" w:color="auto"/>
              <w:right w:val="single" w:sz="4" w:space="0" w:color="auto"/>
            </w:tcBorders>
            <w:vAlign w:val="center"/>
            <w:hideMark/>
          </w:tcPr>
          <w:p w14:paraId="2CB1DB60"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322</w:t>
            </w:r>
          </w:p>
        </w:tc>
        <w:tc>
          <w:tcPr>
            <w:tcW w:w="731" w:type="dxa"/>
            <w:tcBorders>
              <w:top w:val="nil"/>
              <w:left w:val="nil"/>
              <w:bottom w:val="single" w:sz="4" w:space="0" w:color="auto"/>
              <w:right w:val="single" w:sz="4" w:space="0" w:color="auto"/>
            </w:tcBorders>
            <w:vAlign w:val="center"/>
            <w:hideMark/>
          </w:tcPr>
          <w:p w14:paraId="3E39C87E"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730</w:t>
            </w:r>
          </w:p>
        </w:tc>
        <w:tc>
          <w:tcPr>
            <w:tcW w:w="731" w:type="dxa"/>
            <w:tcBorders>
              <w:top w:val="nil"/>
              <w:left w:val="nil"/>
              <w:bottom w:val="single" w:sz="4" w:space="0" w:color="auto"/>
              <w:right w:val="single" w:sz="4" w:space="0" w:color="auto"/>
            </w:tcBorders>
            <w:vAlign w:val="center"/>
            <w:hideMark/>
          </w:tcPr>
          <w:p w14:paraId="49CD62B7"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757</w:t>
            </w:r>
          </w:p>
        </w:tc>
        <w:tc>
          <w:tcPr>
            <w:tcW w:w="731" w:type="dxa"/>
            <w:tcBorders>
              <w:top w:val="nil"/>
              <w:left w:val="nil"/>
              <w:bottom w:val="single" w:sz="4" w:space="0" w:color="auto"/>
              <w:right w:val="single" w:sz="4" w:space="0" w:color="auto"/>
            </w:tcBorders>
            <w:vAlign w:val="center"/>
            <w:hideMark/>
          </w:tcPr>
          <w:p w14:paraId="6750D142"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807</w:t>
            </w:r>
          </w:p>
        </w:tc>
        <w:tc>
          <w:tcPr>
            <w:tcW w:w="1221" w:type="dxa"/>
            <w:tcBorders>
              <w:top w:val="nil"/>
              <w:left w:val="nil"/>
              <w:bottom w:val="single" w:sz="4" w:space="0" w:color="auto"/>
              <w:right w:val="single" w:sz="4" w:space="0" w:color="auto"/>
            </w:tcBorders>
            <w:vAlign w:val="center"/>
            <w:hideMark/>
          </w:tcPr>
          <w:p w14:paraId="2278B575"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850</w:t>
            </w:r>
          </w:p>
        </w:tc>
        <w:tc>
          <w:tcPr>
            <w:tcW w:w="1221" w:type="dxa"/>
            <w:tcBorders>
              <w:top w:val="nil"/>
              <w:left w:val="nil"/>
              <w:bottom w:val="single" w:sz="4" w:space="0" w:color="auto"/>
              <w:right w:val="single" w:sz="4" w:space="0" w:color="auto"/>
            </w:tcBorders>
            <w:vAlign w:val="center"/>
            <w:hideMark/>
          </w:tcPr>
          <w:p w14:paraId="0BD6133D"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850</w:t>
            </w:r>
          </w:p>
        </w:tc>
      </w:tr>
      <w:tr w:rsidR="009D41BB" w:rsidRPr="007E761F" w14:paraId="150BFFB4" w14:textId="77777777" w:rsidTr="009D41BB">
        <w:trPr>
          <w:trHeight w:val="454"/>
          <w:jc w:val="center"/>
        </w:trPr>
        <w:tc>
          <w:tcPr>
            <w:tcW w:w="1560" w:type="dxa"/>
            <w:tcBorders>
              <w:top w:val="nil"/>
              <w:left w:val="single" w:sz="4" w:space="0" w:color="auto"/>
              <w:bottom w:val="single" w:sz="4" w:space="0" w:color="auto"/>
              <w:right w:val="single" w:sz="4" w:space="0" w:color="auto"/>
            </w:tcBorders>
            <w:vAlign w:val="center"/>
            <w:hideMark/>
          </w:tcPr>
          <w:p w14:paraId="3293567A" w14:textId="77777777" w:rsidR="007E761F" w:rsidRPr="00E02C8A"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 xml:space="preserve">Iron and </w:t>
            </w:r>
            <w:proofErr w:type="gramStart"/>
            <w:r w:rsidRPr="00E02C8A">
              <w:rPr>
                <w:rFonts w:ascii="Times New Roman" w:eastAsia="Times New Roman" w:hAnsi="Times New Roman" w:cs="Times New Roman"/>
                <w:color w:val="000000"/>
                <w:kern w:val="0"/>
                <w:szCs w:val="24"/>
                <w:lang w:eastAsia="en-IN"/>
                <w14:ligatures w14:val="none"/>
              </w:rPr>
              <w:t>Steel</w:t>
            </w:r>
            <w:proofErr w:type="gramEnd"/>
          </w:p>
        </w:tc>
        <w:tc>
          <w:tcPr>
            <w:tcW w:w="731" w:type="dxa"/>
            <w:tcBorders>
              <w:top w:val="nil"/>
              <w:left w:val="nil"/>
              <w:bottom w:val="single" w:sz="4" w:space="0" w:color="auto"/>
              <w:right w:val="single" w:sz="4" w:space="0" w:color="auto"/>
            </w:tcBorders>
            <w:vAlign w:val="center"/>
            <w:hideMark/>
          </w:tcPr>
          <w:p w14:paraId="596950B9"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35</w:t>
            </w:r>
          </w:p>
        </w:tc>
        <w:tc>
          <w:tcPr>
            <w:tcW w:w="731" w:type="dxa"/>
            <w:tcBorders>
              <w:top w:val="nil"/>
              <w:left w:val="nil"/>
              <w:bottom w:val="single" w:sz="4" w:space="0" w:color="auto"/>
              <w:right w:val="single" w:sz="4" w:space="0" w:color="auto"/>
            </w:tcBorders>
            <w:vAlign w:val="center"/>
            <w:hideMark/>
          </w:tcPr>
          <w:p w14:paraId="384AB135"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37</w:t>
            </w:r>
          </w:p>
        </w:tc>
        <w:tc>
          <w:tcPr>
            <w:tcW w:w="731" w:type="dxa"/>
            <w:tcBorders>
              <w:top w:val="nil"/>
              <w:left w:val="nil"/>
              <w:bottom w:val="single" w:sz="4" w:space="0" w:color="auto"/>
              <w:right w:val="single" w:sz="4" w:space="0" w:color="auto"/>
            </w:tcBorders>
            <w:vAlign w:val="center"/>
            <w:hideMark/>
          </w:tcPr>
          <w:p w14:paraId="247D1C97"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40</w:t>
            </w:r>
          </w:p>
        </w:tc>
        <w:tc>
          <w:tcPr>
            <w:tcW w:w="731" w:type="dxa"/>
            <w:tcBorders>
              <w:top w:val="nil"/>
              <w:left w:val="nil"/>
              <w:bottom w:val="single" w:sz="4" w:space="0" w:color="auto"/>
              <w:right w:val="single" w:sz="4" w:space="0" w:color="auto"/>
            </w:tcBorders>
            <w:vAlign w:val="center"/>
            <w:hideMark/>
          </w:tcPr>
          <w:p w14:paraId="6EBE9AA1"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49</w:t>
            </w:r>
          </w:p>
        </w:tc>
        <w:tc>
          <w:tcPr>
            <w:tcW w:w="731" w:type="dxa"/>
            <w:tcBorders>
              <w:top w:val="nil"/>
              <w:left w:val="nil"/>
              <w:bottom w:val="single" w:sz="4" w:space="0" w:color="auto"/>
              <w:right w:val="single" w:sz="4" w:space="0" w:color="auto"/>
            </w:tcBorders>
            <w:vAlign w:val="center"/>
            <w:hideMark/>
          </w:tcPr>
          <w:p w14:paraId="213F0129"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52</w:t>
            </w:r>
          </w:p>
        </w:tc>
        <w:tc>
          <w:tcPr>
            <w:tcW w:w="731" w:type="dxa"/>
            <w:tcBorders>
              <w:top w:val="nil"/>
              <w:left w:val="nil"/>
              <w:bottom w:val="single" w:sz="4" w:space="0" w:color="auto"/>
              <w:right w:val="single" w:sz="4" w:space="0" w:color="auto"/>
            </w:tcBorders>
            <w:vAlign w:val="center"/>
            <w:hideMark/>
          </w:tcPr>
          <w:p w14:paraId="091C4050"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50</w:t>
            </w:r>
          </w:p>
        </w:tc>
        <w:tc>
          <w:tcPr>
            <w:tcW w:w="731" w:type="dxa"/>
            <w:tcBorders>
              <w:top w:val="nil"/>
              <w:left w:val="nil"/>
              <w:bottom w:val="single" w:sz="4" w:space="0" w:color="auto"/>
              <w:right w:val="single" w:sz="4" w:space="0" w:color="auto"/>
            </w:tcBorders>
            <w:vAlign w:val="center"/>
            <w:hideMark/>
          </w:tcPr>
          <w:p w14:paraId="1BDBFC4E"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59</w:t>
            </w:r>
          </w:p>
        </w:tc>
        <w:tc>
          <w:tcPr>
            <w:tcW w:w="731" w:type="dxa"/>
            <w:tcBorders>
              <w:top w:val="nil"/>
              <w:left w:val="nil"/>
              <w:bottom w:val="single" w:sz="4" w:space="0" w:color="auto"/>
              <w:right w:val="single" w:sz="4" w:space="0" w:color="auto"/>
            </w:tcBorders>
            <w:vAlign w:val="center"/>
            <w:hideMark/>
          </w:tcPr>
          <w:p w14:paraId="616AFB80"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52</w:t>
            </w:r>
          </w:p>
        </w:tc>
        <w:tc>
          <w:tcPr>
            <w:tcW w:w="731" w:type="dxa"/>
            <w:tcBorders>
              <w:top w:val="nil"/>
              <w:left w:val="nil"/>
              <w:bottom w:val="single" w:sz="4" w:space="0" w:color="auto"/>
              <w:right w:val="single" w:sz="4" w:space="0" w:color="auto"/>
            </w:tcBorders>
            <w:vAlign w:val="center"/>
            <w:hideMark/>
          </w:tcPr>
          <w:p w14:paraId="603F3C0F"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52</w:t>
            </w:r>
          </w:p>
        </w:tc>
        <w:tc>
          <w:tcPr>
            <w:tcW w:w="731" w:type="dxa"/>
            <w:tcBorders>
              <w:top w:val="nil"/>
              <w:left w:val="nil"/>
              <w:bottom w:val="single" w:sz="4" w:space="0" w:color="auto"/>
              <w:right w:val="single" w:sz="4" w:space="0" w:color="auto"/>
            </w:tcBorders>
            <w:vAlign w:val="center"/>
            <w:hideMark/>
          </w:tcPr>
          <w:p w14:paraId="74EFEE20"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49</w:t>
            </w:r>
          </w:p>
        </w:tc>
        <w:tc>
          <w:tcPr>
            <w:tcW w:w="731" w:type="dxa"/>
            <w:tcBorders>
              <w:top w:val="nil"/>
              <w:left w:val="nil"/>
              <w:bottom w:val="single" w:sz="4" w:space="0" w:color="auto"/>
              <w:right w:val="single" w:sz="4" w:space="0" w:color="auto"/>
            </w:tcBorders>
            <w:vAlign w:val="center"/>
            <w:hideMark/>
          </w:tcPr>
          <w:p w14:paraId="338F4A4C"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30</w:t>
            </w:r>
          </w:p>
        </w:tc>
        <w:tc>
          <w:tcPr>
            <w:tcW w:w="731" w:type="dxa"/>
            <w:tcBorders>
              <w:top w:val="nil"/>
              <w:left w:val="nil"/>
              <w:bottom w:val="single" w:sz="4" w:space="0" w:color="auto"/>
              <w:right w:val="single" w:sz="4" w:space="0" w:color="auto"/>
            </w:tcBorders>
            <w:vAlign w:val="center"/>
            <w:hideMark/>
          </w:tcPr>
          <w:p w14:paraId="1B220514"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46</w:t>
            </w:r>
          </w:p>
        </w:tc>
        <w:tc>
          <w:tcPr>
            <w:tcW w:w="731" w:type="dxa"/>
            <w:tcBorders>
              <w:top w:val="nil"/>
              <w:left w:val="nil"/>
              <w:bottom w:val="single" w:sz="4" w:space="0" w:color="auto"/>
              <w:right w:val="single" w:sz="4" w:space="0" w:color="auto"/>
            </w:tcBorders>
            <w:vAlign w:val="center"/>
            <w:hideMark/>
          </w:tcPr>
          <w:p w14:paraId="03297DFA"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52</w:t>
            </w:r>
          </w:p>
        </w:tc>
        <w:tc>
          <w:tcPr>
            <w:tcW w:w="731" w:type="dxa"/>
            <w:tcBorders>
              <w:top w:val="nil"/>
              <w:left w:val="nil"/>
              <w:bottom w:val="single" w:sz="4" w:space="0" w:color="auto"/>
              <w:right w:val="single" w:sz="4" w:space="0" w:color="auto"/>
            </w:tcBorders>
            <w:vAlign w:val="center"/>
            <w:hideMark/>
          </w:tcPr>
          <w:p w14:paraId="69D28BA7"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54</w:t>
            </w:r>
          </w:p>
        </w:tc>
        <w:tc>
          <w:tcPr>
            <w:tcW w:w="1221" w:type="dxa"/>
            <w:tcBorders>
              <w:top w:val="nil"/>
              <w:left w:val="nil"/>
              <w:bottom w:val="single" w:sz="4" w:space="0" w:color="auto"/>
              <w:right w:val="single" w:sz="4" w:space="0" w:color="auto"/>
            </w:tcBorders>
            <w:vAlign w:val="center"/>
            <w:hideMark/>
          </w:tcPr>
          <w:p w14:paraId="4D446979"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60</w:t>
            </w:r>
          </w:p>
        </w:tc>
        <w:tc>
          <w:tcPr>
            <w:tcW w:w="1221" w:type="dxa"/>
            <w:tcBorders>
              <w:top w:val="nil"/>
              <w:left w:val="nil"/>
              <w:bottom w:val="single" w:sz="4" w:space="0" w:color="auto"/>
              <w:right w:val="single" w:sz="4" w:space="0" w:color="auto"/>
            </w:tcBorders>
            <w:vAlign w:val="center"/>
            <w:hideMark/>
          </w:tcPr>
          <w:p w14:paraId="548F35B3"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60</w:t>
            </w:r>
          </w:p>
        </w:tc>
      </w:tr>
      <w:tr w:rsidR="009D41BB" w:rsidRPr="007E761F" w14:paraId="6915A0F7" w14:textId="77777777" w:rsidTr="009D41BB">
        <w:trPr>
          <w:trHeight w:val="454"/>
          <w:jc w:val="center"/>
        </w:trPr>
        <w:tc>
          <w:tcPr>
            <w:tcW w:w="1560" w:type="dxa"/>
            <w:tcBorders>
              <w:top w:val="nil"/>
              <w:left w:val="single" w:sz="4" w:space="0" w:color="auto"/>
              <w:bottom w:val="single" w:sz="4" w:space="0" w:color="auto"/>
              <w:right w:val="single" w:sz="4" w:space="0" w:color="auto"/>
            </w:tcBorders>
            <w:vAlign w:val="center"/>
            <w:hideMark/>
          </w:tcPr>
          <w:p w14:paraId="085D508B" w14:textId="77777777" w:rsidR="007E761F" w:rsidRPr="00E02C8A"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Coal and Coke</w:t>
            </w:r>
          </w:p>
        </w:tc>
        <w:tc>
          <w:tcPr>
            <w:tcW w:w="731" w:type="dxa"/>
            <w:tcBorders>
              <w:top w:val="nil"/>
              <w:left w:val="nil"/>
              <w:bottom w:val="single" w:sz="4" w:space="0" w:color="auto"/>
              <w:right w:val="single" w:sz="4" w:space="0" w:color="auto"/>
            </w:tcBorders>
            <w:vAlign w:val="center"/>
            <w:hideMark/>
          </w:tcPr>
          <w:p w14:paraId="7EE7A827"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w:t>
            </w:r>
          </w:p>
        </w:tc>
        <w:tc>
          <w:tcPr>
            <w:tcW w:w="731" w:type="dxa"/>
            <w:tcBorders>
              <w:top w:val="nil"/>
              <w:left w:val="nil"/>
              <w:bottom w:val="single" w:sz="4" w:space="0" w:color="auto"/>
              <w:right w:val="single" w:sz="4" w:space="0" w:color="auto"/>
            </w:tcBorders>
            <w:vAlign w:val="center"/>
            <w:hideMark/>
          </w:tcPr>
          <w:p w14:paraId="182AE132"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w:t>
            </w:r>
          </w:p>
        </w:tc>
        <w:tc>
          <w:tcPr>
            <w:tcW w:w="731" w:type="dxa"/>
            <w:tcBorders>
              <w:top w:val="nil"/>
              <w:left w:val="nil"/>
              <w:bottom w:val="single" w:sz="4" w:space="0" w:color="auto"/>
              <w:right w:val="single" w:sz="4" w:space="0" w:color="auto"/>
            </w:tcBorders>
            <w:vAlign w:val="center"/>
            <w:hideMark/>
          </w:tcPr>
          <w:p w14:paraId="400E0CE9"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1</w:t>
            </w:r>
          </w:p>
        </w:tc>
        <w:tc>
          <w:tcPr>
            <w:tcW w:w="731" w:type="dxa"/>
            <w:tcBorders>
              <w:top w:val="nil"/>
              <w:left w:val="nil"/>
              <w:bottom w:val="single" w:sz="4" w:space="0" w:color="auto"/>
              <w:right w:val="single" w:sz="4" w:space="0" w:color="auto"/>
            </w:tcBorders>
            <w:vAlign w:val="center"/>
            <w:hideMark/>
          </w:tcPr>
          <w:p w14:paraId="76122700"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30</w:t>
            </w:r>
          </w:p>
        </w:tc>
        <w:tc>
          <w:tcPr>
            <w:tcW w:w="731" w:type="dxa"/>
            <w:tcBorders>
              <w:top w:val="nil"/>
              <w:left w:val="nil"/>
              <w:bottom w:val="single" w:sz="4" w:space="0" w:color="auto"/>
              <w:right w:val="single" w:sz="4" w:space="0" w:color="auto"/>
            </w:tcBorders>
            <w:vAlign w:val="center"/>
            <w:hideMark/>
          </w:tcPr>
          <w:p w14:paraId="316F1B78"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32</w:t>
            </w:r>
          </w:p>
        </w:tc>
        <w:tc>
          <w:tcPr>
            <w:tcW w:w="731" w:type="dxa"/>
            <w:tcBorders>
              <w:top w:val="nil"/>
              <w:left w:val="nil"/>
              <w:bottom w:val="single" w:sz="4" w:space="0" w:color="auto"/>
              <w:right w:val="single" w:sz="4" w:space="0" w:color="auto"/>
            </w:tcBorders>
            <w:vAlign w:val="center"/>
            <w:hideMark/>
          </w:tcPr>
          <w:p w14:paraId="0E7D96CD"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25</w:t>
            </w:r>
          </w:p>
        </w:tc>
        <w:tc>
          <w:tcPr>
            <w:tcW w:w="731" w:type="dxa"/>
            <w:tcBorders>
              <w:top w:val="nil"/>
              <w:left w:val="nil"/>
              <w:bottom w:val="single" w:sz="4" w:space="0" w:color="auto"/>
              <w:right w:val="single" w:sz="4" w:space="0" w:color="auto"/>
            </w:tcBorders>
            <w:vAlign w:val="center"/>
            <w:hideMark/>
          </w:tcPr>
          <w:p w14:paraId="030EDF8A"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23</w:t>
            </w:r>
          </w:p>
        </w:tc>
        <w:tc>
          <w:tcPr>
            <w:tcW w:w="731" w:type="dxa"/>
            <w:tcBorders>
              <w:top w:val="nil"/>
              <w:left w:val="nil"/>
              <w:bottom w:val="single" w:sz="4" w:space="0" w:color="auto"/>
              <w:right w:val="single" w:sz="4" w:space="0" w:color="auto"/>
            </w:tcBorders>
            <w:vAlign w:val="center"/>
            <w:hideMark/>
          </w:tcPr>
          <w:p w14:paraId="6CA252EC"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132</w:t>
            </w:r>
          </w:p>
        </w:tc>
        <w:tc>
          <w:tcPr>
            <w:tcW w:w="731" w:type="dxa"/>
            <w:tcBorders>
              <w:top w:val="nil"/>
              <w:left w:val="nil"/>
              <w:bottom w:val="single" w:sz="4" w:space="0" w:color="auto"/>
              <w:right w:val="single" w:sz="4" w:space="0" w:color="auto"/>
            </w:tcBorders>
            <w:vAlign w:val="center"/>
            <w:hideMark/>
          </w:tcPr>
          <w:p w14:paraId="2A5424DE"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347</w:t>
            </w:r>
          </w:p>
        </w:tc>
        <w:tc>
          <w:tcPr>
            <w:tcW w:w="731" w:type="dxa"/>
            <w:tcBorders>
              <w:top w:val="nil"/>
              <w:left w:val="nil"/>
              <w:bottom w:val="single" w:sz="4" w:space="0" w:color="auto"/>
              <w:right w:val="single" w:sz="4" w:space="0" w:color="auto"/>
            </w:tcBorders>
            <w:vAlign w:val="center"/>
            <w:hideMark/>
          </w:tcPr>
          <w:p w14:paraId="7917303D"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357</w:t>
            </w:r>
          </w:p>
        </w:tc>
        <w:tc>
          <w:tcPr>
            <w:tcW w:w="731" w:type="dxa"/>
            <w:tcBorders>
              <w:top w:val="nil"/>
              <w:left w:val="nil"/>
              <w:bottom w:val="single" w:sz="4" w:space="0" w:color="auto"/>
              <w:right w:val="single" w:sz="4" w:space="0" w:color="auto"/>
            </w:tcBorders>
            <w:vAlign w:val="center"/>
            <w:hideMark/>
          </w:tcPr>
          <w:p w14:paraId="09A27AF7"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74</w:t>
            </w:r>
          </w:p>
        </w:tc>
        <w:tc>
          <w:tcPr>
            <w:tcW w:w="731" w:type="dxa"/>
            <w:tcBorders>
              <w:top w:val="nil"/>
              <w:left w:val="nil"/>
              <w:bottom w:val="single" w:sz="4" w:space="0" w:color="auto"/>
              <w:right w:val="single" w:sz="4" w:space="0" w:color="auto"/>
            </w:tcBorders>
            <w:vAlign w:val="center"/>
            <w:hideMark/>
          </w:tcPr>
          <w:p w14:paraId="3954114D"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102</w:t>
            </w:r>
          </w:p>
        </w:tc>
        <w:tc>
          <w:tcPr>
            <w:tcW w:w="731" w:type="dxa"/>
            <w:tcBorders>
              <w:top w:val="nil"/>
              <w:left w:val="nil"/>
              <w:bottom w:val="single" w:sz="4" w:space="0" w:color="auto"/>
              <w:right w:val="single" w:sz="4" w:space="0" w:color="auto"/>
            </w:tcBorders>
            <w:vAlign w:val="center"/>
            <w:hideMark/>
          </w:tcPr>
          <w:p w14:paraId="692879F5"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132</w:t>
            </w:r>
          </w:p>
        </w:tc>
        <w:tc>
          <w:tcPr>
            <w:tcW w:w="731" w:type="dxa"/>
            <w:tcBorders>
              <w:top w:val="nil"/>
              <w:left w:val="nil"/>
              <w:bottom w:val="single" w:sz="4" w:space="0" w:color="auto"/>
              <w:right w:val="single" w:sz="4" w:space="0" w:color="auto"/>
            </w:tcBorders>
            <w:vAlign w:val="center"/>
            <w:hideMark/>
          </w:tcPr>
          <w:p w14:paraId="50DB94AE"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162</w:t>
            </w:r>
          </w:p>
        </w:tc>
        <w:tc>
          <w:tcPr>
            <w:tcW w:w="1221" w:type="dxa"/>
            <w:tcBorders>
              <w:top w:val="nil"/>
              <w:left w:val="nil"/>
              <w:bottom w:val="single" w:sz="4" w:space="0" w:color="auto"/>
              <w:right w:val="single" w:sz="4" w:space="0" w:color="auto"/>
            </w:tcBorders>
            <w:vAlign w:val="center"/>
            <w:hideMark/>
          </w:tcPr>
          <w:p w14:paraId="12E3A78A"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110</w:t>
            </w:r>
          </w:p>
        </w:tc>
        <w:tc>
          <w:tcPr>
            <w:tcW w:w="1221" w:type="dxa"/>
            <w:tcBorders>
              <w:top w:val="nil"/>
              <w:left w:val="nil"/>
              <w:bottom w:val="single" w:sz="4" w:space="0" w:color="auto"/>
              <w:right w:val="single" w:sz="4" w:space="0" w:color="auto"/>
            </w:tcBorders>
            <w:vAlign w:val="center"/>
            <w:hideMark/>
          </w:tcPr>
          <w:p w14:paraId="429F01D2"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110</w:t>
            </w:r>
          </w:p>
        </w:tc>
      </w:tr>
      <w:tr w:rsidR="009D41BB" w:rsidRPr="007E761F" w14:paraId="214AA70F" w14:textId="77777777" w:rsidTr="009D41BB">
        <w:trPr>
          <w:trHeight w:val="454"/>
          <w:jc w:val="center"/>
        </w:trPr>
        <w:tc>
          <w:tcPr>
            <w:tcW w:w="1560" w:type="dxa"/>
            <w:tcBorders>
              <w:top w:val="nil"/>
              <w:left w:val="single" w:sz="4" w:space="0" w:color="auto"/>
              <w:bottom w:val="single" w:sz="4" w:space="0" w:color="auto"/>
              <w:right w:val="single" w:sz="4" w:space="0" w:color="auto"/>
            </w:tcBorders>
            <w:vAlign w:val="center"/>
            <w:hideMark/>
          </w:tcPr>
          <w:p w14:paraId="7DCD0F19" w14:textId="77777777" w:rsidR="007E761F" w:rsidRPr="00E02C8A"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Mechanical Lighter</w:t>
            </w:r>
          </w:p>
        </w:tc>
        <w:tc>
          <w:tcPr>
            <w:tcW w:w="731" w:type="dxa"/>
            <w:tcBorders>
              <w:top w:val="nil"/>
              <w:left w:val="nil"/>
              <w:bottom w:val="single" w:sz="4" w:space="0" w:color="auto"/>
              <w:right w:val="single" w:sz="4" w:space="0" w:color="auto"/>
            </w:tcBorders>
            <w:vAlign w:val="center"/>
            <w:hideMark/>
          </w:tcPr>
          <w:p w14:paraId="3EC93D73"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w:t>
            </w:r>
          </w:p>
        </w:tc>
        <w:tc>
          <w:tcPr>
            <w:tcW w:w="731" w:type="dxa"/>
            <w:tcBorders>
              <w:top w:val="nil"/>
              <w:left w:val="nil"/>
              <w:bottom w:val="single" w:sz="4" w:space="0" w:color="auto"/>
              <w:right w:val="single" w:sz="4" w:space="0" w:color="auto"/>
            </w:tcBorders>
            <w:vAlign w:val="center"/>
            <w:hideMark/>
          </w:tcPr>
          <w:p w14:paraId="494738EC"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w:t>
            </w:r>
          </w:p>
        </w:tc>
        <w:tc>
          <w:tcPr>
            <w:tcW w:w="731" w:type="dxa"/>
            <w:tcBorders>
              <w:top w:val="nil"/>
              <w:left w:val="nil"/>
              <w:bottom w:val="single" w:sz="4" w:space="0" w:color="auto"/>
              <w:right w:val="single" w:sz="4" w:space="0" w:color="auto"/>
            </w:tcBorders>
            <w:vAlign w:val="center"/>
            <w:hideMark/>
          </w:tcPr>
          <w:p w14:paraId="4C5F8EE6"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w:t>
            </w:r>
          </w:p>
        </w:tc>
        <w:tc>
          <w:tcPr>
            <w:tcW w:w="731" w:type="dxa"/>
            <w:tcBorders>
              <w:top w:val="nil"/>
              <w:left w:val="nil"/>
              <w:bottom w:val="single" w:sz="4" w:space="0" w:color="auto"/>
              <w:right w:val="single" w:sz="4" w:space="0" w:color="auto"/>
            </w:tcBorders>
            <w:vAlign w:val="center"/>
            <w:hideMark/>
          </w:tcPr>
          <w:p w14:paraId="08F9ED3E"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w:t>
            </w:r>
          </w:p>
        </w:tc>
        <w:tc>
          <w:tcPr>
            <w:tcW w:w="731" w:type="dxa"/>
            <w:tcBorders>
              <w:top w:val="nil"/>
              <w:left w:val="nil"/>
              <w:bottom w:val="single" w:sz="4" w:space="0" w:color="auto"/>
              <w:right w:val="single" w:sz="4" w:space="0" w:color="auto"/>
            </w:tcBorders>
            <w:vAlign w:val="center"/>
            <w:hideMark/>
          </w:tcPr>
          <w:p w14:paraId="770F1546"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w:t>
            </w:r>
          </w:p>
        </w:tc>
        <w:tc>
          <w:tcPr>
            <w:tcW w:w="731" w:type="dxa"/>
            <w:tcBorders>
              <w:top w:val="nil"/>
              <w:left w:val="nil"/>
              <w:bottom w:val="single" w:sz="4" w:space="0" w:color="auto"/>
              <w:right w:val="single" w:sz="4" w:space="0" w:color="auto"/>
            </w:tcBorders>
            <w:vAlign w:val="center"/>
            <w:hideMark/>
          </w:tcPr>
          <w:p w14:paraId="18B00FA6"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w:t>
            </w:r>
          </w:p>
        </w:tc>
        <w:tc>
          <w:tcPr>
            <w:tcW w:w="731" w:type="dxa"/>
            <w:tcBorders>
              <w:top w:val="nil"/>
              <w:left w:val="nil"/>
              <w:bottom w:val="single" w:sz="4" w:space="0" w:color="auto"/>
              <w:right w:val="single" w:sz="4" w:space="0" w:color="auto"/>
            </w:tcBorders>
            <w:vAlign w:val="center"/>
            <w:hideMark/>
          </w:tcPr>
          <w:p w14:paraId="35551877"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w:t>
            </w:r>
          </w:p>
        </w:tc>
        <w:tc>
          <w:tcPr>
            <w:tcW w:w="731" w:type="dxa"/>
            <w:tcBorders>
              <w:top w:val="nil"/>
              <w:left w:val="nil"/>
              <w:bottom w:val="single" w:sz="4" w:space="0" w:color="auto"/>
              <w:right w:val="single" w:sz="4" w:space="0" w:color="auto"/>
            </w:tcBorders>
            <w:vAlign w:val="center"/>
            <w:hideMark/>
          </w:tcPr>
          <w:p w14:paraId="1C9859CF"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2</w:t>
            </w:r>
          </w:p>
        </w:tc>
        <w:tc>
          <w:tcPr>
            <w:tcW w:w="731" w:type="dxa"/>
            <w:tcBorders>
              <w:top w:val="nil"/>
              <w:left w:val="nil"/>
              <w:bottom w:val="single" w:sz="4" w:space="0" w:color="auto"/>
              <w:right w:val="single" w:sz="4" w:space="0" w:color="auto"/>
            </w:tcBorders>
            <w:vAlign w:val="center"/>
            <w:hideMark/>
          </w:tcPr>
          <w:p w14:paraId="1BBA261B"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w:t>
            </w:r>
          </w:p>
        </w:tc>
        <w:tc>
          <w:tcPr>
            <w:tcW w:w="731" w:type="dxa"/>
            <w:tcBorders>
              <w:top w:val="nil"/>
              <w:left w:val="nil"/>
              <w:bottom w:val="single" w:sz="4" w:space="0" w:color="auto"/>
              <w:right w:val="single" w:sz="4" w:space="0" w:color="auto"/>
            </w:tcBorders>
            <w:vAlign w:val="center"/>
            <w:hideMark/>
          </w:tcPr>
          <w:p w14:paraId="4F548D5C"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w:t>
            </w:r>
          </w:p>
        </w:tc>
        <w:tc>
          <w:tcPr>
            <w:tcW w:w="731" w:type="dxa"/>
            <w:tcBorders>
              <w:top w:val="nil"/>
              <w:left w:val="nil"/>
              <w:bottom w:val="single" w:sz="4" w:space="0" w:color="auto"/>
              <w:right w:val="single" w:sz="4" w:space="0" w:color="auto"/>
            </w:tcBorders>
            <w:vAlign w:val="center"/>
            <w:hideMark/>
          </w:tcPr>
          <w:p w14:paraId="79BFDB0F"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w:t>
            </w:r>
          </w:p>
        </w:tc>
        <w:tc>
          <w:tcPr>
            <w:tcW w:w="731" w:type="dxa"/>
            <w:tcBorders>
              <w:top w:val="nil"/>
              <w:left w:val="nil"/>
              <w:bottom w:val="single" w:sz="4" w:space="0" w:color="auto"/>
              <w:right w:val="single" w:sz="4" w:space="0" w:color="auto"/>
            </w:tcBorders>
            <w:vAlign w:val="center"/>
            <w:hideMark/>
          </w:tcPr>
          <w:p w14:paraId="5043CA15"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w:t>
            </w:r>
          </w:p>
        </w:tc>
        <w:tc>
          <w:tcPr>
            <w:tcW w:w="731" w:type="dxa"/>
            <w:tcBorders>
              <w:top w:val="nil"/>
              <w:left w:val="nil"/>
              <w:bottom w:val="single" w:sz="4" w:space="0" w:color="auto"/>
              <w:right w:val="single" w:sz="4" w:space="0" w:color="auto"/>
            </w:tcBorders>
            <w:vAlign w:val="center"/>
            <w:hideMark/>
          </w:tcPr>
          <w:p w14:paraId="53AC5661"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w:t>
            </w:r>
          </w:p>
        </w:tc>
        <w:tc>
          <w:tcPr>
            <w:tcW w:w="731" w:type="dxa"/>
            <w:tcBorders>
              <w:top w:val="nil"/>
              <w:left w:val="nil"/>
              <w:bottom w:val="single" w:sz="4" w:space="0" w:color="auto"/>
              <w:right w:val="single" w:sz="4" w:space="0" w:color="auto"/>
            </w:tcBorders>
            <w:vAlign w:val="center"/>
            <w:hideMark/>
          </w:tcPr>
          <w:p w14:paraId="157A9D69"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w:t>
            </w:r>
          </w:p>
        </w:tc>
        <w:tc>
          <w:tcPr>
            <w:tcW w:w="1221" w:type="dxa"/>
            <w:tcBorders>
              <w:top w:val="nil"/>
              <w:left w:val="nil"/>
              <w:bottom w:val="single" w:sz="4" w:space="0" w:color="auto"/>
              <w:right w:val="single" w:sz="4" w:space="0" w:color="auto"/>
            </w:tcBorders>
            <w:vAlign w:val="center"/>
            <w:hideMark/>
          </w:tcPr>
          <w:p w14:paraId="1BF57447"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w:t>
            </w:r>
          </w:p>
        </w:tc>
        <w:tc>
          <w:tcPr>
            <w:tcW w:w="1221" w:type="dxa"/>
            <w:tcBorders>
              <w:top w:val="nil"/>
              <w:left w:val="nil"/>
              <w:bottom w:val="single" w:sz="4" w:space="0" w:color="auto"/>
              <w:right w:val="single" w:sz="4" w:space="0" w:color="auto"/>
            </w:tcBorders>
            <w:vAlign w:val="center"/>
            <w:hideMark/>
          </w:tcPr>
          <w:p w14:paraId="327A84F0"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w:t>
            </w:r>
          </w:p>
        </w:tc>
      </w:tr>
      <w:tr w:rsidR="009D41BB" w:rsidRPr="007E761F" w14:paraId="3E428BBE" w14:textId="77777777" w:rsidTr="009D41BB">
        <w:trPr>
          <w:trHeight w:val="454"/>
          <w:jc w:val="center"/>
        </w:trPr>
        <w:tc>
          <w:tcPr>
            <w:tcW w:w="1560" w:type="dxa"/>
            <w:tcBorders>
              <w:top w:val="nil"/>
              <w:left w:val="single" w:sz="4" w:space="0" w:color="auto"/>
              <w:bottom w:val="single" w:sz="4" w:space="0" w:color="auto"/>
              <w:right w:val="single" w:sz="4" w:space="0" w:color="auto"/>
            </w:tcBorders>
            <w:vAlign w:val="center"/>
            <w:hideMark/>
          </w:tcPr>
          <w:p w14:paraId="47F7A2F2" w14:textId="77777777" w:rsidR="007E761F" w:rsidRPr="00E02C8A"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Tyres</w:t>
            </w:r>
          </w:p>
        </w:tc>
        <w:tc>
          <w:tcPr>
            <w:tcW w:w="731" w:type="dxa"/>
            <w:tcBorders>
              <w:top w:val="nil"/>
              <w:left w:val="nil"/>
              <w:bottom w:val="single" w:sz="4" w:space="0" w:color="auto"/>
              <w:right w:val="single" w:sz="4" w:space="0" w:color="auto"/>
            </w:tcBorders>
            <w:vAlign w:val="center"/>
            <w:hideMark/>
          </w:tcPr>
          <w:p w14:paraId="0232F61C"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w:t>
            </w:r>
          </w:p>
        </w:tc>
        <w:tc>
          <w:tcPr>
            <w:tcW w:w="731" w:type="dxa"/>
            <w:tcBorders>
              <w:top w:val="nil"/>
              <w:left w:val="nil"/>
              <w:bottom w:val="single" w:sz="4" w:space="0" w:color="auto"/>
              <w:right w:val="single" w:sz="4" w:space="0" w:color="auto"/>
            </w:tcBorders>
            <w:vAlign w:val="center"/>
            <w:hideMark/>
          </w:tcPr>
          <w:p w14:paraId="78183BA1"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w:t>
            </w:r>
          </w:p>
        </w:tc>
        <w:tc>
          <w:tcPr>
            <w:tcW w:w="731" w:type="dxa"/>
            <w:tcBorders>
              <w:top w:val="nil"/>
              <w:left w:val="nil"/>
              <w:bottom w:val="single" w:sz="4" w:space="0" w:color="auto"/>
              <w:right w:val="single" w:sz="4" w:space="0" w:color="auto"/>
            </w:tcBorders>
            <w:vAlign w:val="center"/>
            <w:hideMark/>
          </w:tcPr>
          <w:p w14:paraId="54B476D1"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w:t>
            </w:r>
          </w:p>
        </w:tc>
        <w:tc>
          <w:tcPr>
            <w:tcW w:w="731" w:type="dxa"/>
            <w:tcBorders>
              <w:top w:val="nil"/>
              <w:left w:val="nil"/>
              <w:bottom w:val="single" w:sz="4" w:space="0" w:color="auto"/>
              <w:right w:val="single" w:sz="4" w:space="0" w:color="auto"/>
            </w:tcBorders>
            <w:vAlign w:val="center"/>
            <w:hideMark/>
          </w:tcPr>
          <w:p w14:paraId="2A3F0CEA"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w:t>
            </w:r>
          </w:p>
        </w:tc>
        <w:tc>
          <w:tcPr>
            <w:tcW w:w="731" w:type="dxa"/>
            <w:tcBorders>
              <w:top w:val="nil"/>
              <w:left w:val="nil"/>
              <w:bottom w:val="single" w:sz="4" w:space="0" w:color="auto"/>
              <w:right w:val="single" w:sz="4" w:space="0" w:color="auto"/>
            </w:tcBorders>
            <w:vAlign w:val="center"/>
            <w:hideMark/>
          </w:tcPr>
          <w:p w14:paraId="4FDF3071"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35</w:t>
            </w:r>
          </w:p>
        </w:tc>
        <w:tc>
          <w:tcPr>
            <w:tcW w:w="731" w:type="dxa"/>
            <w:tcBorders>
              <w:top w:val="nil"/>
              <w:left w:val="nil"/>
              <w:bottom w:val="single" w:sz="4" w:space="0" w:color="auto"/>
              <w:right w:val="single" w:sz="4" w:space="0" w:color="auto"/>
            </w:tcBorders>
            <w:vAlign w:val="center"/>
            <w:hideMark/>
          </w:tcPr>
          <w:p w14:paraId="40524B2C"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56</w:t>
            </w:r>
          </w:p>
        </w:tc>
        <w:tc>
          <w:tcPr>
            <w:tcW w:w="731" w:type="dxa"/>
            <w:tcBorders>
              <w:top w:val="nil"/>
              <w:left w:val="nil"/>
              <w:bottom w:val="single" w:sz="4" w:space="0" w:color="auto"/>
              <w:right w:val="single" w:sz="4" w:space="0" w:color="auto"/>
            </w:tcBorders>
            <w:vAlign w:val="center"/>
            <w:hideMark/>
          </w:tcPr>
          <w:p w14:paraId="301AB4F2"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83</w:t>
            </w:r>
          </w:p>
        </w:tc>
        <w:tc>
          <w:tcPr>
            <w:tcW w:w="731" w:type="dxa"/>
            <w:tcBorders>
              <w:top w:val="nil"/>
              <w:left w:val="nil"/>
              <w:bottom w:val="single" w:sz="4" w:space="0" w:color="auto"/>
              <w:right w:val="single" w:sz="4" w:space="0" w:color="auto"/>
            </w:tcBorders>
            <w:vAlign w:val="center"/>
            <w:hideMark/>
          </w:tcPr>
          <w:p w14:paraId="0B9C7937"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114</w:t>
            </w:r>
          </w:p>
        </w:tc>
        <w:tc>
          <w:tcPr>
            <w:tcW w:w="731" w:type="dxa"/>
            <w:tcBorders>
              <w:top w:val="nil"/>
              <w:left w:val="nil"/>
              <w:bottom w:val="single" w:sz="4" w:space="0" w:color="auto"/>
              <w:right w:val="single" w:sz="4" w:space="0" w:color="auto"/>
            </w:tcBorders>
            <w:vAlign w:val="center"/>
            <w:hideMark/>
          </w:tcPr>
          <w:p w14:paraId="0CE2E988"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124</w:t>
            </w:r>
          </w:p>
        </w:tc>
        <w:tc>
          <w:tcPr>
            <w:tcW w:w="731" w:type="dxa"/>
            <w:tcBorders>
              <w:top w:val="nil"/>
              <w:left w:val="nil"/>
              <w:bottom w:val="single" w:sz="4" w:space="0" w:color="auto"/>
              <w:right w:val="single" w:sz="4" w:space="0" w:color="auto"/>
            </w:tcBorders>
            <w:vAlign w:val="center"/>
            <w:hideMark/>
          </w:tcPr>
          <w:p w14:paraId="7825C2DF"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68</w:t>
            </w:r>
          </w:p>
        </w:tc>
        <w:tc>
          <w:tcPr>
            <w:tcW w:w="731" w:type="dxa"/>
            <w:tcBorders>
              <w:top w:val="nil"/>
              <w:left w:val="nil"/>
              <w:bottom w:val="single" w:sz="4" w:space="0" w:color="auto"/>
              <w:right w:val="single" w:sz="4" w:space="0" w:color="auto"/>
            </w:tcBorders>
            <w:vAlign w:val="center"/>
            <w:hideMark/>
          </w:tcPr>
          <w:p w14:paraId="5BB1D541"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62</w:t>
            </w:r>
          </w:p>
        </w:tc>
        <w:tc>
          <w:tcPr>
            <w:tcW w:w="731" w:type="dxa"/>
            <w:tcBorders>
              <w:top w:val="nil"/>
              <w:left w:val="nil"/>
              <w:bottom w:val="single" w:sz="4" w:space="0" w:color="auto"/>
              <w:right w:val="single" w:sz="4" w:space="0" w:color="auto"/>
            </w:tcBorders>
            <w:vAlign w:val="center"/>
            <w:hideMark/>
          </w:tcPr>
          <w:p w14:paraId="504EFC59"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198</w:t>
            </w:r>
          </w:p>
        </w:tc>
        <w:tc>
          <w:tcPr>
            <w:tcW w:w="731" w:type="dxa"/>
            <w:tcBorders>
              <w:top w:val="nil"/>
              <w:left w:val="nil"/>
              <w:bottom w:val="single" w:sz="4" w:space="0" w:color="auto"/>
              <w:right w:val="single" w:sz="4" w:space="0" w:color="auto"/>
            </w:tcBorders>
            <w:vAlign w:val="center"/>
            <w:hideMark/>
          </w:tcPr>
          <w:p w14:paraId="0133C517"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357</w:t>
            </w:r>
          </w:p>
        </w:tc>
        <w:tc>
          <w:tcPr>
            <w:tcW w:w="731" w:type="dxa"/>
            <w:tcBorders>
              <w:top w:val="nil"/>
              <w:left w:val="nil"/>
              <w:bottom w:val="single" w:sz="4" w:space="0" w:color="auto"/>
              <w:right w:val="single" w:sz="4" w:space="0" w:color="auto"/>
            </w:tcBorders>
            <w:vAlign w:val="center"/>
            <w:hideMark/>
          </w:tcPr>
          <w:p w14:paraId="3A1CC644"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404</w:t>
            </w:r>
          </w:p>
        </w:tc>
        <w:tc>
          <w:tcPr>
            <w:tcW w:w="1221" w:type="dxa"/>
            <w:tcBorders>
              <w:top w:val="nil"/>
              <w:left w:val="nil"/>
              <w:bottom w:val="single" w:sz="4" w:space="0" w:color="auto"/>
              <w:right w:val="single" w:sz="4" w:space="0" w:color="auto"/>
            </w:tcBorders>
            <w:vAlign w:val="center"/>
            <w:hideMark/>
          </w:tcPr>
          <w:p w14:paraId="7CEF0068"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625</w:t>
            </w:r>
          </w:p>
        </w:tc>
        <w:tc>
          <w:tcPr>
            <w:tcW w:w="1221" w:type="dxa"/>
            <w:tcBorders>
              <w:top w:val="nil"/>
              <w:left w:val="nil"/>
              <w:bottom w:val="single" w:sz="4" w:space="0" w:color="auto"/>
              <w:right w:val="single" w:sz="4" w:space="0" w:color="auto"/>
            </w:tcBorders>
            <w:vAlign w:val="center"/>
            <w:hideMark/>
          </w:tcPr>
          <w:p w14:paraId="77EF9C0D"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600</w:t>
            </w:r>
          </w:p>
        </w:tc>
      </w:tr>
      <w:tr w:rsidR="009D41BB" w:rsidRPr="007E761F" w14:paraId="7BDD4E10" w14:textId="77777777" w:rsidTr="009D41BB">
        <w:trPr>
          <w:trHeight w:val="454"/>
          <w:jc w:val="center"/>
        </w:trPr>
        <w:tc>
          <w:tcPr>
            <w:tcW w:w="1560" w:type="dxa"/>
            <w:tcBorders>
              <w:top w:val="nil"/>
              <w:left w:val="single" w:sz="4" w:space="0" w:color="auto"/>
              <w:bottom w:val="single" w:sz="4" w:space="0" w:color="auto"/>
              <w:right w:val="single" w:sz="4" w:space="0" w:color="auto"/>
            </w:tcBorders>
            <w:vAlign w:val="center"/>
            <w:hideMark/>
          </w:tcPr>
          <w:p w14:paraId="19F7DCF4" w14:textId="77777777" w:rsidR="007E761F" w:rsidRPr="00E02C8A"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Tobacco</w:t>
            </w:r>
          </w:p>
        </w:tc>
        <w:tc>
          <w:tcPr>
            <w:tcW w:w="731" w:type="dxa"/>
            <w:tcBorders>
              <w:top w:val="nil"/>
              <w:left w:val="nil"/>
              <w:bottom w:val="single" w:sz="4" w:space="0" w:color="auto"/>
              <w:right w:val="single" w:sz="4" w:space="0" w:color="auto"/>
            </w:tcBorders>
            <w:vAlign w:val="center"/>
            <w:hideMark/>
          </w:tcPr>
          <w:p w14:paraId="54E449D1"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w:t>
            </w:r>
          </w:p>
        </w:tc>
        <w:tc>
          <w:tcPr>
            <w:tcW w:w="731" w:type="dxa"/>
            <w:tcBorders>
              <w:top w:val="nil"/>
              <w:left w:val="nil"/>
              <w:bottom w:val="single" w:sz="4" w:space="0" w:color="auto"/>
              <w:right w:val="single" w:sz="4" w:space="0" w:color="auto"/>
            </w:tcBorders>
            <w:vAlign w:val="center"/>
            <w:hideMark/>
          </w:tcPr>
          <w:p w14:paraId="54F0B436"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w:t>
            </w:r>
          </w:p>
        </w:tc>
        <w:tc>
          <w:tcPr>
            <w:tcW w:w="731" w:type="dxa"/>
            <w:tcBorders>
              <w:top w:val="nil"/>
              <w:left w:val="nil"/>
              <w:bottom w:val="single" w:sz="4" w:space="0" w:color="auto"/>
              <w:right w:val="single" w:sz="4" w:space="0" w:color="auto"/>
            </w:tcBorders>
            <w:vAlign w:val="center"/>
            <w:hideMark/>
          </w:tcPr>
          <w:p w14:paraId="313E5AED"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w:t>
            </w:r>
          </w:p>
        </w:tc>
        <w:tc>
          <w:tcPr>
            <w:tcW w:w="731" w:type="dxa"/>
            <w:tcBorders>
              <w:top w:val="nil"/>
              <w:left w:val="nil"/>
              <w:bottom w:val="single" w:sz="4" w:space="0" w:color="auto"/>
              <w:right w:val="single" w:sz="4" w:space="0" w:color="auto"/>
            </w:tcBorders>
            <w:vAlign w:val="center"/>
            <w:hideMark/>
          </w:tcPr>
          <w:p w14:paraId="403311BC"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w:t>
            </w:r>
          </w:p>
        </w:tc>
        <w:tc>
          <w:tcPr>
            <w:tcW w:w="731" w:type="dxa"/>
            <w:tcBorders>
              <w:top w:val="nil"/>
              <w:left w:val="nil"/>
              <w:bottom w:val="single" w:sz="4" w:space="0" w:color="auto"/>
              <w:right w:val="single" w:sz="4" w:space="0" w:color="auto"/>
            </w:tcBorders>
            <w:vAlign w:val="center"/>
            <w:hideMark/>
          </w:tcPr>
          <w:p w14:paraId="023C38C2"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w:t>
            </w:r>
          </w:p>
        </w:tc>
        <w:tc>
          <w:tcPr>
            <w:tcW w:w="731" w:type="dxa"/>
            <w:tcBorders>
              <w:top w:val="nil"/>
              <w:left w:val="nil"/>
              <w:bottom w:val="single" w:sz="4" w:space="0" w:color="auto"/>
              <w:right w:val="single" w:sz="4" w:space="0" w:color="auto"/>
            </w:tcBorders>
            <w:vAlign w:val="center"/>
            <w:hideMark/>
          </w:tcPr>
          <w:p w14:paraId="5B5A2DB0"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2</w:t>
            </w:r>
          </w:p>
        </w:tc>
        <w:tc>
          <w:tcPr>
            <w:tcW w:w="731" w:type="dxa"/>
            <w:tcBorders>
              <w:top w:val="nil"/>
              <w:left w:val="nil"/>
              <w:bottom w:val="single" w:sz="4" w:space="0" w:color="auto"/>
              <w:right w:val="single" w:sz="4" w:space="0" w:color="auto"/>
            </w:tcBorders>
            <w:vAlign w:val="center"/>
            <w:hideMark/>
          </w:tcPr>
          <w:p w14:paraId="2D979028"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947</w:t>
            </w:r>
          </w:p>
        </w:tc>
        <w:tc>
          <w:tcPr>
            <w:tcW w:w="731" w:type="dxa"/>
            <w:tcBorders>
              <w:top w:val="nil"/>
              <w:left w:val="nil"/>
              <w:bottom w:val="single" w:sz="4" w:space="0" w:color="auto"/>
              <w:right w:val="single" w:sz="4" w:space="0" w:color="auto"/>
            </w:tcBorders>
            <w:vAlign w:val="center"/>
            <w:hideMark/>
          </w:tcPr>
          <w:p w14:paraId="2A82297F"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1712</w:t>
            </w:r>
          </w:p>
        </w:tc>
        <w:tc>
          <w:tcPr>
            <w:tcW w:w="731" w:type="dxa"/>
            <w:tcBorders>
              <w:top w:val="nil"/>
              <w:left w:val="nil"/>
              <w:bottom w:val="single" w:sz="4" w:space="0" w:color="auto"/>
              <w:right w:val="single" w:sz="4" w:space="0" w:color="auto"/>
            </w:tcBorders>
            <w:vAlign w:val="center"/>
            <w:hideMark/>
          </w:tcPr>
          <w:p w14:paraId="5E7EB43E"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2072</w:t>
            </w:r>
          </w:p>
        </w:tc>
        <w:tc>
          <w:tcPr>
            <w:tcW w:w="731" w:type="dxa"/>
            <w:tcBorders>
              <w:top w:val="nil"/>
              <w:left w:val="nil"/>
              <w:bottom w:val="single" w:sz="4" w:space="0" w:color="auto"/>
              <w:right w:val="single" w:sz="4" w:space="0" w:color="auto"/>
            </w:tcBorders>
            <w:vAlign w:val="center"/>
            <w:hideMark/>
          </w:tcPr>
          <w:p w14:paraId="3DD596D3"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2031</w:t>
            </w:r>
          </w:p>
        </w:tc>
        <w:tc>
          <w:tcPr>
            <w:tcW w:w="731" w:type="dxa"/>
            <w:tcBorders>
              <w:top w:val="nil"/>
              <w:left w:val="nil"/>
              <w:bottom w:val="single" w:sz="4" w:space="0" w:color="auto"/>
              <w:right w:val="single" w:sz="4" w:space="0" w:color="auto"/>
            </w:tcBorders>
            <w:vAlign w:val="center"/>
            <w:hideMark/>
          </w:tcPr>
          <w:p w14:paraId="4607F07F"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1157</w:t>
            </w:r>
          </w:p>
        </w:tc>
        <w:tc>
          <w:tcPr>
            <w:tcW w:w="731" w:type="dxa"/>
            <w:tcBorders>
              <w:top w:val="nil"/>
              <w:left w:val="nil"/>
              <w:bottom w:val="single" w:sz="4" w:space="0" w:color="auto"/>
              <w:right w:val="single" w:sz="4" w:space="0" w:color="auto"/>
            </w:tcBorders>
            <w:vAlign w:val="center"/>
            <w:hideMark/>
          </w:tcPr>
          <w:p w14:paraId="39A21BCB"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2546</w:t>
            </w:r>
          </w:p>
        </w:tc>
        <w:tc>
          <w:tcPr>
            <w:tcW w:w="731" w:type="dxa"/>
            <w:tcBorders>
              <w:top w:val="nil"/>
              <w:left w:val="nil"/>
              <w:bottom w:val="single" w:sz="4" w:space="0" w:color="auto"/>
              <w:right w:val="single" w:sz="4" w:space="0" w:color="auto"/>
            </w:tcBorders>
            <w:vAlign w:val="center"/>
            <w:hideMark/>
          </w:tcPr>
          <w:p w14:paraId="1B11048E"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2823</w:t>
            </w:r>
          </w:p>
        </w:tc>
        <w:tc>
          <w:tcPr>
            <w:tcW w:w="731" w:type="dxa"/>
            <w:tcBorders>
              <w:top w:val="nil"/>
              <w:left w:val="nil"/>
              <w:bottom w:val="single" w:sz="4" w:space="0" w:color="auto"/>
              <w:right w:val="single" w:sz="4" w:space="0" w:color="auto"/>
            </w:tcBorders>
            <w:vAlign w:val="center"/>
            <w:hideMark/>
          </w:tcPr>
          <w:p w14:paraId="76E86BD6"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3201</w:t>
            </w:r>
          </w:p>
        </w:tc>
        <w:tc>
          <w:tcPr>
            <w:tcW w:w="1221" w:type="dxa"/>
            <w:tcBorders>
              <w:top w:val="nil"/>
              <w:left w:val="nil"/>
              <w:bottom w:val="single" w:sz="4" w:space="0" w:color="auto"/>
              <w:right w:val="single" w:sz="4" w:space="0" w:color="auto"/>
            </w:tcBorders>
            <w:vAlign w:val="center"/>
            <w:hideMark/>
          </w:tcPr>
          <w:p w14:paraId="4D7DF00B"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3500</w:t>
            </w:r>
          </w:p>
        </w:tc>
        <w:tc>
          <w:tcPr>
            <w:tcW w:w="1221" w:type="dxa"/>
            <w:tcBorders>
              <w:top w:val="nil"/>
              <w:left w:val="nil"/>
              <w:bottom w:val="single" w:sz="4" w:space="0" w:color="auto"/>
              <w:right w:val="single" w:sz="4" w:space="0" w:color="auto"/>
            </w:tcBorders>
            <w:vAlign w:val="center"/>
            <w:hideMark/>
          </w:tcPr>
          <w:p w14:paraId="736EC736"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3600</w:t>
            </w:r>
          </w:p>
        </w:tc>
      </w:tr>
      <w:tr w:rsidR="009D41BB" w:rsidRPr="007E761F" w14:paraId="14244640" w14:textId="77777777" w:rsidTr="009D41BB">
        <w:trPr>
          <w:trHeight w:val="454"/>
          <w:jc w:val="center"/>
        </w:trPr>
        <w:tc>
          <w:tcPr>
            <w:tcW w:w="1560" w:type="dxa"/>
            <w:tcBorders>
              <w:top w:val="nil"/>
              <w:left w:val="single" w:sz="4" w:space="0" w:color="auto"/>
              <w:bottom w:val="single" w:sz="4" w:space="0" w:color="auto"/>
              <w:right w:val="single" w:sz="4" w:space="0" w:color="auto"/>
            </w:tcBorders>
            <w:vAlign w:val="center"/>
            <w:hideMark/>
          </w:tcPr>
          <w:p w14:paraId="7408A7EE" w14:textId="77777777" w:rsidR="007E761F" w:rsidRPr="00E02C8A"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Vegetable Products</w:t>
            </w:r>
          </w:p>
        </w:tc>
        <w:tc>
          <w:tcPr>
            <w:tcW w:w="731" w:type="dxa"/>
            <w:tcBorders>
              <w:top w:val="nil"/>
              <w:left w:val="nil"/>
              <w:bottom w:val="single" w:sz="4" w:space="0" w:color="auto"/>
              <w:right w:val="single" w:sz="4" w:space="0" w:color="auto"/>
            </w:tcBorders>
            <w:vAlign w:val="center"/>
            <w:hideMark/>
          </w:tcPr>
          <w:p w14:paraId="0B1F59DD"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w:t>
            </w:r>
          </w:p>
        </w:tc>
        <w:tc>
          <w:tcPr>
            <w:tcW w:w="731" w:type="dxa"/>
            <w:tcBorders>
              <w:top w:val="nil"/>
              <w:left w:val="nil"/>
              <w:bottom w:val="single" w:sz="4" w:space="0" w:color="auto"/>
              <w:right w:val="single" w:sz="4" w:space="0" w:color="auto"/>
            </w:tcBorders>
            <w:vAlign w:val="center"/>
            <w:hideMark/>
          </w:tcPr>
          <w:p w14:paraId="4CC72543"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w:t>
            </w:r>
          </w:p>
        </w:tc>
        <w:tc>
          <w:tcPr>
            <w:tcW w:w="731" w:type="dxa"/>
            <w:tcBorders>
              <w:top w:val="nil"/>
              <w:left w:val="nil"/>
              <w:bottom w:val="single" w:sz="4" w:space="0" w:color="auto"/>
              <w:right w:val="single" w:sz="4" w:space="0" w:color="auto"/>
            </w:tcBorders>
            <w:vAlign w:val="center"/>
            <w:hideMark/>
          </w:tcPr>
          <w:p w14:paraId="0EED5B1A"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w:t>
            </w:r>
          </w:p>
        </w:tc>
        <w:tc>
          <w:tcPr>
            <w:tcW w:w="731" w:type="dxa"/>
            <w:tcBorders>
              <w:top w:val="nil"/>
              <w:left w:val="nil"/>
              <w:bottom w:val="single" w:sz="4" w:space="0" w:color="auto"/>
              <w:right w:val="single" w:sz="4" w:space="0" w:color="auto"/>
            </w:tcBorders>
            <w:vAlign w:val="center"/>
            <w:hideMark/>
          </w:tcPr>
          <w:p w14:paraId="42CCAD2B"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w:t>
            </w:r>
          </w:p>
        </w:tc>
        <w:tc>
          <w:tcPr>
            <w:tcW w:w="731" w:type="dxa"/>
            <w:tcBorders>
              <w:top w:val="nil"/>
              <w:left w:val="nil"/>
              <w:bottom w:val="single" w:sz="4" w:space="0" w:color="auto"/>
              <w:right w:val="single" w:sz="4" w:space="0" w:color="auto"/>
            </w:tcBorders>
            <w:vAlign w:val="center"/>
            <w:hideMark/>
          </w:tcPr>
          <w:p w14:paraId="411C115B"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w:t>
            </w:r>
          </w:p>
        </w:tc>
        <w:tc>
          <w:tcPr>
            <w:tcW w:w="731" w:type="dxa"/>
            <w:tcBorders>
              <w:top w:val="nil"/>
              <w:left w:val="nil"/>
              <w:bottom w:val="single" w:sz="4" w:space="0" w:color="auto"/>
              <w:right w:val="single" w:sz="4" w:space="0" w:color="auto"/>
            </w:tcBorders>
            <w:vAlign w:val="center"/>
            <w:hideMark/>
          </w:tcPr>
          <w:p w14:paraId="6CD29584"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w:t>
            </w:r>
          </w:p>
        </w:tc>
        <w:tc>
          <w:tcPr>
            <w:tcW w:w="731" w:type="dxa"/>
            <w:tcBorders>
              <w:top w:val="nil"/>
              <w:left w:val="nil"/>
              <w:bottom w:val="single" w:sz="4" w:space="0" w:color="auto"/>
              <w:right w:val="single" w:sz="4" w:space="0" w:color="auto"/>
            </w:tcBorders>
            <w:vAlign w:val="center"/>
            <w:hideMark/>
          </w:tcPr>
          <w:p w14:paraId="65BED167"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94</w:t>
            </w:r>
          </w:p>
        </w:tc>
        <w:tc>
          <w:tcPr>
            <w:tcW w:w="731" w:type="dxa"/>
            <w:tcBorders>
              <w:top w:val="nil"/>
              <w:left w:val="nil"/>
              <w:bottom w:val="single" w:sz="4" w:space="0" w:color="auto"/>
              <w:right w:val="single" w:sz="4" w:space="0" w:color="auto"/>
            </w:tcBorders>
            <w:vAlign w:val="center"/>
            <w:hideMark/>
          </w:tcPr>
          <w:p w14:paraId="64743E59"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111</w:t>
            </w:r>
          </w:p>
        </w:tc>
        <w:tc>
          <w:tcPr>
            <w:tcW w:w="731" w:type="dxa"/>
            <w:tcBorders>
              <w:top w:val="nil"/>
              <w:left w:val="nil"/>
              <w:bottom w:val="single" w:sz="4" w:space="0" w:color="auto"/>
              <w:right w:val="single" w:sz="4" w:space="0" w:color="auto"/>
            </w:tcBorders>
            <w:vAlign w:val="center"/>
            <w:hideMark/>
          </w:tcPr>
          <w:p w14:paraId="5A88C5AE"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133</w:t>
            </w:r>
          </w:p>
        </w:tc>
        <w:tc>
          <w:tcPr>
            <w:tcW w:w="731" w:type="dxa"/>
            <w:tcBorders>
              <w:top w:val="nil"/>
              <w:left w:val="nil"/>
              <w:bottom w:val="single" w:sz="4" w:space="0" w:color="auto"/>
              <w:right w:val="single" w:sz="4" w:space="0" w:color="auto"/>
            </w:tcBorders>
            <w:vAlign w:val="center"/>
            <w:hideMark/>
          </w:tcPr>
          <w:p w14:paraId="4C148CE3"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127</w:t>
            </w:r>
          </w:p>
        </w:tc>
        <w:tc>
          <w:tcPr>
            <w:tcW w:w="731" w:type="dxa"/>
            <w:tcBorders>
              <w:top w:val="nil"/>
              <w:left w:val="nil"/>
              <w:bottom w:val="single" w:sz="4" w:space="0" w:color="auto"/>
              <w:right w:val="single" w:sz="4" w:space="0" w:color="auto"/>
            </w:tcBorders>
            <w:vAlign w:val="center"/>
            <w:hideMark/>
          </w:tcPr>
          <w:p w14:paraId="4B6DB0CA"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74</w:t>
            </w:r>
          </w:p>
        </w:tc>
        <w:tc>
          <w:tcPr>
            <w:tcW w:w="731" w:type="dxa"/>
            <w:tcBorders>
              <w:top w:val="nil"/>
              <w:left w:val="nil"/>
              <w:bottom w:val="single" w:sz="4" w:space="0" w:color="auto"/>
              <w:right w:val="single" w:sz="4" w:space="0" w:color="auto"/>
            </w:tcBorders>
            <w:vAlign w:val="center"/>
            <w:hideMark/>
          </w:tcPr>
          <w:p w14:paraId="4A24046F"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197</w:t>
            </w:r>
          </w:p>
        </w:tc>
        <w:tc>
          <w:tcPr>
            <w:tcW w:w="731" w:type="dxa"/>
            <w:tcBorders>
              <w:top w:val="nil"/>
              <w:left w:val="nil"/>
              <w:bottom w:val="single" w:sz="4" w:space="0" w:color="auto"/>
              <w:right w:val="single" w:sz="4" w:space="0" w:color="auto"/>
            </w:tcBorders>
            <w:vAlign w:val="center"/>
            <w:hideMark/>
          </w:tcPr>
          <w:p w14:paraId="62CAE200"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228</w:t>
            </w:r>
          </w:p>
        </w:tc>
        <w:tc>
          <w:tcPr>
            <w:tcW w:w="731" w:type="dxa"/>
            <w:tcBorders>
              <w:top w:val="nil"/>
              <w:left w:val="nil"/>
              <w:bottom w:val="single" w:sz="4" w:space="0" w:color="auto"/>
              <w:right w:val="single" w:sz="4" w:space="0" w:color="auto"/>
            </w:tcBorders>
            <w:vAlign w:val="center"/>
            <w:hideMark/>
          </w:tcPr>
          <w:p w14:paraId="1C4D0560"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219</w:t>
            </w:r>
          </w:p>
        </w:tc>
        <w:tc>
          <w:tcPr>
            <w:tcW w:w="1221" w:type="dxa"/>
            <w:tcBorders>
              <w:top w:val="nil"/>
              <w:left w:val="nil"/>
              <w:bottom w:val="single" w:sz="4" w:space="0" w:color="auto"/>
              <w:right w:val="single" w:sz="4" w:space="0" w:color="auto"/>
            </w:tcBorders>
            <w:vAlign w:val="center"/>
            <w:hideMark/>
          </w:tcPr>
          <w:p w14:paraId="51D3F284"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240</w:t>
            </w:r>
          </w:p>
        </w:tc>
        <w:tc>
          <w:tcPr>
            <w:tcW w:w="1221" w:type="dxa"/>
            <w:tcBorders>
              <w:top w:val="nil"/>
              <w:left w:val="nil"/>
              <w:bottom w:val="single" w:sz="4" w:space="0" w:color="auto"/>
              <w:right w:val="single" w:sz="4" w:space="0" w:color="auto"/>
            </w:tcBorders>
            <w:vAlign w:val="center"/>
            <w:hideMark/>
          </w:tcPr>
          <w:p w14:paraId="4B0B8619"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240</w:t>
            </w:r>
          </w:p>
        </w:tc>
      </w:tr>
      <w:tr w:rsidR="009D41BB" w:rsidRPr="007E761F" w14:paraId="7842D416" w14:textId="77777777" w:rsidTr="009D41BB">
        <w:trPr>
          <w:trHeight w:val="454"/>
          <w:jc w:val="center"/>
        </w:trPr>
        <w:tc>
          <w:tcPr>
            <w:tcW w:w="1560" w:type="dxa"/>
            <w:tcBorders>
              <w:top w:val="nil"/>
              <w:left w:val="single" w:sz="4" w:space="0" w:color="auto"/>
              <w:bottom w:val="single" w:sz="4" w:space="0" w:color="auto"/>
              <w:right w:val="single" w:sz="4" w:space="0" w:color="auto"/>
            </w:tcBorders>
            <w:vAlign w:val="center"/>
            <w:hideMark/>
          </w:tcPr>
          <w:p w14:paraId="4EA7BE92" w14:textId="77777777" w:rsidR="007E761F" w:rsidRPr="00E02C8A"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Betel Nuts</w:t>
            </w:r>
          </w:p>
        </w:tc>
        <w:tc>
          <w:tcPr>
            <w:tcW w:w="731" w:type="dxa"/>
            <w:tcBorders>
              <w:top w:val="nil"/>
              <w:left w:val="nil"/>
              <w:bottom w:val="single" w:sz="4" w:space="0" w:color="auto"/>
              <w:right w:val="single" w:sz="4" w:space="0" w:color="auto"/>
            </w:tcBorders>
            <w:vAlign w:val="center"/>
            <w:hideMark/>
          </w:tcPr>
          <w:p w14:paraId="1446BF28"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w:t>
            </w:r>
          </w:p>
        </w:tc>
        <w:tc>
          <w:tcPr>
            <w:tcW w:w="731" w:type="dxa"/>
            <w:tcBorders>
              <w:top w:val="nil"/>
              <w:left w:val="nil"/>
              <w:bottom w:val="single" w:sz="4" w:space="0" w:color="auto"/>
              <w:right w:val="single" w:sz="4" w:space="0" w:color="auto"/>
            </w:tcBorders>
            <w:vAlign w:val="center"/>
            <w:hideMark/>
          </w:tcPr>
          <w:p w14:paraId="79202C62"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w:t>
            </w:r>
          </w:p>
        </w:tc>
        <w:tc>
          <w:tcPr>
            <w:tcW w:w="731" w:type="dxa"/>
            <w:tcBorders>
              <w:top w:val="nil"/>
              <w:left w:val="nil"/>
              <w:bottom w:val="single" w:sz="4" w:space="0" w:color="auto"/>
              <w:right w:val="single" w:sz="4" w:space="0" w:color="auto"/>
            </w:tcBorders>
            <w:vAlign w:val="center"/>
            <w:hideMark/>
          </w:tcPr>
          <w:p w14:paraId="6253970C"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w:t>
            </w:r>
          </w:p>
        </w:tc>
        <w:tc>
          <w:tcPr>
            <w:tcW w:w="731" w:type="dxa"/>
            <w:tcBorders>
              <w:top w:val="nil"/>
              <w:left w:val="nil"/>
              <w:bottom w:val="single" w:sz="4" w:space="0" w:color="auto"/>
              <w:right w:val="single" w:sz="4" w:space="0" w:color="auto"/>
            </w:tcBorders>
            <w:vAlign w:val="center"/>
            <w:hideMark/>
          </w:tcPr>
          <w:p w14:paraId="3BD6937B"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w:t>
            </w:r>
          </w:p>
        </w:tc>
        <w:tc>
          <w:tcPr>
            <w:tcW w:w="731" w:type="dxa"/>
            <w:tcBorders>
              <w:top w:val="nil"/>
              <w:left w:val="nil"/>
              <w:bottom w:val="single" w:sz="4" w:space="0" w:color="auto"/>
              <w:right w:val="single" w:sz="4" w:space="0" w:color="auto"/>
            </w:tcBorders>
            <w:vAlign w:val="center"/>
            <w:hideMark/>
          </w:tcPr>
          <w:p w14:paraId="31E4B3A5"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w:t>
            </w:r>
          </w:p>
        </w:tc>
        <w:tc>
          <w:tcPr>
            <w:tcW w:w="731" w:type="dxa"/>
            <w:tcBorders>
              <w:top w:val="nil"/>
              <w:left w:val="nil"/>
              <w:bottom w:val="single" w:sz="4" w:space="0" w:color="auto"/>
              <w:right w:val="single" w:sz="4" w:space="0" w:color="auto"/>
            </w:tcBorders>
            <w:vAlign w:val="center"/>
            <w:hideMark/>
          </w:tcPr>
          <w:p w14:paraId="2DCC923D"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w:t>
            </w:r>
          </w:p>
        </w:tc>
        <w:tc>
          <w:tcPr>
            <w:tcW w:w="731" w:type="dxa"/>
            <w:tcBorders>
              <w:top w:val="nil"/>
              <w:left w:val="nil"/>
              <w:bottom w:val="single" w:sz="4" w:space="0" w:color="auto"/>
              <w:right w:val="single" w:sz="4" w:space="0" w:color="auto"/>
            </w:tcBorders>
            <w:vAlign w:val="center"/>
            <w:hideMark/>
          </w:tcPr>
          <w:p w14:paraId="1C130B13"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w:t>
            </w:r>
          </w:p>
        </w:tc>
        <w:tc>
          <w:tcPr>
            <w:tcW w:w="731" w:type="dxa"/>
            <w:tcBorders>
              <w:top w:val="nil"/>
              <w:left w:val="nil"/>
              <w:bottom w:val="single" w:sz="4" w:space="0" w:color="auto"/>
              <w:right w:val="single" w:sz="4" w:space="0" w:color="auto"/>
            </w:tcBorders>
            <w:vAlign w:val="center"/>
            <w:hideMark/>
          </w:tcPr>
          <w:p w14:paraId="219C945F"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130</w:t>
            </w:r>
          </w:p>
        </w:tc>
        <w:tc>
          <w:tcPr>
            <w:tcW w:w="731" w:type="dxa"/>
            <w:tcBorders>
              <w:top w:val="nil"/>
              <w:left w:val="nil"/>
              <w:bottom w:val="single" w:sz="4" w:space="0" w:color="auto"/>
              <w:right w:val="single" w:sz="4" w:space="0" w:color="auto"/>
            </w:tcBorders>
            <w:vAlign w:val="center"/>
            <w:hideMark/>
          </w:tcPr>
          <w:p w14:paraId="0EF4CA65"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180</w:t>
            </w:r>
          </w:p>
        </w:tc>
        <w:tc>
          <w:tcPr>
            <w:tcW w:w="731" w:type="dxa"/>
            <w:tcBorders>
              <w:top w:val="nil"/>
              <w:left w:val="nil"/>
              <w:bottom w:val="single" w:sz="4" w:space="0" w:color="auto"/>
              <w:right w:val="single" w:sz="4" w:space="0" w:color="auto"/>
            </w:tcBorders>
            <w:vAlign w:val="center"/>
            <w:hideMark/>
          </w:tcPr>
          <w:p w14:paraId="60053BE9"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76</w:t>
            </w:r>
          </w:p>
        </w:tc>
        <w:tc>
          <w:tcPr>
            <w:tcW w:w="731" w:type="dxa"/>
            <w:tcBorders>
              <w:top w:val="nil"/>
              <w:left w:val="nil"/>
              <w:bottom w:val="single" w:sz="4" w:space="0" w:color="auto"/>
              <w:right w:val="single" w:sz="4" w:space="0" w:color="auto"/>
            </w:tcBorders>
            <w:vAlign w:val="center"/>
            <w:hideMark/>
          </w:tcPr>
          <w:p w14:paraId="43D854D4"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21</w:t>
            </w:r>
          </w:p>
        </w:tc>
        <w:tc>
          <w:tcPr>
            <w:tcW w:w="731" w:type="dxa"/>
            <w:tcBorders>
              <w:top w:val="nil"/>
              <w:left w:val="nil"/>
              <w:bottom w:val="single" w:sz="4" w:space="0" w:color="auto"/>
              <w:right w:val="single" w:sz="4" w:space="0" w:color="auto"/>
            </w:tcBorders>
            <w:vAlign w:val="center"/>
            <w:hideMark/>
          </w:tcPr>
          <w:p w14:paraId="5D3B142B"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w:t>
            </w:r>
          </w:p>
        </w:tc>
        <w:tc>
          <w:tcPr>
            <w:tcW w:w="731" w:type="dxa"/>
            <w:tcBorders>
              <w:top w:val="nil"/>
              <w:left w:val="nil"/>
              <w:bottom w:val="single" w:sz="4" w:space="0" w:color="auto"/>
              <w:right w:val="single" w:sz="4" w:space="0" w:color="auto"/>
            </w:tcBorders>
            <w:vAlign w:val="center"/>
            <w:hideMark/>
          </w:tcPr>
          <w:p w14:paraId="3E819694"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w:t>
            </w:r>
          </w:p>
        </w:tc>
        <w:tc>
          <w:tcPr>
            <w:tcW w:w="731" w:type="dxa"/>
            <w:tcBorders>
              <w:top w:val="nil"/>
              <w:left w:val="nil"/>
              <w:bottom w:val="single" w:sz="4" w:space="0" w:color="auto"/>
              <w:right w:val="single" w:sz="4" w:space="0" w:color="auto"/>
            </w:tcBorders>
            <w:vAlign w:val="center"/>
            <w:hideMark/>
          </w:tcPr>
          <w:p w14:paraId="0C7A8742"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w:t>
            </w:r>
          </w:p>
        </w:tc>
        <w:tc>
          <w:tcPr>
            <w:tcW w:w="1221" w:type="dxa"/>
            <w:tcBorders>
              <w:top w:val="nil"/>
              <w:left w:val="nil"/>
              <w:bottom w:val="single" w:sz="4" w:space="0" w:color="auto"/>
              <w:right w:val="single" w:sz="4" w:space="0" w:color="auto"/>
            </w:tcBorders>
            <w:vAlign w:val="center"/>
            <w:hideMark/>
          </w:tcPr>
          <w:p w14:paraId="53A39A22"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w:t>
            </w:r>
          </w:p>
        </w:tc>
        <w:tc>
          <w:tcPr>
            <w:tcW w:w="1221" w:type="dxa"/>
            <w:tcBorders>
              <w:top w:val="nil"/>
              <w:left w:val="nil"/>
              <w:bottom w:val="single" w:sz="4" w:space="0" w:color="auto"/>
              <w:right w:val="single" w:sz="4" w:space="0" w:color="auto"/>
            </w:tcBorders>
            <w:vAlign w:val="center"/>
            <w:hideMark/>
          </w:tcPr>
          <w:p w14:paraId="465CFC2B"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w:t>
            </w:r>
          </w:p>
        </w:tc>
      </w:tr>
      <w:tr w:rsidR="009D41BB" w:rsidRPr="007E761F" w14:paraId="6450447F" w14:textId="77777777" w:rsidTr="009D41BB">
        <w:trPr>
          <w:trHeight w:val="454"/>
          <w:jc w:val="center"/>
        </w:trPr>
        <w:tc>
          <w:tcPr>
            <w:tcW w:w="1560" w:type="dxa"/>
            <w:tcBorders>
              <w:top w:val="nil"/>
              <w:left w:val="single" w:sz="4" w:space="0" w:color="auto"/>
              <w:bottom w:val="single" w:sz="4" w:space="0" w:color="auto"/>
              <w:right w:val="single" w:sz="4" w:space="0" w:color="auto"/>
            </w:tcBorders>
            <w:vAlign w:val="center"/>
            <w:hideMark/>
          </w:tcPr>
          <w:p w14:paraId="36CF415C" w14:textId="77777777" w:rsidR="007E761F" w:rsidRPr="00E02C8A"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Tea</w:t>
            </w:r>
          </w:p>
        </w:tc>
        <w:tc>
          <w:tcPr>
            <w:tcW w:w="731" w:type="dxa"/>
            <w:tcBorders>
              <w:top w:val="nil"/>
              <w:left w:val="nil"/>
              <w:bottom w:val="single" w:sz="4" w:space="0" w:color="auto"/>
              <w:right w:val="single" w:sz="4" w:space="0" w:color="auto"/>
            </w:tcBorders>
            <w:vAlign w:val="center"/>
            <w:hideMark/>
          </w:tcPr>
          <w:p w14:paraId="480B3984"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w:t>
            </w:r>
          </w:p>
        </w:tc>
        <w:tc>
          <w:tcPr>
            <w:tcW w:w="731" w:type="dxa"/>
            <w:tcBorders>
              <w:top w:val="nil"/>
              <w:left w:val="nil"/>
              <w:bottom w:val="single" w:sz="4" w:space="0" w:color="auto"/>
              <w:right w:val="single" w:sz="4" w:space="0" w:color="auto"/>
            </w:tcBorders>
            <w:vAlign w:val="center"/>
            <w:hideMark/>
          </w:tcPr>
          <w:p w14:paraId="71AA67A6"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w:t>
            </w:r>
          </w:p>
        </w:tc>
        <w:tc>
          <w:tcPr>
            <w:tcW w:w="731" w:type="dxa"/>
            <w:tcBorders>
              <w:top w:val="nil"/>
              <w:left w:val="nil"/>
              <w:bottom w:val="single" w:sz="4" w:space="0" w:color="auto"/>
              <w:right w:val="single" w:sz="4" w:space="0" w:color="auto"/>
            </w:tcBorders>
            <w:vAlign w:val="center"/>
            <w:hideMark/>
          </w:tcPr>
          <w:p w14:paraId="31573E52"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w:t>
            </w:r>
          </w:p>
        </w:tc>
        <w:tc>
          <w:tcPr>
            <w:tcW w:w="731" w:type="dxa"/>
            <w:tcBorders>
              <w:top w:val="nil"/>
              <w:left w:val="nil"/>
              <w:bottom w:val="single" w:sz="4" w:space="0" w:color="auto"/>
              <w:right w:val="single" w:sz="4" w:space="0" w:color="auto"/>
            </w:tcBorders>
            <w:vAlign w:val="center"/>
            <w:hideMark/>
          </w:tcPr>
          <w:p w14:paraId="7AFEA2BB"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w:t>
            </w:r>
          </w:p>
        </w:tc>
        <w:tc>
          <w:tcPr>
            <w:tcW w:w="731" w:type="dxa"/>
            <w:tcBorders>
              <w:top w:val="nil"/>
              <w:left w:val="nil"/>
              <w:bottom w:val="single" w:sz="4" w:space="0" w:color="auto"/>
              <w:right w:val="single" w:sz="4" w:space="0" w:color="auto"/>
            </w:tcBorders>
            <w:vAlign w:val="center"/>
            <w:hideMark/>
          </w:tcPr>
          <w:p w14:paraId="15B5E310"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w:t>
            </w:r>
          </w:p>
        </w:tc>
        <w:tc>
          <w:tcPr>
            <w:tcW w:w="731" w:type="dxa"/>
            <w:tcBorders>
              <w:top w:val="nil"/>
              <w:left w:val="nil"/>
              <w:bottom w:val="single" w:sz="4" w:space="0" w:color="auto"/>
              <w:right w:val="single" w:sz="4" w:space="0" w:color="auto"/>
            </w:tcBorders>
            <w:vAlign w:val="center"/>
            <w:hideMark/>
          </w:tcPr>
          <w:p w14:paraId="7DD48B7D"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w:t>
            </w:r>
          </w:p>
        </w:tc>
        <w:tc>
          <w:tcPr>
            <w:tcW w:w="731" w:type="dxa"/>
            <w:tcBorders>
              <w:top w:val="nil"/>
              <w:left w:val="nil"/>
              <w:bottom w:val="single" w:sz="4" w:space="0" w:color="auto"/>
              <w:right w:val="single" w:sz="4" w:space="0" w:color="auto"/>
            </w:tcBorders>
            <w:vAlign w:val="center"/>
            <w:hideMark/>
          </w:tcPr>
          <w:p w14:paraId="5DF840D4"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w:t>
            </w:r>
          </w:p>
        </w:tc>
        <w:tc>
          <w:tcPr>
            <w:tcW w:w="731" w:type="dxa"/>
            <w:tcBorders>
              <w:top w:val="nil"/>
              <w:left w:val="nil"/>
              <w:bottom w:val="single" w:sz="4" w:space="0" w:color="auto"/>
              <w:right w:val="single" w:sz="4" w:space="0" w:color="auto"/>
            </w:tcBorders>
            <w:vAlign w:val="center"/>
            <w:hideMark/>
          </w:tcPr>
          <w:p w14:paraId="17DC0020"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150</w:t>
            </w:r>
          </w:p>
        </w:tc>
        <w:tc>
          <w:tcPr>
            <w:tcW w:w="731" w:type="dxa"/>
            <w:tcBorders>
              <w:top w:val="nil"/>
              <w:left w:val="nil"/>
              <w:bottom w:val="single" w:sz="4" w:space="0" w:color="auto"/>
              <w:right w:val="single" w:sz="4" w:space="0" w:color="auto"/>
            </w:tcBorders>
            <w:vAlign w:val="center"/>
            <w:hideMark/>
          </w:tcPr>
          <w:p w14:paraId="6DFD8FCF"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190</w:t>
            </w:r>
          </w:p>
        </w:tc>
        <w:tc>
          <w:tcPr>
            <w:tcW w:w="731" w:type="dxa"/>
            <w:tcBorders>
              <w:top w:val="nil"/>
              <w:left w:val="nil"/>
              <w:bottom w:val="single" w:sz="4" w:space="0" w:color="auto"/>
              <w:right w:val="single" w:sz="4" w:space="0" w:color="auto"/>
            </w:tcBorders>
            <w:vAlign w:val="center"/>
            <w:hideMark/>
          </w:tcPr>
          <w:p w14:paraId="3382DD47"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211</w:t>
            </w:r>
          </w:p>
        </w:tc>
        <w:tc>
          <w:tcPr>
            <w:tcW w:w="731" w:type="dxa"/>
            <w:tcBorders>
              <w:top w:val="nil"/>
              <w:left w:val="nil"/>
              <w:bottom w:val="single" w:sz="4" w:space="0" w:color="auto"/>
              <w:right w:val="single" w:sz="4" w:space="0" w:color="auto"/>
            </w:tcBorders>
            <w:vAlign w:val="center"/>
            <w:hideMark/>
          </w:tcPr>
          <w:p w14:paraId="3E6FC7FB"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209</w:t>
            </w:r>
          </w:p>
        </w:tc>
        <w:tc>
          <w:tcPr>
            <w:tcW w:w="731" w:type="dxa"/>
            <w:tcBorders>
              <w:top w:val="nil"/>
              <w:left w:val="nil"/>
              <w:bottom w:val="single" w:sz="4" w:space="0" w:color="auto"/>
              <w:right w:val="single" w:sz="4" w:space="0" w:color="auto"/>
            </w:tcBorders>
            <w:vAlign w:val="center"/>
            <w:hideMark/>
          </w:tcPr>
          <w:p w14:paraId="6157C432"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366</w:t>
            </w:r>
          </w:p>
        </w:tc>
        <w:tc>
          <w:tcPr>
            <w:tcW w:w="731" w:type="dxa"/>
            <w:tcBorders>
              <w:top w:val="nil"/>
              <w:left w:val="nil"/>
              <w:bottom w:val="single" w:sz="4" w:space="0" w:color="auto"/>
              <w:right w:val="single" w:sz="4" w:space="0" w:color="auto"/>
            </w:tcBorders>
            <w:vAlign w:val="center"/>
            <w:hideMark/>
          </w:tcPr>
          <w:p w14:paraId="7F0E8E19"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254</w:t>
            </w:r>
          </w:p>
        </w:tc>
        <w:tc>
          <w:tcPr>
            <w:tcW w:w="731" w:type="dxa"/>
            <w:tcBorders>
              <w:top w:val="nil"/>
              <w:left w:val="nil"/>
              <w:bottom w:val="single" w:sz="4" w:space="0" w:color="auto"/>
              <w:right w:val="single" w:sz="4" w:space="0" w:color="auto"/>
            </w:tcBorders>
            <w:vAlign w:val="center"/>
            <w:hideMark/>
          </w:tcPr>
          <w:p w14:paraId="6C6E5069"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335</w:t>
            </w:r>
          </w:p>
        </w:tc>
        <w:tc>
          <w:tcPr>
            <w:tcW w:w="1221" w:type="dxa"/>
            <w:tcBorders>
              <w:top w:val="nil"/>
              <w:left w:val="nil"/>
              <w:bottom w:val="single" w:sz="4" w:space="0" w:color="auto"/>
              <w:right w:val="single" w:sz="4" w:space="0" w:color="auto"/>
            </w:tcBorders>
            <w:vAlign w:val="center"/>
            <w:hideMark/>
          </w:tcPr>
          <w:p w14:paraId="5F0FCBBF"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425</w:t>
            </w:r>
          </w:p>
        </w:tc>
        <w:tc>
          <w:tcPr>
            <w:tcW w:w="1221" w:type="dxa"/>
            <w:tcBorders>
              <w:top w:val="nil"/>
              <w:left w:val="nil"/>
              <w:bottom w:val="single" w:sz="4" w:space="0" w:color="auto"/>
              <w:right w:val="single" w:sz="4" w:space="0" w:color="auto"/>
            </w:tcBorders>
            <w:vAlign w:val="center"/>
            <w:hideMark/>
          </w:tcPr>
          <w:p w14:paraId="7C08451C"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425</w:t>
            </w:r>
          </w:p>
        </w:tc>
      </w:tr>
      <w:tr w:rsidR="009D41BB" w:rsidRPr="007E761F" w14:paraId="45CBB705" w14:textId="77777777" w:rsidTr="009D41BB">
        <w:trPr>
          <w:trHeight w:val="454"/>
          <w:jc w:val="center"/>
        </w:trPr>
        <w:tc>
          <w:tcPr>
            <w:tcW w:w="1560" w:type="dxa"/>
            <w:tcBorders>
              <w:top w:val="nil"/>
              <w:left w:val="single" w:sz="4" w:space="0" w:color="auto"/>
              <w:bottom w:val="single" w:sz="4" w:space="0" w:color="auto"/>
              <w:right w:val="single" w:sz="4" w:space="0" w:color="auto"/>
            </w:tcBorders>
            <w:vAlign w:val="center"/>
            <w:hideMark/>
          </w:tcPr>
          <w:p w14:paraId="7660A9C1" w14:textId="77777777" w:rsidR="007E761F" w:rsidRPr="00E02C8A"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Coffee</w:t>
            </w:r>
          </w:p>
        </w:tc>
        <w:tc>
          <w:tcPr>
            <w:tcW w:w="731" w:type="dxa"/>
            <w:tcBorders>
              <w:top w:val="nil"/>
              <w:left w:val="nil"/>
              <w:bottom w:val="single" w:sz="4" w:space="0" w:color="auto"/>
              <w:right w:val="single" w:sz="4" w:space="0" w:color="auto"/>
            </w:tcBorders>
            <w:vAlign w:val="center"/>
            <w:hideMark/>
          </w:tcPr>
          <w:p w14:paraId="755D4759"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w:t>
            </w:r>
          </w:p>
        </w:tc>
        <w:tc>
          <w:tcPr>
            <w:tcW w:w="731" w:type="dxa"/>
            <w:tcBorders>
              <w:top w:val="nil"/>
              <w:left w:val="nil"/>
              <w:bottom w:val="single" w:sz="4" w:space="0" w:color="auto"/>
              <w:right w:val="single" w:sz="4" w:space="0" w:color="auto"/>
            </w:tcBorders>
            <w:vAlign w:val="center"/>
            <w:hideMark/>
          </w:tcPr>
          <w:p w14:paraId="16871373"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w:t>
            </w:r>
          </w:p>
        </w:tc>
        <w:tc>
          <w:tcPr>
            <w:tcW w:w="731" w:type="dxa"/>
            <w:tcBorders>
              <w:top w:val="nil"/>
              <w:left w:val="nil"/>
              <w:bottom w:val="single" w:sz="4" w:space="0" w:color="auto"/>
              <w:right w:val="single" w:sz="4" w:space="0" w:color="auto"/>
            </w:tcBorders>
            <w:vAlign w:val="center"/>
            <w:hideMark/>
          </w:tcPr>
          <w:p w14:paraId="5701EED4"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w:t>
            </w:r>
          </w:p>
        </w:tc>
        <w:tc>
          <w:tcPr>
            <w:tcW w:w="731" w:type="dxa"/>
            <w:tcBorders>
              <w:top w:val="nil"/>
              <w:left w:val="nil"/>
              <w:bottom w:val="single" w:sz="4" w:space="0" w:color="auto"/>
              <w:right w:val="single" w:sz="4" w:space="0" w:color="auto"/>
            </w:tcBorders>
            <w:vAlign w:val="center"/>
            <w:hideMark/>
          </w:tcPr>
          <w:p w14:paraId="003422DF"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w:t>
            </w:r>
          </w:p>
        </w:tc>
        <w:tc>
          <w:tcPr>
            <w:tcW w:w="731" w:type="dxa"/>
            <w:tcBorders>
              <w:top w:val="nil"/>
              <w:left w:val="nil"/>
              <w:bottom w:val="single" w:sz="4" w:space="0" w:color="auto"/>
              <w:right w:val="single" w:sz="4" w:space="0" w:color="auto"/>
            </w:tcBorders>
            <w:vAlign w:val="center"/>
            <w:hideMark/>
          </w:tcPr>
          <w:p w14:paraId="6B2A6F0B"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w:t>
            </w:r>
          </w:p>
        </w:tc>
        <w:tc>
          <w:tcPr>
            <w:tcW w:w="731" w:type="dxa"/>
            <w:tcBorders>
              <w:top w:val="nil"/>
              <w:left w:val="nil"/>
              <w:bottom w:val="single" w:sz="4" w:space="0" w:color="auto"/>
              <w:right w:val="single" w:sz="4" w:space="0" w:color="auto"/>
            </w:tcBorders>
            <w:vAlign w:val="center"/>
            <w:hideMark/>
          </w:tcPr>
          <w:p w14:paraId="55F2F561"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w:t>
            </w:r>
          </w:p>
        </w:tc>
        <w:tc>
          <w:tcPr>
            <w:tcW w:w="731" w:type="dxa"/>
            <w:tcBorders>
              <w:top w:val="nil"/>
              <w:left w:val="nil"/>
              <w:bottom w:val="single" w:sz="4" w:space="0" w:color="auto"/>
              <w:right w:val="single" w:sz="4" w:space="0" w:color="auto"/>
            </w:tcBorders>
            <w:vAlign w:val="center"/>
            <w:hideMark/>
          </w:tcPr>
          <w:p w14:paraId="64BC602E"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w:t>
            </w:r>
          </w:p>
        </w:tc>
        <w:tc>
          <w:tcPr>
            <w:tcW w:w="731" w:type="dxa"/>
            <w:tcBorders>
              <w:top w:val="nil"/>
              <w:left w:val="nil"/>
              <w:bottom w:val="single" w:sz="4" w:space="0" w:color="auto"/>
              <w:right w:val="single" w:sz="4" w:space="0" w:color="auto"/>
            </w:tcBorders>
            <w:vAlign w:val="center"/>
            <w:hideMark/>
          </w:tcPr>
          <w:p w14:paraId="29C2ABAA"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16</w:t>
            </w:r>
          </w:p>
        </w:tc>
        <w:tc>
          <w:tcPr>
            <w:tcW w:w="731" w:type="dxa"/>
            <w:tcBorders>
              <w:top w:val="nil"/>
              <w:left w:val="nil"/>
              <w:bottom w:val="single" w:sz="4" w:space="0" w:color="auto"/>
              <w:right w:val="single" w:sz="4" w:space="0" w:color="auto"/>
            </w:tcBorders>
            <w:vAlign w:val="center"/>
            <w:hideMark/>
          </w:tcPr>
          <w:p w14:paraId="2C406244"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33</w:t>
            </w:r>
          </w:p>
        </w:tc>
        <w:tc>
          <w:tcPr>
            <w:tcW w:w="731" w:type="dxa"/>
            <w:tcBorders>
              <w:top w:val="nil"/>
              <w:left w:val="nil"/>
              <w:bottom w:val="single" w:sz="4" w:space="0" w:color="auto"/>
              <w:right w:val="single" w:sz="4" w:space="0" w:color="auto"/>
            </w:tcBorders>
            <w:vAlign w:val="center"/>
            <w:hideMark/>
          </w:tcPr>
          <w:p w14:paraId="3D068573"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23</w:t>
            </w:r>
          </w:p>
        </w:tc>
        <w:tc>
          <w:tcPr>
            <w:tcW w:w="731" w:type="dxa"/>
            <w:tcBorders>
              <w:top w:val="nil"/>
              <w:left w:val="nil"/>
              <w:bottom w:val="single" w:sz="4" w:space="0" w:color="auto"/>
              <w:right w:val="single" w:sz="4" w:space="0" w:color="auto"/>
            </w:tcBorders>
            <w:vAlign w:val="center"/>
            <w:hideMark/>
          </w:tcPr>
          <w:p w14:paraId="3E3A4FD7"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102</w:t>
            </w:r>
          </w:p>
        </w:tc>
        <w:tc>
          <w:tcPr>
            <w:tcW w:w="731" w:type="dxa"/>
            <w:tcBorders>
              <w:top w:val="nil"/>
              <w:left w:val="nil"/>
              <w:bottom w:val="single" w:sz="4" w:space="0" w:color="auto"/>
              <w:right w:val="single" w:sz="4" w:space="0" w:color="auto"/>
            </w:tcBorders>
            <w:vAlign w:val="center"/>
            <w:hideMark/>
          </w:tcPr>
          <w:p w14:paraId="5E15B462"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49</w:t>
            </w:r>
          </w:p>
        </w:tc>
        <w:tc>
          <w:tcPr>
            <w:tcW w:w="731" w:type="dxa"/>
            <w:tcBorders>
              <w:top w:val="nil"/>
              <w:left w:val="nil"/>
              <w:bottom w:val="single" w:sz="4" w:space="0" w:color="auto"/>
              <w:right w:val="single" w:sz="4" w:space="0" w:color="auto"/>
            </w:tcBorders>
            <w:vAlign w:val="center"/>
            <w:hideMark/>
          </w:tcPr>
          <w:p w14:paraId="01B6062C"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50</w:t>
            </w:r>
          </w:p>
        </w:tc>
        <w:tc>
          <w:tcPr>
            <w:tcW w:w="731" w:type="dxa"/>
            <w:tcBorders>
              <w:top w:val="nil"/>
              <w:left w:val="nil"/>
              <w:bottom w:val="single" w:sz="4" w:space="0" w:color="auto"/>
              <w:right w:val="single" w:sz="4" w:space="0" w:color="auto"/>
            </w:tcBorders>
            <w:vAlign w:val="center"/>
            <w:hideMark/>
          </w:tcPr>
          <w:p w14:paraId="3F176F0C"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117</w:t>
            </w:r>
          </w:p>
        </w:tc>
        <w:tc>
          <w:tcPr>
            <w:tcW w:w="1221" w:type="dxa"/>
            <w:tcBorders>
              <w:top w:val="nil"/>
              <w:left w:val="nil"/>
              <w:bottom w:val="single" w:sz="4" w:space="0" w:color="auto"/>
              <w:right w:val="single" w:sz="4" w:space="0" w:color="auto"/>
            </w:tcBorders>
            <w:vAlign w:val="center"/>
            <w:hideMark/>
          </w:tcPr>
          <w:p w14:paraId="010BE786"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70</w:t>
            </w:r>
          </w:p>
        </w:tc>
        <w:tc>
          <w:tcPr>
            <w:tcW w:w="1221" w:type="dxa"/>
            <w:tcBorders>
              <w:top w:val="nil"/>
              <w:left w:val="nil"/>
              <w:bottom w:val="single" w:sz="4" w:space="0" w:color="auto"/>
              <w:right w:val="single" w:sz="4" w:space="0" w:color="auto"/>
            </w:tcBorders>
            <w:vAlign w:val="center"/>
            <w:hideMark/>
          </w:tcPr>
          <w:p w14:paraId="40BDA0B9"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70</w:t>
            </w:r>
          </w:p>
        </w:tc>
      </w:tr>
      <w:tr w:rsidR="009D41BB" w:rsidRPr="007E761F" w14:paraId="4A764284" w14:textId="77777777" w:rsidTr="009D41BB">
        <w:trPr>
          <w:trHeight w:val="454"/>
          <w:jc w:val="center"/>
        </w:trPr>
        <w:tc>
          <w:tcPr>
            <w:tcW w:w="1560" w:type="dxa"/>
            <w:tcBorders>
              <w:top w:val="nil"/>
              <w:left w:val="single" w:sz="4" w:space="0" w:color="auto"/>
              <w:bottom w:val="single" w:sz="4" w:space="0" w:color="auto"/>
              <w:right w:val="single" w:sz="4" w:space="0" w:color="auto"/>
            </w:tcBorders>
            <w:vAlign w:val="center"/>
            <w:hideMark/>
          </w:tcPr>
          <w:p w14:paraId="333909A4" w14:textId="77777777" w:rsidR="007E761F" w:rsidRPr="00E02C8A"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Cotton Cloth</w:t>
            </w:r>
          </w:p>
        </w:tc>
        <w:tc>
          <w:tcPr>
            <w:tcW w:w="731" w:type="dxa"/>
            <w:tcBorders>
              <w:top w:val="nil"/>
              <w:left w:val="nil"/>
              <w:bottom w:val="single" w:sz="4" w:space="0" w:color="auto"/>
              <w:right w:val="single" w:sz="4" w:space="0" w:color="auto"/>
            </w:tcBorders>
            <w:vAlign w:val="center"/>
            <w:hideMark/>
          </w:tcPr>
          <w:p w14:paraId="2E33B5B7"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w:t>
            </w:r>
          </w:p>
        </w:tc>
        <w:tc>
          <w:tcPr>
            <w:tcW w:w="731" w:type="dxa"/>
            <w:tcBorders>
              <w:top w:val="nil"/>
              <w:left w:val="nil"/>
              <w:bottom w:val="single" w:sz="4" w:space="0" w:color="auto"/>
              <w:right w:val="single" w:sz="4" w:space="0" w:color="auto"/>
            </w:tcBorders>
            <w:vAlign w:val="center"/>
            <w:hideMark/>
          </w:tcPr>
          <w:p w14:paraId="10CEFEDB"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w:t>
            </w:r>
          </w:p>
        </w:tc>
        <w:tc>
          <w:tcPr>
            <w:tcW w:w="731" w:type="dxa"/>
            <w:tcBorders>
              <w:top w:val="nil"/>
              <w:left w:val="nil"/>
              <w:bottom w:val="single" w:sz="4" w:space="0" w:color="auto"/>
              <w:right w:val="single" w:sz="4" w:space="0" w:color="auto"/>
            </w:tcBorders>
            <w:vAlign w:val="center"/>
            <w:hideMark/>
          </w:tcPr>
          <w:p w14:paraId="7013D512"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w:t>
            </w:r>
          </w:p>
        </w:tc>
        <w:tc>
          <w:tcPr>
            <w:tcW w:w="731" w:type="dxa"/>
            <w:tcBorders>
              <w:top w:val="nil"/>
              <w:left w:val="nil"/>
              <w:bottom w:val="single" w:sz="4" w:space="0" w:color="auto"/>
              <w:right w:val="single" w:sz="4" w:space="0" w:color="auto"/>
            </w:tcBorders>
            <w:vAlign w:val="center"/>
            <w:hideMark/>
          </w:tcPr>
          <w:p w14:paraId="43E2189D"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w:t>
            </w:r>
          </w:p>
        </w:tc>
        <w:tc>
          <w:tcPr>
            <w:tcW w:w="731" w:type="dxa"/>
            <w:tcBorders>
              <w:top w:val="nil"/>
              <w:left w:val="nil"/>
              <w:bottom w:val="single" w:sz="4" w:space="0" w:color="auto"/>
              <w:right w:val="single" w:sz="4" w:space="0" w:color="auto"/>
            </w:tcBorders>
            <w:vAlign w:val="center"/>
            <w:hideMark/>
          </w:tcPr>
          <w:p w14:paraId="53D7094A"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w:t>
            </w:r>
          </w:p>
        </w:tc>
        <w:tc>
          <w:tcPr>
            <w:tcW w:w="731" w:type="dxa"/>
            <w:tcBorders>
              <w:top w:val="nil"/>
              <w:left w:val="nil"/>
              <w:bottom w:val="single" w:sz="4" w:space="0" w:color="auto"/>
              <w:right w:val="single" w:sz="4" w:space="0" w:color="auto"/>
            </w:tcBorders>
            <w:vAlign w:val="center"/>
            <w:hideMark/>
          </w:tcPr>
          <w:p w14:paraId="7B8C35F1"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w:t>
            </w:r>
          </w:p>
        </w:tc>
        <w:tc>
          <w:tcPr>
            <w:tcW w:w="731" w:type="dxa"/>
            <w:tcBorders>
              <w:top w:val="nil"/>
              <w:left w:val="nil"/>
              <w:bottom w:val="single" w:sz="4" w:space="0" w:color="auto"/>
              <w:right w:val="single" w:sz="4" w:space="0" w:color="auto"/>
            </w:tcBorders>
            <w:vAlign w:val="center"/>
            <w:hideMark/>
          </w:tcPr>
          <w:p w14:paraId="4CFE6B7E"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w:t>
            </w:r>
          </w:p>
        </w:tc>
        <w:tc>
          <w:tcPr>
            <w:tcW w:w="731" w:type="dxa"/>
            <w:tcBorders>
              <w:top w:val="nil"/>
              <w:left w:val="nil"/>
              <w:bottom w:val="single" w:sz="4" w:space="0" w:color="auto"/>
              <w:right w:val="single" w:sz="4" w:space="0" w:color="auto"/>
            </w:tcBorders>
            <w:vAlign w:val="center"/>
            <w:hideMark/>
          </w:tcPr>
          <w:p w14:paraId="576E8DE0"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w:t>
            </w:r>
          </w:p>
        </w:tc>
        <w:tc>
          <w:tcPr>
            <w:tcW w:w="731" w:type="dxa"/>
            <w:tcBorders>
              <w:top w:val="nil"/>
              <w:left w:val="nil"/>
              <w:bottom w:val="single" w:sz="4" w:space="0" w:color="auto"/>
              <w:right w:val="single" w:sz="4" w:space="0" w:color="auto"/>
            </w:tcBorders>
            <w:vAlign w:val="center"/>
            <w:hideMark/>
          </w:tcPr>
          <w:p w14:paraId="4745A0B1"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w:t>
            </w:r>
          </w:p>
        </w:tc>
        <w:tc>
          <w:tcPr>
            <w:tcW w:w="731" w:type="dxa"/>
            <w:tcBorders>
              <w:top w:val="nil"/>
              <w:left w:val="nil"/>
              <w:bottom w:val="single" w:sz="4" w:space="0" w:color="auto"/>
              <w:right w:val="single" w:sz="4" w:space="0" w:color="auto"/>
            </w:tcBorders>
            <w:vAlign w:val="center"/>
            <w:hideMark/>
          </w:tcPr>
          <w:p w14:paraId="553289BB"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w:t>
            </w:r>
          </w:p>
        </w:tc>
        <w:tc>
          <w:tcPr>
            <w:tcW w:w="731" w:type="dxa"/>
            <w:tcBorders>
              <w:top w:val="nil"/>
              <w:left w:val="nil"/>
              <w:bottom w:val="single" w:sz="4" w:space="0" w:color="auto"/>
              <w:right w:val="single" w:sz="4" w:space="0" w:color="auto"/>
            </w:tcBorders>
            <w:vAlign w:val="center"/>
            <w:hideMark/>
          </w:tcPr>
          <w:p w14:paraId="0EDAA633"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w:t>
            </w:r>
          </w:p>
        </w:tc>
        <w:tc>
          <w:tcPr>
            <w:tcW w:w="731" w:type="dxa"/>
            <w:tcBorders>
              <w:top w:val="nil"/>
              <w:left w:val="nil"/>
              <w:bottom w:val="single" w:sz="4" w:space="0" w:color="auto"/>
              <w:right w:val="single" w:sz="4" w:space="0" w:color="auto"/>
            </w:tcBorders>
            <w:vAlign w:val="center"/>
            <w:hideMark/>
          </w:tcPr>
          <w:p w14:paraId="7526AF24"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89</w:t>
            </w:r>
          </w:p>
        </w:tc>
        <w:tc>
          <w:tcPr>
            <w:tcW w:w="731" w:type="dxa"/>
            <w:tcBorders>
              <w:top w:val="nil"/>
              <w:left w:val="nil"/>
              <w:bottom w:val="single" w:sz="4" w:space="0" w:color="auto"/>
              <w:right w:val="single" w:sz="4" w:space="0" w:color="auto"/>
            </w:tcBorders>
            <w:vAlign w:val="center"/>
            <w:hideMark/>
          </w:tcPr>
          <w:p w14:paraId="6819F641"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1232</w:t>
            </w:r>
          </w:p>
        </w:tc>
        <w:tc>
          <w:tcPr>
            <w:tcW w:w="731" w:type="dxa"/>
            <w:tcBorders>
              <w:top w:val="nil"/>
              <w:left w:val="nil"/>
              <w:bottom w:val="single" w:sz="4" w:space="0" w:color="auto"/>
              <w:right w:val="single" w:sz="4" w:space="0" w:color="auto"/>
            </w:tcBorders>
            <w:vAlign w:val="center"/>
            <w:hideMark/>
          </w:tcPr>
          <w:p w14:paraId="47091752"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926</w:t>
            </w:r>
          </w:p>
        </w:tc>
        <w:tc>
          <w:tcPr>
            <w:tcW w:w="1221" w:type="dxa"/>
            <w:tcBorders>
              <w:top w:val="nil"/>
              <w:left w:val="nil"/>
              <w:bottom w:val="single" w:sz="4" w:space="0" w:color="auto"/>
              <w:right w:val="single" w:sz="4" w:space="0" w:color="auto"/>
            </w:tcBorders>
            <w:vAlign w:val="center"/>
            <w:hideMark/>
          </w:tcPr>
          <w:p w14:paraId="42D07A5B"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1700</w:t>
            </w:r>
          </w:p>
        </w:tc>
        <w:tc>
          <w:tcPr>
            <w:tcW w:w="1221" w:type="dxa"/>
            <w:tcBorders>
              <w:top w:val="nil"/>
              <w:left w:val="nil"/>
              <w:bottom w:val="single" w:sz="4" w:space="0" w:color="auto"/>
              <w:right w:val="single" w:sz="4" w:space="0" w:color="auto"/>
            </w:tcBorders>
            <w:vAlign w:val="center"/>
            <w:hideMark/>
          </w:tcPr>
          <w:p w14:paraId="52F2DF88"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1700</w:t>
            </w:r>
          </w:p>
        </w:tc>
      </w:tr>
      <w:tr w:rsidR="009D41BB" w:rsidRPr="007E761F" w14:paraId="00C0DA4F" w14:textId="77777777" w:rsidTr="009D41BB">
        <w:trPr>
          <w:trHeight w:val="454"/>
          <w:jc w:val="center"/>
        </w:trPr>
        <w:tc>
          <w:tcPr>
            <w:tcW w:w="1560" w:type="dxa"/>
            <w:tcBorders>
              <w:top w:val="nil"/>
              <w:left w:val="single" w:sz="4" w:space="0" w:color="auto"/>
              <w:bottom w:val="single" w:sz="4" w:space="0" w:color="auto"/>
              <w:right w:val="single" w:sz="4" w:space="0" w:color="auto"/>
            </w:tcBorders>
            <w:vAlign w:val="center"/>
            <w:hideMark/>
          </w:tcPr>
          <w:p w14:paraId="35E2A130" w14:textId="77777777" w:rsidR="007E761F" w:rsidRPr="00E02C8A"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Miscellaneous</w:t>
            </w:r>
          </w:p>
        </w:tc>
        <w:tc>
          <w:tcPr>
            <w:tcW w:w="731" w:type="dxa"/>
            <w:tcBorders>
              <w:top w:val="nil"/>
              <w:left w:val="nil"/>
              <w:bottom w:val="single" w:sz="4" w:space="0" w:color="auto"/>
              <w:right w:val="single" w:sz="4" w:space="0" w:color="auto"/>
            </w:tcBorders>
            <w:vAlign w:val="center"/>
            <w:hideMark/>
          </w:tcPr>
          <w:p w14:paraId="524E831B"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w:t>
            </w:r>
          </w:p>
        </w:tc>
        <w:tc>
          <w:tcPr>
            <w:tcW w:w="731" w:type="dxa"/>
            <w:tcBorders>
              <w:top w:val="nil"/>
              <w:left w:val="nil"/>
              <w:bottom w:val="single" w:sz="4" w:space="0" w:color="auto"/>
              <w:right w:val="single" w:sz="4" w:space="0" w:color="auto"/>
            </w:tcBorders>
            <w:vAlign w:val="center"/>
            <w:hideMark/>
          </w:tcPr>
          <w:p w14:paraId="29088664"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w:t>
            </w:r>
          </w:p>
        </w:tc>
        <w:tc>
          <w:tcPr>
            <w:tcW w:w="731" w:type="dxa"/>
            <w:tcBorders>
              <w:top w:val="nil"/>
              <w:left w:val="nil"/>
              <w:bottom w:val="single" w:sz="4" w:space="0" w:color="auto"/>
              <w:right w:val="single" w:sz="4" w:space="0" w:color="auto"/>
            </w:tcBorders>
            <w:vAlign w:val="center"/>
            <w:hideMark/>
          </w:tcPr>
          <w:p w14:paraId="47186D2A"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w:t>
            </w:r>
          </w:p>
        </w:tc>
        <w:tc>
          <w:tcPr>
            <w:tcW w:w="731" w:type="dxa"/>
            <w:tcBorders>
              <w:top w:val="nil"/>
              <w:left w:val="nil"/>
              <w:bottom w:val="single" w:sz="4" w:space="0" w:color="auto"/>
              <w:right w:val="single" w:sz="4" w:space="0" w:color="auto"/>
            </w:tcBorders>
            <w:vAlign w:val="center"/>
            <w:hideMark/>
          </w:tcPr>
          <w:p w14:paraId="0F20BF00"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w:t>
            </w:r>
          </w:p>
        </w:tc>
        <w:tc>
          <w:tcPr>
            <w:tcW w:w="731" w:type="dxa"/>
            <w:tcBorders>
              <w:top w:val="nil"/>
              <w:left w:val="nil"/>
              <w:bottom w:val="single" w:sz="4" w:space="0" w:color="auto"/>
              <w:right w:val="single" w:sz="4" w:space="0" w:color="auto"/>
            </w:tcBorders>
            <w:vAlign w:val="center"/>
            <w:hideMark/>
          </w:tcPr>
          <w:p w14:paraId="764C1533"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-1</w:t>
            </w:r>
          </w:p>
        </w:tc>
        <w:tc>
          <w:tcPr>
            <w:tcW w:w="731" w:type="dxa"/>
            <w:tcBorders>
              <w:top w:val="nil"/>
              <w:left w:val="nil"/>
              <w:bottom w:val="single" w:sz="4" w:space="0" w:color="auto"/>
              <w:right w:val="single" w:sz="4" w:space="0" w:color="auto"/>
            </w:tcBorders>
            <w:vAlign w:val="center"/>
            <w:hideMark/>
          </w:tcPr>
          <w:p w14:paraId="5FD63A30"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w:t>
            </w:r>
          </w:p>
        </w:tc>
        <w:tc>
          <w:tcPr>
            <w:tcW w:w="731" w:type="dxa"/>
            <w:tcBorders>
              <w:top w:val="nil"/>
              <w:left w:val="nil"/>
              <w:bottom w:val="single" w:sz="4" w:space="0" w:color="auto"/>
              <w:right w:val="single" w:sz="4" w:space="0" w:color="auto"/>
            </w:tcBorders>
            <w:vAlign w:val="center"/>
            <w:hideMark/>
          </w:tcPr>
          <w:p w14:paraId="38833C99"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w:t>
            </w:r>
          </w:p>
        </w:tc>
        <w:tc>
          <w:tcPr>
            <w:tcW w:w="731" w:type="dxa"/>
            <w:tcBorders>
              <w:top w:val="nil"/>
              <w:left w:val="nil"/>
              <w:bottom w:val="single" w:sz="4" w:space="0" w:color="auto"/>
              <w:right w:val="single" w:sz="4" w:space="0" w:color="auto"/>
            </w:tcBorders>
            <w:vAlign w:val="center"/>
            <w:hideMark/>
          </w:tcPr>
          <w:p w14:paraId="1DB88869"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21</w:t>
            </w:r>
          </w:p>
        </w:tc>
        <w:tc>
          <w:tcPr>
            <w:tcW w:w="731" w:type="dxa"/>
            <w:tcBorders>
              <w:top w:val="nil"/>
              <w:left w:val="nil"/>
              <w:bottom w:val="single" w:sz="4" w:space="0" w:color="auto"/>
              <w:right w:val="single" w:sz="4" w:space="0" w:color="auto"/>
            </w:tcBorders>
            <w:vAlign w:val="center"/>
            <w:hideMark/>
          </w:tcPr>
          <w:p w14:paraId="4B55DAEB"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15</w:t>
            </w:r>
          </w:p>
        </w:tc>
        <w:tc>
          <w:tcPr>
            <w:tcW w:w="731" w:type="dxa"/>
            <w:tcBorders>
              <w:top w:val="nil"/>
              <w:left w:val="nil"/>
              <w:bottom w:val="single" w:sz="4" w:space="0" w:color="auto"/>
              <w:right w:val="single" w:sz="4" w:space="0" w:color="auto"/>
            </w:tcBorders>
            <w:vAlign w:val="center"/>
            <w:hideMark/>
          </w:tcPr>
          <w:p w14:paraId="37BC3ABE"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16</w:t>
            </w:r>
          </w:p>
        </w:tc>
        <w:tc>
          <w:tcPr>
            <w:tcW w:w="731" w:type="dxa"/>
            <w:tcBorders>
              <w:top w:val="nil"/>
              <w:left w:val="nil"/>
              <w:bottom w:val="single" w:sz="4" w:space="0" w:color="auto"/>
              <w:right w:val="single" w:sz="4" w:space="0" w:color="auto"/>
            </w:tcBorders>
            <w:vAlign w:val="center"/>
            <w:hideMark/>
          </w:tcPr>
          <w:p w14:paraId="4B266EE7"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15</w:t>
            </w:r>
          </w:p>
        </w:tc>
        <w:tc>
          <w:tcPr>
            <w:tcW w:w="731" w:type="dxa"/>
            <w:tcBorders>
              <w:top w:val="nil"/>
              <w:left w:val="nil"/>
              <w:bottom w:val="single" w:sz="4" w:space="0" w:color="auto"/>
              <w:right w:val="single" w:sz="4" w:space="0" w:color="auto"/>
            </w:tcBorders>
            <w:vAlign w:val="center"/>
            <w:hideMark/>
          </w:tcPr>
          <w:p w14:paraId="1C7972A1"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35</w:t>
            </w:r>
          </w:p>
        </w:tc>
        <w:tc>
          <w:tcPr>
            <w:tcW w:w="731" w:type="dxa"/>
            <w:tcBorders>
              <w:top w:val="nil"/>
              <w:left w:val="nil"/>
              <w:bottom w:val="single" w:sz="4" w:space="0" w:color="auto"/>
              <w:right w:val="single" w:sz="4" w:space="0" w:color="auto"/>
            </w:tcBorders>
            <w:vAlign w:val="center"/>
            <w:hideMark/>
          </w:tcPr>
          <w:p w14:paraId="7A2F54BD"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34</w:t>
            </w:r>
          </w:p>
        </w:tc>
        <w:tc>
          <w:tcPr>
            <w:tcW w:w="731" w:type="dxa"/>
            <w:tcBorders>
              <w:top w:val="nil"/>
              <w:left w:val="nil"/>
              <w:bottom w:val="single" w:sz="4" w:space="0" w:color="auto"/>
              <w:right w:val="single" w:sz="4" w:space="0" w:color="auto"/>
            </w:tcBorders>
            <w:vAlign w:val="center"/>
            <w:hideMark/>
          </w:tcPr>
          <w:p w14:paraId="04D2D717"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244</w:t>
            </w:r>
          </w:p>
        </w:tc>
        <w:tc>
          <w:tcPr>
            <w:tcW w:w="1221" w:type="dxa"/>
            <w:tcBorders>
              <w:top w:val="nil"/>
              <w:left w:val="nil"/>
              <w:bottom w:val="single" w:sz="4" w:space="0" w:color="auto"/>
              <w:right w:val="single" w:sz="4" w:space="0" w:color="auto"/>
            </w:tcBorders>
            <w:vAlign w:val="center"/>
            <w:hideMark/>
          </w:tcPr>
          <w:p w14:paraId="27924DB8"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30</w:t>
            </w:r>
          </w:p>
        </w:tc>
        <w:tc>
          <w:tcPr>
            <w:tcW w:w="1221" w:type="dxa"/>
            <w:tcBorders>
              <w:top w:val="nil"/>
              <w:left w:val="nil"/>
              <w:bottom w:val="single" w:sz="4" w:space="0" w:color="auto"/>
              <w:right w:val="single" w:sz="4" w:space="0" w:color="auto"/>
            </w:tcBorders>
            <w:vAlign w:val="center"/>
            <w:hideMark/>
          </w:tcPr>
          <w:p w14:paraId="32BC66CF"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30</w:t>
            </w:r>
          </w:p>
        </w:tc>
      </w:tr>
      <w:tr w:rsidR="009D41BB" w:rsidRPr="007E761F" w14:paraId="0C21F850" w14:textId="77777777" w:rsidTr="009D41BB">
        <w:trPr>
          <w:trHeight w:val="454"/>
          <w:jc w:val="center"/>
        </w:trPr>
        <w:tc>
          <w:tcPr>
            <w:tcW w:w="1560" w:type="dxa"/>
            <w:tcBorders>
              <w:top w:val="nil"/>
              <w:left w:val="single" w:sz="4" w:space="0" w:color="auto"/>
              <w:bottom w:val="single" w:sz="4" w:space="0" w:color="auto"/>
              <w:right w:val="single" w:sz="4" w:space="0" w:color="auto"/>
            </w:tcBorders>
            <w:vAlign w:val="center"/>
            <w:hideMark/>
          </w:tcPr>
          <w:p w14:paraId="0183CAA4" w14:textId="77777777" w:rsidR="007E761F" w:rsidRPr="00E02C8A"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lastRenderedPageBreak/>
              <w:t>Deduct Refunds</w:t>
            </w:r>
          </w:p>
        </w:tc>
        <w:tc>
          <w:tcPr>
            <w:tcW w:w="731" w:type="dxa"/>
            <w:tcBorders>
              <w:top w:val="nil"/>
              <w:left w:val="nil"/>
              <w:bottom w:val="single" w:sz="4" w:space="0" w:color="auto"/>
              <w:right w:val="single" w:sz="4" w:space="0" w:color="auto"/>
            </w:tcBorders>
            <w:vAlign w:val="center"/>
            <w:hideMark/>
          </w:tcPr>
          <w:p w14:paraId="3801A310"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w:t>
            </w:r>
          </w:p>
        </w:tc>
        <w:tc>
          <w:tcPr>
            <w:tcW w:w="731" w:type="dxa"/>
            <w:tcBorders>
              <w:top w:val="nil"/>
              <w:left w:val="nil"/>
              <w:bottom w:val="single" w:sz="4" w:space="0" w:color="auto"/>
              <w:right w:val="single" w:sz="4" w:space="0" w:color="auto"/>
            </w:tcBorders>
            <w:vAlign w:val="center"/>
            <w:hideMark/>
          </w:tcPr>
          <w:p w14:paraId="31D9659B"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w:t>
            </w:r>
          </w:p>
        </w:tc>
        <w:tc>
          <w:tcPr>
            <w:tcW w:w="731" w:type="dxa"/>
            <w:tcBorders>
              <w:top w:val="nil"/>
              <w:left w:val="nil"/>
              <w:bottom w:val="single" w:sz="4" w:space="0" w:color="auto"/>
              <w:right w:val="single" w:sz="4" w:space="0" w:color="auto"/>
            </w:tcBorders>
            <w:vAlign w:val="center"/>
            <w:hideMark/>
          </w:tcPr>
          <w:p w14:paraId="7C1BACCB"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w:t>
            </w:r>
          </w:p>
        </w:tc>
        <w:tc>
          <w:tcPr>
            <w:tcW w:w="731" w:type="dxa"/>
            <w:tcBorders>
              <w:top w:val="nil"/>
              <w:left w:val="nil"/>
              <w:bottom w:val="single" w:sz="4" w:space="0" w:color="auto"/>
              <w:right w:val="single" w:sz="4" w:space="0" w:color="auto"/>
            </w:tcBorders>
            <w:vAlign w:val="center"/>
            <w:hideMark/>
          </w:tcPr>
          <w:p w14:paraId="4CC0DE82"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w:t>
            </w:r>
          </w:p>
        </w:tc>
        <w:tc>
          <w:tcPr>
            <w:tcW w:w="731" w:type="dxa"/>
            <w:tcBorders>
              <w:top w:val="nil"/>
              <w:left w:val="nil"/>
              <w:bottom w:val="single" w:sz="4" w:space="0" w:color="auto"/>
              <w:right w:val="single" w:sz="4" w:space="0" w:color="auto"/>
            </w:tcBorders>
            <w:vAlign w:val="center"/>
            <w:hideMark/>
          </w:tcPr>
          <w:p w14:paraId="1E24F752"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w:t>
            </w:r>
          </w:p>
        </w:tc>
        <w:tc>
          <w:tcPr>
            <w:tcW w:w="731" w:type="dxa"/>
            <w:tcBorders>
              <w:top w:val="nil"/>
              <w:left w:val="nil"/>
              <w:bottom w:val="single" w:sz="4" w:space="0" w:color="auto"/>
              <w:right w:val="single" w:sz="4" w:space="0" w:color="auto"/>
            </w:tcBorders>
            <w:vAlign w:val="center"/>
            <w:hideMark/>
          </w:tcPr>
          <w:p w14:paraId="0B30D351"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w:t>
            </w:r>
          </w:p>
        </w:tc>
        <w:tc>
          <w:tcPr>
            <w:tcW w:w="731" w:type="dxa"/>
            <w:tcBorders>
              <w:top w:val="nil"/>
              <w:left w:val="nil"/>
              <w:bottom w:val="single" w:sz="4" w:space="0" w:color="auto"/>
              <w:right w:val="single" w:sz="4" w:space="0" w:color="auto"/>
            </w:tcBorders>
            <w:vAlign w:val="center"/>
            <w:hideMark/>
          </w:tcPr>
          <w:p w14:paraId="6B278BB0"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w:t>
            </w:r>
          </w:p>
        </w:tc>
        <w:tc>
          <w:tcPr>
            <w:tcW w:w="731" w:type="dxa"/>
            <w:tcBorders>
              <w:top w:val="nil"/>
              <w:left w:val="nil"/>
              <w:bottom w:val="single" w:sz="4" w:space="0" w:color="auto"/>
              <w:right w:val="single" w:sz="4" w:space="0" w:color="auto"/>
            </w:tcBorders>
            <w:vAlign w:val="center"/>
            <w:hideMark/>
          </w:tcPr>
          <w:p w14:paraId="6726C0CB"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w:t>
            </w:r>
          </w:p>
        </w:tc>
        <w:tc>
          <w:tcPr>
            <w:tcW w:w="731" w:type="dxa"/>
            <w:tcBorders>
              <w:top w:val="nil"/>
              <w:left w:val="nil"/>
              <w:bottom w:val="single" w:sz="4" w:space="0" w:color="auto"/>
              <w:right w:val="single" w:sz="4" w:space="0" w:color="auto"/>
            </w:tcBorders>
            <w:vAlign w:val="center"/>
            <w:hideMark/>
          </w:tcPr>
          <w:p w14:paraId="54BF0E47"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w:t>
            </w:r>
          </w:p>
        </w:tc>
        <w:tc>
          <w:tcPr>
            <w:tcW w:w="731" w:type="dxa"/>
            <w:tcBorders>
              <w:top w:val="nil"/>
              <w:left w:val="nil"/>
              <w:bottom w:val="single" w:sz="4" w:space="0" w:color="auto"/>
              <w:right w:val="single" w:sz="4" w:space="0" w:color="auto"/>
            </w:tcBorders>
            <w:vAlign w:val="center"/>
            <w:hideMark/>
          </w:tcPr>
          <w:p w14:paraId="40938E2A"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w:t>
            </w:r>
          </w:p>
        </w:tc>
        <w:tc>
          <w:tcPr>
            <w:tcW w:w="731" w:type="dxa"/>
            <w:tcBorders>
              <w:top w:val="nil"/>
              <w:left w:val="nil"/>
              <w:bottom w:val="single" w:sz="4" w:space="0" w:color="auto"/>
              <w:right w:val="single" w:sz="4" w:space="0" w:color="auto"/>
            </w:tcBorders>
            <w:vAlign w:val="center"/>
            <w:hideMark/>
          </w:tcPr>
          <w:p w14:paraId="77C1A8F6"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16</w:t>
            </w:r>
          </w:p>
        </w:tc>
        <w:tc>
          <w:tcPr>
            <w:tcW w:w="731" w:type="dxa"/>
            <w:tcBorders>
              <w:top w:val="nil"/>
              <w:left w:val="nil"/>
              <w:bottom w:val="single" w:sz="4" w:space="0" w:color="auto"/>
              <w:right w:val="single" w:sz="4" w:space="0" w:color="auto"/>
            </w:tcBorders>
            <w:vAlign w:val="center"/>
            <w:hideMark/>
          </w:tcPr>
          <w:p w14:paraId="5B7BDF0D"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101</w:t>
            </w:r>
          </w:p>
        </w:tc>
        <w:tc>
          <w:tcPr>
            <w:tcW w:w="731" w:type="dxa"/>
            <w:tcBorders>
              <w:top w:val="nil"/>
              <w:left w:val="nil"/>
              <w:bottom w:val="single" w:sz="4" w:space="0" w:color="auto"/>
              <w:right w:val="single" w:sz="4" w:space="0" w:color="auto"/>
            </w:tcBorders>
            <w:vAlign w:val="center"/>
            <w:hideMark/>
          </w:tcPr>
          <w:p w14:paraId="3A28CEF7"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62</w:t>
            </w:r>
          </w:p>
        </w:tc>
        <w:tc>
          <w:tcPr>
            <w:tcW w:w="731" w:type="dxa"/>
            <w:tcBorders>
              <w:top w:val="nil"/>
              <w:left w:val="nil"/>
              <w:bottom w:val="single" w:sz="4" w:space="0" w:color="auto"/>
              <w:right w:val="single" w:sz="4" w:space="0" w:color="auto"/>
            </w:tcBorders>
            <w:vAlign w:val="center"/>
            <w:hideMark/>
          </w:tcPr>
          <w:p w14:paraId="4A989A05"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396</w:t>
            </w:r>
          </w:p>
        </w:tc>
        <w:tc>
          <w:tcPr>
            <w:tcW w:w="1221" w:type="dxa"/>
            <w:tcBorders>
              <w:top w:val="nil"/>
              <w:left w:val="nil"/>
              <w:bottom w:val="single" w:sz="4" w:space="0" w:color="auto"/>
              <w:right w:val="single" w:sz="4" w:space="0" w:color="auto"/>
            </w:tcBorders>
            <w:vAlign w:val="center"/>
            <w:hideMark/>
          </w:tcPr>
          <w:p w14:paraId="5B5985CF"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190</w:t>
            </w:r>
          </w:p>
        </w:tc>
        <w:tc>
          <w:tcPr>
            <w:tcW w:w="1221" w:type="dxa"/>
            <w:tcBorders>
              <w:top w:val="nil"/>
              <w:left w:val="nil"/>
              <w:bottom w:val="single" w:sz="4" w:space="0" w:color="auto"/>
              <w:right w:val="single" w:sz="4" w:space="0" w:color="auto"/>
            </w:tcBorders>
            <w:vAlign w:val="center"/>
            <w:hideMark/>
          </w:tcPr>
          <w:p w14:paraId="146F47CB" w14:textId="77777777" w:rsidR="007E761F" w:rsidRPr="007E761F"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7E761F">
              <w:rPr>
                <w:rFonts w:ascii="Times New Roman" w:eastAsia="Times New Roman" w:hAnsi="Times New Roman" w:cs="Times New Roman"/>
                <w:color w:val="000000"/>
                <w:kern w:val="0"/>
                <w:szCs w:val="24"/>
                <w:lang w:eastAsia="en-IN"/>
                <w14:ligatures w14:val="none"/>
              </w:rPr>
              <w:t>110</w:t>
            </w:r>
          </w:p>
        </w:tc>
      </w:tr>
      <w:tr w:rsidR="009D41BB" w:rsidRPr="007E761F" w14:paraId="41CC9918" w14:textId="77777777" w:rsidTr="009D41BB">
        <w:trPr>
          <w:trHeight w:val="454"/>
          <w:jc w:val="center"/>
        </w:trPr>
        <w:tc>
          <w:tcPr>
            <w:tcW w:w="1560" w:type="dxa"/>
            <w:tcBorders>
              <w:top w:val="nil"/>
              <w:left w:val="single" w:sz="4" w:space="0" w:color="auto"/>
              <w:bottom w:val="single" w:sz="4" w:space="0" w:color="auto"/>
              <w:right w:val="single" w:sz="4" w:space="0" w:color="auto"/>
            </w:tcBorders>
            <w:vAlign w:val="center"/>
            <w:hideMark/>
          </w:tcPr>
          <w:p w14:paraId="0E3FC612" w14:textId="77777777" w:rsidR="007E761F" w:rsidRPr="00E02C8A"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TOTAL RECEIPTS</w:t>
            </w:r>
          </w:p>
        </w:tc>
        <w:tc>
          <w:tcPr>
            <w:tcW w:w="731" w:type="dxa"/>
            <w:tcBorders>
              <w:top w:val="nil"/>
              <w:left w:val="nil"/>
              <w:bottom w:val="single" w:sz="4" w:space="0" w:color="auto"/>
              <w:right w:val="single" w:sz="4" w:space="0" w:color="auto"/>
            </w:tcBorders>
            <w:vAlign w:val="center"/>
            <w:hideMark/>
          </w:tcPr>
          <w:p w14:paraId="3F9E4C13" w14:textId="77777777" w:rsidR="007E761F" w:rsidRPr="00E02C8A"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766</w:t>
            </w:r>
          </w:p>
        </w:tc>
        <w:tc>
          <w:tcPr>
            <w:tcW w:w="731" w:type="dxa"/>
            <w:tcBorders>
              <w:top w:val="nil"/>
              <w:left w:val="nil"/>
              <w:bottom w:val="single" w:sz="4" w:space="0" w:color="auto"/>
              <w:right w:val="single" w:sz="4" w:space="0" w:color="auto"/>
            </w:tcBorders>
            <w:vAlign w:val="center"/>
            <w:hideMark/>
          </w:tcPr>
          <w:p w14:paraId="36D93CD6" w14:textId="77777777" w:rsidR="007E761F" w:rsidRPr="00E02C8A"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865</w:t>
            </w:r>
          </w:p>
        </w:tc>
        <w:tc>
          <w:tcPr>
            <w:tcW w:w="731" w:type="dxa"/>
            <w:tcBorders>
              <w:top w:val="nil"/>
              <w:left w:val="nil"/>
              <w:bottom w:val="single" w:sz="4" w:space="0" w:color="auto"/>
              <w:right w:val="single" w:sz="4" w:space="0" w:color="auto"/>
            </w:tcBorders>
            <w:vAlign w:val="center"/>
            <w:hideMark/>
          </w:tcPr>
          <w:p w14:paraId="46FF9F9B" w14:textId="77777777" w:rsidR="007E761F" w:rsidRPr="00E02C8A"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653</w:t>
            </w:r>
          </w:p>
        </w:tc>
        <w:tc>
          <w:tcPr>
            <w:tcW w:w="731" w:type="dxa"/>
            <w:tcBorders>
              <w:top w:val="nil"/>
              <w:left w:val="nil"/>
              <w:bottom w:val="single" w:sz="4" w:space="0" w:color="auto"/>
              <w:right w:val="single" w:sz="4" w:space="0" w:color="auto"/>
            </w:tcBorders>
            <w:vAlign w:val="center"/>
            <w:hideMark/>
          </w:tcPr>
          <w:p w14:paraId="579ACA2F" w14:textId="77777777" w:rsidR="007E761F" w:rsidRPr="00E02C8A"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949</w:t>
            </w:r>
          </w:p>
        </w:tc>
        <w:tc>
          <w:tcPr>
            <w:tcW w:w="731" w:type="dxa"/>
            <w:tcBorders>
              <w:top w:val="nil"/>
              <w:left w:val="nil"/>
              <w:bottom w:val="single" w:sz="4" w:space="0" w:color="auto"/>
              <w:right w:val="single" w:sz="4" w:space="0" w:color="auto"/>
            </w:tcBorders>
            <w:vAlign w:val="center"/>
            <w:hideMark/>
          </w:tcPr>
          <w:p w14:paraId="684B54D9" w14:textId="77777777" w:rsidR="007E761F" w:rsidRPr="00E02C8A"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1315</w:t>
            </w:r>
          </w:p>
        </w:tc>
        <w:tc>
          <w:tcPr>
            <w:tcW w:w="731" w:type="dxa"/>
            <w:tcBorders>
              <w:top w:val="nil"/>
              <w:left w:val="nil"/>
              <w:bottom w:val="single" w:sz="4" w:space="0" w:color="auto"/>
              <w:right w:val="single" w:sz="4" w:space="0" w:color="auto"/>
            </w:tcBorders>
            <w:vAlign w:val="center"/>
            <w:hideMark/>
          </w:tcPr>
          <w:p w14:paraId="2D02F8A0" w14:textId="77777777" w:rsidR="007E761F" w:rsidRPr="00E02C8A"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1279</w:t>
            </w:r>
          </w:p>
        </w:tc>
        <w:tc>
          <w:tcPr>
            <w:tcW w:w="731" w:type="dxa"/>
            <w:tcBorders>
              <w:top w:val="nil"/>
              <w:left w:val="nil"/>
              <w:bottom w:val="single" w:sz="4" w:space="0" w:color="auto"/>
              <w:right w:val="single" w:sz="4" w:space="0" w:color="auto"/>
            </w:tcBorders>
            <w:vAlign w:val="center"/>
            <w:hideMark/>
          </w:tcPr>
          <w:p w14:paraId="6608EC43" w14:textId="77777777" w:rsidR="007E761F" w:rsidRPr="00E02C8A"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2494</w:t>
            </w:r>
          </w:p>
        </w:tc>
        <w:tc>
          <w:tcPr>
            <w:tcW w:w="731" w:type="dxa"/>
            <w:tcBorders>
              <w:top w:val="nil"/>
              <w:left w:val="nil"/>
              <w:bottom w:val="single" w:sz="4" w:space="0" w:color="auto"/>
              <w:right w:val="single" w:sz="4" w:space="0" w:color="auto"/>
            </w:tcBorders>
            <w:vAlign w:val="center"/>
            <w:hideMark/>
          </w:tcPr>
          <w:p w14:paraId="7F5CB3E2" w14:textId="77777777" w:rsidR="007E761F" w:rsidRPr="00E02C8A"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3814</w:t>
            </w:r>
          </w:p>
        </w:tc>
        <w:tc>
          <w:tcPr>
            <w:tcW w:w="731" w:type="dxa"/>
            <w:tcBorders>
              <w:top w:val="nil"/>
              <w:left w:val="nil"/>
              <w:bottom w:val="single" w:sz="4" w:space="0" w:color="auto"/>
              <w:right w:val="single" w:sz="4" w:space="0" w:color="auto"/>
            </w:tcBorders>
            <w:vAlign w:val="center"/>
            <w:hideMark/>
          </w:tcPr>
          <w:p w14:paraId="226DD45F" w14:textId="77777777" w:rsidR="007E761F" w:rsidRPr="00E02C8A"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4636</w:t>
            </w:r>
          </w:p>
        </w:tc>
        <w:tc>
          <w:tcPr>
            <w:tcW w:w="731" w:type="dxa"/>
            <w:tcBorders>
              <w:top w:val="nil"/>
              <w:left w:val="nil"/>
              <w:bottom w:val="single" w:sz="4" w:space="0" w:color="auto"/>
              <w:right w:val="single" w:sz="4" w:space="0" w:color="auto"/>
            </w:tcBorders>
            <w:vAlign w:val="center"/>
            <w:hideMark/>
          </w:tcPr>
          <w:p w14:paraId="6A79104F" w14:textId="77777777" w:rsidR="007E761F" w:rsidRPr="00E02C8A"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4303</w:t>
            </w:r>
          </w:p>
        </w:tc>
        <w:tc>
          <w:tcPr>
            <w:tcW w:w="731" w:type="dxa"/>
            <w:tcBorders>
              <w:top w:val="nil"/>
              <w:left w:val="nil"/>
              <w:bottom w:val="single" w:sz="4" w:space="0" w:color="auto"/>
              <w:right w:val="single" w:sz="4" w:space="0" w:color="auto"/>
            </w:tcBorders>
            <w:vAlign w:val="center"/>
            <w:hideMark/>
          </w:tcPr>
          <w:p w14:paraId="417391B2" w14:textId="77777777" w:rsidR="007E761F" w:rsidRPr="00E02C8A"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2426</w:t>
            </w:r>
          </w:p>
        </w:tc>
        <w:tc>
          <w:tcPr>
            <w:tcW w:w="731" w:type="dxa"/>
            <w:tcBorders>
              <w:top w:val="nil"/>
              <w:left w:val="nil"/>
              <w:bottom w:val="single" w:sz="4" w:space="0" w:color="auto"/>
              <w:right w:val="single" w:sz="4" w:space="0" w:color="auto"/>
            </w:tcBorders>
            <w:vAlign w:val="center"/>
            <w:hideMark/>
          </w:tcPr>
          <w:p w14:paraId="09A94231" w14:textId="77777777" w:rsidR="007E761F" w:rsidRPr="00E02C8A"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5065</w:t>
            </w:r>
          </w:p>
        </w:tc>
        <w:tc>
          <w:tcPr>
            <w:tcW w:w="731" w:type="dxa"/>
            <w:tcBorders>
              <w:top w:val="nil"/>
              <w:left w:val="nil"/>
              <w:bottom w:val="single" w:sz="4" w:space="0" w:color="auto"/>
              <w:right w:val="single" w:sz="4" w:space="0" w:color="auto"/>
            </w:tcBorders>
            <w:vAlign w:val="center"/>
            <w:hideMark/>
          </w:tcPr>
          <w:p w14:paraId="3D5D1430" w14:textId="77777777" w:rsidR="007E761F" w:rsidRPr="00E02C8A"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6790</w:t>
            </w:r>
          </w:p>
        </w:tc>
        <w:tc>
          <w:tcPr>
            <w:tcW w:w="731" w:type="dxa"/>
            <w:tcBorders>
              <w:top w:val="nil"/>
              <w:left w:val="nil"/>
              <w:bottom w:val="single" w:sz="4" w:space="0" w:color="auto"/>
              <w:right w:val="single" w:sz="4" w:space="0" w:color="auto"/>
            </w:tcBorders>
            <w:vAlign w:val="center"/>
            <w:hideMark/>
          </w:tcPr>
          <w:p w14:paraId="36DC4CBB" w14:textId="77777777" w:rsidR="007E761F" w:rsidRPr="00E02C8A"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6754</w:t>
            </w:r>
          </w:p>
        </w:tc>
        <w:tc>
          <w:tcPr>
            <w:tcW w:w="1221" w:type="dxa"/>
            <w:tcBorders>
              <w:top w:val="nil"/>
              <w:left w:val="nil"/>
              <w:bottom w:val="single" w:sz="4" w:space="0" w:color="auto"/>
              <w:right w:val="single" w:sz="4" w:space="0" w:color="auto"/>
            </w:tcBorders>
            <w:vAlign w:val="center"/>
            <w:hideMark/>
          </w:tcPr>
          <w:p w14:paraId="3C786CDD" w14:textId="77777777" w:rsidR="007E761F" w:rsidRPr="00E02C8A"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8430</w:t>
            </w:r>
          </w:p>
        </w:tc>
        <w:tc>
          <w:tcPr>
            <w:tcW w:w="1221" w:type="dxa"/>
            <w:tcBorders>
              <w:top w:val="nil"/>
              <w:left w:val="nil"/>
              <w:bottom w:val="single" w:sz="4" w:space="0" w:color="auto"/>
              <w:right w:val="single" w:sz="4" w:space="0" w:color="auto"/>
            </w:tcBorders>
            <w:vAlign w:val="center"/>
            <w:hideMark/>
          </w:tcPr>
          <w:p w14:paraId="72F52656" w14:textId="77777777" w:rsidR="007E761F" w:rsidRPr="00E02C8A" w:rsidRDefault="007E761F" w:rsidP="007E761F">
            <w:pPr>
              <w:spacing w:after="0" w:line="240" w:lineRule="auto"/>
              <w:jc w:val="center"/>
              <w:rPr>
                <w:rFonts w:ascii="Times New Roman" w:eastAsia="Times New Roman" w:hAnsi="Times New Roman" w:cs="Times New Roman"/>
                <w:color w:val="000000"/>
                <w:kern w:val="0"/>
                <w:szCs w:val="24"/>
                <w:lang w:eastAsia="en-IN"/>
                <w14:ligatures w14:val="none"/>
              </w:rPr>
            </w:pPr>
            <w:r w:rsidRPr="00E02C8A">
              <w:rPr>
                <w:rFonts w:ascii="Times New Roman" w:eastAsia="Times New Roman" w:hAnsi="Times New Roman" w:cs="Times New Roman"/>
                <w:color w:val="000000"/>
                <w:kern w:val="0"/>
                <w:szCs w:val="24"/>
                <w:lang w:eastAsia="en-IN"/>
                <w14:ligatures w14:val="none"/>
              </w:rPr>
              <w:t>8600</w:t>
            </w:r>
          </w:p>
        </w:tc>
      </w:tr>
    </w:tbl>
    <w:p w14:paraId="21D3D8DB" w14:textId="706C1C64" w:rsidR="0039057C" w:rsidRPr="005534D4" w:rsidRDefault="0039057C" w:rsidP="009D41BB">
      <w:pPr>
        <w:pStyle w:val="Sources"/>
      </w:pPr>
      <w:r w:rsidRPr="005534D4">
        <w:t>*Figures relate only to the period 15th August, 1947 to 31st March, 1948. Figures</w:t>
      </w:r>
      <w:r w:rsidR="009D41BB">
        <w:t xml:space="preserve"> </w:t>
      </w:r>
      <w:r w:rsidR="009D41BB" w:rsidRPr="005534D4">
        <w:t>prior to 1947-48 relate to undivided India.</w:t>
      </w:r>
    </w:p>
    <w:p w14:paraId="2E28E60E" w14:textId="77777777" w:rsidR="009D41BB" w:rsidRDefault="009D41BB">
      <w:pPr>
        <w:rPr>
          <w:rFonts w:ascii="Times New Roman" w:hAnsi="Times New Roman" w:cs="Times New Roman"/>
        </w:rPr>
        <w:sectPr w:rsidR="009D41BB" w:rsidSect="009D41BB">
          <w:pgSz w:w="16838" w:h="11906" w:orient="landscape"/>
          <w:pgMar w:top="1134" w:right="1440" w:bottom="1440" w:left="1440" w:header="709" w:footer="709" w:gutter="0"/>
          <w:cols w:space="708"/>
          <w:docGrid w:linePitch="360"/>
        </w:sectPr>
      </w:pPr>
    </w:p>
    <w:p w14:paraId="1FDDD69F" w14:textId="5CC4D136" w:rsidR="00CE5905" w:rsidRPr="005534D4" w:rsidRDefault="00CE5905" w:rsidP="009D41BB">
      <w:pPr>
        <w:pStyle w:val="Heading2"/>
      </w:pPr>
      <w:bookmarkStart w:id="42" w:name="_Toc221007151"/>
      <w:r w:rsidRPr="005534D4">
        <w:lastRenderedPageBreak/>
        <w:t>APPENDIX X</w:t>
      </w:r>
      <w:r w:rsidR="009D41BB">
        <w:t xml:space="preserve"> </w:t>
      </w:r>
      <w:r w:rsidR="009D41BB">
        <w:br/>
      </w:r>
      <w:r w:rsidRPr="005534D4">
        <w:t>PARTICULARS OF MAJOR ASSESSEES</w:t>
      </w:r>
      <w:bookmarkEnd w:id="42"/>
    </w:p>
    <w:p w14:paraId="1C7F48C3" w14:textId="473BF994" w:rsidR="00CE5905" w:rsidRPr="005534D4" w:rsidRDefault="00CE5905" w:rsidP="00CE5905">
      <w:pPr>
        <w:rPr>
          <w:rFonts w:ascii="Times New Roman" w:hAnsi="Times New Roman" w:cs="Times New Roman"/>
        </w:rPr>
      </w:pPr>
    </w:p>
    <w:tbl>
      <w:tblPr>
        <w:tblStyle w:val="TableGrid"/>
        <w:tblW w:w="0" w:type="auto"/>
        <w:jc w:val="center"/>
        <w:tblLook w:val="04A0" w:firstRow="1" w:lastRow="0" w:firstColumn="1" w:lastColumn="0" w:noHBand="0" w:noVBand="1"/>
      </w:tblPr>
      <w:tblGrid>
        <w:gridCol w:w="1471"/>
        <w:gridCol w:w="1697"/>
        <w:gridCol w:w="1550"/>
        <w:gridCol w:w="1770"/>
        <w:gridCol w:w="1665"/>
        <w:gridCol w:w="914"/>
        <w:gridCol w:w="1586"/>
        <w:gridCol w:w="1626"/>
        <w:gridCol w:w="1669"/>
      </w:tblGrid>
      <w:tr w:rsidR="00CE5905" w:rsidRPr="005534D4" w14:paraId="4534EF25" w14:textId="77777777" w:rsidTr="009D41BB">
        <w:trPr>
          <w:trHeight w:val="454"/>
          <w:jc w:val="center"/>
        </w:trPr>
        <w:tc>
          <w:tcPr>
            <w:tcW w:w="0" w:type="auto"/>
            <w:gridSpan w:val="3"/>
            <w:vAlign w:val="center"/>
            <w:hideMark/>
          </w:tcPr>
          <w:p w14:paraId="5B0AF752" w14:textId="3C6148E4" w:rsidR="00CE5905" w:rsidRPr="005534D4" w:rsidRDefault="00CE5905" w:rsidP="009D41BB">
            <w:pPr>
              <w:spacing w:after="160" w:line="278" w:lineRule="auto"/>
              <w:jc w:val="center"/>
              <w:rPr>
                <w:rFonts w:ascii="Times New Roman" w:hAnsi="Times New Roman" w:cs="Times New Roman"/>
                <w:b/>
                <w:bCs/>
              </w:rPr>
            </w:pPr>
            <w:r w:rsidRPr="005534D4">
              <w:rPr>
                <w:rFonts w:ascii="Times New Roman" w:hAnsi="Times New Roman" w:cs="Times New Roman"/>
                <w:b/>
                <w:bCs/>
              </w:rPr>
              <w:t>Name of the assessee</w:t>
            </w:r>
          </w:p>
        </w:tc>
        <w:tc>
          <w:tcPr>
            <w:tcW w:w="0" w:type="auto"/>
            <w:vMerge w:val="restart"/>
            <w:vAlign w:val="center"/>
            <w:hideMark/>
          </w:tcPr>
          <w:p w14:paraId="4EBEEAD7" w14:textId="3C4019B7" w:rsidR="00CE5905" w:rsidRPr="005534D4" w:rsidRDefault="00CE5905" w:rsidP="009D41BB">
            <w:pPr>
              <w:spacing w:after="160" w:line="278" w:lineRule="auto"/>
              <w:jc w:val="center"/>
              <w:rPr>
                <w:rFonts w:ascii="Times New Roman" w:hAnsi="Times New Roman" w:cs="Times New Roman"/>
                <w:b/>
                <w:bCs/>
              </w:rPr>
            </w:pPr>
            <w:r w:rsidRPr="005534D4">
              <w:rPr>
                <w:rFonts w:ascii="Times New Roman" w:hAnsi="Times New Roman" w:cs="Times New Roman"/>
                <w:b/>
                <w:bCs/>
              </w:rPr>
              <w:t>Place of Residence or other registered office of the company, partnership or association of persons</w:t>
            </w:r>
          </w:p>
        </w:tc>
        <w:tc>
          <w:tcPr>
            <w:tcW w:w="0" w:type="auto"/>
            <w:vMerge w:val="restart"/>
            <w:vAlign w:val="center"/>
            <w:hideMark/>
          </w:tcPr>
          <w:p w14:paraId="0D442315" w14:textId="4C920080" w:rsidR="00CE5905" w:rsidRPr="005534D4" w:rsidRDefault="00CE5905" w:rsidP="009D41BB">
            <w:pPr>
              <w:spacing w:after="160" w:line="278" w:lineRule="auto"/>
              <w:jc w:val="center"/>
              <w:rPr>
                <w:rFonts w:ascii="Times New Roman" w:hAnsi="Times New Roman" w:cs="Times New Roman"/>
              </w:rPr>
            </w:pPr>
            <w:r w:rsidRPr="005534D4">
              <w:rPr>
                <w:rFonts w:ascii="Times New Roman" w:hAnsi="Times New Roman" w:cs="Times New Roman"/>
                <w:b/>
                <w:bCs/>
              </w:rPr>
              <w:t>Amount of tax excluding corporation tax paid during the last five years</w:t>
            </w:r>
          </w:p>
        </w:tc>
        <w:tc>
          <w:tcPr>
            <w:tcW w:w="0" w:type="auto"/>
            <w:vMerge w:val="restart"/>
            <w:vAlign w:val="center"/>
            <w:hideMark/>
          </w:tcPr>
          <w:p w14:paraId="0A02A277" w14:textId="74A2AE4E" w:rsidR="00CE5905" w:rsidRPr="005534D4" w:rsidRDefault="00CE5905" w:rsidP="009D41BB">
            <w:pPr>
              <w:spacing w:after="160" w:line="278" w:lineRule="auto"/>
              <w:jc w:val="center"/>
              <w:rPr>
                <w:rFonts w:ascii="Times New Roman" w:hAnsi="Times New Roman" w:cs="Times New Roman"/>
              </w:rPr>
            </w:pPr>
            <w:r w:rsidRPr="005534D4">
              <w:rPr>
                <w:rFonts w:ascii="Times New Roman" w:hAnsi="Times New Roman" w:cs="Times New Roman"/>
                <w:b/>
                <w:bCs/>
              </w:rPr>
              <w:t>State in which tax was paid</w:t>
            </w:r>
          </w:p>
        </w:tc>
        <w:tc>
          <w:tcPr>
            <w:tcW w:w="0" w:type="auto"/>
            <w:vMerge w:val="restart"/>
            <w:vAlign w:val="center"/>
            <w:hideMark/>
          </w:tcPr>
          <w:p w14:paraId="221F6DCC" w14:textId="7C8C4502" w:rsidR="00CE5905" w:rsidRPr="005534D4" w:rsidRDefault="00CE5905" w:rsidP="009D41BB">
            <w:pPr>
              <w:spacing w:after="160" w:line="278" w:lineRule="auto"/>
              <w:jc w:val="center"/>
              <w:rPr>
                <w:rFonts w:ascii="Times New Roman" w:hAnsi="Times New Roman" w:cs="Times New Roman"/>
              </w:rPr>
            </w:pPr>
            <w:r w:rsidRPr="005534D4">
              <w:rPr>
                <w:rFonts w:ascii="Times New Roman" w:hAnsi="Times New Roman" w:cs="Times New Roman"/>
                <w:b/>
                <w:bCs/>
              </w:rPr>
              <w:t>State or States where production units or sources of income are situated</w:t>
            </w:r>
          </w:p>
        </w:tc>
        <w:tc>
          <w:tcPr>
            <w:tcW w:w="0" w:type="auto"/>
            <w:vMerge w:val="restart"/>
            <w:vAlign w:val="center"/>
            <w:hideMark/>
          </w:tcPr>
          <w:p w14:paraId="2AC3F84A" w14:textId="281FF693" w:rsidR="00CE5905" w:rsidRPr="005534D4" w:rsidRDefault="00CE5905" w:rsidP="009D41BB">
            <w:pPr>
              <w:spacing w:after="160" w:line="278" w:lineRule="auto"/>
              <w:jc w:val="center"/>
              <w:rPr>
                <w:rFonts w:ascii="Times New Roman" w:hAnsi="Times New Roman" w:cs="Times New Roman"/>
              </w:rPr>
            </w:pPr>
            <w:r w:rsidRPr="005534D4">
              <w:rPr>
                <w:rFonts w:ascii="Times New Roman" w:hAnsi="Times New Roman" w:cs="Times New Roman"/>
                <w:b/>
                <w:bCs/>
              </w:rPr>
              <w:t>Other States in which there are branches, sub-offices, agencies and sub-agencies, or depots and the number of each</w:t>
            </w:r>
          </w:p>
        </w:tc>
        <w:tc>
          <w:tcPr>
            <w:tcW w:w="0" w:type="auto"/>
            <w:vMerge w:val="restart"/>
            <w:vAlign w:val="center"/>
            <w:hideMark/>
          </w:tcPr>
          <w:p w14:paraId="3B18E5CE" w14:textId="33AB437F" w:rsidR="00CE5905" w:rsidRPr="005534D4" w:rsidRDefault="00CE5905" w:rsidP="009D41BB">
            <w:pPr>
              <w:spacing w:after="160" w:line="278" w:lineRule="auto"/>
              <w:jc w:val="center"/>
              <w:rPr>
                <w:rFonts w:ascii="Times New Roman" w:hAnsi="Times New Roman" w:cs="Times New Roman"/>
              </w:rPr>
            </w:pPr>
            <w:r w:rsidRPr="005534D4">
              <w:rPr>
                <w:rFonts w:ascii="Times New Roman" w:hAnsi="Times New Roman" w:cs="Times New Roman"/>
                <w:b/>
                <w:bCs/>
              </w:rPr>
              <w:t>Nature of the business (production, distribution or service)</w:t>
            </w:r>
          </w:p>
        </w:tc>
      </w:tr>
      <w:tr w:rsidR="00CE5905" w:rsidRPr="005534D4" w14:paraId="1082BB3F" w14:textId="77777777" w:rsidTr="009D41BB">
        <w:trPr>
          <w:trHeight w:val="454"/>
          <w:jc w:val="center"/>
        </w:trPr>
        <w:tc>
          <w:tcPr>
            <w:tcW w:w="0" w:type="auto"/>
            <w:vAlign w:val="center"/>
            <w:hideMark/>
          </w:tcPr>
          <w:p w14:paraId="1AC73A15" w14:textId="77777777" w:rsidR="00CE5905" w:rsidRPr="005534D4" w:rsidRDefault="00CE5905" w:rsidP="009D41BB">
            <w:pPr>
              <w:spacing w:after="160" w:line="278" w:lineRule="auto"/>
              <w:jc w:val="center"/>
              <w:rPr>
                <w:rFonts w:ascii="Times New Roman" w:hAnsi="Times New Roman" w:cs="Times New Roman"/>
              </w:rPr>
            </w:pPr>
            <w:r w:rsidRPr="005534D4">
              <w:rPr>
                <w:rFonts w:ascii="Times New Roman" w:hAnsi="Times New Roman" w:cs="Times New Roman"/>
                <w:b/>
                <w:bCs/>
              </w:rPr>
              <w:t>Individuals and undivided families</w:t>
            </w:r>
          </w:p>
        </w:tc>
        <w:tc>
          <w:tcPr>
            <w:tcW w:w="0" w:type="auto"/>
            <w:vAlign w:val="center"/>
            <w:hideMark/>
          </w:tcPr>
          <w:p w14:paraId="680BF0B9" w14:textId="77777777" w:rsidR="00CE5905" w:rsidRPr="005534D4" w:rsidRDefault="00CE5905" w:rsidP="009D41BB">
            <w:pPr>
              <w:spacing w:after="160" w:line="278" w:lineRule="auto"/>
              <w:jc w:val="center"/>
              <w:rPr>
                <w:rFonts w:ascii="Times New Roman" w:hAnsi="Times New Roman" w:cs="Times New Roman"/>
              </w:rPr>
            </w:pPr>
            <w:r w:rsidRPr="005534D4">
              <w:rPr>
                <w:rFonts w:ascii="Times New Roman" w:hAnsi="Times New Roman" w:cs="Times New Roman"/>
                <w:b/>
                <w:bCs/>
              </w:rPr>
              <w:t>Unregistered firms and other associations of persons</w:t>
            </w:r>
          </w:p>
        </w:tc>
        <w:tc>
          <w:tcPr>
            <w:tcW w:w="0" w:type="auto"/>
            <w:vAlign w:val="center"/>
            <w:hideMark/>
          </w:tcPr>
          <w:p w14:paraId="2D1ED2C8" w14:textId="77777777" w:rsidR="00CE5905" w:rsidRPr="005534D4" w:rsidRDefault="00CE5905" w:rsidP="009D41BB">
            <w:pPr>
              <w:spacing w:after="160" w:line="278" w:lineRule="auto"/>
              <w:jc w:val="center"/>
              <w:rPr>
                <w:rFonts w:ascii="Times New Roman" w:hAnsi="Times New Roman" w:cs="Times New Roman"/>
              </w:rPr>
            </w:pPr>
            <w:r w:rsidRPr="005534D4">
              <w:rPr>
                <w:rFonts w:ascii="Times New Roman" w:hAnsi="Times New Roman" w:cs="Times New Roman"/>
                <w:b/>
                <w:bCs/>
              </w:rPr>
              <w:t>Companies and other concerns assessable at company rate</w:t>
            </w:r>
          </w:p>
        </w:tc>
        <w:tc>
          <w:tcPr>
            <w:tcW w:w="0" w:type="auto"/>
            <w:vMerge/>
            <w:vAlign w:val="center"/>
            <w:hideMark/>
          </w:tcPr>
          <w:p w14:paraId="128919E0" w14:textId="142DCDE2" w:rsidR="00CE5905" w:rsidRPr="005534D4" w:rsidRDefault="00CE5905" w:rsidP="009D41BB">
            <w:pPr>
              <w:spacing w:after="160" w:line="278" w:lineRule="auto"/>
              <w:jc w:val="center"/>
              <w:rPr>
                <w:rFonts w:ascii="Times New Roman" w:hAnsi="Times New Roman" w:cs="Times New Roman"/>
              </w:rPr>
            </w:pPr>
          </w:p>
        </w:tc>
        <w:tc>
          <w:tcPr>
            <w:tcW w:w="0" w:type="auto"/>
            <w:vMerge/>
            <w:vAlign w:val="center"/>
            <w:hideMark/>
          </w:tcPr>
          <w:p w14:paraId="30B26A56" w14:textId="1265203A" w:rsidR="00CE5905" w:rsidRPr="005534D4" w:rsidRDefault="00CE5905" w:rsidP="009D41BB">
            <w:pPr>
              <w:spacing w:after="160" w:line="278" w:lineRule="auto"/>
              <w:jc w:val="center"/>
              <w:rPr>
                <w:rFonts w:ascii="Times New Roman" w:hAnsi="Times New Roman" w:cs="Times New Roman"/>
              </w:rPr>
            </w:pPr>
          </w:p>
        </w:tc>
        <w:tc>
          <w:tcPr>
            <w:tcW w:w="0" w:type="auto"/>
            <w:vMerge/>
            <w:vAlign w:val="center"/>
            <w:hideMark/>
          </w:tcPr>
          <w:p w14:paraId="47A6356A" w14:textId="213E7888" w:rsidR="00CE5905" w:rsidRPr="005534D4" w:rsidRDefault="00CE5905" w:rsidP="009D41BB">
            <w:pPr>
              <w:spacing w:after="160" w:line="278" w:lineRule="auto"/>
              <w:jc w:val="center"/>
              <w:rPr>
                <w:rFonts w:ascii="Times New Roman" w:hAnsi="Times New Roman" w:cs="Times New Roman"/>
              </w:rPr>
            </w:pPr>
          </w:p>
        </w:tc>
        <w:tc>
          <w:tcPr>
            <w:tcW w:w="0" w:type="auto"/>
            <w:vMerge/>
            <w:vAlign w:val="center"/>
            <w:hideMark/>
          </w:tcPr>
          <w:p w14:paraId="4E5C0AFC" w14:textId="2538511B" w:rsidR="00CE5905" w:rsidRPr="005534D4" w:rsidRDefault="00CE5905" w:rsidP="009D41BB">
            <w:pPr>
              <w:spacing w:after="160" w:line="278" w:lineRule="auto"/>
              <w:jc w:val="center"/>
              <w:rPr>
                <w:rFonts w:ascii="Times New Roman" w:hAnsi="Times New Roman" w:cs="Times New Roman"/>
              </w:rPr>
            </w:pPr>
          </w:p>
        </w:tc>
        <w:tc>
          <w:tcPr>
            <w:tcW w:w="0" w:type="auto"/>
            <w:vMerge/>
            <w:vAlign w:val="center"/>
            <w:hideMark/>
          </w:tcPr>
          <w:p w14:paraId="3C1E3978" w14:textId="35B627C1" w:rsidR="00CE5905" w:rsidRPr="005534D4" w:rsidRDefault="00CE5905" w:rsidP="009D41BB">
            <w:pPr>
              <w:spacing w:after="160" w:line="278" w:lineRule="auto"/>
              <w:jc w:val="center"/>
              <w:rPr>
                <w:rFonts w:ascii="Times New Roman" w:hAnsi="Times New Roman" w:cs="Times New Roman"/>
              </w:rPr>
            </w:pPr>
          </w:p>
        </w:tc>
        <w:tc>
          <w:tcPr>
            <w:tcW w:w="0" w:type="auto"/>
            <w:vMerge/>
            <w:vAlign w:val="center"/>
            <w:hideMark/>
          </w:tcPr>
          <w:p w14:paraId="6E8F74DA" w14:textId="227D156A" w:rsidR="00CE5905" w:rsidRPr="005534D4" w:rsidRDefault="00CE5905" w:rsidP="009D41BB">
            <w:pPr>
              <w:spacing w:after="160" w:line="278" w:lineRule="auto"/>
              <w:jc w:val="center"/>
              <w:rPr>
                <w:rFonts w:ascii="Times New Roman" w:hAnsi="Times New Roman" w:cs="Times New Roman"/>
              </w:rPr>
            </w:pPr>
          </w:p>
        </w:tc>
      </w:tr>
      <w:tr w:rsidR="00CE5905" w:rsidRPr="005534D4" w14:paraId="5B64C9AA" w14:textId="77777777" w:rsidTr="009D41BB">
        <w:trPr>
          <w:trHeight w:val="454"/>
          <w:jc w:val="center"/>
        </w:trPr>
        <w:tc>
          <w:tcPr>
            <w:tcW w:w="0" w:type="auto"/>
            <w:vAlign w:val="center"/>
            <w:hideMark/>
          </w:tcPr>
          <w:p w14:paraId="025610AB" w14:textId="77777777" w:rsidR="00CE5905" w:rsidRPr="005534D4" w:rsidRDefault="00CE5905" w:rsidP="009D41BB">
            <w:pPr>
              <w:spacing w:after="160" w:line="278" w:lineRule="auto"/>
              <w:jc w:val="center"/>
              <w:rPr>
                <w:rFonts w:ascii="Times New Roman" w:hAnsi="Times New Roman" w:cs="Times New Roman"/>
              </w:rPr>
            </w:pPr>
            <w:r w:rsidRPr="005534D4">
              <w:rPr>
                <w:rFonts w:ascii="Times New Roman" w:hAnsi="Times New Roman" w:cs="Times New Roman"/>
                <w:b/>
                <w:bCs/>
              </w:rPr>
              <w:t>1</w:t>
            </w:r>
          </w:p>
        </w:tc>
        <w:tc>
          <w:tcPr>
            <w:tcW w:w="0" w:type="auto"/>
            <w:vAlign w:val="center"/>
            <w:hideMark/>
          </w:tcPr>
          <w:p w14:paraId="3ACA2D1D" w14:textId="77777777" w:rsidR="00CE5905" w:rsidRPr="005534D4" w:rsidRDefault="00CE5905" w:rsidP="009D41BB">
            <w:pPr>
              <w:spacing w:after="160" w:line="278" w:lineRule="auto"/>
              <w:jc w:val="center"/>
              <w:rPr>
                <w:rFonts w:ascii="Times New Roman" w:hAnsi="Times New Roman" w:cs="Times New Roman"/>
              </w:rPr>
            </w:pPr>
            <w:r w:rsidRPr="005534D4">
              <w:rPr>
                <w:rFonts w:ascii="Times New Roman" w:hAnsi="Times New Roman" w:cs="Times New Roman"/>
                <w:b/>
                <w:bCs/>
              </w:rPr>
              <w:t>2</w:t>
            </w:r>
          </w:p>
        </w:tc>
        <w:tc>
          <w:tcPr>
            <w:tcW w:w="0" w:type="auto"/>
            <w:vAlign w:val="center"/>
            <w:hideMark/>
          </w:tcPr>
          <w:p w14:paraId="793185D4" w14:textId="77777777" w:rsidR="00CE5905" w:rsidRPr="005534D4" w:rsidRDefault="00CE5905" w:rsidP="009D41BB">
            <w:pPr>
              <w:spacing w:after="160" w:line="278" w:lineRule="auto"/>
              <w:jc w:val="center"/>
              <w:rPr>
                <w:rFonts w:ascii="Times New Roman" w:hAnsi="Times New Roman" w:cs="Times New Roman"/>
              </w:rPr>
            </w:pPr>
            <w:r w:rsidRPr="005534D4">
              <w:rPr>
                <w:rFonts w:ascii="Times New Roman" w:hAnsi="Times New Roman" w:cs="Times New Roman"/>
                <w:b/>
                <w:bCs/>
              </w:rPr>
              <w:t>3</w:t>
            </w:r>
          </w:p>
        </w:tc>
        <w:tc>
          <w:tcPr>
            <w:tcW w:w="0" w:type="auto"/>
            <w:vAlign w:val="center"/>
            <w:hideMark/>
          </w:tcPr>
          <w:p w14:paraId="7BE8141E" w14:textId="77777777" w:rsidR="00CE5905" w:rsidRPr="005534D4" w:rsidRDefault="00CE5905" w:rsidP="009D41BB">
            <w:pPr>
              <w:spacing w:after="160" w:line="278" w:lineRule="auto"/>
              <w:jc w:val="center"/>
              <w:rPr>
                <w:rFonts w:ascii="Times New Roman" w:hAnsi="Times New Roman" w:cs="Times New Roman"/>
              </w:rPr>
            </w:pPr>
            <w:r w:rsidRPr="005534D4">
              <w:rPr>
                <w:rFonts w:ascii="Times New Roman" w:hAnsi="Times New Roman" w:cs="Times New Roman"/>
                <w:b/>
                <w:bCs/>
              </w:rPr>
              <w:t>4</w:t>
            </w:r>
          </w:p>
        </w:tc>
        <w:tc>
          <w:tcPr>
            <w:tcW w:w="0" w:type="auto"/>
            <w:vAlign w:val="center"/>
            <w:hideMark/>
          </w:tcPr>
          <w:p w14:paraId="1158B7B7" w14:textId="77777777" w:rsidR="00CE5905" w:rsidRPr="005534D4" w:rsidRDefault="00CE5905" w:rsidP="009D41BB">
            <w:pPr>
              <w:spacing w:after="160" w:line="278" w:lineRule="auto"/>
              <w:jc w:val="center"/>
              <w:rPr>
                <w:rFonts w:ascii="Times New Roman" w:hAnsi="Times New Roman" w:cs="Times New Roman"/>
              </w:rPr>
            </w:pPr>
            <w:r w:rsidRPr="005534D4">
              <w:rPr>
                <w:rFonts w:ascii="Times New Roman" w:hAnsi="Times New Roman" w:cs="Times New Roman"/>
                <w:b/>
                <w:bCs/>
              </w:rPr>
              <w:t>5</w:t>
            </w:r>
          </w:p>
        </w:tc>
        <w:tc>
          <w:tcPr>
            <w:tcW w:w="0" w:type="auto"/>
            <w:vAlign w:val="center"/>
            <w:hideMark/>
          </w:tcPr>
          <w:p w14:paraId="138CA1DA" w14:textId="77777777" w:rsidR="00CE5905" w:rsidRPr="005534D4" w:rsidRDefault="00CE5905" w:rsidP="009D41BB">
            <w:pPr>
              <w:spacing w:after="160" w:line="278" w:lineRule="auto"/>
              <w:jc w:val="center"/>
              <w:rPr>
                <w:rFonts w:ascii="Times New Roman" w:hAnsi="Times New Roman" w:cs="Times New Roman"/>
              </w:rPr>
            </w:pPr>
            <w:r w:rsidRPr="005534D4">
              <w:rPr>
                <w:rFonts w:ascii="Times New Roman" w:hAnsi="Times New Roman" w:cs="Times New Roman"/>
                <w:b/>
                <w:bCs/>
              </w:rPr>
              <w:t>6</w:t>
            </w:r>
          </w:p>
        </w:tc>
        <w:tc>
          <w:tcPr>
            <w:tcW w:w="0" w:type="auto"/>
            <w:vAlign w:val="center"/>
            <w:hideMark/>
          </w:tcPr>
          <w:p w14:paraId="1529EEC8" w14:textId="77777777" w:rsidR="00CE5905" w:rsidRPr="005534D4" w:rsidRDefault="00CE5905" w:rsidP="009D41BB">
            <w:pPr>
              <w:spacing w:after="160" w:line="278" w:lineRule="auto"/>
              <w:jc w:val="center"/>
              <w:rPr>
                <w:rFonts w:ascii="Times New Roman" w:hAnsi="Times New Roman" w:cs="Times New Roman"/>
              </w:rPr>
            </w:pPr>
            <w:r w:rsidRPr="005534D4">
              <w:rPr>
                <w:rFonts w:ascii="Times New Roman" w:hAnsi="Times New Roman" w:cs="Times New Roman"/>
                <w:b/>
                <w:bCs/>
              </w:rPr>
              <w:t>7</w:t>
            </w:r>
          </w:p>
        </w:tc>
        <w:tc>
          <w:tcPr>
            <w:tcW w:w="0" w:type="auto"/>
            <w:vAlign w:val="center"/>
            <w:hideMark/>
          </w:tcPr>
          <w:p w14:paraId="04BA262F" w14:textId="77777777" w:rsidR="00CE5905" w:rsidRPr="005534D4" w:rsidRDefault="00CE5905" w:rsidP="009D41BB">
            <w:pPr>
              <w:spacing w:after="160" w:line="278" w:lineRule="auto"/>
              <w:jc w:val="center"/>
              <w:rPr>
                <w:rFonts w:ascii="Times New Roman" w:hAnsi="Times New Roman" w:cs="Times New Roman"/>
              </w:rPr>
            </w:pPr>
            <w:r w:rsidRPr="005534D4">
              <w:rPr>
                <w:rFonts w:ascii="Times New Roman" w:hAnsi="Times New Roman" w:cs="Times New Roman"/>
                <w:b/>
                <w:bCs/>
              </w:rPr>
              <w:t>8</w:t>
            </w:r>
          </w:p>
        </w:tc>
        <w:tc>
          <w:tcPr>
            <w:tcW w:w="0" w:type="auto"/>
            <w:vAlign w:val="center"/>
            <w:hideMark/>
          </w:tcPr>
          <w:p w14:paraId="74577D09" w14:textId="77777777" w:rsidR="00CE5905" w:rsidRPr="005534D4" w:rsidRDefault="00CE5905" w:rsidP="009D41BB">
            <w:pPr>
              <w:spacing w:after="160" w:line="278" w:lineRule="auto"/>
              <w:jc w:val="center"/>
              <w:rPr>
                <w:rFonts w:ascii="Times New Roman" w:hAnsi="Times New Roman" w:cs="Times New Roman"/>
              </w:rPr>
            </w:pPr>
            <w:r w:rsidRPr="005534D4">
              <w:rPr>
                <w:rFonts w:ascii="Times New Roman" w:hAnsi="Times New Roman" w:cs="Times New Roman"/>
                <w:b/>
                <w:bCs/>
              </w:rPr>
              <w:t>9</w:t>
            </w:r>
          </w:p>
        </w:tc>
      </w:tr>
      <w:tr w:rsidR="00CE5905" w:rsidRPr="005534D4" w14:paraId="7D79D444" w14:textId="77777777" w:rsidTr="009D41BB">
        <w:trPr>
          <w:trHeight w:val="454"/>
          <w:jc w:val="center"/>
        </w:trPr>
        <w:tc>
          <w:tcPr>
            <w:tcW w:w="0" w:type="auto"/>
            <w:vAlign w:val="center"/>
          </w:tcPr>
          <w:p w14:paraId="02B15F05" w14:textId="77777777" w:rsidR="00CE5905" w:rsidRPr="005534D4" w:rsidRDefault="00CE5905" w:rsidP="009D41BB">
            <w:pPr>
              <w:jc w:val="center"/>
              <w:rPr>
                <w:rFonts w:ascii="Times New Roman" w:hAnsi="Times New Roman" w:cs="Times New Roman"/>
                <w:b/>
                <w:bCs/>
              </w:rPr>
            </w:pPr>
          </w:p>
          <w:p w14:paraId="5ED55408" w14:textId="77777777" w:rsidR="00CE5905" w:rsidRPr="005534D4" w:rsidRDefault="00CE5905" w:rsidP="009D41BB">
            <w:pPr>
              <w:jc w:val="center"/>
              <w:rPr>
                <w:rFonts w:ascii="Times New Roman" w:hAnsi="Times New Roman" w:cs="Times New Roman"/>
                <w:b/>
                <w:bCs/>
              </w:rPr>
            </w:pPr>
          </w:p>
          <w:p w14:paraId="2868E036" w14:textId="77777777" w:rsidR="00CE5905" w:rsidRPr="005534D4" w:rsidRDefault="00CE5905" w:rsidP="009D41BB">
            <w:pPr>
              <w:jc w:val="center"/>
              <w:rPr>
                <w:rFonts w:ascii="Times New Roman" w:hAnsi="Times New Roman" w:cs="Times New Roman"/>
                <w:b/>
                <w:bCs/>
              </w:rPr>
            </w:pPr>
          </w:p>
          <w:p w14:paraId="5382DAD5" w14:textId="77777777" w:rsidR="00CE5905" w:rsidRPr="005534D4" w:rsidRDefault="00CE5905" w:rsidP="009D41BB">
            <w:pPr>
              <w:jc w:val="center"/>
              <w:rPr>
                <w:rFonts w:ascii="Times New Roman" w:hAnsi="Times New Roman" w:cs="Times New Roman"/>
                <w:b/>
                <w:bCs/>
              </w:rPr>
            </w:pPr>
          </w:p>
          <w:p w14:paraId="077D52D0" w14:textId="77777777" w:rsidR="00CE5905" w:rsidRPr="005534D4" w:rsidRDefault="00CE5905" w:rsidP="009D41BB">
            <w:pPr>
              <w:jc w:val="center"/>
              <w:rPr>
                <w:rFonts w:ascii="Times New Roman" w:hAnsi="Times New Roman" w:cs="Times New Roman"/>
                <w:b/>
                <w:bCs/>
              </w:rPr>
            </w:pPr>
          </w:p>
        </w:tc>
        <w:tc>
          <w:tcPr>
            <w:tcW w:w="0" w:type="auto"/>
            <w:vAlign w:val="center"/>
          </w:tcPr>
          <w:p w14:paraId="6DDEB7B9" w14:textId="77777777" w:rsidR="00CE5905" w:rsidRPr="005534D4" w:rsidRDefault="00CE5905" w:rsidP="009D41BB">
            <w:pPr>
              <w:jc w:val="center"/>
              <w:rPr>
                <w:rFonts w:ascii="Times New Roman" w:hAnsi="Times New Roman" w:cs="Times New Roman"/>
                <w:b/>
                <w:bCs/>
              </w:rPr>
            </w:pPr>
          </w:p>
        </w:tc>
        <w:tc>
          <w:tcPr>
            <w:tcW w:w="0" w:type="auto"/>
            <w:vAlign w:val="center"/>
          </w:tcPr>
          <w:p w14:paraId="143B1CF6" w14:textId="77777777" w:rsidR="00CE5905" w:rsidRPr="005534D4" w:rsidRDefault="00CE5905" w:rsidP="009D41BB">
            <w:pPr>
              <w:jc w:val="center"/>
              <w:rPr>
                <w:rFonts w:ascii="Times New Roman" w:hAnsi="Times New Roman" w:cs="Times New Roman"/>
                <w:b/>
                <w:bCs/>
              </w:rPr>
            </w:pPr>
          </w:p>
        </w:tc>
        <w:tc>
          <w:tcPr>
            <w:tcW w:w="0" w:type="auto"/>
            <w:vAlign w:val="center"/>
          </w:tcPr>
          <w:p w14:paraId="3AD2BA72" w14:textId="77777777" w:rsidR="00CE5905" w:rsidRPr="005534D4" w:rsidRDefault="00CE5905" w:rsidP="009D41BB">
            <w:pPr>
              <w:jc w:val="center"/>
              <w:rPr>
                <w:rFonts w:ascii="Times New Roman" w:hAnsi="Times New Roman" w:cs="Times New Roman"/>
                <w:b/>
                <w:bCs/>
              </w:rPr>
            </w:pPr>
          </w:p>
        </w:tc>
        <w:tc>
          <w:tcPr>
            <w:tcW w:w="0" w:type="auto"/>
            <w:vAlign w:val="center"/>
          </w:tcPr>
          <w:p w14:paraId="41478047" w14:textId="77777777" w:rsidR="00CE5905" w:rsidRPr="005534D4" w:rsidRDefault="00CE5905" w:rsidP="009D41BB">
            <w:pPr>
              <w:jc w:val="center"/>
              <w:rPr>
                <w:rFonts w:ascii="Times New Roman" w:hAnsi="Times New Roman" w:cs="Times New Roman"/>
                <w:b/>
                <w:bCs/>
              </w:rPr>
            </w:pPr>
          </w:p>
        </w:tc>
        <w:tc>
          <w:tcPr>
            <w:tcW w:w="0" w:type="auto"/>
            <w:vAlign w:val="center"/>
          </w:tcPr>
          <w:p w14:paraId="6F110DF7" w14:textId="77777777" w:rsidR="00CE5905" w:rsidRPr="005534D4" w:rsidRDefault="00CE5905" w:rsidP="009D41BB">
            <w:pPr>
              <w:jc w:val="center"/>
              <w:rPr>
                <w:rFonts w:ascii="Times New Roman" w:hAnsi="Times New Roman" w:cs="Times New Roman"/>
                <w:b/>
                <w:bCs/>
              </w:rPr>
            </w:pPr>
          </w:p>
        </w:tc>
        <w:tc>
          <w:tcPr>
            <w:tcW w:w="0" w:type="auto"/>
            <w:vAlign w:val="center"/>
          </w:tcPr>
          <w:p w14:paraId="7C51A554" w14:textId="77777777" w:rsidR="00CE5905" w:rsidRPr="005534D4" w:rsidRDefault="00CE5905" w:rsidP="009D41BB">
            <w:pPr>
              <w:jc w:val="center"/>
              <w:rPr>
                <w:rFonts w:ascii="Times New Roman" w:hAnsi="Times New Roman" w:cs="Times New Roman"/>
                <w:b/>
                <w:bCs/>
              </w:rPr>
            </w:pPr>
          </w:p>
        </w:tc>
        <w:tc>
          <w:tcPr>
            <w:tcW w:w="0" w:type="auto"/>
            <w:vAlign w:val="center"/>
          </w:tcPr>
          <w:p w14:paraId="6340773B" w14:textId="77777777" w:rsidR="00CE5905" w:rsidRPr="005534D4" w:rsidRDefault="00CE5905" w:rsidP="009D41BB">
            <w:pPr>
              <w:jc w:val="center"/>
              <w:rPr>
                <w:rFonts w:ascii="Times New Roman" w:hAnsi="Times New Roman" w:cs="Times New Roman"/>
                <w:b/>
                <w:bCs/>
              </w:rPr>
            </w:pPr>
          </w:p>
        </w:tc>
        <w:tc>
          <w:tcPr>
            <w:tcW w:w="0" w:type="auto"/>
            <w:vAlign w:val="center"/>
          </w:tcPr>
          <w:p w14:paraId="3B2B0C0B" w14:textId="77777777" w:rsidR="00CE5905" w:rsidRPr="005534D4" w:rsidRDefault="00CE5905" w:rsidP="009D41BB">
            <w:pPr>
              <w:jc w:val="center"/>
              <w:rPr>
                <w:rFonts w:ascii="Times New Roman" w:hAnsi="Times New Roman" w:cs="Times New Roman"/>
                <w:b/>
                <w:bCs/>
              </w:rPr>
            </w:pPr>
          </w:p>
        </w:tc>
      </w:tr>
    </w:tbl>
    <w:p w14:paraId="73E1AD6A" w14:textId="77777777" w:rsidR="008A141A" w:rsidRPr="005534D4" w:rsidRDefault="008A141A" w:rsidP="009D41BB">
      <w:pPr>
        <w:rPr>
          <w:rFonts w:ascii="Times New Roman" w:hAnsi="Times New Roman" w:cs="Times New Roman"/>
        </w:rPr>
      </w:pPr>
    </w:p>
    <w:sectPr w:rsidR="008A141A" w:rsidRPr="005534D4" w:rsidSect="001C4D86">
      <w:pgSz w:w="16838" w:h="11906" w:orient="landscape"/>
      <w:pgMar w:top="113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BCF90" w14:textId="77777777" w:rsidR="00806206" w:rsidRDefault="00806206" w:rsidP="007E7609">
      <w:pPr>
        <w:spacing w:after="0" w:line="240" w:lineRule="auto"/>
      </w:pPr>
      <w:r>
        <w:separator/>
      </w:r>
    </w:p>
  </w:endnote>
  <w:endnote w:type="continuationSeparator" w:id="0">
    <w:p w14:paraId="2C335A92" w14:textId="77777777" w:rsidR="00806206" w:rsidRDefault="00806206" w:rsidP="007E7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EAF63" w14:textId="77777777" w:rsidR="00806206" w:rsidRDefault="00806206" w:rsidP="007E7609">
      <w:pPr>
        <w:spacing w:after="0" w:line="240" w:lineRule="auto"/>
      </w:pPr>
      <w:r>
        <w:separator/>
      </w:r>
    </w:p>
  </w:footnote>
  <w:footnote w:type="continuationSeparator" w:id="0">
    <w:p w14:paraId="401B481B" w14:textId="77777777" w:rsidR="00806206" w:rsidRDefault="00806206" w:rsidP="007E7609">
      <w:pPr>
        <w:spacing w:after="0" w:line="240" w:lineRule="auto"/>
      </w:pPr>
      <w:r>
        <w:continuationSeparator/>
      </w:r>
    </w:p>
  </w:footnote>
  <w:footnote w:id="1">
    <w:p w14:paraId="00A19E19" w14:textId="77777777" w:rsidR="007E7609" w:rsidRPr="007E7609" w:rsidRDefault="007E7609" w:rsidP="00213A11">
      <w:pPr>
        <w:pStyle w:val="FootnoteText"/>
      </w:pPr>
      <w:r>
        <w:rPr>
          <w:rStyle w:val="FootnoteReference"/>
        </w:rPr>
        <w:footnoteRef/>
      </w:r>
      <w:r>
        <w:t xml:space="preserve"> </w:t>
      </w:r>
      <w:r w:rsidRPr="007E7609">
        <w:t>Herein after referred to as Part A and Part B States respectively.</w:t>
      </w:r>
    </w:p>
    <w:p w14:paraId="4F8D4442" w14:textId="533AD183" w:rsidR="007E7609" w:rsidRPr="007E7609" w:rsidRDefault="007E7609">
      <w:pPr>
        <w:pStyle w:val="FootnoteText"/>
        <w:rPr>
          <w:lang w:val="en-GB"/>
        </w:rPr>
      </w:pPr>
    </w:p>
  </w:footnote>
  <w:footnote w:id="2">
    <w:p w14:paraId="7D96A3A2" w14:textId="11AF6D3A" w:rsidR="008C6A5F" w:rsidRDefault="008C6A5F" w:rsidP="008C6A5F">
      <w:pPr>
        <w:pStyle w:val="FootnoteText"/>
      </w:pPr>
      <w:r>
        <w:rPr>
          <w:rStyle w:val="FootnoteReference"/>
        </w:rPr>
        <w:footnoteRef/>
      </w:r>
      <w:r>
        <w:t xml:space="preserve"> </w:t>
      </w:r>
      <w:r w:rsidRPr="008C6A5F">
        <w:t>The word “must” is used in the agreement with Saurashtra.</w:t>
      </w:r>
      <w:r>
        <w:t xml:space="preserve"> </w:t>
      </w:r>
      <w:r>
        <w:tab/>
      </w:r>
      <w:r>
        <w:tab/>
      </w:r>
    </w:p>
    <w:p w14:paraId="57289EB6" w14:textId="77777777" w:rsidR="008C6A5F" w:rsidRPr="008C6A5F" w:rsidRDefault="008C6A5F" w:rsidP="008C6A5F">
      <w:pPr>
        <w:pStyle w:val="FootnoteText"/>
      </w:pPr>
    </w:p>
    <w:p w14:paraId="171072D1" w14:textId="20737FCC" w:rsidR="008C6A5F" w:rsidRPr="008C6A5F" w:rsidRDefault="008C6A5F" w:rsidP="008C6A5F">
      <w:pPr>
        <w:pStyle w:val="FootnoteText"/>
      </w:pPr>
    </w:p>
    <w:p w14:paraId="351C6EDF" w14:textId="6D11843B" w:rsidR="008C6A5F" w:rsidRPr="008C6A5F" w:rsidRDefault="008C6A5F">
      <w:pPr>
        <w:pStyle w:val="FootnoteText"/>
        <w:rPr>
          <w:lang w:val="en-GB"/>
        </w:rPr>
      </w:pPr>
    </w:p>
  </w:footnote>
  <w:footnote w:id="3">
    <w:p w14:paraId="2FAF35C8" w14:textId="12D6BCCD" w:rsidR="00C743FC" w:rsidRPr="00C743FC" w:rsidRDefault="00C743FC" w:rsidP="000A6E2D">
      <w:pPr>
        <w:pStyle w:val="FootnoteText"/>
      </w:pPr>
      <w:r>
        <w:rPr>
          <w:rStyle w:val="FootnoteReference"/>
        </w:rPr>
        <w:footnoteRef/>
      </w:r>
      <w:r>
        <w:t xml:space="preserve"> </w:t>
      </w:r>
      <w:r w:rsidRPr="00C743FC">
        <w:t>In the tables given in this report figures relating to 1947-48 have been omitted owing to the partition of the country in the middle of the financial year.</w:t>
      </w:r>
    </w:p>
    <w:p w14:paraId="3FDC159A" w14:textId="77777777" w:rsidR="00C743FC" w:rsidRPr="00C743FC" w:rsidRDefault="00C743FC">
      <w:pPr>
        <w:pStyle w:val="FootnoteText"/>
        <w:rPr>
          <w:lang w:val="en-GB"/>
        </w:rPr>
      </w:pPr>
    </w:p>
  </w:footnote>
  <w:footnote w:id="4">
    <w:p w14:paraId="1DEE2AC9" w14:textId="3DA514BD" w:rsidR="008E05BF" w:rsidRPr="008E05BF" w:rsidRDefault="008E05BF">
      <w:pPr>
        <w:pStyle w:val="FootnoteText"/>
        <w:rPr>
          <w:lang w:val="en-GB"/>
        </w:rPr>
      </w:pPr>
      <w:r>
        <w:rPr>
          <w:rStyle w:val="FootnoteReference"/>
        </w:rPr>
        <w:footnoteRef/>
      </w:r>
      <w:r>
        <w:t xml:space="preserve"> </w:t>
      </w:r>
      <w:r>
        <w:rPr>
          <w:lang w:val="en-GB"/>
        </w:rPr>
        <w:t>Punjab, West Bengal and Orissa have no such funds.</w:t>
      </w:r>
    </w:p>
  </w:footnote>
  <w:footnote w:id="5">
    <w:p w14:paraId="13B47B28" w14:textId="1D18EC90" w:rsidR="00B95B14" w:rsidRDefault="00B95B14">
      <w:pPr>
        <w:pStyle w:val="FootnoteText"/>
      </w:pPr>
      <w:r>
        <w:rPr>
          <w:rStyle w:val="FootnoteReference"/>
        </w:rPr>
        <w:footnoteRef/>
      </w:r>
      <w:r>
        <w:t xml:space="preserve"> </w:t>
      </w:r>
      <w:r w:rsidRPr="00B95B14">
        <w:t>Monthly summary of Jute and Gunny statistics.</w:t>
      </w:r>
    </w:p>
  </w:footnote>
  <w:footnote w:id="6">
    <w:p w14:paraId="56771149" w14:textId="76E455F5" w:rsidR="00A2265D" w:rsidRPr="00A2265D" w:rsidRDefault="00A2265D">
      <w:pPr>
        <w:pStyle w:val="FootnoteText"/>
        <w:rPr>
          <w:lang w:val="en-GB"/>
        </w:rPr>
      </w:pPr>
      <w:r>
        <w:rPr>
          <w:rStyle w:val="FootnoteReference"/>
        </w:rPr>
        <w:footnoteRef/>
      </w:r>
      <w:r>
        <w:t xml:space="preserve"> </w:t>
      </w:r>
      <w:r>
        <w:rPr>
          <w:lang w:val="en-GB"/>
        </w:rPr>
        <w:t>Subject to appended Minute</w:t>
      </w:r>
    </w:p>
  </w:footnote>
  <w:footnote w:id="7">
    <w:p w14:paraId="508CD265" w14:textId="61866EC5" w:rsidR="0010492F" w:rsidRPr="0010492F" w:rsidRDefault="0010492F">
      <w:pPr>
        <w:pStyle w:val="FootnoteText"/>
        <w:rPr>
          <w:lang w:val="en-GB"/>
        </w:rPr>
      </w:pPr>
      <w:r>
        <w:rPr>
          <w:rStyle w:val="FootnoteReference"/>
        </w:rPr>
        <w:footnoteRef/>
      </w:r>
      <w:r>
        <w:t xml:space="preserve"> </w:t>
      </w:r>
      <w:r w:rsidRPr="0010492F">
        <w:t>U.S. Senate Document No. 69, Federal, State and Local Government Fiscal Relations, 1943.</w:t>
      </w:r>
    </w:p>
  </w:footnote>
  <w:footnote w:id="8">
    <w:p w14:paraId="4704757F" w14:textId="6EF07466" w:rsidR="0010492F" w:rsidRPr="0010492F" w:rsidRDefault="0010492F">
      <w:pPr>
        <w:pStyle w:val="FootnoteText"/>
        <w:rPr>
          <w:lang w:val="en-GB"/>
        </w:rPr>
      </w:pPr>
      <w:r>
        <w:rPr>
          <w:rStyle w:val="FootnoteReference"/>
        </w:rPr>
        <w:footnoteRef/>
      </w:r>
      <w:r>
        <w:t xml:space="preserve"> </w:t>
      </w:r>
      <w:r w:rsidRPr="0010492F">
        <w:t>1</w:t>
      </w:r>
      <w:r w:rsidR="002F6E62">
        <w:t>3</w:t>
      </w:r>
      <w:r w:rsidRPr="0010492F">
        <w:t>8 U.S. 601.</w:t>
      </w:r>
    </w:p>
  </w:footnote>
  <w:footnote w:id="9">
    <w:p w14:paraId="732C7B28" w14:textId="78C639C6" w:rsidR="0010492F" w:rsidRPr="0010492F" w:rsidRDefault="0010492F">
      <w:pPr>
        <w:pStyle w:val="FootnoteText"/>
        <w:rPr>
          <w:lang w:val="en-GB"/>
        </w:rPr>
      </w:pPr>
      <w:r>
        <w:rPr>
          <w:rStyle w:val="FootnoteReference"/>
        </w:rPr>
        <w:footnoteRef/>
      </w:r>
      <w:r>
        <w:t xml:space="preserve"> </w:t>
      </w:r>
      <w:r w:rsidRPr="0010492F">
        <w:t>240 U.S. 1.</w:t>
      </w:r>
    </w:p>
  </w:footnote>
  <w:footnote w:id="10">
    <w:p w14:paraId="2F8F5DAB" w14:textId="2B773634" w:rsidR="0010492F" w:rsidRPr="0010492F" w:rsidRDefault="0010492F">
      <w:pPr>
        <w:pStyle w:val="FootnoteText"/>
        <w:rPr>
          <w:lang w:val="en-GB"/>
        </w:rPr>
      </w:pPr>
      <w:r>
        <w:rPr>
          <w:rStyle w:val="FootnoteReference"/>
        </w:rPr>
        <w:footnoteRef/>
      </w:r>
      <w:r>
        <w:t xml:space="preserve"> </w:t>
      </w:r>
      <w:r w:rsidRPr="0010492F">
        <w:t>U.S. Senate Document No. 69, Federal, State and Local Government Fiscal Relations 1943, p. 160.</w:t>
      </w:r>
    </w:p>
  </w:footnote>
  <w:footnote w:id="11">
    <w:p w14:paraId="45C037FA" w14:textId="72F4953B" w:rsidR="0010492F" w:rsidRPr="0010492F" w:rsidRDefault="0010492F">
      <w:pPr>
        <w:pStyle w:val="FootnoteText"/>
        <w:rPr>
          <w:lang w:val="en-GB"/>
        </w:rPr>
      </w:pPr>
      <w:r>
        <w:rPr>
          <w:rStyle w:val="FootnoteReference"/>
        </w:rPr>
        <w:footnoteRef/>
      </w:r>
      <w:r>
        <w:t xml:space="preserve"> </w:t>
      </w:r>
      <w:r w:rsidRPr="0010492F">
        <w:t>“It has been argued by some of the wealthiest states to refuse such aid that it is not fair to them for the federal government to take, for the help of other states money raised from estate taxes and income taxes paid by the citizens of those states. It is probably inevitable that estate taxes and income taxes especially if highly graduated will be for the most part paid by the people of some of our largest cities, because that is where the people paying these kinds of taxes largely reside. But the taking of tax money raised in this way for the purposes of state aid in other states is not unfair as it first seems. For one thing, the people in those cities who object to having highways built by the federal government in other states are just as likely to use the highways in those states as the people of those states; and for another thing, the people in all the states of the Union have helped to contribute to the making of the fortunes of the people in our large city centres.”  (1936) Willis: Constitutional Law. p. 411.</w:t>
      </w:r>
    </w:p>
  </w:footnote>
  <w:footnote w:id="12">
    <w:p w14:paraId="55A23F0C" w14:textId="2F88723C" w:rsidR="0010492F" w:rsidRPr="0010492F" w:rsidRDefault="0010492F">
      <w:pPr>
        <w:pStyle w:val="FootnoteText"/>
        <w:rPr>
          <w:lang w:val="en-GB"/>
        </w:rPr>
      </w:pPr>
      <w:r>
        <w:rPr>
          <w:rStyle w:val="FootnoteReference"/>
        </w:rPr>
        <w:footnoteRef/>
      </w:r>
      <w:r>
        <w:t xml:space="preserve"> </w:t>
      </w:r>
      <w:r w:rsidRPr="0010492F">
        <w:t>Report of the Royal Commission on Dominion-Provincial Relations, 1940, Book II, p. 111.</w:t>
      </w:r>
    </w:p>
  </w:footnote>
  <w:footnote w:id="13">
    <w:p w14:paraId="6D29BA95" w14:textId="4A82D9F8" w:rsidR="0010492F" w:rsidRPr="0010492F" w:rsidRDefault="0010492F">
      <w:pPr>
        <w:pStyle w:val="FootnoteText"/>
        <w:rPr>
          <w:lang w:val="en-GB"/>
        </w:rPr>
      </w:pPr>
      <w:r>
        <w:rPr>
          <w:rStyle w:val="FootnoteReference"/>
        </w:rPr>
        <w:footnoteRef/>
      </w:r>
      <w:r>
        <w:t xml:space="preserve"> </w:t>
      </w:r>
      <w:r w:rsidRPr="0010492F">
        <w:t>Proceedings of the Conference of Federal and Provincial Governments, Ottawa, 1950, pp. 145-146.</w:t>
      </w:r>
    </w:p>
  </w:footnote>
  <w:footnote w:id="14">
    <w:p w14:paraId="6D09801C" w14:textId="1BB6969D" w:rsidR="0010492F" w:rsidRPr="0010492F" w:rsidRDefault="0010492F">
      <w:pPr>
        <w:pStyle w:val="FootnoteText"/>
        <w:rPr>
          <w:lang w:val="en-GB"/>
        </w:rPr>
      </w:pPr>
      <w:r>
        <w:rPr>
          <w:rStyle w:val="FootnoteReference"/>
        </w:rPr>
        <w:footnoteRef/>
      </w:r>
      <w:r>
        <w:t xml:space="preserve"> </w:t>
      </w:r>
      <w:r w:rsidRPr="0010492F">
        <w:t>Section 7, States Grants (Tax Reimbursement) Act, 1946 (No. 1 of 1946).</w:t>
      </w:r>
    </w:p>
  </w:footnote>
  <w:footnote w:id="15">
    <w:p w14:paraId="77407174" w14:textId="77777777" w:rsidR="0010492F" w:rsidRDefault="0010492F" w:rsidP="0010492F">
      <w:pPr>
        <w:pStyle w:val="FootnoteText"/>
      </w:pPr>
      <w:r>
        <w:rPr>
          <w:rStyle w:val="FootnoteReference"/>
        </w:rPr>
        <w:footnoteRef/>
      </w:r>
      <w:r>
        <w:t xml:space="preserve"> Australia: The amendment of section 51 of the Australian Constitution after the decision in 71 C.L.R. 237 by introducing clause (xxiiiA) is a recognition of the new responsibility of the Commonwealth as a social service State: See Nicholas: The Australian Constitution.</w:t>
      </w:r>
    </w:p>
    <w:p w14:paraId="09EE04C8" w14:textId="7E4D6393" w:rsidR="0010492F" w:rsidRPr="0010492F" w:rsidRDefault="0010492F" w:rsidP="0010492F">
      <w:pPr>
        <w:pStyle w:val="FootnoteText"/>
        <w:rPr>
          <w:lang w:val="en-GB"/>
        </w:rPr>
      </w:pPr>
      <w:r>
        <w:t>U.S.A.: C.F. the implications of the Supreme Court on the Social Security Act: 301 U.S. 548, 301 U.S. 619.</w:t>
      </w:r>
    </w:p>
  </w:footnote>
  <w:footnote w:id="16">
    <w:p w14:paraId="56D52BA8" w14:textId="1CE9F654" w:rsidR="0010492F" w:rsidRPr="0010492F" w:rsidRDefault="0010492F">
      <w:pPr>
        <w:pStyle w:val="FootnoteText"/>
        <w:rPr>
          <w:lang w:val="en-GB"/>
        </w:rPr>
      </w:pPr>
      <w:r>
        <w:rPr>
          <w:rStyle w:val="FootnoteReference"/>
        </w:rPr>
        <w:footnoteRef/>
      </w:r>
      <w:r>
        <w:t xml:space="preserve"> </w:t>
      </w:r>
      <w:r w:rsidRPr="0010492F">
        <w:t>U.S. Senate Document No. 69, Federal, State and Local Government Fiscal Relations, 1943, pp. 18</w:t>
      </w:r>
      <w:r w:rsidR="00DD2473">
        <w:t>5</w:t>
      </w:r>
      <w:r w:rsidRPr="0010492F">
        <w:t>, 187 &amp; 198.</w:t>
      </w:r>
    </w:p>
  </w:footnote>
  <w:footnote w:id="17">
    <w:p w14:paraId="454A0F86" w14:textId="4898A58A" w:rsidR="0010492F" w:rsidRPr="0010492F" w:rsidRDefault="0010492F">
      <w:pPr>
        <w:pStyle w:val="FootnoteText"/>
        <w:rPr>
          <w:lang w:val="en-GB"/>
        </w:rPr>
      </w:pPr>
      <w:r>
        <w:rPr>
          <w:rStyle w:val="FootnoteReference"/>
        </w:rPr>
        <w:footnoteRef/>
      </w:r>
      <w:r>
        <w:t xml:space="preserve"> </w:t>
      </w:r>
      <w:r w:rsidRPr="0010492F">
        <w:t>Article 3 of the Constitution.</w:t>
      </w:r>
    </w:p>
  </w:footnote>
  <w:footnote w:id="18">
    <w:p w14:paraId="40CE899D" w14:textId="26D49F2D" w:rsidR="0032563C" w:rsidRPr="0032563C" w:rsidRDefault="0032563C">
      <w:pPr>
        <w:pStyle w:val="FootnoteText"/>
        <w:rPr>
          <w:lang w:val="en-GB"/>
        </w:rPr>
      </w:pPr>
      <w:r>
        <w:rPr>
          <w:rStyle w:val="FootnoteReference"/>
        </w:rPr>
        <w:footnoteRef/>
      </w:r>
      <w:r>
        <w:t xml:space="preserve"> </w:t>
      </w:r>
      <w:r w:rsidRPr="0032563C">
        <w:t>The Australian Constitution by Nicholas, page 57.</w:t>
      </w:r>
    </w:p>
  </w:footnote>
  <w:footnote w:id="19">
    <w:p w14:paraId="41CF0ACD" w14:textId="52565857" w:rsidR="0032563C" w:rsidRPr="0032563C" w:rsidRDefault="0032563C">
      <w:pPr>
        <w:pStyle w:val="FootnoteText"/>
        <w:rPr>
          <w:lang w:val="en-GB"/>
        </w:rPr>
      </w:pPr>
      <w:r>
        <w:rPr>
          <w:rStyle w:val="FootnoteReference"/>
        </w:rPr>
        <w:footnoteRef/>
      </w:r>
      <w:r>
        <w:t xml:space="preserve"> </w:t>
      </w:r>
      <w:r w:rsidRPr="0032563C">
        <w:t>Page 245 ibid. Section 102 of the Australian Constitution.</w:t>
      </w:r>
    </w:p>
  </w:footnote>
  <w:footnote w:id="20">
    <w:p w14:paraId="7F271E17" w14:textId="7851B58B" w:rsidR="0032563C" w:rsidRPr="0032563C" w:rsidRDefault="0032563C">
      <w:pPr>
        <w:pStyle w:val="FootnoteText"/>
        <w:rPr>
          <w:lang w:val="en-GB"/>
        </w:rPr>
      </w:pPr>
      <w:r>
        <w:rPr>
          <w:rStyle w:val="FootnoteReference"/>
        </w:rPr>
        <w:footnoteRef/>
      </w:r>
      <w:r>
        <w:t xml:space="preserve"> </w:t>
      </w:r>
      <w:r w:rsidRPr="0032563C">
        <w:t>Lefroy, Canada’s Federal System, p. 452.</w:t>
      </w:r>
    </w:p>
  </w:footnote>
  <w:footnote w:id="21">
    <w:p w14:paraId="1A8FA1CA" w14:textId="770A15D4" w:rsidR="0032563C" w:rsidRPr="0032563C" w:rsidRDefault="0032563C">
      <w:pPr>
        <w:pStyle w:val="FootnoteText"/>
        <w:rPr>
          <w:lang w:val="en-GB"/>
        </w:rPr>
      </w:pPr>
      <w:r>
        <w:rPr>
          <w:rStyle w:val="FootnoteReference"/>
        </w:rPr>
        <w:footnoteRef/>
      </w:r>
      <w:r>
        <w:t xml:space="preserve"> </w:t>
      </w:r>
      <w:r w:rsidRPr="0032563C">
        <w:t>‘The Economic Development of India’ by Vera Anstey, p. 149.</w:t>
      </w:r>
    </w:p>
  </w:footnote>
  <w:footnote w:id="22">
    <w:p w14:paraId="164F148D" w14:textId="7EB00E9F" w:rsidR="0032563C" w:rsidRPr="0032563C" w:rsidRDefault="0032563C">
      <w:pPr>
        <w:pStyle w:val="FootnoteText"/>
        <w:rPr>
          <w:lang w:val="en-GB"/>
        </w:rPr>
      </w:pPr>
      <w:r>
        <w:rPr>
          <w:rStyle w:val="FootnoteReference"/>
        </w:rPr>
        <w:footnoteRef/>
      </w:r>
      <w:r>
        <w:t xml:space="preserve"> </w:t>
      </w:r>
      <w:r w:rsidRPr="0032563C">
        <w:t>125 U.S. 181 at p. 184 &amp; U.S. Reports 45 L.Ed. 269.</w:t>
      </w:r>
    </w:p>
  </w:footnote>
  <w:footnote w:id="23">
    <w:p w14:paraId="67919EA8" w14:textId="28455E56" w:rsidR="0032563C" w:rsidRPr="0032563C" w:rsidRDefault="0032563C">
      <w:pPr>
        <w:pStyle w:val="FootnoteText"/>
        <w:rPr>
          <w:lang w:val="en-GB"/>
        </w:rPr>
      </w:pPr>
      <w:r>
        <w:rPr>
          <w:rStyle w:val="FootnoteReference"/>
        </w:rPr>
        <w:footnoteRef/>
      </w:r>
      <w:r>
        <w:t xml:space="preserve"> </w:t>
      </w:r>
      <w:r w:rsidRPr="0032563C">
        <w:t>The prevailing attitude was well expressed by Mr. Justice Field in Paul v. Virginia (8 Wall. 168): “Is it not too much to say that the wealth and business of the country are to a great extent controlled by them. And if, when composed of citizen of one State, their corporate powers and franchises could be exercised in other States without restriction, it is easy to see that, with the advantages thus possessed, the most important business of those States would soon pass into their hands. The principal business of every State would, in fact, be controlled by corporations created by other States.”</w:t>
      </w:r>
    </w:p>
  </w:footnote>
  <w:footnote w:id="24">
    <w:p w14:paraId="1C2BB51B" w14:textId="63E09BCB" w:rsidR="0032563C" w:rsidRPr="0032563C" w:rsidRDefault="0032563C">
      <w:pPr>
        <w:pStyle w:val="FootnoteText"/>
        <w:rPr>
          <w:lang w:val="en-GB"/>
        </w:rPr>
      </w:pPr>
      <w:r>
        <w:rPr>
          <w:rStyle w:val="FootnoteReference"/>
        </w:rPr>
        <w:footnoteRef/>
      </w:r>
      <w:r>
        <w:t xml:space="preserve"> </w:t>
      </w:r>
      <w:r w:rsidRPr="0032563C">
        <w:t>Quick &amp; Garran, p. 961.</w:t>
      </w:r>
    </w:p>
  </w:footnote>
  <w:footnote w:id="25">
    <w:p w14:paraId="0DC1565D" w14:textId="41722614" w:rsidR="0032563C" w:rsidRPr="0032563C" w:rsidRDefault="0032563C">
      <w:pPr>
        <w:pStyle w:val="FootnoteText"/>
        <w:rPr>
          <w:lang w:val="en-GB"/>
        </w:rPr>
      </w:pPr>
      <w:r>
        <w:rPr>
          <w:rStyle w:val="FootnoteReference"/>
        </w:rPr>
        <w:footnoteRef/>
      </w:r>
      <w:r>
        <w:t xml:space="preserve"> </w:t>
      </w:r>
      <w:r w:rsidRPr="0032563C">
        <w:t>The rate payable by a non-resident company is forty-two pence in a pound while the rate payable by a resident company is 36 pence. See Sixth Schedule to the Income Tax Act. N.S.W. Act 41 of 41.</w:t>
      </w:r>
    </w:p>
  </w:footnote>
  <w:footnote w:id="26">
    <w:p w14:paraId="6C85CE51" w14:textId="6555CD4F" w:rsidR="0032563C" w:rsidRPr="0032563C" w:rsidRDefault="0032563C">
      <w:pPr>
        <w:pStyle w:val="FootnoteText"/>
        <w:rPr>
          <w:lang w:val="en-GB"/>
        </w:rPr>
      </w:pPr>
      <w:r>
        <w:rPr>
          <w:rStyle w:val="FootnoteReference"/>
        </w:rPr>
        <w:footnoteRef/>
      </w:r>
      <w:r>
        <w:t xml:space="preserve"> </w:t>
      </w:r>
      <w:r w:rsidRPr="0032563C">
        <w:t>Lefroy, Canada’s Federal System, p. 373.</w:t>
      </w:r>
    </w:p>
  </w:footnote>
  <w:footnote w:id="27">
    <w:p w14:paraId="0F9AD8E0" w14:textId="603BD16C" w:rsidR="0032563C" w:rsidRPr="0032563C" w:rsidRDefault="0032563C">
      <w:pPr>
        <w:pStyle w:val="FootnoteText"/>
        <w:rPr>
          <w:lang w:val="en-GB"/>
        </w:rPr>
      </w:pPr>
      <w:r>
        <w:rPr>
          <w:rStyle w:val="FootnoteReference"/>
        </w:rPr>
        <w:footnoteRef/>
      </w:r>
      <w:r>
        <w:t xml:space="preserve"> </w:t>
      </w:r>
      <w:r w:rsidRPr="0032563C">
        <w:t>Bank of Toronto v. Lambe (1887) 12 A.C. 575.</w:t>
      </w:r>
    </w:p>
  </w:footnote>
  <w:footnote w:id="28">
    <w:p w14:paraId="4B0AEEF1" w14:textId="02FF1861" w:rsidR="0032563C" w:rsidRPr="0032563C" w:rsidRDefault="0032563C">
      <w:pPr>
        <w:pStyle w:val="FootnoteText"/>
        <w:rPr>
          <w:lang w:val="en-GB"/>
        </w:rPr>
      </w:pPr>
      <w:r>
        <w:rPr>
          <w:rStyle w:val="FootnoteReference"/>
        </w:rPr>
        <w:footnoteRef/>
      </w:r>
      <w:r>
        <w:t xml:space="preserve"> </w:t>
      </w:r>
      <w:r w:rsidR="00330671" w:rsidRPr="00330671">
        <w:t>Statistical Abstract, India, 1950, p. 453.</w:t>
      </w:r>
    </w:p>
  </w:footnote>
  <w:footnote w:id="29">
    <w:p w14:paraId="4BF9DCED" w14:textId="683B1F15" w:rsidR="00330671" w:rsidRPr="00330671" w:rsidRDefault="00330671">
      <w:pPr>
        <w:pStyle w:val="FootnoteText"/>
        <w:rPr>
          <w:lang w:val="en-GB"/>
        </w:rPr>
      </w:pPr>
      <w:r>
        <w:rPr>
          <w:rStyle w:val="FootnoteReference"/>
        </w:rPr>
        <w:footnoteRef/>
      </w:r>
      <w:r>
        <w:t xml:space="preserve"> </w:t>
      </w:r>
      <w:r w:rsidRPr="00330671">
        <w:t>All India Income-tax Revenue Statistics, 1949-50.</w:t>
      </w:r>
    </w:p>
  </w:footnote>
  <w:footnote w:id="30">
    <w:p w14:paraId="5AD71623" w14:textId="7C77B120" w:rsidR="00330671" w:rsidRPr="00330671" w:rsidRDefault="00330671">
      <w:pPr>
        <w:pStyle w:val="FootnoteText"/>
        <w:rPr>
          <w:lang w:val="en-GB"/>
        </w:rPr>
      </w:pPr>
      <w:r>
        <w:rPr>
          <w:rStyle w:val="FootnoteReference"/>
        </w:rPr>
        <w:footnoteRef/>
      </w:r>
      <w:r>
        <w:t xml:space="preserve"> </w:t>
      </w:r>
      <w:r w:rsidRPr="00330671">
        <w:t>R. Dis. File No. 23-I.T./32, Central Board of Revenue, Income-tax.</w:t>
      </w:r>
    </w:p>
  </w:footnote>
  <w:footnote w:id="31">
    <w:p w14:paraId="44AAE1F9" w14:textId="20C69CAB" w:rsidR="00330671" w:rsidRPr="00330671" w:rsidRDefault="00330671">
      <w:pPr>
        <w:pStyle w:val="FootnoteText"/>
        <w:rPr>
          <w:lang w:val="en-GB"/>
        </w:rPr>
      </w:pPr>
      <w:r>
        <w:rPr>
          <w:rStyle w:val="FootnoteReference"/>
        </w:rPr>
        <w:footnoteRef/>
      </w:r>
      <w:r>
        <w:t xml:space="preserve"> </w:t>
      </w:r>
      <w:r w:rsidRPr="00330671">
        <w:t>Clause (2) of Article 303.</w:t>
      </w:r>
    </w:p>
  </w:footnote>
  <w:footnote w:id="32">
    <w:p w14:paraId="134C60AC" w14:textId="76654E83" w:rsidR="00330671" w:rsidRPr="00330671" w:rsidRDefault="00330671">
      <w:pPr>
        <w:pStyle w:val="FootnoteText"/>
        <w:rPr>
          <w:lang w:val="en-GB"/>
        </w:rPr>
      </w:pPr>
      <w:r>
        <w:rPr>
          <w:rStyle w:val="FootnoteReference"/>
        </w:rPr>
        <w:footnoteRef/>
      </w:r>
      <w:r>
        <w:t xml:space="preserve"> </w:t>
      </w:r>
      <w:r w:rsidRPr="00330671">
        <w:t>'Bulletin on Food Statistics' January 1952, p. 22 (the subsidy in 1946-47 and 1947-48 relates to the undivided province of Bengal).</w:t>
      </w:r>
    </w:p>
  </w:footnote>
  <w:footnote w:id="33">
    <w:p w14:paraId="6801AC1B" w14:textId="37D98FAF" w:rsidR="00330671" w:rsidRPr="00330671" w:rsidRDefault="00330671">
      <w:pPr>
        <w:pStyle w:val="FootnoteText"/>
        <w:rPr>
          <w:lang w:val="en-GB"/>
        </w:rPr>
      </w:pPr>
      <w:r>
        <w:rPr>
          <w:rStyle w:val="FootnoteReference"/>
        </w:rPr>
        <w:footnoteRef/>
      </w:r>
      <w:r>
        <w:t xml:space="preserve"> </w:t>
      </w:r>
      <w:r w:rsidRPr="00330671">
        <w:t>Mines and Minerals (Regulation and Development) Act, 1948 (No. LIII of 1948).</w:t>
      </w:r>
    </w:p>
  </w:footnote>
  <w:footnote w:id="34">
    <w:p w14:paraId="4B20DC47" w14:textId="2F11951A" w:rsidR="00330671" w:rsidRPr="00330671" w:rsidRDefault="00330671">
      <w:pPr>
        <w:pStyle w:val="FootnoteText"/>
        <w:rPr>
          <w:lang w:val="en-GB"/>
        </w:rPr>
      </w:pPr>
      <w:r>
        <w:rPr>
          <w:rStyle w:val="FootnoteReference"/>
        </w:rPr>
        <w:footnoteRef/>
      </w:r>
      <w:r>
        <w:t xml:space="preserve"> </w:t>
      </w:r>
      <w:r w:rsidRPr="00330671">
        <w:t>Mineral Concession Rules, 1949.</w:t>
      </w:r>
    </w:p>
  </w:footnote>
  <w:footnote w:id="35">
    <w:p w14:paraId="0423DA6F" w14:textId="1E29732B" w:rsidR="00330671" w:rsidRPr="00330671" w:rsidRDefault="00330671">
      <w:pPr>
        <w:pStyle w:val="FootnoteText"/>
        <w:rPr>
          <w:lang w:val="en-GB"/>
        </w:rPr>
      </w:pPr>
      <w:r>
        <w:rPr>
          <w:rStyle w:val="FootnoteReference"/>
        </w:rPr>
        <w:footnoteRef/>
      </w:r>
      <w:r>
        <w:t xml:space="preserve"> </w:t>
      </w:r>
      <w:r w:rsidRPr="00330671">
        <w:t>The Industries (Development and Regulation) Act, 1951 (No. LXV of 1951).</w:t>
      </w:r>
    </w:p>
  </w:footnote>
  <w:footnote w:id="36">
    <w:p w14:paraId="1674ACD9" w14:textId="654091EB" w:rsidR="00330671" w:rsidRPr="00330671" w:rsidRDefault="00330671">
      <w:pPr>
        <w:pStyle w:val="FootnoteText"/>
        <w:rPr>
          <w:lang w:val="en-GB"/>
        </w:rPr>
      </w:pPr>
      <w:r>
        <w:rPr>
          <w:rStyle w:val="FootnoteReference"/>
        </w:rPr>
        <w:footnoteRef/>
      </w:r>
      <w:r>
        <w:t xml:space="preserve"> </w:t>
      </w:r>
      <w:r w:rsidRPr="00330671">
        <w:t>Statistical Abstract, India, 1950, p. 693.</w:t>
      </w:r>
    </w:p>
  </w:footnote>
  <w:footnote w:id="37">
    <w:p w14:paraId="73B8C29E" w14:textId="2A51CE98" w:rsidR="00330671" w:rsidRPr="00330671" w:rsidRDefault="00330671">
      <w:pPr>
        <w:pStyle w:val="FootnoteText"/>
        <w:rPr>
          <w:lang w:val="en-GB"/>
        </w:rPr>
      </w:pPr>
      <w:r>
        <w:rPr>
          <w:rStyle w:val="FootnoteReference"/>
        </w:rPr>
        <w:footnoteRef/>
      </w:r>
      <w:r>
        <w:t xml:space="preserve"> </w:t>
      </w:r>
      <w:r w:rsidRPr="00330671">
        <w:t>Figures relate to 1952-53; supplied by Ministry of Transport [vide their D.O. No. 51-TAG (15)/52, dated 29-10-52].</w:t>
      </w:r>
    </w:p>
  </w:footnote>
  <w:footnote w:id="38">
    <w:p w14:paraId="7020A4E4" w14:textId="34679830" w:rsidR="00330671" w:rsidRPr="00330671" w:rsidRDefault="00330671">
      <w:pPr>
        <w:pStyle w:val="FootnoteText"/>
        <w:rPr>
          <w:lang w:val="en-GB"/>
        </w:rPr>
      </w:pPr>
      <w:r>
        <w:rPr>
          <w:rStyle w:val="FootnoteReference"/>
        </w:rPr>
        <w:footnoteRef/>
      </w:r>
      <w:r>
        <w:t xml:space="preserve"> </w:t>
      </w:r>
      <w:r w:rsidRPr="00330671">
        <w:t>Statistical Abstract, India, 1950, p. 860-61</w:t>
      </w:r>
    </w:p>
  </w:footnote>
  <w:footnote w:id="39">
    <w:p w14:paraId="4E9036B2" w14:textId="711FB638" w:rsidR="00330671" w:rsidRPr="00330671" w:rsidRDefault="00330671">
      <w:pPr>
        <w:pStyle w:val="FootnoteText"/>
        <w:rPr>
          <w:lang w:val="en-GB"/>
        </w:rPr>
      </w:pPr>
      <w:r>
        <w:rPr>
          <w:rStyle w:val="FootnoteReference"/>
        </w:rPr>
        <w:footnoteRef/>
      </w:r>
      <w:r>
        <w:t xml:space="preserve"> </w:t>
      </w:r>
      <w:r w:rsidRPr="00330671">
        <w:t>Statistical Abstract, India, 1950, p. 630.</w:t>
      </w:r>
    </w:p>
  </w:footnote>
  <w:footnote w:id="40">
    <w:p w14:paraId="54506408" w14:textId="48B8B7C9" w:rsidR="00330671" w:rsidRPr="00330671" w:rsidRDefault="00330671">
      <w:pPr>
        <w:pStyle w:val="FootnoteText"/>
        <w:rPr>
          <w:lang w:val="en-GB"/>
        </w:rPr>
      </w:pPr>
      <w:r>
        <w:rPr>
          <w:rStyle w:val="FootnoteReference"/>
        </w:rPr>
        <w:footnoteRef/>
      </w:r>
      <w:r>
        <w:t xml:space="preserve"> </w:t>
      </w:r>
      <w:r w:rsidRPr="00330671">
        <w:t>1931 Census.</w:t>
      </w:r>
    </w:p>
  </w:footnote>
  <w:footnote w:id="41">
    <w:p w14:paraId="487CE9E3" w14:textId="7D77FFB9" w:rsidR="00330671" w:rsidRPr="00330671" w:rsidRDefault="00330671">
      <w:pPr>
        <w:pStyle w:val="FootnoteText"/>
        <w:rPr>
          <w:lang w:val="en-GB"/>
        </w:rPr>
      </w:pPr>
      <w:r>
        <w:rPr>
          <w:rStyle w:val="FootnoteReference"/>
        </w:rPr>
        <w:footnoteRef/>
      </w:r>
      <w:r>
        <w:t xml:space="preserve"> </w:t>
      </w:r>
      <w:r w:rsidRPr="00330671">
        <w:t xml:space="preserve">Report of the Financial Relations Committee, 1920, pp. 1 </w:t>
      </w:r>
      <w:r>
        <w:t>- 3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DE0BC" w14:textId="77777777" w:rsidR="0003452E" w:rsidRDefault="0003452E" w:rsidP="00732253">
    <w:pPr>
      <w:pStyle w:val="Header"/>
      <w:ind w:left="-142" w:firstLine="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9149566"/>
      <w:docPartObj>
        <w:docPartGallery w:val="Page Numbers (Top of Page)"/>
        <w:docPartUnique/>
      </w:docPartObj>
    </w:sdtPr>
    <w:sdtEndPr>
      <w:rPr>
        <w:noProof/>
      </w:rPr>
    </w:sdtEndPr>
    <w:sdtContent>
      <w:p w14:paraId="6B0451C8" w14:textId="77777777" w:rsidR="00764594" w:rsidRDefault="0076459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FC249C4" w14:textId="77777777" w:rsidR="00764594" w:rsidRDefault="00764594" w:rsidP="00732253">
    <w:pPr>
      <w:pStyle w:val="Header"/>
      <w:ind w:left="-142" w:firstLine="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53C69"/>
    <w:multiLevelType w:val="hybridMultilevel"/>
    <w:tmpl w:val="0C265904"/>
    <w:lvl w:ilvl="0" w:tplc="4009000F">
      <w:start w:val="4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64D61AA"/>
    <w:multiLevelType w:val="hybridMultilevel"/>
    <w:tmpl w:val="17765612"/>
    <w:lvl w:ilvl="0" w:tplc="5D3653AA">
      <w:start w:val="1"/>
      <w:numFmt w:val="decimal"/>
      <w:lvlText w:val="%1."/>
      <w:lvlJc w:val="left"/>
      <w:pPr>
        <w:ind w:left="720" w:hanging="360"/>
      </w:pPr>
      <w:rPr>
        <w:rFonts w:ascii="Times New Roman" w:hAnsi="Times New Roman" w:cs="Times New Roman"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C85028"/>
    <w:multiLevelType w:val="hybridMultilevel"/>
    <w:tmpl w:val="A914D1DC"/>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76D0817"/>
    <w:multiLevelType w:val="hybridMultilevel"/>
    <w:tmpl w:val="FA0E9C8A"/>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7F91AD3"/>
    <w:multiLevelType w:val="hybridMultilevel"/>
    <w:tmpl w:val="576E7D80"/>
    <w:lvl w:ilvl="0" w:tplc="72C8E7DA">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0A3704A3"/>
    <w:multiLevelType w:val="hybridMultilevel"/>
    <w:tmpl w:val="395286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0AF50BE9"/>
    <w:multiLevelType w:val="multilevel"/>
    <w:tmpl w:val="3B1C2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990F85"/>
    <w:multiLevelType w:val="hybridMultilevel"/>
    <w:tmpl w:val="AF166DA0"/>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20032E3"/>
    <w:multiLevelType w:val="hybridMultilevel"/>
    <w:tmpl w:val="F2B0F89A"/>
    <w:lvl w:ilvl="0" w:tplc="3570943A">
      <w:start w:val="30"/>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1453561F"/>
    <w:multiLevelType w:val="hybridMultilevel"/>
    <w:tmpl w:val="B0B25110"/>
    <w:lvl w:ilvl="0" w:tplc="305A69BC">
      <w:start w:val="7"/>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4635316"/>
    <w:multiLevelType w:val="hybridMultilevel"/>
    <w:tmpl w:val="93AA73C0"/>
    <w:lvl w:ilvl="0" w:tplc="A4A001BE">
      <w:start w:val="1"/>
      <w:numFmt w:val="decimal"/>
      <w:lvlText w:val="%1."/>
      <w:lvlJc w:val="left"/>
      <w:pPr>
        <w:ind w:left="1080" w:hanging="360"/>
      </w:pPr>
      <w:rPr>
        <w:rFonts w:ascii="Times New Roman" w:hAnsi="Times New Roman" w:cs="Times New Roman" w:hint="default"/>
        <w:b w:val="0"/>
        <w:bCs w:val="0"/>
        <w:i w:val="0"/>
        <w:iCs w:val="0"/>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1CC9123B"/>
    <w:multiLevelType w:val="hybridMultilevel"/>
    <w:tmpl w:val="93AA73C0"/>
    <w:lvl w:ilvl="0" w:tplc="FFFFFFFF">
      <w:start w:val="1"/>
      <w:numFmt w:val="decimal"/>
      <w:lvlText w:val="%1."/>
      <w:lvlJc w:val="left"/>
      <w:pPr>
        <w:ind w:left="1080" w:hanging="360"/>
      </w:pPr>
      <w:rPr>
        <w:rFonts w:ascii="Times New Roman" w:hAnsi="Times New Roman" w:cs="Times New Roman" w:hint="default"/>
        <w:b w:val="0"/>
        <w:bCs w:val="0"/>
        <w:i w:val="0"/>
        <w:i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1E12505C"/>
    <w:multiLevelType w:val="hybridMultilevel"/>
    <w:tmpl w:val="2C88D474"/>
    <w:lvl w:ilvl="0" w:tplc="4009000F">
      <w:start w:val="20"/>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1E4B4B63"/>
    <w:multiLevelType w:val="hybridMultilevel"/>
    <w:tmpl w:val="A62E9CA0"/>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36935DC"/>
    <w:multiLevelType w:val="hybridMultilevel"/>
    <w:tmpl w:val="91A29D92"/>
    <w:lvl w:ilvl="0" w:tplc="353A50D6">
      <w:start w:val="3"/>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6554C4E"/>
    <w:multiLevelType w:val="hybridMultilevel"/>
    <w:tmpl w:val="93AA73C0"/>
    <w:lvl w:ilvl="0" w:tplc="FFFFFFFF">
      <w:start w:val="1"/>
      <w:numFmt w:val="decimal"/>
      <w:lvlText w:val="%1."/>
      <w:lvlJc w:val="left"/>
      <w:pPr>
        <w:ind w:left="1080" w:hanging="360"/>
      </w:pPr>
      <w:rPr>
        <w:rFonts w:ascii="Times New Roman" w:hAnsi="Times New Roman" w:cs="Times New Roman" w:hint="default"/>
        <w:b w:val="0"/>
        <w:bCs w:val="0"/>
        <w:i w:val="0"/>
        <w:i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2A790C65"/>
    <w:multiLevelType w:val="hybridMultilevel"/>
    <w:tmpl w:val="8E944084"/>
    <w:lvl w:ilvl="0" w:tplc="FFFFFFFF">
      <w:start w:val="1"/>
      <w:numFmt w:val="decimal"/>
      <w:lvlText w:val="%1."/>
      <w:lvlJc w:val="left"/>
      <w:pPr>
        <w:ind w:left="720" w:hanging="360"/>
      </w:pPr>
      <w:rPr>
        <w:rFonts w:ascii="Times New Roman" w:hAnsi="Times New Roman" w:cs="Times New Roman"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BD009A2"/>
    <w:multiLevelType w:val="hybridMultilevel"/>
    <w:tmpl w:val="E940FF2C"/>
    <w:lvl w:ilvl="0" w:tplc="FD38D1BA">
      <w:start w:val="1"/>
      <w:numFmt w:val="decimal"/>
      <w:lvlText w:val="%1."/>
      <w:lvlJc w:val="left"/>
      <w:pPr>
        <w:ind w:left="720" w:hanging="360"/>
      </w:pPr>
      <w:rPr>
        <w:rFonts w:ascii="Times New Roman" w:hAnsi="Times New Roman" w:cs="Times New Roman"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DB83788"/>
    <w:multiLevelType w:val="multilevel"/>
    <w:tmpl w:val="4BA69B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6D67586"/>
    <w:multiLevelType w:val="hybridMultilevel"/>
    <w:tmpl w:val="C584F646"/>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3DA23627"/>
    <w:multiLevelType w:val="hybridMultilevel"/>
    <w:tmpl w:val="93AA73C0"/>
    <w:lvl w:ilvl="0" w:tplc="FFFFFFFF">
      <w:start w:val="1"/>
      <w:numFmt w:val="decimal"/>
      <w:lvlText w:val="%1."/>
      <w:lvlJc w:val="left"/>
      <w:pPr>
        <w:ind w:left="1080" w:hanging="360"/>
      </w:pPr>
      <w:rPr>
        <w:rFonts w:ascii="Times New Roman" w:hAnsi="Times New Roman" w:cs="Times New Roman" w:hint="default"/>
        <w:b w:val="0"/>
        <w:bCs w:val="0"/>
        <w:i w:val="0"/>
        <w:i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C86765D"/>
    <w:multiLevelType w:val="hybridMultilevel"/>
    <w:tmpl w:val="A664E460"/>
    <w:lvl w:ilvl="0" w:tplc="93524ED4">
      <w:start w:val="2"/>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530C4852"/>
    <w:multiLevelType w:val="hybridMultilevel"/>
    <w:tmpl w:val="6A640AE6"/>
    <w:lvl w:ilvl="0" w:tplc="52EEE206">
      <w:start w:val="1"/>
      <w:numFmt w:val="decimal"/>
      <w:lvlText w:val="%1."/>
      <w:lvlJc w:val="left"/>
      <w:pPr>
        <w:ind w:left="720" w:hanging="360"/>
      </w:pPr>
      <w:rPr>
        <w:b w:val="0"/>
        <w:bCs w:val="0"/>
      </w:rPr>
    </w:lvl>
    <w:lvl w:ilvl="1" w:tplc="4CF82812">
      <w:start w:val="1"/>
      <w:numFmt w:val="lowerLetter"/>
      <w:lvlText w:val="(%2)"/>
      <w:lvlJc w:val="left"/>
      <w:pPr>
        <w:ind w:left="1485" w:hanging="405"/>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53425A60"/>
    <w:multiLevelType w:val="hybridMultilevel"/>
    <w:tmpl w:val="2ABA978A"/>
    <w:lvl w:ilvl="0" w:tplc="C5FAAEB6">
      <w:start w:val="2"/>
      <w:numFmt w:val="decimal"/>
      <w:lvlText w:val="%1."/>
      <w:lvlJc w:val="left"/>
      <w:pPr>
        <w:ind w:left="720" w:hanging="360"/>
      </w:pPr>
      <w:rPr>
        <w:rFonts w:hint="default"/>
        <w:i/>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53814BE0"/>
    <w:multiLevelType w:val="hybridMultilevel"/>
    <w:tmpl w:val="1B4CAE06"/>
    <w:lvl w:ilvl="0" w:tplc="40090017">
      <w:start w:val="1"/>
      <w:numFmt w:val="lowerLetter"/>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5" w15:restartNumberingAfterBreak="0">
    <w:nsid w:val="5491146A"/>
    <w:multiLevelType w:val="hybridMultilevel"/>
    <w:tmpl w:val="8E944084"/>
    <w:lvl w:ilvl="0" w:tplc="9D5408F0">
      <w:start w:val="1"/>
      <w:numFmt w:val="decimal"/>
      <w:lvlText w:val="%1."/>
      <w:lvlJc w:val="left"/>
      <w:pPr>
        <w:ind w:left="720" w:hanging="360"/>
      </w:pPr>
      <w:rPr>
        <w:rFonts w:ascii="Times New Roman" w:hAnsi="Times New Roman" w:cs="Times New Roman"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55AF527D"/>
    <w:multiLevelType w:val="hybridMultilevel"/>
    <w:tmpl w:val="8E944084"/>
    <w:lvl w:ilvl="0" w:tplc="FFFFFFFF">
      <w:start w:val="1"/>
      <w:numFmt w:val="decimal"/>
      <w:lvlText w:val="%1."/>
      <w:lvlJc w:val="left"/>
      <w:pPr>
        <w:ind w:left="720" w:hanging="360"/>
      </w:pPr>
      <w:rPr>
        <w:rFonts w:ascii="Times New Roman" w:hAnsi="Times New Roman" w:cs="Times New Roman"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5C23B27"/>
    <w:multiLevelType w:val="multilevel"/>
    <w:tmpl w:val="0D5CD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D8325BD"/>
    <w:multiLevelType w:val="hybridMultilevel"/>
    <w:tmpl w:val="BB7E8B86"/>
    <w:lvl w:ilvl="0" w:tplc="EFF89C6E">
      <w:start w:val="2"/>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5DE97CB0"/>
    <w:multiLevelType w:val="hybridMultilevel"/>
    <w:tmpl w:val="73585682"/>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5E552BCC"/>
    <w:multiLevelType w:val="hybridMultilevel"/>
    <w:tmpl w:val="8E944084"/>
    <w:lvl w:ilvl="0" w:tplc="FFFFFFFF">
      <w:start w:val="1"/>
      <w:numFmt w:val="decimal"/>
      <w:lvlText w:val="%1."/>
      <w:lvlJc w:val="left"/>
      <w:pPr>
        <w:ind w:left="720" w:hanging="360"/>
      </w:pPr>
      <w:rPr>
        <w:rFonts w:ascii="Times New Roman" w:hAnsi="Times New Roman" w:cs="Times New Roman"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F32458C"/>
    <w:multiLevelType w:val="hybridMultilevel"/>
    <w:tmpl w:val="7012F2E0"/>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61FB153B"/>
    <w:multiLevelType w:val="multilevel"/>
    <w:tmpl w:val="4E72E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1015B2"/>
    <w:multiLevelType w:val="hybridMultilevel"/>
    <w:tmpl w:val="CF266036"/>
    <w:lvl w:ilvl="0" w:tplc="40090013">
      <w:start w:val="1"/>
      <w:numFmt w:val="upperRoman"/>
      <w:lvlText w:val="%1."/>
      <w:lvlJc w:val="right"/>
      <w:pPr>
        <w:ind w:left="720" w:hanging="360"/>
      </w:pPr>
    </w:lvl>
    <w:lvl w:ilvl="1" w:tplc="53542A44">
      <w:start w:val="1"/>
      <w:numFmt w:val="decimal"/>
      <w:lvlText w:val="(%2)"/>
      <w:lvlJc w:val="left"/>
      <w:pPr>
        <w:ind w:left="1545" w:hanging="465"/>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63A626CE"/>
    <w:multiLevelType w:val="hybridMultilevel"/>
    <w:tmpl w:val="8E944084"/>
    <w:lvl w:ilvl="0" w:tplc="FFFFFFFF">
      <w:start w:val="1"/>
      <w:numFmt w:val="decimal"/>
      <w:lvlText w:val="%1."/>
      <w:lvlJc w:val="left"/>
      <w:pPr>
        <w:ind w:left="720" w:hanging="360"/>
      </w:pPr>
      <w:rPr>
        <w:rFonts w:ascii="Times New Roman" w:hAnsi="Times New Roman" w:cs="Times New Roman"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4E90F2B"/>
    <w:multiLevelType w:val="multilevel"/>
    <w:tmpl w:val="4F7A6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07542D"/>
    <w:multiLevelType w:val="hybridMultilevel"/>
    <w:tmpl w:val="03B4526A"/>
    <w:lvl w:ilvl="0" w:tplc="56903B60">
      <w:start w:val="1"/>
      <w:numFmt w:val="decimal"/>
      <w:lvlText w:val="%1."/>
      <w:lvlJc w:val="left"/>
      <w:pPr>
        <w:ind w:left="720" w:hanging="360"/>
      </w:pPr>
      <w:rPr>
        <w:rFonts w:ascii="Times New Roman" w:hAnsi="Times New Roman" w:cs="Times New Roman" w:hint="default"/>
        <w:b w:val="0"/>
        <w:bCs w:val="0"/>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676A2814"/>
    <w:multiLevelType w:val="hybridMultilevel"/>
    <w:tmpl w:val="7FE0406C"/>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6AEB06F4"/>
    <w:multiLevelType w:val="hybridMultilevel"/>
    <w:tmpl w:val="B9A6C7D6"/>
    <w:lvl w:ilvl="0" w:tplc="A4A001BE">
      <w:start w:val="1"/>
      <w:numFmt w:val="decimal"/>
      <w:lvlText w:val="%1."/>
      <w:lvlJc w:val="left"/>
      <w:pPr>
        <w:ind w:left="720" w:hanging="360"/>
      </w:pPr>
      <w:rPr>
        <w:rFonts w:ascii="Times New Roman" w:hAnsi="Times New Roman" w:cs="Times New Roman" w:hint="default"/>
        <w:b w:val="0"/>
        <w:bCs w:val="0"/>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6B403B18"/>
    <w:multiLevelType w:val="hybridMultilevel"/>
    <w:tmpl w:val="31002468"/>
    <w:lvl w:ilvl="0" w:tplc="925A1990">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6D6C1250"/>
    <w:multiLevelType w:val="hybridMultilevel"/>
    <w:tmpl w:val="93AA73C0"/>
    <w:lvl w:ilvl="0" w:tplc="FFFFFFFF">
      <w:start w:val="1"/>
      <w:numFmt w:val="decimal"/>
      <w:lvlText w:val="%1."/>
      <w:lvlJc w:val="left"/>
      <w:pPr>
        <w:ind w:left="1080" w:hanging="360"/>
      </w:pPr>
      <w:rPr>
        <w:rFonts w:ascii="Times New Roman" w:hAnsi="Times New Roman" w:cs="Times New Roman" w:hint="default"/>
        <w:b w:val="0"/>
        <w:bCs w:val="0"/>
        <w:i w:val="0"/>
        <w:i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6E627FF0"/>
    <w:multiLevelType w:val="hybridMultilevel"/>
    <w:tmpl w:val="15CC9874"/>
    <w:lvl w:ilvl="0" w:tplc="3E4AF448">
      <w:start w:val="31"/>
      <w:numFmt w:val="decimal"/>
      <w:lvlText w:val="%1."/>
      <w:lvlJc w:val="left"/>
      <w:pPr>
        <w:ind w:left="36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2" w15:restartNumberingAfterBreak="0">
    <w:nsid w:val="73B65DD3"/>
    <w:multiLevelType w:val="multilevel"/>
    <w:tmpl w:val="4308E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8942016"/>
    <w:multiLevelType w:val="multilevel"/>
    <w:tmpl w:val="6B3426E2"/>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4" w15:restartNumberingAfterBreak="0">
    <w:nsid w:val="7BD31A15"/>
    <w:multiLevelType w:val="hybridMultilevel"/>
    <w:tmpl w:val="89F4C106"/>
    <w:lvl w:ilvl="0" w:tplc="4009000F">
      <w:start w:val="40"/>
      <w:numFmt w:val="decimal"/>
      <w:lvlText w:val="%1."/>
      <w:lvlJc w:val="left"/>
      <w:pPr>
        <w:ind w:left="720" w:hanging="360"/>
      </w:pPr>
      <w:rPr>
        <w:rFonts w:hint="default"/>
      </w:rPr>
    </w:lvl>
    <w:lvl w:ilvl="1" w:tplc="A8821984">
      <w:start w:val="1"/>
      <w:numFmt w:val="lowerLetter"/>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15:restartNumberingAfterBreak="0">
    <w:nsid w:val="7DCF352F"/>
    <w:multiLevelType w:val="hybridMultilevel"/>
    <w:tmpl w:val="0B0E74EC"/>
    <w:lvl w:ilvl="0" w:tplc="AB16FC1A">
      <w:start w:val="15"/>
      <w:numFmt w:val="bullet"/>
      <w:lvlText w:val=""/>
      <w:lvlJc w:val="left"/>
      <w:pPr>
        <w:ind w:left="720" w:hanging="360"/>
      </w:pPr>
      <w:rPr>
        <w:rFonts w:ascii="Symbol" w:eastAsiaTheme="minorHAnsi" w:hAnsi="Symbol" w:cs="Times New Roman" w:hint="default"/>
        <w:u w:val="none"/>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65617858">
    <w:abstractNumId w:val="31"/>
  </w:num>
  <w:num w:numId="2" w16cid:durableId="1515457352">
    <w:abstractNumId w:val="35"/>
  </w:num>
  <w:num w:numId="3" w16cid:durableId="1664315203">
    <w:abstractNumId w:val="14"/>
  </w:num>
  <w:num w:numId="4" w16cid:durableId="2046521289">
    <w:abstractNumId w:val="21"/>
  </w:num>
  <w:num w:numId="5" w16cid:durableId="1473907145">
    <w:abstractNumId w:val="32"/>
  </w:num>
  <w:num w:numId="6" w16cid:durableId="1534660023">
    <w:abstractNumId w:val="23"/>
  </w:num>
  <w:num w:numId="7" w16cid:durableId="1903447326">
    <w:abstractNumId w:val="4"/>
  </w:num>
  <w:num w:numId="8" w16cid:durableId="872694304">
    <w:abstractNumId w:val="12"/>
  </w:num>
  <w:num w:numId="9" w16cid:durableId="1246496418">
    <w:abstractNumId w:val="8"/>
  </w:num>
  <w:num w:numId="10" w16cid:durableId="1113868977">
    <w:abstractNumId w:val="41"/>
  </w:num>
  <w:num w:numId="11" w16cid:durableId="513884680">
    <w:abstractNumId w:val="44"/>
  </w:num>
  <w:num w:numId="12" w16cid:durableId="1536039686">
    <w:abstractNumId w:val="0"/>
  </w:num>
  <w:num w:numId="13" w16cid:durableId="2045131772">
    <w:abstractNumId w:val="3"/>
  </w:num>
  <w:num w:numId="14" w16cid:durableId="367025384">
    <w:abstractNumId w:val="18"/>
  </w:num>
  <w:num w:numId="15" w16cid:durableId="402684689">
    <w:abstractNumId w:val="9"/>
  </w:num>
  <w:num w:numId="16" w16cid:durableId="1198468157">
    <w:abstractNumId w:val="13"/>
  </w:num>
  <w:num w:numId="17" w16cid:durableId="2061123200">
    <w:abstractNumId w:val="28"/>
  </w:num>
  <w:num w:numId="18" w16cid:durableId="1565337820">
    <w:abstractNumId w:val="29"/>
  </w:num>
  <w:num w:numId="19" w16cid:durableId="610940709">
    <w:abstractNumId w:val="7"/>
  </w:num>
  <w:num w:numId="20" w16cid:durableId="463081434">
    <w:abstractNumId w:val="19"/>
  </w:num>
  <w:num w:numId="21" w16cid:durableId="67775197">
    <w:abstractNumId w:val="42"/>
  </w:num>
  <w:num w:numId="22" w16cid:durableId="1379478802">
    <w:abstractNumId w:val="39"/>
  </w:num>
  <w:num w:numId="23" w16cid:durableId="1599216888">
    <w:abstractNumId w:val="6"/>
  </w:num>
  <w:num w:numId="24" w16cid:durableId="1014184029">
    <w:abstractNumId w:val="27"/>
  </w:num>
  <w:num w:numId="25" w16cid:durableId="986937864">
    <w:abstractNumId w:val="22"/>
  </w:num>
  <w:num w:numId="26" w16cid:durableId="592129412">
    <w:abstractNumId w:val="24"/>
  </w:num>
  <w:num w:numId="27" w16cid:durableId="636647140">
    <w:abstractNumId w:val="37"/>
  </w:num>
  <w:num w:numId="28" w16cid:durableId="1897274611">
    <w:abstractNumId w:val="25"/>
  </w:num>
  <w:num w:numId="29" w16cid:durableId="2006585699">
    <w:abstractNumId w:val="34"/>
  </w:num>
  <w:num w:numId="30" w16cid:durableId="1588147076">
    <w:abstractNumId w:val="26"/>
  </w:num>
  <w:num w:numId="31" w16cid:durableId="2024552421">
    <w:abstractNumId w:val="5"/>
  </w:num>
  <w:num w:numId="32" w16cid:durableId="684743432">
    <w:abstractNumId w:val="16"/>
  </w:num>
  <w:num w:numId="33" w16cid:durableId="1604417308">
    <w:abstractNumId w:val="30"/>
  </w:num>
  <w:num w:numId="34" w16cid:durableId="1119029269">
    <w:abstractNumId w:val="17"/>
  </w:num>
  <w:num w:numId="35" w16cid:durableId="274023793">
    <w:abstractNumId w:val="1"/>
  </w:num>
  <w:num w:numId="36" w16cid:durableId="565384308">
    <w:abstractNumId w:val="33"/>
  </w:num>
  <w:num w:numId="37" w16cid:durableId="630792043">
    <w:abstractNumId w:val="2"/>
  </w:num>
  <w:num w:numId="38" w16cid:durableId="417872375">
    <w:abstractNumId w:val="38"/>
  </w:num>
  <w:num w:numId="39" w16cid:durableId="689797240">
    <w:abstractNumId w:val="36"/>
  </w:num>
  <w:num w:numId="40" w16cid:durableId="1733459903">
    <w:abstractNumId w:val="10"/>
  </w:num>
  <w:num w:numId="41" w16cid:durableId="798568132">
    <w:abstractNumId w:val="40"/>
  </w:num>
  <w:num w:numId="42" w16cid:durableId="1147623907">
    <w:abstractNumId w:val="20"/>
  </w:num>
  <w:num w:numId="43" w16cid:durableId="345593808">
    <w:abstractNumId w:val="11"/>
  </w:num>
  <w:num w:numId="44" w16cid:durableId="2048787">
    <w:abstractNumId w:val="15"/>
  </w:num>
  <w:num w:numId="45" w16cid:durableId="53546587">
    <w:abstractNumId w:val="43"/>
  </w:num>
  <w:num w:numId="46" w16cid:durableId="828788970">
    <w:abstractNumId w:val="4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8B2"/>
    <w:rsid w:val="00000EE8"/>
    <w:rsid w:val="00015DBB"/>
    <w:rsid w:val="00017C43"/>
    <w:rsid w:val="00026207"/>
    <w:rsid w:val="0003452E"/>
    <w:rsid w:val="000370DF"/>
    <w:rsid w:val="000512FB"/>
    <w:rsid w:val="00056E20"/>
    <w:rsid w:val="00056FF6"/>
    <w:rsid w:val="00065D82"/>
    <w:rsid w:val="00070F73"/>
    <w:rsid w:val="00077967"/>
    <w:rsid w:val="00083775"/>
    <w:rsid w:val="000A6E2D"/>
    <w:rsid w:val="000A74AC"/>
    <w:rsid w:val="000C023E"/>
    <w:rsid w:val="000D0BD5"/>
    <w:rsid w:val="000D177D"/>
    <w:rsid w:val="000D2F1A"/>
    <w:rsid w:val="000E0F18"/>
    <w:rsid w:val="000E195C"/>
    <w:rsid w:val="000E305E"/>
    <w:rsid w:val="000E39DE"/>
    <w:rsid w:val="000F3A66"/>
    <w:rsid w:val="00100F88"/>
    <w:rsid w:val="00103886"/>
    <w:rsid w:val="0010492F"/>
    <w:rsid w:val="00112141"/>
    <w:rsid w:val="001136A3"/>
    <w:rsid w:val="00121940"/>
    <w:rsid w:val="00123DF2"/>
    <w:rsid w:val="001355EB"/>
    <w:rsid w:val="00135E21"/>
    <w:rsid w:val="00147139"/>
    <w:rsid w:val="00154A50"/>
    <w:rsid w:val="0016779B"/>
    <w:rsid w:val="00173B1E"/>
    <w:rsid w:val="00180617"/>
    <w:rsid w:val="00191146"/>
    <w:rsid w:val="001929C0"/>
    <w:rsid w:val="001B3FBA"/>
    <w:rsid w:val="001C27FC"/>
    <w:rsid w:val="001C4D86"/>
    <w:rsid w:val="001C58FB"/>
    <w:rsid w:val="001D0E83"/>
    <w:rsid w:val="001D43EE"/>
    <w:rsid w:val="00202594"/>
    <w:rsid w:val="002056F1"/>
    <w:rsid w:val="00205A36"/>
    <w:rsid w:val="00205F65"/>
    <w:rsid w:val="00205F68"/>
    <w:rsid w:val="00213A11"/>
    <w:rsid w:val="00215934"/>
    <w:rsid w:val="00217922"/>
    <w:rsid w:val="00233890"/>
    <w:rsid w:val="0023398A"/>
    <w:rsid w:val="00233B4A"/>
    <w:rsid w:val="00241C00"/>
    <w:rsid w:val="002429A8"/>
    <w:rsid w:val="00245680"/>
    <w:rsid w:val="002518F2"/>
    <w:rsid w:val="00253632"/>
    <w:rsid w:val="00266CCC"/>
    <w:rsid w:val="00274759"/>
    <w:rsid w:val="00283622"/>
    <w:rsid w:val="00284C32"/>
    <w:rsid w:val="002A3530"/>
    <w:rsid w:val="002A6022"/>
    <w:rsid w:val="002B18A2"/>
    <w:rsid w:val="002B4E63"/>
    <w:rsid w:val="002D59F3"/>
    <w:rsid w:val="002E03D9"/>
    <w:rsid w:val="002F1D1C"/>
    <w:rsid w:val="002F6E62"/>
    <w:rsid w:val="002F6F26"/>
    <w:rsid w:val="00302DAD"/>
    <w:rsid w:val="00313C28"/>
    <w:rsid w:val="003154EA"/>
    <w:rsid w:val="0032563C"/>
    <w:rsid w:val="00327EEA"/>
    <w:rsid w:val="00330671"/>
    <w:rsid w:val="003323C6"/>
    <w:rsid w:val="003331BA"/>
    <w:rsid w:val="00343E94"/>
    <w:rsid w:val="00353EE4"/>
    <w:rsid w:val="00376763"/>
    <w:rsid w:val="003804C0"/>
    <w:rsid w:val="00381E56"/>
    <w:rsid w:val="0039057C"/>
    <w:rsid w:val="00390A1B"/>
    <w:rsid w:val="0039143C"/>
    <w:rsid w:val="0039623A"/>
    <w:rsid w:val="00397688"/>
    <w:rsid w:val="003A1F1D"/>
    <w:rsid w:val="003A52D4"/>
    <w:rsid w:val="003B5495"/>
    <w:rsid w:val="003C36A0"/>
    <w:rsid w:val="003C6845"/>
    <w:rsid w:val="003E0728"/>
    <w:rsid w:val="003E180E"/>
    <w:rsid w:val="003E2DE8"/>
    <w:rsid w:val="003E4DBF"/>
    <w:rsid w:val="003E548D"/>
    <w:rsid w:val="003E5A14"/>
    <w:rsid w:val="003F6EAE"/>
    <w:rsid w:val="00405421"/>
    <w:rsid w:val="00406DCE"/>
    <w:rsid w:val="004115A6"/>
    <w:rsid w:val="00426BDA"/>
    <w:rsid w:val="004323D6"/>
    <w:rsid w:val="004343ED"/>
    <w:rsid w:val="00447F92"/>
    <w:rsid w:val="00447FC2"/>
    <w:rsid w:val="00451A25"/>
    <w:rsid w:val="00451F84"/>
    <w:rsid w:val="004522E0"/>
    <w:rsid w:val="004579C0"/>
    <w:rsid w:val="00457EF1"/>
    <w:rsid w:val="00461E5E"/>
    <w:rsid w:val="0046346D"/>
    <w:rsid w:val="00464B67"/>
    <w:rsid w:val="0046768E"/>
    <w:rsid w:val="00471BC2"/>
    <w:rsid w:val="004762B6"/>
    <w:rsid w:val="00477D22"/>
    <w:rsid w:val="00481DB7"/>
    <w:rsid w:val="004861A3"/>
    <w:rsid w:val="00493413"/>
    <w:rsid w:val="00497423"/>
    <w:rsid w:val="004A4675"/>
    <w:rsid w:val="004A4BB9"/>
    <w:rsid w:val="004B15CE"/>
    <w:rsid w:val="004C14FC"/>
    <w:rsid w:val="004D2F9C"/>
    <w:rsid w:val="004E1202"/>
    <w:rsid w:val="004E121D"/>
    <w:rsid w:val="004E1BB7"/>
    <w:rsid w:val="004E6DF4"/>
    <w:rsid w:val="004F453F"/>
    <w:rsid w:val="005012AC"/>
    <w:rsid w:val="00503C08"/>
    <w:rsid w:val="00504F6F"/>
    <w:rsid w:val="00512857"/>
    <w:rsid w:val="00527601"/>
    <w:rsid w:val="00534676"/>
    <w:rsid w:val="005474DF"/>
    <w:rsid w:val="005534D4"/>
    <w:rsid w:val="00553990"/>
    <w:rsid w:val="005614CC"/>
    <w:rsid w:val="00562732"/>
    <w:rsid w:val="00563CF4"/>
    <w:rsid w:val="00564CE6"/>
    <w:rsid w:val="00566A45"/>
    <w:rsid w:val="00585A6E"/>
    <w:rsid w:val="00594F40"/>
    <w:rsid w:val="005A190F"/>
    <w:rsid w:val="005A4048"/>
    <w:rsid w:val="005B4807"/>
    <w:rsid w:val="005B7484"/>
    <w:rsid w:val="005C2209"/>
    <w:rsid w:val="005F18E7"/>
    <w:rsid w:val="005F34B0"/>
    <w:rsid w:val="00611336"/>
    <w:rsid w:val="00614FE6"/>
    <w:rsid w:val="00617FC7"/>
    <w:rsid w:val="00622635"/>
    <w:rsid w:val="0062298C"/>
    <w:rsid w:val="006340EE"/>
    <w:rsid w:val="0064034B"/>
    <w:rsid w:val="006669F7"/>
    <w:rsid w:val="0067089B"/>
    <w:rsid w:val="00672CDC"/>
    <w:rsid w:val="00672D43"/>
    <w:rsid w:val="0067311D"/>
    <w:rsid w:val="0069242D"/>
    <w:rsid w:val="00693C6C"/>
    <w:rsid w:val="006A128B"/>
    <w:rsid w:val="006A402E"/>
    <w:rsid w:val="006B7D8E"/>
    <w:rsid w:val="006C1CE3"/>
    <w:rsid w:val="006C2579"/>
    <w:rsid w:val="006C69E6"/>
    <w:rsid w:val="006C6AEC"/>
    <w:rsid w:val="006D79B9"/>
    <w:rsid w:val="006E03F4"/>
    <w:rsid w:val="006E1C41"/>
    <w:rsid w:val="006E3831"/>
    <w:rsid w:val="006F37F5"/>
    <w:rsid w:val="00704B99"/>
    <w:rsid w:val="00714297"/>
    <w:rsid w:val="00716788"/>
    <w:rsid w:val="00721F68"/>
    <w:rsid w:val="00722903"/>
    <w:rsid w:val="0072372C"/>
    <w:rsid w:val="00724782"/>
    <w:rsid w:val="00726385"/>
    <w:rsid w:val="00730CD7"/>
    <w:rsid w:val="00732253"/>
    <w:rsid w:val="00744486"/>
    <w:rsid w:val="007506E5"/>
    <w:rsid w:val="007542D2"/>
    <w:rsid w:val="00754CB8"/>
    <w:rsid w:val="0075507D"/>
    <w:rsid w:val="0075551B"/>
    <w:rsid w:val="00755A71"/>
    <w:rsid w:val="007561EF"/>
    <w:rsid w:val="00760890"/>
    <w:rsid w:val="0076234B"/>
    <w:rsid w:val="00762EE9"/>
    <w:rsid w:val="00764594"/>
    <w:rsid w:val="0077561F"/>
    <w:rsid w:val="007863B7"/>
    <w:rsid w:val="0079071F"/>
    <w:rsid w:val="00790734"/>
    <w:rsid w:val="00794898"/>
    <w:rsid w:val="007A07FA"/>
    <w:rsid w:val="007B1869"/>
    <w:rsid w:val="007C19F8"/>
    <w:rsid w:val="007C2853"/>
    <w:rsid w:val="007D585F"/>
    <w:rsid w:val="007E29D6"/>
    <w:rsid w:val="007E7609"/>
    <w:rsid w:val="007E761F"/>
    <w:rsid w:val="007F1758"/>
    <w:rsid w:val="00802C27"/>
    <w:rsid w:val="008050D9"/>
    <w:rsid w:val="0080618B"/>
    <w:rsid w:val="00806206"/>
    <w:rsid w:val="0082168B"/>
    <w:rsid w:val="00826DFB"/>
    <w:rsid w:val="0082776B"/>
    <w:rsid w:val="00833E1A"/>
    <w:rsid w:val="00865D2E"/>
    <w:rsid w:val="0086642A"/>
    <w:rsid w:val="0086673A"/>
    <w:rsid w:val="00891E1F"/>
    <w:rsid w:val="008944AC"/>
    <w:rsid w:val="008A141A"/>
    <w:rsid w:val="008A34FC"/>
    <w:rsid w:val="008A3EE4"/>
    <w:rsid w:val="008A661D"/>
    <w:rsid w:val="008B37C5"/>
    <w:rsid w:val="008C6A5F"/>
    <w:rsid w:val="008D3E88"/>
    <w:rsid w:val="008E05BF"/>
    <w:rsid w:val="008E1289"/>
    <w:rsid w:val="00900680"/>
    <w:rsid w:val="00900B42"/>
    <w:rsid w:val="009073DC"/>
    <w:rsid w:val="009179A2"/>
    <w:rsid w:val="009219B3"/>
    <w:rsid w:val="00924044"/>
    <w:rsid w:val="0094560F"/>
    <w:rsid w:val="00945E29"/>
    <w:rsid w:val="00962925"/>
    <w:rsid w:val="00971D75"/>
    <w:rsid w:val="00973B90"/>
    <w:rsid w:val="00974BB4"/>
    <w:rsid w:val="009759AC"/>
    <w:rsid w:val="009768D7"/>
    <w:rsid w:val="00980F84"/>
    <w:rsid w:val="00984B34"/>
    <w:rsid w:val="00986895"/>
    <w:rsid w:val="00995040"/>
    <w:rsid w:val="00997E04"/>
    <w:rsid w:val="009A08BA"/>
    <w:rsid w:val="009B2CEC"/>
    <w:rsid w:val="009B3F05"/>
    <w:rsid w:val="009C4AC5"/>
    <w:rsid w:val="009C765A"/>
    <w:rsid w:val="009D0FC7"/>
    <w:rsid w:val="009D1901"/>
    <w:rsid w:val="009D36E1"/>
    <w:rsid w:val="009D41BB"/>
    <w:rsid w:val="009F05BA"/>
    <w:rsid w:val="009F24B4"/>
    <w:rsid w:val="00A00D03"/>
    <w:rsid w:val="00A00FFB"/>
    <w:rsid w:val="00A019E6"/>
    <w:rsid w:val="00A1780E"/>
    <w:rsid w:val="00A21177"/>
    <w:rsid w:val="00A2265D"/>
    <w:rsid w:val="00A25B8F"/>
    <w:rsid w:val="00A311EC"/>
    <w:rsid w:val="00A32479"/>
    <w:rsid w:val="00A34085"/>
    <w:rsid w:val="00A40437"/>
    <w:rsid w:val="00A4502B"/>
    <w:rsid w:val="00A45DCE"/>
    <w:rsid w:val="00A60670"/>
    <w:rsid w:val="00A61ACD"/>
    <w:rsid w:val="00A62199"/>
    <w:rsid w:val="00A67D60"/>
    <w:rsid w:val="00A8048C"/>
    <w:rsid w:val="00A83592"/>
    <w:rsid w:val="00A86EA0"/>
    <w:rsid w:val="00A91117"/>
    <w:rsid w:val="00A945CD"/>
    <w:rsid w:val="00A94C5E"/>
    <w:rsid w:val="00A95A85"/>
    <w:rsid w:val="00A97297"/>
    <w:rsid w:val="00AA76E8"/>
    <w:rsid w:val="00AD3303"/>
    <w:rsid w:val="00AE0D13"/>
    <w:rsid w:val="00AE2E09"/>
    <w:rsid w:val="00AF2D98"/>
    <w:rsid w:val="00AF3575"/>
    <w:rsid w:val="00AF68EB"/>
    <w:rsid w:val="00B1751C"/>
    <w:rsid w:val="00B213B0"/>
    <w:rsid w:val="00B2502B"/>
    <w:rsid w:val="00B32D8A"/>
    <w:rsid w:val="00B4036E"/>
    <w:rsid w:val="00B40D51"/>
    <w:rsid w:val="00B54E85"/>
    <w:rsid w:val="00B8231A"/>
    <w:rsid w:val="00B84B7C"/>
    <w:rsid w:val="00B93B9F"/>
    <w:rsid w:val="00B950D2"/>
    <w:rsid w:val="00B9580C"/>
    <w:rsid w:val="00B95B14"/>
    <w:rsid w:val="00BB3E58"/>
    <w:rsid w:val="00BC195E"/>
    <w:rsid w:val="00BC58B2"/>
    <w:rsid w:val="00BC5A12"/>
    <w:rsid w:val="00BD34E4"/>
    <w:rsid w:val="00BD604D"/>
    <w:rsid w:val="00BE7F3A"/>
    <w:rsid w:val="00BF31A3"/>
    <w:rsid w:val="00BF41C9"/>
    <w:rsid w:val="00BF65FC"/>
    <w:rsid w:val="00C0683B"/>
    <w:rsid w:val="00C075ED"/>
    <w:rsid w:val="00C11113"/>
    <w:rsid w:val="00C25DBB"/>
    <w:rsid w:val="00C362B9"/>
    <w:rsid w:val="00C36560"/>
    <w:rsid w:val="00C40CC2"/>
    <w:rsid w:val="00C417A2"/>
    <w:rsid w:val="00C53EA9"/>
    <w:rsid w:val="00C56459"/>
    <w:rsid w:val="00C62E12"/>
    <w:rsid w:val="00C743FC"/>
    <w:rsid w:val="00C80318"/>
    <w:rsid w:val="00C91D91"/>
    <w:rsid w:val="00C94D84"/>
    <w:rsid w:val="00C968D0"/>
    <w:rsid w:val="00C97C2C"/>
    <w:rsid w:val="00CB0A24"/>
    <w:rsid w:val="00CB0E6E"/>
    <w:rsid w:val="00CB4283"/>
    <w:rsid w:val="00CD09EB"/>
    <w:rsid w:val="00CD3D4D"/>
    <w:rsid w:val="00CD404B"/>
    <w:rsid w:val="00CD6E21"/>
    <w:rsid w:val="00CE5905"/>
    <w:rsid w:val="00CF463A"/>
    <w:rsid w:val="00CF5784"/>
    <w:rsid w:val="00D00458"/>
    <w:rsid w:val="00D00D2D"/>
    <w:rsid w:val="00D143B0"/>
    <w:rsid w:val="00D20988"/>
    <w:rsid w:val="00D33874"/>
    <w:rsid w:val="00D55F05"/>
    <w:rsid w:val="00D70AD3"/>
    <w:rsid w:val="00D85EBB"/>
    <w:rsid w:val="00DB79B7"/>
    <w:rsid w:val="00DC02C1"/>
    <w:rsid w:val="00DC2623"/>
    <w:rsid w:val="00DC30B5"/>
    <w:rsid w:val="00DC5A0C"/>
    <w:rsid w:val="00DD2473"/>
    <w:rsid w:val="00DD2E0B"/>
    <w:rsid w:val="00DE3706"/>
    <w:rsid w:val="00DE3A16"/>
    <w:rsid w:val="00E0199C"/>
    <w:rsid w:val="00E02C8A"/>
    <w:rsid w:val="00E03EDF"/>
    <w:rsid w:val="00E10ACA"/>
    <w:rsid w:val="00E13531"/>
    <w:rsid w:val="00E20C07"/>
    <w:rsid w:val="00E21035"/>
    <w:rsid w:val="00E2135C"/>
    <w:rsid w:val="00E21768"/>
    <w:rsid w:val="00E23521"/>
    <w:rsid w:val="00E24A38"/>
    <w:rsid w:val="00E35549"/>
    <w:rsid w:val="00E4210D"/>
    <w:rsid w:val="00E47AAD"/>
    <w:rsid w:val="00E529C9"/>
    <w:rsid w:val="00E531EC"/>
    <w:rsid w:val="00E57B2B"/>
    <w:rsid w:val="00E74E0B"/>
    <w:rsid w:val="00E85DE7"/>
    <w:rsid w:val="00E96687"/>
    <w:rsid w:val="00EA2E92"/>
    <w:rsid w:val="00EA4590"/>
    <w:rsid w:val="00EB43AE"/>
    <w:rsid w:val="00EB49E3"/>
    <w:rsid w:val="00ED25B8"/>
    <w:rsid w:val="00ED2DF2"/>
    <w:rsid w:val="00ED5B8B"/>
    <w:rsid w:val="00EE0179"/>
    <w:rsid w:val="00EE36AB"/>
    <w:rsid w:val="00EF1136"/>
    <w:rsid w:val="00EF348D"/>
    <w:rsid w:val="00F060CA"/>
    <w:rsid w:val="00F10821"/>
    <w:rsid w:val="00F25C4B"/>
    <w:rsid w:val="00F3064C"/>
    <w:rsid w:val="00F41110"/>
    <w:rsid w:val="00F41799"/>
    <w:rsid w:val="00F508A5"/>
    <w:rsid w:val="00F508FE"/>
    <w:rsid w:val="00F52737"/>
    <w:rsid w:val="00F52DB5"/>
    <w:rsid w:val="00F657B4"/>
    <w:rsid w:val="00F70D48"/>
    <w:rsid w:val="00F75806"/>
    <w:rsid w:val="00F7700C"/>
    <w:rsid w:val="00F83B31"/>
    <w:rsid w:val="00F8495B"/>
    <w:rsid w:val="00F86462"/>
    <w:rsid w:val="00F87FB0"/>
    <w:rsid w:val="00F96641"/>
    <w:rsid w:val="00F96FBF"/>
    <w:rsid w:val="00FB263D"/>
    <w:rsid w:val="00FB44CD"/>
    <w:rsid w:val="00FB50EF"/>
    <w:rsid w:val="00FC097A"/>
    <w:rsid w:val="00FC4E9A"/>
    <w:rsid w:val="00FC7F28"/>
    <w:rsid w:val="00FD66C9"/>
    <w:rsid w:val="00FD7F04"/>
    <w:rsid w:val="00FF38E6"/>
    <w:rsid w:val="00FF46E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E80A7"/>
  <w15:chartTrackingRefBased/>
  <w15:docId w15:val="{BCC87B14-BBB8-4B5E-91EB-8A124A540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D00D2D"/>
    <w:pPr>
      <w:keepNext/>
      <w:keepLines/>
      <w:spacing w:before="360" w:after="80"/>
      <w:jc w:val="center"/>
      <w:outlineLvl w:val="0"/>
    </w:pPr>
    <w:rPr>
      <w:rFonts w:ascii="Times New Roman" w:eastAsiaTheme="majorEastAsia" w:hAnsi="Times New Roman" w:cs="Times New Roman"/>
      <w:b/>
      <w:bCs/>
      <w:sz w:val="30"/>
      <w:szCs w:val="30"/>
    </w:rPr>
  </w:style>
  <w:style w:type="paragraph" w:styleId="Heading2">
    <w:name w:val="heading 2"/>
    <w:basedOn w:val="Normal"/>
    <w:next w:val="Normal"/>
    <w:link w:val="Heading2Char"/>
    <w:uiPriority w:val="9"/>
    <w:unhideWhenUsed/>
    <w:qFormat/>
    <w:rsid w:val="004B15CE"/>
    <w:pPr>
      <w:keepNext/>
      <w:keepLines/>
      <w:spacing w:before="160" w:after="80"/>
      <w:jc w:val="center"/>
      <w:outlineLvl w:val="1"/>
    </w:pPr>
    <w:rPr>
      <w:rFonts w:ascii="Times New Roman" w:eastAsiaTheme="majorEastAsia" w:hAnsi="Times New Roman" w:cs="Times New Roman"/>
      <w:b/>
      <w:bCs/>
      <w:sz w:val="28"/>
      <w:szCs w:val="28"/>
    </w:rPr>
  </w:style>
  <w:style w:type="paragraph" w:styleId="Heading3">
    <w:name w:val="heading 3"/>
    <w:basedOn w:val="Normal"/>
    <w:next w:val="Normal"/>
    <w:link w:val="Heading3Char"/>
    <w:uiPriority w:val="9"/>
    <w:unhideWhenUsed/>
    <w:qFormat/>
    <w:rsid w:val="0075507D"/>
    <w:pPr>
      <w:keepNext/>
      <w:keepLines/>
      <w:spacing w:before="160" w:after="80"/>
      <w:jc w:val="center"/>
      <w:outlineLvl w:val="2"/>
    </w:pPr>
    <w:rPr>
      <w:rFonts w:ascii="Times New Roman" w:eastAsiaTheme="majorEastAsia" w:hAnsi="Times New Roman" w:cs="Times New Roman"/>
      <w:b/>
      <w:bCs/>
      <w:sz w:val="28"/>
      <w:szCs w:val="25"/>
    </w:rPr>
  </w:style>
  <w:style w:type="paragraph" w:styleId="Heading4">
    <w:name w:val="heading 4"/>
    <w:basedOn w:val="Normal"/>
    <w:next w:val="Normal"/>
    <w:link w:val="Heading4Char"/>
    <w:uiPriority w:val="9"/>
    <w:semiHidden/>
    <w:unhideWhenUsed/>
    <w:qFormat/>
    <w:rsid w:val="00BC58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58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58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58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58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58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D2D"/>
    <w:rPr>
      <w:rFonts w:ascii="Times New Roman" w:eastAsiaTheme="majorEastAsia" w:hAnsi="Times New Roman" w:cs="Times New Roman"/>
      <w:b/>
      <w:bCs/>
      <w:sz w:val="30"/>
      <w:szCs w:val="30"/>
    </w:rPr>
  </w:style>
  <w:style w:type="character" w:customStyle="1" w:styleId="Heading2Char">
    <w:name w:val="Heading 2 Char"/>
    <w:basedOn w:val="DefaultParagraphFont"/>
    <w:link w:val="Heading2"/>
    <w:uiPriority w:val="9"/>
    <w:rsid w:val="004B15CE"/>
    <w:rPr>
      <w:rFonts w:ascii="Times New Roman" w:eastAsiaTheme="majorEastAsia" w:hAnsi="Times New Roman" w:cs="Times New Roman"/>
      <w:b/>
      <w:bCs/>
      <w:sz w:val="28"/>
      <w:szCs w:val="28"/>
    </w:rPr>
  </w:style>
  <w:style w:type="character" w:customStyle="1" w:styleId="Heading3Char">
    <w:name w:val="Heading 3 Char"/>
    <w:basedOn w:val="DefaultParagraphFont"/>
    <w:link w:val="Heading3"/>
    <w:uiPriority w:val="9"/>
    <w:rsid w:val="0075507D"/>
    <w:rPr>
      <w:rFonts w:ascii="Times New Roman" w:eastAsiaTheme="majorEastAsia" w:hAnsi="Times New Roman" w:cs="Times New Roman"/>
      <w:b/>
      <w:bCs/>
      <w:sz w:val="28"/>
      <w:szCs w:val="25"/>
    </w:rPr>
  </w:style>
  <w:style w:type="character" w:customStyle="1" w:styleId="Heading4Char">
    <w:name w:val="Heading 4 Char"/>
    <w:basedOn w:val="DefaultParagraphFont"/>
    <w:link w:val="Heading4"/>
    <w:uiPriority w:val="9"/>
    <w:semiHidden/>
    <w:rsid w:val="00BC58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58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58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58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58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58B2"/>
    <w:rPr>
      <w:rFonts w:eastAsiaTheme="majorEastAsia" w:cstheme="majorBidi"/>
      <w:color w:val="272727" w:themeColor="text1" w:themeTint="D8"/>
    </w:rPr>
  </w:style>
  <w:style w:type="paragraph" w:styleId="Title">
    <w:name w:val="Title"/>
    <w:basedOn w:val="Normal"/>
    <w:next w:val="Normal"/>
    <w:link w:val="TitleChar"/>
    <w:uiPriority w:val="10"/>
    <w:qFormat/>
    <w:rsid w:val="00BC58B2"/>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BC58B2"/>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BC58B2"/>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BC58B2"/>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BC58B2"/>
    <w:pPr>
      <w:spacing w:before="160"/>
      <w:jc w:val="center"/>
    </w:pPr>
    <w:rPr>
      <w:i/>
      <w:iCs/>
      <w:color w:val="404040" w:themeColor="text1" w:themeTint="BF"/>
    </w:rPr>
  </w:style>
  <w:style w:type="character" w:customStyle="1" w:styleId="QuoteChar">
    <w:name w:val="Quote Char"/>
    <w:basedOn w:val="DefaultParagraphFont"/>
    <w:link w:val="Quote"/>
    <w:uiPriority w:val="29"/>
    <w:rsid w:val="00BC58B2"/>
    <w:rPr>
      <w:rFonts w:cs="Mangal"/>
      <w:i/>
      <w:iCs/>
      <w:color w:val="404040" w:themeColor="text1" w:themeTint="BF"/>
    </w:rPr>
  </w:style>
  <w:style w:type="paragraph" w:styleId="ListParagraph">
    <w:name w:val="List Paragraph"/>
    <w:basedOn w:val="Normal"/>
    <w:link w:val="ListParagraphChar"/>
    <w:uiPriority w:val="34"/>
    <w:qFormat/>
    <w:rsid w:val="00BC58B2"/>
    <w:pPr>
      <w:ind w:left="720"/>
      <w:contextualSpacing/>
    </w:pPr>
  </w:style>
  <w:style w:type="character" w:styleId="IntenseEmphasis">
    <w:name w:val="Intense Emphasis"/>
    <w:basedOn w:val="DefaultParagraphFont"/>
    <w:uiPriority w:val="21"/>
    <w:qFormat/>
    <w:rsid w:val="00BC58B2"/>
    <w:rPr>
      <w:i/>
      <w:iCs/>
      <w:color w:val="0F4761" w:themeColor="accent1" w:themeShade="BF"/>
    </w:rPr>
  </w:style>
  <w:style w:type="paragraph" w:styleId="IntenseQuote">
    <w:name w:val="Intense Quote"/>
    <w:basedOn w:val="Normal"/>
    <w:next w:val="Normal"/>
    <w:link w:val="IntenseQuoteChar"/>
    <w:uiPriority w:val="30"/>
    <w:qFormat/>
    <w:rsid w:val="00BC58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58B2"/>
    <w:rPr>
      <w:rFonts w:cs="Mangal"/>
      <w:i/>
      <w:iCs/>
      <w:color w:val="0F4761" w:themeColor="accent1" w:themeShade="BF"/>
    </w:rPr>
  </w:style>
  <w:style w:type="character" w:styleId="IntenseReference">
    <w:name w:val="Intense Reference"/>
    <w:basedOn w:val="DefaultParagraphFont"/>
    <w:uiPriority w:val="32"/>
    <w:qFormat/>
    <w:rsid w:val="00BC58B2"/>
    <w:rPr>
      <w:b/>
      <w:bCs/>
      <w:smallCaps/>
      <w:color w:val="0F4761" w:themeColor="accent1" w:themeShade="BF"/>
      <w:spacing w:val="5"/>
    </w:rPr>
  </w:style>
  <w:style w:type="paragraph" w:styleId="FootnoteText">
    <w:name w:val="footnote text"/>
    <w:basedOn w:val="Normal"/>
    <w:link w:val="FootnoteTextChar"/>
    <w:uiPriority w:val="99"/>
    <w:semiHidden/>
    <w:unhideWhenUsed/>
    <w:rsid w:val="007E7609"/>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7E7609"/>
    <w:rPr>
      <w:rFonts w:cs="Mangal"/>
      <w:sz w:val="20"/>
      <w:szCs w:val="18"/>
    </w:rPr>
  </w:style>
  <w:style w:type="character" w:styleId="FootnoteReference">
    <w:name w:val="footnote reference"/>
    <w:basedOn w:val="DefaultParagraphFont"/>
    <w:uiPriority w:val="99"/>
    <w:semiHidden/>
    <w:unhideWhenUsed/>
    <w:rsid w:val="007E7609"/>
    <w:rPr>
      <w:vertAlign w:val="superscript"/>
    </w:rPr>
  </w:style>
  <w:style w:type="paragraph" w:customStyle="1" w:styleId="ng-star-inserted">
    <w:name w:val="ng-star-inserted"/>
    <w:basedOn w:val="Normal"/>
    <w:link w:val="ng-star-insertedChar"/>
    <w:rsid w:val="00497423"/>
    <w:pPr>
      <w:spacing w:before="100" w:beforeAutospacing="1" w:after="100" w:afterAutospacing="1" w:line="240" w:lineRule="auto"/>
    </w:pPr>
    <w:rPr>
      <w:rFonts w:ascii="Times New Roman" w:eastAsia="Times New Roman" w:hAnsi="Times New Roman" w:cs="Times New Roman"/>
      <w:kern w:val="0"/>
      <w:szCs w:val="24"/>
      <w:lang w:eastAsia="en-IN"/>
      <w14:ligatures w14:val="none"/>
    </w:rPr>
  </w:style>
  <w:style w:type="character" w:customStyle="1" w:styleId="ng-star-inserted1">
    <w:name w:val="ng-star-inserted1"/>
    <w:basedOn w:val="DefaultParagraphFont"/>
    <w:rsid w:val="00497423"/>
  </w:style>
  <w:style w:type="paragraph" w:styleId="Header">
    <w:name w:val="header"/>
    <w:basedOn w:val="Normal"/>
    <w:link w:val="HeaderChar"/>
    <w:uiPriority w:val="99"/>
    <w:unhideWhenUsed/>
    <w:rsid w:val="00F864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6462"/>
    <w:rPr>
      <w:rFonts w:cs="Mangal"/>
    </w:rPr>
  </w:style>
  <w:style w:type="paragraph" w:styleId="Footer">
    <w:name w:val="footer"/>
    <w:basedOn w:val="Normal"/>
    <w:link w:val="FooterChar"/>
    <w:uiPriority w:val="99"/>
    <w:unhideWhenUsed/>
    <w:rsid w:val="00F864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6462"/>
    <w:rPr>
      <w:rFonts w:cs="Mangal"/>
    </w:rPr>
  </w:style>
  <w:style w:type="character" w:styleId="Hyperlink">
    <w:name w:val="Hyperlink"/>
    <w:basedOn w:val="DefaultParagraphFont"/>
    <w:uiPriority w:val="99"/>
    <w:unhideWhenUsed/>
    <w:rsid w:val="00F86462"/>
    <w:rPr>
      <w:color w:val="467886" w:themeColor="hyperlink"/>
      <w:u w:val="single"/>
    </w:rPr>
  </w:style>
  <w:style w:type="character" w:styleId="UnresolvedMention">
    <w:name w:val="Unresolved Mention"/>
    <w:basedOn w:val="DefaultParagraphFont"/>
    <w:uiPriority w:val="99"/>
    <w:semiHidden/>
    <w:unhideWhenUsed/>
    <w:rsid w:val="00F86462"/>
    <w:rPr>
      <w:color w:val="605E5C"/>
      <w:shd w:val="clear" w:color="auto" w:fill="E1DFDD"/>
    </w:rPr>
  </w:style>
  <w:style w:type="table" w:styleId="TableGrid">
    <w:name w:val="Table Grid"/>
    <w:basedOn w:val="TableNormal"/>
    <w:uiPriority w:val="39"/>
    <w:rsid w:val="00AF2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93413"/>
    <w:pPr>
      <w:spacing w:after="0" w:line="240" w:lineRule="auto"/>
    </w:pPr>
    <w:rPr>
      <w:rFonts w:cs="Mangal"/>
    </w:rPr>
  </w:style>
  <w:style w:type="paragraph" w:styleId="Revision">
    <w:name w:val="Revision"/>
    <w:hidden/>
    <w:uiPriority w:val="99"/>
    <w:semiHidden/>
    <w:rsid w:val="006E03F4"/>
    <w:pPr>
      <w:spacing w:after="0" w:line="240" w:lineRule="auto"/>
    </w:pPr>
    <w:rPr>
      <w:rFonts w:cs="Mangal"/>
    </w:rPr>
  </w:style>
  <w:style w:type="paragraph" w:customStyle="1" w:styleId="Sources">
    <w:name w:val="Sources"/>
    <w:basedOn w:val="ng-star-inserted"/>
    <w:link w:val="SourcesChar"/>
    <w:qFormat/>
    <w:rsid w:val="003E0728"/>
    <w:pPr>
      <w:spacing w:before="0" w:beforeAutospacing="0" w:after="0" w:afterAutospacing="0"/>
    </w:pPr>
    <w:rPr>
      <w:color w:val="1A1C1E"/>
      <w:sz w:val="20"/>
      <w:szCs w:val="20"/>
    </w:rPr>
  </w:style>
  <w:style w:type="character" w:customStyle="1" w:styleId="ng-star-insertedChar">
    <w:name w:val="ng-star-inserted Char"/>
    <w:basedOn w:val="DefaultParagraphFont"/>
    <w:link w:val="ng-star-inserted"/>
    <w:rsid w:val="00397688"/>
    <w:rPr>
      <w:rFonts w:ascii="Times New Roman" w:eastAsia="Times New Roman" w:hAnsi="Times New Roman" w:cs="Times New Roman"/>
      <w:kern w:val="0"/>
      <w:szCs w:val="24"/>
      <w:lang w:eastAsia="en-IN"/>
      <w14:ligatures w14:val="none"/>
    </w:rPr>
  </w:style>
  <w:style w:type="character" w:customStyle="1" w:styleId="SourcesChar">
    <w:name w:val="Sources Char"/>
    <w:basedOn w:val="ng-star-insertedChar"/>
    <w:link w:val="Sources"/>
    <w:rsid w:val="003E0728"/>
    <w:rPr>
      <w:rFonts w:ascii="Times New Roman" w:eastAsia="Times New Roman" w:hAnsi="Times New Roman" w:cs="Times New Roman"/>
      <w:color w:val="1A1C1E"/>
      <w:kern w:val="0"/>
      <w:sz w:val="20"/>
      <w:szCs w:val="20"/>
      <w:lang w:eastAsia="en-IN"/>
      <w14:ligatures w14:val="none"/>
    </w:rPr>
  </w:style>
  <w:style w:type="paragraph" w:customStyle="1" w:styleId="Tables">
    <w:name w:val="Tables"/>
    <w:basedOn w:val="ListParagraph"/>
    <w:link w:val="TablesChar"/>
    <w:qFormat/>
    <w:rsid w:val="003E0728"/>
    <w:pPr>
      <w:spacing w:after="0" w:line="280" w:lineRule="exact"/>
      <w:ind w:left="0"/>
      <w:jc w:val="center"/>
    </w:pPr>
    <w:rPr>
      <w:rFonts w:ascii="Times New Roman" w:hAnsi="Times New Roman" w:cs="Times New Roman"/>
      <w:sz w:val="28"/>
      <w:szCs w:val="28"/>
      <w:lang w:eastAsia="en-IN"/>
    </w:rPr>
  </w:style>
  <w:style w:type="character" w:customStyle="1" w:styleId="ListParagraphChar">
    <w:name w:val="List Paragraph Char"/>
    <w:basedOn w:val="DefaultParagraphFont"/>
    <w:link w:val="ListParagraph"/>
    <w:uiPriority w:val="34"/>
    <w:rsid w:val="00397688"/>
    <w:rPr>
      <w:rFonts w:cs="Mangal"/>
    </w:rPr>
  </w:style>
  <w:style w:type="character" w:customStyle="1" w:styleId="TablesChar">
    <w:name w:val="Tables Char"/>
    <w:basedOn w:val="ListParagraphChar"/>
    <w:link w:val="Tables"/>
    <w:rsid w:val="003E0728"/>
    <w:rPr>
      <w:rFonts w:ascii="Times New Roman" w:hAnsi="Times New Roman" w:cs="Times New Roman"/>
      <w:sz w:val="28"/>
      <w:szCs w:val="28"/>
      <w:lang w:eastAsia="en-IN"/>
    </w:rPr>
  </w:style>
  <w:style w:type="table" w:styleId="TableGridLight">
    <w:name w:val="Grid Table Light"/>
    <w:basedOn w:val="TableNormal"/>
    <w:uiPriority w:val="40"/>
    <w:rsid w:val="006C1CE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100F88"/>
    <w:pPr>
      <w:spacing w:before="240" w:after="0" w:line="259" w:lineRule="auto"/>
      <w:jc w:val="left"/>
      <w:outlineLvl w:val="9"/>
    </w:pPr>
    <w:rPr>
      <w:rFonts w:asciiTheme="majorHAnsi" w:hAnsiTheme="majorHAnsi" w:cstheme="majorBidi"/>
      <w:b w:val="0"/>
      <w:bCs w:val="0"/>
      <w:color w:val="0F4761" w:themeColor="accent1" w:themeShade="BF"/>
      <w:kern w:val="0"/>
      <w:sz w:val="32"/>
      <w:szCs w:val="32"/>
      <w:lang w:val="en-US" w:bidi="ar-SA"/>
      <w14:ligatures w14:val="none"/>
    </w:rPr>
  </w:style>
  <w:style w:type="paragraph" w:styleId="TOC1">
    <w:name w:val="toc 1"/>
    <w:basedOn w:val="Normal"/>
    <w:next w:val="Normal"/>
    <w:autoRedefine/>
    <w:uiPriority w:val="39"/>
    <w:unhideWhenUsed/>
    <w:rsid w:val="00100F88"/>
    <w:pPr>
      <w:spacing w:after="100"/>
    </w:pPr>
  </w:style>
  <w:style w:type="paragraph" w:styleId="TOC2">
    <w:name w:val="toc 2"/>
    <w:basedOn w:val="Normal"/>
    <w:next w:val="Normal"/>
    <w:autoRedefine/>
    <w:uiPriority w:val="39"/>
    <w:unhideWhenUsed/>
    <w:rsid w:val="00100F88"/>
    <w:pPr>
      <w:spacing w:after="100"/>
      <w:ind w:left="240"/>
    </w:pPr>
  </w:style>
  <w:style w:type="paragraph" w:styleId="TOC3">
    <w:name w:val="toc 3"/>
    <w:basedOn w:val="Normal"/>
    <w:next w:val="Normal"/>
    <w:autoRedefine/>
    <w:uiPriority w:val="39"/>
    <w:unhideWhenUsed/>
    <w:rsid w:val="00100F88"/>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ogle.com/url?sa=E&amp;q=https%3A%2F%2Fvertexaisearch.cloud.google.com%2Fgrounding-api-redirect%2FAUZIYQFAw0EnC_cchaQxLYJMA-lTo_g0ZitqPV4wR8sw07O_CYzn02lYNc-o3WsRwavhTVjpGF7JGWS2cq_ME9leeHNd4YHrfeZAVl-9Tb_zzUtjTi7gafzFoQ8ScedCd_BVCeegsSiUI8a8LH7rcX3-vIYtbW0Oqh4pTHVYD4fnIVPQHISJtIB9TYSt0GPZEFDd3BAGifhYBflTUWbDRoz9ogwAmBQTHRSTMshMC5Ni9KJu4ZHfVs_VB9Q2XECVFSeA8SnMhZ2SNXjipp3XHvK65nsoTcs1" TargetMode="External"/><Relationship Id="rId1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com/url?sa=E&amp;q=https%3A%2F%2Fvertexaisearch.cloud.google.com%2Fgrounding-api-redirect%2FAUZIYQFAw0EnC_cchaQxLYJMA-lTo_g0ZitqPV4wR8sw07O_CYzn02lYNc-o3WsRwavhTVjpGF7JGWS2cq_ME9leeHNd4YHrfeZAVl-9Tb_zzUtjTi7gafzFoQ8ScedCd_BVCeegsSiUI8a8LH7rcX3-vIYtbW0Oqh4pTHVYD4fnIVPQHISJtIB9TYSt0GPZEFDd3BAGifhYBflTUWbDRoz9ogwAmBQTHRSTMshMC5Ni9KJu4ZHfVs_VB9Q2XECVFSeA8SnMhZ2SNXjipp3XHvK65nsoTcs1"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google.com/url?sa=E&amp;q=https%3A%2F%2Fvertexaisearch.cloud.google.com%2Fgrounding-api-redirect%2FAUZIYQGwr3YIh5gyeqOeh3TUkFj1m8Qi4218NVIBXTdzKZ2YT4Nj5trs5fzF1EVh_9kWRMP48PSrJRWCdefVQRrCggso6kBhe073GTTJQXSCmAy6ljB-JP8qnAFOog8%3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url?sa=E&amp;q=https%3A%2F%2Fvertexaisearch.cloud.google.com%2Fgrounding-api-redirect%2FAUZIYQElGF1kwec_SGjyHk39hWCN_8r_rKmwtzseWT--m4b03YEOf_H6etDIW6wninq08IvtLaVwUXGbY2qDKSkd0ctZJci2ExUkx6v43oFvb7fwWv4sGnhw04P1naF_aUQE5l2yYE9ZCKGuoC_rjMTpMTSBnUKS24IZVDZZw3qFE0pTwQ%3D%3D" TargetMode="External"/><Relationship Id="rId5" Type="http://schemas.openxmlformats.org/officeDocument/2006/relationships/webSettings" Target="webSettings.xml"/><Relationship Id="rId15" Type="http://schemas.openxmlformats.org/officeDocument/2006/relationships/hyperlink" Target="https://www.google.com/url?sa=E&amp;q=https%3A%2F%2Fvertexaisearch.cloud.google.com%2Fgrounding-api-redirect%2FAUZIYQFAw0EnC_cchaQxLYJMA-lTo_g0ZitqPV4wR8sw07O_CYzn02lYNc-o3WsRwavhTVjpGF7JGWS2cq_ME9leeHNd4YHrfeZAVl-9Tb_zzUtjTi7gafzFoQ8ScedCd_BVCeegsSiUI8a8LH7rcX3-vIYtbW0Oqh4pTHVYD4fnIVPQHISJtIB9TYSt0GPZEFDd3BAGifhYBflTUWbDRoz9ogwAmBQTHRSTMshMC5Ni9KJu4ZHfVs_VB9Q2XECVFSeA8SnMhZ2SNXjipp3XHvK65nsoTcs1" TargetMode="External"/><Relationship Id="rId10" Type="http://schemas.openxmlformats.org/officeDocument/2006/relationships/hyperlink" Target="https://www.google.com/url?sa=E&amp;q=https%3A%2F%2Fvertexaisearch.cloud.google.com%2Fgrounding-api-redirect%2FAUZIYQElGF1kwec_SGjyHk39hWCN_8r_rKmwtzseWT--m4b03YEOf_H6etDIW6wninq08IvtLaVwUXGbY2qDKSkd0ctZJci2ExUkx6v43oFvb7fwWv4sGnhw04P1naF_aUQE5l2yYE9ZCKGuoC_rjMTpMTSBnUKS24IZVDZZw3qFE0pTwQ%3D%3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ogle.com/url?sa=E&amp;q=https%3A%2F%2Fvertexaisearch.cloud.google.com%2Fgrounding-api-redirect%2FAUZIYQFAw0EnC_cchaQxLYJMA-lTo_g0ZitqPV4wR8sw07O_CYzn02lYNc-o3WsRwavhTVjpGF7JGWS2cq_ME9leeHNd4YHrfeZAVl-9Tb_zzUtjTi7gafzFoQ8ScedCd_BVCeegsSiUI8a8LH7rcX3-vIYtbW0Oqh4pTHVYD4fnIVPQHISJtIB9TYSt0GPZEFDd3BAGifhYBflTUWbDRoz9ogwAmBQTHRSTMshMC5Ni9KJu4ZHfVs_VB9Q2XECVFSeA8SnMhZ2SNXjipp3XHvK65nsoTc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EAC69-CE24-436F-B58E-9F0F44B8E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201</Pages>
  <Words>53770</Words>
  <Characters>306495</Characters>
  <Application>Microsoft Office Word</Application>
  <DocSecurity>0</DocSecurity>
  <Lines>2554</Lines>
  <Paragraphs>719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2026-02-03T07:55:00Z</dcterms:created>
  <dcterms:modified xsi:type="dcterms:W3CDTF">2026-02-03T07:55:00Z</dcterms:modified>
</cp:coreProperties>
</file>